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jpeg" ContentType="image/jpe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jc w:val="left"/>
        <w:outlineLvl w:val="0"/>
        <w:rPr>
          <w:rFonts w:ascii="方正小标宋简体" w:eastAsia="方正小标宋简体"/>
          <w:szCs w:val="21"/>
        </w:rPr>
      </w:pPr>
      <w:bookmarkStart w:id="0" w:name="_Toc15306267"/>
    </w:p>
    <w:p>
      <w:pPr>
        <w:spacing w:line="600" w:lineRule="exact"/>
        <w:jc w:val="center"/>
        <w:outlineLvl w:val="0"/>
        <w:rPr>
          <w:rFonts w:ascii="方正小标宋简体" w:eastAsia="方正小标宋简体"/>
          <w:sz w:val="72"/>
          <w:szCs w:val="72"/>
        </w:rPr>
      </w:pPr>
    </w:p>
    <w:p>
      <w:pPr>
        <w:spacing w:line="600" w:lineRule="exact"/>
        <w:jc w:val="center"/>
        <w:outlineLvl w:val="0"/>
        <w:rPr>
          <w:rFonts w:ascii="方正小标宋简体" w:eastAsia="方正小标宋简体"/>
          <w:sz w:val="72"/>
          <w:szCs w:val="72"/>
        </w:rPr>
      </w:pPr>
    </w:p>
    <w:p>
      <w:pPr>
        <w:adjustRightInd w:val="0"/>
        <w:snapToGrid w:val="0"/>
        <w:spacing w:line="360" w:lineRule="auto"/>
        <w:jc w:val="center"/>
        <w:outlineLvl w:val="0"/>
        <w:rPr>
          <w:rFonts w:ascii="方正小标宋简体" w:eastAsia="方正小标宋简体" w:cs="Times New Roman" w:hint="eastAsia"/>
          <w:color w:val="000000"/>
          <w:sz w:val="72"/>
          <w:szCs w:val="72"/>
        </w:rPr>
      </w:pPr>
      <w:bookmarkStart w:id="1" w:name="_Toc15396597"/>
      <w:bookmarkStart w:id="2" w:name="_Toc15396475"/>
      <w:bookmarkStart w:id="3" w:name="_Toc15377193"/>
      <w:bookmarkStart w:id="4" w:name="_Toc15378441"/>
      <w:bookmarkStart w:id="5" w:name="_Toc15377425"/>
      <w:bookmarkStart w:id="6" w:name="_Toc15396598"/>
      <w:bookmarkStart w:id="7" w:name="_Toc15377426"/>
      <w:bookmarkStart w:id="8" w:name="_Toc15378442"/>
      <w:bookmarkStart w:id="9" w:name="_Toc15396476"/>
      <w:bookmarkStart w:id="10" w:name="_Toc15306268"/>
      <w:bookmarkStart w:id="11" w:name="_Toc15377194"/>
      <w:bookmarkEnd w:id="0"/>
      <w:r>
        <w:rPr>
          <w:rFonts w:ascii="方正小标宋简体" w:eastAsia="方正小标宋简体" w:cs="Times New Roman" w:hint="eastAsia"/>
          <w:color w:val="000000"/>
          <w:sz w:val="72"/>
          <w:szCs w:val="72"/>
        </w:rPr>
        <w:t>202</w:t>
      </w:r>
      <w:r>
        <w:rPr>
          <w:rFonts w:ascii="方正小标宋简体" w:eastAsia="方正小标宋简体" w:cs="Times New Roman" w:hint="eastAsia"/>
          <w:color w:val="000000"/>
          <w:sz w:val="72"/>
          <w:szCs w:val="72"/>
          <w:lang w:val="en-US" w:eastAsia="zh-CN"/>
        </w:rPr>
        <w:t>5</w:t>
      </w:r>
      <w:r>
        <w:rPr>
          <w:rFonts w:ascii="方正小标宋简体" w:eastAsia="方正小标宋简体" w:cs="Times New Roman" w:hint="eastAsia"/>
          <w:color w:val="000000"/>
          <w:sz w:val="72"/>
          <w:szCs w:val="72"/>
        </w:rPr>
        <w:t>年度</w:t>
      </w:r>
      <w:bookmarkEnd w:id="1"/>
      <w:bookmarkEnd w:id="2"/>
      <w:bookmarkEnd w:id="3"/>
      <w:bookmarkEnd w:id="4"/>
      <w:bookmarkEnd w:id="5"/>
    </w:p>
    <w:p>
      <w:pPr>
        <w:adjustRightInd w:val="0"/>
        <w:snapToGrid w:val="0"/>
        <w:spacing w:line="360" w:lineRule="auto"/>
        <w:jc w:val="center"/>
        <w:outlineLvl w:val="0"/>
        <w:rPr>
          <w:rFonts w:ascii="方正小标宋简体" w:eastAsia="方正小标宋简体" w:hint="eastAsia"/>
          <w:color w:val="000000"/>
          <w:sz w:val="72"/>
          <w:szCs w:val="72"/>
        </w:rPr>
      </w:pPr>
      <w:bookmarkEnd w:id="6"/>
      <w:bookmarkEnd w:id="7"/>
      <w:bookmarkEnd w:id="8"/>
      <w:bookmarkEnd w:id="9"/>
      <w:bookmarkEnd w:id="10"/>
      <w:bookmarkEnd w:id="11"/>
      <w:r>
        <w:rPr>
          <w:rFonts w:ascii="方正小标宋简体" w:eastAsia="方正小标宋简体" w:hint="eastAsia"/>
          <w:color w:val="000000"/>
          <w:sz w:val="72"/>
          <w:szCs w:val="72"/>
        </w:rPr>
        <w:t>四川省阿坝州汶川县</w:t>
      </w:r>
    </w:p>
    <w:p>
      <w:pPr>
        <w:adjustRightInd w:val="0"/>
        <w:snapToGrid w:val="0"/>
        <w:spacing w:line="360" w:lineRule="auto"/>
        <w:jc w:val="center"/>
        <w:outlineLvl w:val="0"/>
        <w:rPr>
          <w:rFonts w:ascii="方正小标宋简体" w:eastAsia="方正小标宋简体"/>
          <w:color w:val="000000"/>
          <w:sz w:val="72"/>
          <w:szCs w:val="72"/>
        </w:rPr>
      </w:pPr>
      <w:r>
        <w:rPr>
          <w:rFonts w:ascii="方正小标宋简体" w:eastAsia="方正小标宋简体" w:hint="eastAsia"/>
          <w:color w:val="000000"/>
          <w:sz w:val="72"/>
          <w:szCs w:val="72"/>
        </w:rPr>
        <w:t>总工会困难职工帮扶中心</w:t>
      </w:r>
    </w:p>
    <w:p>
      <w:pPr>
        <w:adjustRightInd w:val="0"/>
        <w:snapToGrid w:val="0"/>
        <w:spacing w:line="360" w:lineRule="auto"/>
        <w:jc w:val="center"/>
        <w:outlineLvl w:val="0"/>
        <w:rPr>
          <w:rFonts w:ascii="方正小标宋简体" w:eastAsia="方正小标宋简体" w:hint="eastAsia"/>
          <w:color w:val="000000"/>
          <w:sz w:val="72"/>
          <w:szCs w:val="72"/>
        </w:rPr>
      </w:pPr>
      <w:r>
        <w:rPr>
          <w:rFonts w:ascii="方正小标宋简体" w:eastAsia="方正小标宋简体" w:hint="eastAsia"/>
          <w:color w:val="000000"/>
          <w:sz w:val="72"/>
          <w:szCs w:val="72"/>
          <w:lang w:eastAsia="zh-CN"/>
        </w:rPr>
        <w:t>单位</w:t>
      </w:r>
      <w:r>
        <w:rPr>
          <w:rFonts w:ascii="方正小标宋简体" w:eastAsia="方正小标宋简体" w:hint="eastAsia"/>
          <w:color w:val="000000"/>
          <w:sz w:val="72"/>
          <w:szCs w:val="72"/>
        </w:rPr>
        <w:t>决算</w:t>
      </w:r>
    </w:p>
    <w:p>
      <w:pPr>
        <w:adjustRightInd w:val="0"/>
        <w:snapToGrid w:val="0"/>
        <w:spacing w:line="360" w:lineRule="auto"/>
        <w:jc w:val="center"/>
        <w:outlineLvl w:val="0"/>
        <w:rPr>
          <w:rFonts w:ascii="方正小标宋简体" w:eastAsia="方正小标宋简体" w:hint="eastAsia"/>
          <w:color w:val="000000"/>
          <w:sz w:val="72"/>
          <w:szCs w:val="72"/>
        </w:rPr>
      </w:pPr>
    </w:p>
    <w:p>
      <w:pPr>
        <w:adjustRightInd w:val="0"/>
        <w:snapToGrid w:val="0"/>
        <w:spacing w:line="360" w:lineRule="auto"/>
        <w:jc w:val="center"/>
        <w:outlineLvl w:val="0"/>
        <w:rPr>
          <w:rFonts w:ascii="方正小标宋简体" w:eastAsia="方正小标宋简体" w:hint="eastAsia"/>
          <w:color w:val="000000"/>
          <w:sz w:val="72"/>
          <w:szCs w:val="72"/>
        </w:rPr>
      </w:pPr>
    </w:p>
    <w:p>
      <w:pPr>
        <w:autoSpaceDE w:val="0"/>
        <w:autoSpaceDN w:val="0"/>
        <w:adjustRightInd w:val="0"/>
        <w:ind w:leftChars="200" w:left="420"/>
        <w:jc w:val="left"/>
        <w:rPr>
          <w:rFonts w:ascii="宋体"/>
          <w:sz w:val="32"/>
          <w:szCs w:val="32"/>
        </w:rPr>
      </w:pPr>
      <w:r>
        <w:rPr>
          <w:rFonts w:ascii="宋体" w:cs="仿宋_GB2312" w:hint="eastAsia"/>
          <w:sz w:val="32"/>
          <w:szCs w:val="32"/>
        </w:rPr>
        <w:t>保密审查情况：已审查，内容审定</w:t>
      </w:r>
    </w:p>
    <w:p>
      <w:pPr>
        <w:autoSpaceDE w:val="0"/>
        <w:autoSpaceDN w:val="0"/>
        <w:adjustRightInd w:val="0"/>
        <w:ind w:leftChars="200" w:left="420"/>
        <w:jc w:val="left"/>
        <w:rPr>
          <w:rFonts w:ascii="宋体"/>
          <w:sz w:val="32"/>
          <w:szCs w:val="32"/>
        </w:rPr>
      </w:pPr>
      <w:r>
        <w:rPr>
          <w:rFonts w:ascii="宋体" w:cs="仿宋_GB2312" w:hint="eastAsia"/>
          <w:sz w:val="32"/>
          <w:szCs w:val="32"/>
        </w:rPr>
        <w:t>部门主要负责人审签情况：已审签，同意对外公开</w:t>
      </w:r>
    </w:p>
    <w:p>
      <w:pPr>
        <w:autoSpaceDE w:val="0"/>
        <w:autoSpaceDN w:val="0"/>
        <w:adjustRightInd w:val="0"/>
        <w:ind w:firstLine="1276"/>
        <w:jc w:val="left"/>
        <w:rPr>
          <w:rFonts w:ascii="方正小标宋简体" w:eastAsia="方正小标宋简体" w:hint="eastAsia"/>
          <w:sz w:val="36"/>
          <w:szCs w:val="36"/>
          <w:lang w:val="en-US" w:eastAsia="zh-CN"/>
        </w:rPr>
      </w:pPr>
      <w:bookmarkStart w:id="12" w:name="_Toc15377196"/>
      <w:bookmarkStart w:id="13" w:name="_Toc15396599"/>
      <w:r>
        <w:rPr>
          <w:rFonts w:ascii="方正小标宋简体" w:eastAsia="方正小标宋简体" w:hint="eastAsia"/>
          <w:sz w:val="36"/>
          <w:szCs w:val="36"/>
          <w:lang w:val="en-US" w:eastAsia="zh-CN"/>
        </w:rPr>
        <w:t xml:space="preserve">  </w:t>
      </w:r>
    </w:p>
    <w:p>
      <w:pPr>
        <w:autoSpaceDE w:val="0"/>
        <w:autoSpaceDN w:val="0"/>
        <w:adjustRightInd w:val="0"/>
        <w:ind w:firstLine="1276"/>
        <w:jc w:val="center"/>
        <w:rPr>
          <w:rFonts w:ascii="黑体" w:eastAsia="黑体"/>
          <w:color w:val="000000"/>
          <w:sz w:val="48"/>
          <w:szCs w:val="48"/>
        </w:rPr>
      </w:pPr>
      <w:r>
        <w:rPr>
          <w:rFonts w:ascii="黑体" w:eastAsia="黑体" w:hint="eastAsia"/>
          <w:color w:val="000000"/>
          <w:sz w:val="48"/>
          <w:szCs w:val="48"/>
        </w:rPr>
        <w:t>目录</w:t>
      </w:r>
    </w:p>
    <w:p>
      <w:pPr>
        <w:widowControl/>
        <w:jc w:val="center"/>
        <w:rPr>
          <w:rFonts w:ascii="黑体" w:eastAsia="黑体" w:cs="Arial"/>
          <w:sz w:val="28"/>
          <w:szCs w:val="28"/>
        </w:rPr>
      </w:pPr>
    </w:p>
    <w:p>
      <w:pPr>
        <w:pStyle w:val="18"/>
        <w:tabs>
          <w:tab w:val="right" w:leader="dot" w:pos="8296"/>
        </w:tabs>
        <w:outlineLvl w:val="0"/>
        <w:rPr>
          <w:rFonts w:eastAsia="仿宋" w:hint="eastAsia"/>
          <w:lang w:eastAsia="zh-CN"/>
          <w:highlight w:val="auto"/>
        </w:rPr>
      </w:pPr>
      <w:r>
        <w:rPr>
          <w:rFonts w:hint="eastAsia"/>
          <w:highlight w:val="auto"/>
        </w:rPr>
        <w:t>公开时间：</w:t>
      </w:r>
      <w:r>
        <w:rPr>
          <w:rFonts w:hint="eastAsia"/>
          <w:lang w:eastAsia="zh-CN"/>
          <w:highlight w:val="auto"/>
        </w:rPr>
        <w:t>202</w:t>
      </w:r>
      <w:r>
        <w:rPr>
          <w:rFonts w:hint="eastAsia"/>
          <w:lang w:val="en-US" w:eastAsia="zh-CN"/>
          <w:highlight w:val="auto"/>
        </w:rPr>
        <w:t>6</w:t>
      </w:r>
      <w:r>
        <w:rPr>
          <w:rFonts w:hint="eastAsia"/>
          <w:lang w:eastAsia="zh-CN"/>
          <w:highlight w:val="auto"/>
        </w:rPr>
        <w:t>年</w:t>
      </w:r>
      <w:r>
        <w:rPr>
          <w:rFonts w:hint="eastAsia"/>
          <w:lang w:val="en-US" w:eastAsia="zh-CN"/>
          <w:highlight w:val="auto"/>
        </w:rPr>
        <w:t>10</w:t>
      </w:r>
      <w:r>
        <w:rPr>
          <w:rFonts w:hint="eastAsia"/>
          <w:highlight w:val="auto"/>
        </w:rPr>
        <w:t>月</w:t>
      </w:r>
      <w:r>
        <w:rPr>
          <w:rFonts w:hint="eastAsia"/>
          <w:lang w:val="en-US" w:eastAsia="zh-CN"/>
          <w:highlight w:val="auto"/>
        </w:rPr>
        <w:t xml:space="preserve"> </w:t>
      </w:r>
      <w:r>
        <w:rPr>
          <w:rFonts w:hint="eastAsia"/>
          <w:highlight w:val="auto"/>
        </w:rPr>
        <w:t>日</w:t>
      </w:r>
    </w:p>
    <w:p>
      <w:pPr>
        <w:pStyle w:val="20"/>
        <w:keepNext w:val="0"/>
        <w:keepLines w:val="0"/>
        <w:widowControl w:val="0"/>
        <w:suppressLineNumbers w:val="0"/>
        <w:tabs>
          <w:tab w:val="right" w:leader="dot" w:pos="8296"/>
        </w:tabs>
        <w:spacing w:before="93" w:beforeAutospacing="0" w:after="0" w:afterAutospacing="0"/>
        <w:ind w:left="0" w:right="0"/>
        <w:jc w:val="center"/>
        <w:rPr>
          <w:rFonts w:ascii="仿宋" w:eastAsia="仿宋" w:cs="Times New Roman" w:hint="eastAsia"/>
          <w:b w:val="0"/>
          <w:kern w:val="2"/>
          <w:sz w:val="21"/>
          <w:szCs w:val="21"/>
        </w:rPr>
      </w:pPr>
      <w:r>
        <w:rPr>
          <w:rFonts w:ascii="黑体" w:eastAsia="黑体" w:cs="黑体" w:hint="eastAsia"/>
          <w:b w:val="0"/>
          <w:kern w:val="2"/>
          <w:sz w:val="20"/>
          <w:szCs w:val="20"/>
          <w:lang w:val="en-US" w:eastAsia="zh-CN"/>
        </w:rPr>
        <w:t>第一部分</w:t>
      </w:r>
      <w:r>
        <w:rPr>
          <w:rFonts w:ascii="黑体" w:eastAsia="黑体" w:cs="Times New Roman" w:hint="eastAsia"/>
          <w:b w:val="0"/>
          <w:kern w:val="2"/>
          <w:sz w:val="20"/>
          <w:szCs w:val="20"/>
          <w:lang w:val="en-US" w:eastAsia="zh-CN"/>
        </w:rPr>
        <w:t xml:space="preserve"> </w:t>
      </w:r>
      <w:r>
        <w:rPr>
          <w:rFonts w:ascii="黑体" w:eastAsia="黑体" w:cs="黑体" w:hint="eastAsia"/>
          <w:b w:val="0"/>
          <w:kern w:val="2"/>
          <w:sz w:val="20"/>
          <w:szCs w:val="20"/>
          <w:lang w:val="en-US" w:eastAsia="zh-CN"/>
        </w:rPr>
        <w:t>部门概况</w:t>
      </w:r>
      <w:r>
        <w:rPr>
          <w:rFonts w:ascii="仿宋" w:eastAsia="仿宋" w:cs="Times New Roman" w:hint="eastAsia"/>
          <w:kern w:val="2"/>
          <w:sz w:val="20"/>
          <w:szCs w:val="20"/>
          <w:lang w:val="en-US" w:eastAsia="zh-CN"/>
        </w:rPr>
        <w:tab/>
      </w:r>
      <w:r>
        <w:rPr>
          <w:rFonts w:ascii="仿宋" w:eastAsia="仿宋" w:cs="仿宋" w:hint="eastAsia"/>
          <w:kern w:val="2"/>
          <w:sz w:val="20"/>
          <w:szCs w:val="20"/>
          <w:lang w:val="en-US" w:eastAsia="zh-CN"/>
        </w:rPr>
        <w:t>1</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hint="eastAsia"/>
          <w:kern w:val="2"/>
          <w:sz w:val="21"/>
          <w:szCs w:val="21"/>
        </w:rPr>
      </w:pPr>
      <w:r>
        <w:rPr>
          <w:rFonts w:ascii="黑体" w:eastAsia="黑体" w:cs="黑体" w:hint="eastAsia"/>
          <w:color w:val="000000"/>
          <w:kern w:val="2"/>
          <w:sz w:val="20"/>
          <w:szCs w:val="20"/>
          <w:lang w:val="en-US" w:eastAsia="zh-CN"/>
        </w:rPr>
        <w:t>一、基</w:t>
      </w:r>
      <w:r>
        <w:rPr>
          <w:rFonts w:ascii="黑体" w:eastAsia="黑体" w:cs="黑体" w:hint="eastAsia"/>
          <w:kern w:val="2"/>
          <w:sz w:val="20"/>
          <w:szCs w:val="20"/>
          <w:lang w:val="en-US" w:eastAsia="zh-CN"/>
        </w:rPr>
        <w:t>本职能及主要工作</w:t>
      </w:r>
      <w:r>
        <w:rPr>
          <w:rFonts w:ascii="Times New Roman" w:eastAsia="宋体" w:cs="Times New Roman" w:hAnsi="Times New Roman" w:hint="eastAsia"/>
          <w:kern w:val="2"/>
          <w:sz w:val="20"/>
          <w:szCs w:val="20"/>
          <w:lang w:val="en-US" w:eastAsia="zh-CN"/>
        </w:rPr>
        <w:tab/>
      </w:r>
      <w:r>
        <w:rPr>
          <w:rFonts w:ascii="Times New Roman" w:eastAsia="宋体" w:cs="Times New Roman" w:hAnsi="Times New Roman"/>
          <w:kern w:val="2"/>
          <w:sz w:val="20"/>
          <w:szCs w:val="20"/>
          <w:lang w:val="en-US" w:eastAsia="zh-CN"/>
        </w:rPr>
        <w:t>1</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黑体" w:eastAsia="黑体" w:cs="黑体" w:hint="eastAsia"/>
          <w:color w:val="000000"/>
          <w:kern w:val="2"/>
          <w:sz w:val="20"/>
          <w:szCs w:val="20"/>
          <w:lang w:val="en-US" w:eastAsia="zh-CN"/>
        </w:rPr>
        <w:t>二、机</w:t>
      </w:r>
      <w:r>
        <w:rPr>
          <w:rFonts w:ascii="黑体" w:eastAsia="黑体" w:cs="黑体" w:hint="eastAsia"/>
          <w:kern w:val="2"/>
          <w:sz w:val="20"/>
          <w:szCs w:val="20"/>
          <w:lang w:val="en-US" w:eastAsia="zh-CN"/>
        </w:rPr>
        <w:t>构设置</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1</w:t>
      </w:r>
    </w:p>
    <w:p>
      <w:pPr>
        <w:pStyle w:val="20"/>
        <w:keepNext w:val="0"/>
        <w:keepLines w:val="0"/>
        <w:widowControl w:val="0"/>
        <w:suppressLineNumbers w:val="0"/>
        <w:tabs>
          <w:tab w:val="right" w:leader="dot" w:pos="8296"/>
        </w:tabs>
        <w:spacing w:before="93" w:beforeAutospacing="0" w:after="0" w:afterAutospacing="0"/>
        <w:ind w:left="0" w:right="0"/>
        <w:jc w:val="center"/>
        <w:rPr>
          <w:rFonts w:ascii="仿宋" w:eastAsia="仿宋" w:cs="Times New Roman"/>
          <w:b w:val="0"/>
          <w:kern w:val="2"/>
          <w:sz w:val="21"/>
          <w:szCs w:val="21"/>
          <w:lang w:val="en-US"/>
        </w:rPr>
      </w:pPr>
      <w:r>
        <w:rPr>
          <w:rFonts w:ascii="黑体" w:eastAsia="黑体" w:cs="黑体" w:hint="eastAsia"/>
          <w:b w:val="0"/>
          <w:color w:val="000000"/>
          <w:kern w:val="2"/>
          <w:sz w:val="20"/>
          <w:szCs w:val="20"/>
          <w:lang w:val="en-US" w:eastAsia="zh-CN"/>
        </w:rPr>
        <w:t>第二部分</w:t>
      </w:r>
      <w:r>
        <w:rPr>
          <w:rFonts w:ascii="黑体" w:eastAsia="黑体" w:cs="Times New Roman" w:hint="eastAsia"/>
          <w:color w:val="000000"/>
          <w:kern w:val="2"/>
          <w:sz w:val="20"/>
          <w:szCs w:val="20"/>
          <w:lang w:val="en-US" w:eastAsia="zh-CN"/>
        </w:rPr>
        <w:t xml:space="preserve"> </w:t>
      </w:r>
      <w:r>
        <w:rPr>
          <w:rFonts w:ascii="黑体" w:eastAsia="黑体" w:cs="黑体" w:hint="eastAsia"/>
          <w:b w:val="0"/>
          <w:kern w:val="2"/>
          <w:sz w:val="20"/>
          <w:szCs w:val="20"/>
          <w:lang w:val="en-US" w:eastAsia="zh-CN"/>
        </w:rPr>
        <w:t>2025年度部门决算情况说明</w:t>
      </w:r>
      <w:r>
        <w:rPr>
          <w:rFonts w:ascii="仿宋" w:eastAsia="仿宋" w:cs="Times New Roman" w:hint="eastAsia"/>
          <w:kern w:val="2"/>
          <w:sz w:val="20"/>
          <w:szCs w:val="20"/>
          <w:lang w:val="en-US" w:eastAsia="zh-CN"/>
        </w:rPr>
        <w:tab/>
        <w:t>2</w:t>
      </w:r>
    </w:p>
    <w:p>
      <w:pPr>
        <w:pStyle w:val="20"/>
        <w:keepNext w:val="0"/>
        <w:keepLines w:val="0"/>
        <w:widowControl w:val="0"/>
        <w:suppressLineNumbers w:val="0"/>
        <w:tabs>
          <w:tab w:val="left" w:pos="840"/>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黑体" w:eastAsia="黑体" w:cs="黑体" w:hint="eastAsia"/>
          <w:kern w:val="2"/>
          <w:sz w:val="20"/>
          <w:szCs w:val="20"/>
          <w:lang w:val="en-US" w:eastAsia="zh-CN"/>
        </w:rPr>
        <w:t>一、</w:t>
      </w:r>
      <w:r>
        <w:rPr>
          <w:rFonts w:ascii="Times New Roman" w:eastAsia="宋体" w:cs="Times New Roman" w:hAnsi="Times New Roman" w:hint="eastAsia"/>
          <w:kern w:val="2"/>
          <w:sz w:val="21"/>
          <w:szCs w:val="21"/>
          <w:lang w:val="en-US" w:eastAsia="zh-CN"/>
        </w:rPr>
        <w:tab/>
      </w:r>
      <w:r>
        <w:rPr>
          <w:rFonts w:ascii="黑体" w:eastAsia="黑体" w:cs="黑体" w:hint="eastAsia"/>
          <w:color w:val="000000"/>
          <w:kern w:val="2"/>
          <w:sz w:val="20"/>
          <w:szCs w:val="20"/>
          <w:lang w:val="en-US" w:eastAsia="zh-CN"/>
        </w:rPr>
        <w:t>收</w:t>
      </w:r>
      <w:r>
        <w:rPr>
          <w:rFonts w:ascii="黑体" w:eastAsia="黑体" w:cs="黑体" w:hint="eastAsia"/>
          <w:kern w:val="2"/>
          <w:sz w:val="20"/>
          <w:szCs w:val="20"/>
          <w:lang w:val="en-US" w:eastAsia="zh-CN"/>
        </w:rPr>
        <w:t>入支出决算总体情况说明</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w:t>
      </w:r>
    </w:p>
    <w:p>
      <w:pPr>
        <w:pStyle w:val="20"/>
        <w:keepNext w:val="0"/>
        <w:keepLines w:val="0"/>
        <w:widowControl w:val="0"/>
        <w:suppressLineNumbers w:val="0"/>
        <w:tabs>
          <w:tab w:val="left" w:pos="840"/>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黑体" w:eastAsia="黑体" w:cs="黑体" w:hint="eastAsia"/>
          <w:kern w:val="2"/>
          <w:sz w:val="20"/>
          <w:szCs w:val="20"/>
          <w:lang w:val="en-US" w:eastAsia="zh-CN"/>
        </w:rPr>
        <w:t>二、</w:t>
      </w:r>
      <w:r>
        <w:rPr>
          <w:rFonts w:ascii="Times New Roman" w:eastAsia="宋体" w:cs="Times New Roman" w:hAnsi="Times New Roman" w:hint="eastAsia"/>
          <w:kern w:val="2"/>
          <w:sz w:val="21"/>
          <w:szCs w:val="21"/>
          <w:lang w:val="en-US" w:eastAsia="zh-CN"/>
        </w:rPr>
        <w:tab/>
      </w:r>
      <w:r>
        <w:rPr>
          <w:rFonts w:ascii="黑体" w:eastAsia="黑体" w:cs="黑体" w:hint="eastAsia"/>
          <w:color w:val="000000"/>
          <w:kern w:val="2"/>
          <w:sz w:val="20"/>
          <w:szCs w:val="20"/>
          <w:lang w:val="en-US" w:eastAsia="zh-CN"/>
        </w:rPr>
        <w:t>收</w:t>
      </w:r>
      <w:r>
        <w:rPr>
          <w:rFonts w:ascii="黑体" w:eastAsia="黑体" w:cs="黑体" w:hint="eastAsia"/>
          <w:kern w:val="2"/>
          <w:sz w:val="20"/>
          <w:szCs w:val="20"/>
          <w:lang w:val="en-US" w:eastAsia="zh-CN"/>
        </w:rPr>
        <w:t>入决算情况说明</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w:t>
      </w:r>
    </w:p>
    <w:p>
      <w:pPr>
        <w:pStyle w:val="20"/>
        <w:keepNext w:val="0"/>
        <w:keepLines w:val="0"/>
        <w:widowControl w:val="0"/>
        <w:suppressLineNumbers w:val="0"/>
        <w:tabs>
          <w:tab w:val="left" w:pos="840"/>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黑体" w:eastAsia="黑体" w:cs="黑体" w:hint="eastAsia"/>
          <w:kern w:val="2"/>
          <w:sz w:val="20"/>
          <w:szCs w:val="20"/>
          <w:lang w:val="en-US" w:eastAsia="zh-CN"/>
        </w:rPr>
        <w:t>三、</w:t>
      </w:r>
      <w:r>
        <w:rPr>
          <w:rFonts w:ascii="Times New Roman" w:eastAsia="宋体" w:cs="Times New Roman" w:hAnsi="Times New Roman" w:hint="eastAsia"/>
          <w:kern w:val="2"/>
          <w:sz w:val="21"/>
          <w:szCs w:val="21"/>
          <w:lang w:val="en-US" w:eastAsia="zh-CN"/>
        </w:rPr>
        <w:tab/>
      </w:r>
      <w:r>
        <w:rPr>
          <w:rFonts w:ascii="黑体" w:eastAsia="黑体" w:cs="黑体" w:hint="eastAsia"/>
          <w:color w:val="000000"/>
          <w:kern w:val="2"/>
          <w:sz w:val="20"/>
          <w:szCs w:val="20"/>
          <w:lang w:val="en-US" w:eastAsia="zh-CN"/>
        </w:rPr>
        <w:t>支</w:t>
      </w:r>
      <w:r>
        <w:rPr>
          <w:rFonts w:ascii="黑体" w:eastAsia="黑体" w:cs="黑体" w:hint="eastAsia"/>
          <w:kern w:val="2"/>
          <w:sz w:val="20"/>
          <w:szCs w:val="20"/>
          <w:lang w:val="en-US" w:eastAsia="zh-CN"/>
        </w:rPr>
        <w:t>出决算情况说明</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3</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黑体" w:eastAsia="黑体" w:cs="黑体" w:hint="eastAsia"/>
          <w:color w:val="000000"/>
          <w:kern w:val="2"/>
          <w:sz w:val="20"/>
          <w:szCs w:val="20"/>
          <w:lang w:val="en-US" w:eastAsia="zh-CN"/>
        </w:rPr>
        <w:t>四、财</w:t>
      </w:r>
      <w:r>
        <w:rPr>
          <w:rFonts w:ascii="黑体" w:eastAsia="黑体" w:cs="黑体" w:hint="eastAsia"/>
          <w:kern w:val="2"/>
          <w:sz w:val="20"/>
          <w:szCs w:val="20"/>
          <w:lang w:val="en-US" w:eastAsia="zh-CN"/>
        </w:rPr>
        <w:t>政拨款收入支出决算总体情况说明</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4</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黑体" w:eastAsia="黑体" w:cs="黑体" w:hint="eastAsia"/>
          <w:color w:val="000000"/>
          <w:kern w:val="2"/>
          <w:sz w:val="20"/>
          <w:szCs w:val="20"/>
          <w:lang w:val="en-US" w:eastAsia="zh-CN"/>
        </w:rPr>
        <w:t>五、</w:t>
      </w:r>
      <w:r>
        <w:rPr>
          <w:rFonts w:ascii="黑体" w:eastAsia="黑体" w:cs="黑体" w:hint="eastAsia"/>
          <w:b/>
          <w:bCs w:val="0"/>
          <w:color w:val="000000"/>
          <w:kern w:val="2"/>
          <w:sz w:val="20"/>
          <w:szCs w:val="20"/>
          <w:lang w:val="en-US" w:eastAsia="zh-CN"/>
        </w:rPr>
        <w:t>一</w:t>
      </w:r>
      <w:r>
        <w:rPr>
          <w:rFonts w:ascii="黑体" w:eastAsia="黑体" w:cs="黑体" w:hint="eastAsia"/>
          <w:kern w:val="2"/>
          <w:sz w:val="20"/>
          <w:szCs w:val="20"/>
          <w:lang w:val="en-US" w:eastAsia="zh-CN"/>
        </w:rPr>
        <w:t>般公共预算财政拨款支出决算情况说明</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5</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黑体" w:eastAsia="黑体" w:cs="黑体" w:hint="eastAsia"/>
          <w:color w:val="000000"/>
          <w:kern w:val="2"/>
          <w:sz w:val="20"/>
          <w:szCs w:val="20"/>
          <w:lang w:val="en-US" w:eastAsia="zh-CN"/>
        </w:rPr>
        <w:t>六</w:t>
      </w:r>
      <w:r>
        <w:rPr>
          <w:rFonts w:ascii="黑体" w:eastAsia="黑体" w:cs="黑体" w:hint="eastAsia"/>
          <w:b/>
          <w:bCs w:val="0"/>
          <w:color w:val="000000"/>
          <w:kern w:val="2"/>
          <w:sz w:val="20"/>
          <w:szCs w:val="20"/>
          <w:lang w:val="en-US" w:eastAsia="zh-CN"/>
        </w:rPr>
        <w:t>、一</w:t>
      </w:r>
      <w:r>
        <w:rPr>
          <w:rFonts w:ascii="黑体" w:eastAsia="黑体" w:cs="黑体" w:hint="eastAsia"/>
          <w:kern w:val="2"/>
          <w:sz w:val="20"/>
          <w:szCs w:val="20"/>
          <w:lang w:val="en-US" w:eastAsia="zh-CN"/>
        </w:rPr>
        <w:t>般公共预算财政拨款基本支出决算情况说明</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7</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黑体" w:eastAsia="黑体" w:cs="黑体" w:hint="eastAsia"/>
          <w:color w:val="000000"/>
          <w:kern w:val="2"/>
          <w:sz w:val="20"/>
          <w:szCs w:val="20"/>
          <w:lang w:val="en-US" w:eastAsia="zh-CN"/>
        </w:rPr>
        <w:t>七、</w:t>
      </w:r>
      <w:r>
        <w:rPr>
          <w:rFonts w:ascii="黑体" w:eastAsia="黑体" w:cs="黑体" w:hint="eastAsia"/>
          <w:b/>
          <w:bCs w:val="0"/>
          <w:kern w:val="2"/>
          <w:sz w:val="20"/>
          <w:szCs w:val="20"/>
          <w:lang w:val="en-US" w:eastAsia="zh-CN"/>
        </w:rPr>
        <w:t>“</w:t>
      </w:r>
      <w:r>
        <w:rPr>
          <w:rFonts w:ascii="黑体" w:eastAsia="黑体" w:cs="黑体" w:hint="eastAsia"/>
          <w:kern w:val="2"/>
          <w:sz w:val="20"/>
          <w:szCs w:val="20"/>
          <w:lang w:val="en-US" w:eastAsia="zh-CN"/>
        </w:rPr>
        <w:t>三公”经费财政拨款支出决算情况说明</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7</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黑体" w:eastAsia="黑体" w:cs="黑体" w:hint="eastAsia"/>
          <w:color w:val="000000"/>
          <w:kern w:val="2"/>
          <w:sz w:val="20"/>
          <w:szCs w:val="20"/>
          <w:lang w:val="en-US" w:eastAsia="zh-CN"/>
        </w:rPr>
        <w:t>八、</w:t>
      </w:r>
      <w:r>
        <w:rPr>
          <w:rFonts w:ascii="黑体" w:eastAsia="黑体" w:cs="黑体" w:hint="eastAsia"/>
          <w:kern w:val="2"/>
          <w:sz w:val="20"/>
          <w:szCs w:val="20"/>
          <w:lang w:val="en-US" w:eastAsia="zh-CN"/>
        </w:rPr>
        <w:t>政府性基金预算支出决算情况说明</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9</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rPr>
      </w:pPr>
      <w:r>
        <w:rPr>
          <w:rFonts w:ascii="黑体" w:eastAsia="黑体" w:cs="黑体" w:hint="eastAsia"/>
          <w:kern w:val="2"/>
          <w:sz w:val="20"/>
          <w:szCs w:val="20"/>
          <w:lang w:val="en-US" w:eastAsia="zh-CN"/>
        </w:rPr>
        <w:t>九、</w:t>
      </w:r>
      <w:r>
        <w:rPr>
          <w:rFonts w:ascii="黑体" w:eastAsia="黑体" w:cs="Times New Roman" w:hint="eastAsia"/>
          <w:kern w:val="2"/>
          <w:sz w:val="20"/>
          <w:szCs w:val="20"/>
          <w:lang w:val="en-US" w:eastAsia="zh-CN"/>
        </w:rPr>
        <w:t xml:space="preserve"> </w:t>
      </w:r>
      <w:r>
        <w:rPr>
          <w:rFonts w:ascii="黑体" w:eastAsia="黑体" w:cs="黑体" w:hint="eastAsia"/>
          <w:kern w:val="2"/>
          <w:sz w:val="20"/>
          <w:szCs w:val="20"/>
          <w:lang w:val="en-US" w:eastAsia="zh-CN"/>
        </w:rPr>
        <w:t>国有资本经营预算支出决算情况说明</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9</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rPr>
      </w:pPr>
      <w:r>
        <w:rPr>
          <w:rFonts w:ascii="黑体" w:eastAsia="黑体" w:cs="黑体" w:hint="eastAsia"/>
          <w:color w:val="000000"/>
          <w:kern w:val="2"/>
          <w:sz w:val="20"/>
          <w:szCs w:val="20"/>
          <w:lang w:val="en-US" w:eastAsia="zh-CN"/>
        </w:rPr>
        <w:t>十</w:t>
      </w:r>
      <w:r>
        <w:rPr>
          <w:rFonts w:ascii="黑体" w:eastAsia="黑体" w:cs="黑体" w:hint="eastAsia"/>
          <w:b/>
          <w:bCs w:val="0"/>
          <w:kern w:val="2"/>
          <w:sz w:val="20"/>
          <w:szCs w:val="20"/>
          <w:lang w:val="en-US" w:eastAsia="zh-CN"/>
        </w:rPr>
        <w:t>、</w:t>
      </w:r>
      <w:r>
        <w:rPr>
          <w:rFonts w:ascii="黑体" w:eastAsia="黑体" w:cs="黑体" w:hint="eastAsia"/>
          <w:kern w:val="2"/>
          <w:sz w:val="20"/>
          <w:szCs w:val="20"/>
          <w:lang w:val="en-US" w:eastAsia="zh-CN"/>
        </w:rPr>
        <w:t>其他重要事项的情况说明</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9</w:t>
      </w:r>
    </w:p>
    <w:p>
      <w:pPr>
        <w:pStyle w:val="20"/>
        <w:keepNext w:val="0"/>
        <w:keepLines w:val="0"/>
        <w:widowControl w:val="0"/>
        <w:suppressLineNumbers w:val="0"/>
        <w:tabs>
          <w:tab w:val="right" w:leader="dot" w:pos="8296"/>
        </w:tabs>
        <w:spacing w:before="93" w:beforeAutospacing="0" w:after="0" w:afterAutospacing="0"/>
        <w:ind w:left="0" w:right="0"/>
        <w:jc w:val="center"/>
        <w:rPr>
          <w:rFonts w:ascii="仿宋" w:eastAsia="仿宋" w:cs="Times New Roman"/>
          <w:b w:val="0"/>
          <w:kern w:val="2"/>
          <w:sz w:val="21"/>
          <w:szCs w:val="21"/>
          <w:lang w:val="en-US"/>
        </w:rPr>
      </w:pPr>
      <w:r>
        <w:rPr>
          <w:rFonts w:ascii="黑体" w:eastAsia="黑体" w:cs="黑体" w:hint="eastAsia"/>
          <w:kern w:val="44"/>
          <w:sz w:val="20"/>
          <w:szCs w:val="20"/>
          <w:lang w:val="en-US" w:eastAsia="zh-CN"/>
        </w:rPr>
        <w:t>第三部分</w:t>
      </w:r>
      <w:r>
        <w:rPr>
          <w:rFonts w:ascii="黑体" w:eastAsia="黑体" w:cs="Times New Roman" w:hint="eastAsia"/>
          <w:color w:val="000000"/>
          <w:kern w:val="2"/>
          <w:sz w:val="20"/>
          <w:szCs w:val="20"/>
          <w:lang w:val="en-US" w:eastAsia="zh-CN"/>
        </w:rPr>
        <w:t xml:space="preserve"> </w:t>
      </w:r>
      <w:r>
        <w:rPr>
          <w:rFonts w:ascii="黑体" w:eastAsia="黑体" w:cs="黑体" w:hint="eastAsia"/>
          <w:color w:val="000000"/>
          <w:kern w:val="2"/>
          <w:sz w:val="20"/>
          <w:szCs w:val="20"/>
          <w:lang w:val="en-US" w:eastAsia="zh-CN"/>
        </w:rPr>
        <w:t>名</w:t>
      </w:r>
      <w:r>
        <w:rPr>
          <w:rFonts w:ascii="黑体" w:eastAsia="黑体" w:cs="黑体" w:hint="eastAsia"/>
          <w:kern w:val="44"/>
          <w:sz w:val="20"/>
          <w:szCs w:val="20"/>
          <w:lang w:val="en-US" w:eastAsia="zh-CN"/>
        </w:rPr>
        <w:t>词解释</w:t>
      </w:r>
      <w:r>
        <w:rPr>
          <w:rFonts w:ascii="仿宋" w:eastAsia="仿宋" w:cs="Times New Roman" w:hint="eastAsia"/>
          <w:kern w:val="2"/>
          <w:sz w:val="20"/>
          <w:szCs w:val="20"/>
          <w:lang w:val="en-US" w:eastAsia="zh-CN"/>
        </w:rPr>
        <w:tab/>
      </w:r>
      <w:r>
        <w:rPr>
          <w:rFonts w:ascii="仿宋" w:eastAsia="仿宋" w:cs="仿宋" w:hint="eastAsia"/>
          <w:kern w:val="2"/>
          <w:sz w:val="20"/>
          <w:szCs w:val="20"/>
          <w:lang w:val="en-US" w:eastAsia="zh-CN"/>
        </w:rPr>
        <w:t>11</w:t>
      </w:r>
    </w:p>
    <w:p>
      <w:pPr>
        <w:pStyle w:val="20"/>
        <w:keepNext w:val="0"/>
        <w:keepLines w:val="0"/>
        <w:widowControl w:val="0"/>
        <w:suppressLineNumbers w:val="0"/>
        <w:tabs>
          <w:tab w:val="right" w:leader="dot" w:pos="8296"/>
        </w:tabs>
        <w:spacing w:before="93" w:beforeAutospacing="0" w:after="0" w:afterAutospacing="0"/>
        <w:ind w:left="0" w:right="0"/>
        <w:jc w:val="center"/>
        <w:rPr>
          <w:rFonts w:ascii="仿宋" w:eastAsia="仿宋" w:cs="Times New Roman"/>
          <w:b w:val="0"/>
          <w:kern w:val="2"/>
          <w:sz w:val="21"/>
          <w:szCs w:val="21"/>
          <w:lang w:val="en-US"/>
        </w:rPr>
      </w:pPr>
      <w:r>
        <w:rPr>
          <w:rFonts w:ascii="黑体" w:eastAsia="黑体" w:cs="黑体" w:hint="eastAsia"/>
          <w:color w:val="000000"/>
          <w:kern w:val="2"/>
          <w:sz w:val="20"/>
          <w:szCs w:val="20"/>
          <w:lang w:val="en-US" w:eastAsia="zh-CN"/>
        </w:rPr>
        <w:t>第</w:t>
      </w:r>
      <w:r>
        <w:rPr>
          <w:rFonts w:ascii="黑体" w:eastAsia="黑体" w:cs="黑体" w:hint="eastAsia"/>
          <w:kern w:val="44"/>
          <w:sz w:val="20"/>
          <w:szCs w:val="20"/>
          <w:lang w:val="en-US" w:eastAsia="zh-CN"/>
        </w:rPr>
        <w:t>四部分</w:t>
      </w:r>
      <w:r>
        <w:rPr>
          <w:rFonts w:ascii="黑体" w:eastAsia="黑体" w:cs="Times New Roman" w:hint="eastAsia"/>
          <w:kern w:val="44"/>
          <w:sz w:val="20"/>
          <w:szCs w:val="20"/>
          <w:lang w:val="en-US" w:eastAsia="zh-CN"/>
        </w:rPr>
        <w:t xml:space="preserve"> </w:t>
      </w:r>
      <w:r>
        <w:rPr>
          <w:rFonts w:ascii="黑体" w:eastAsia="黑体" w:cs="黑体" w:hint="eastAsia"/>
          <w:kern w:val="44"/>
          <w:sz w:val="20"/>
          <w:szCs w:val="20"/>
          <w:lang w:val="en-US" w:eastAsia="zh-CN"/>
        </w:rPr>
        <w:t>附件</w:t>
      </w:r>
      <w:r>
        <w:rPr>
          <w:rFonts w:ascii="仿宋" w:eastAsia="仿宋" w:cs="Times New Roman" w:hint="eastAsia"/>
          <w:kern w:val="2"/>
          <w:sz w:val="20"/>
          <w:szCs w:val="20"/>
          <w:lang w:val="en-US" w:eastAsia="zh-CN"/>
        </w:rPr>
        <w:tab/>
      </w:r>
      <w:r>
        <w:rPr>
          <w:rFonts w:ascii="仿宋" w:eastAsia="仿宋" w:cs="仿宋" w:hint="eastAsia"/>
          <w:kern w:val="2"/>
          <w:sz w:val="20"/>
          <w:szCs w:val="20"/>
          <w:lang w:val="en-US" w:eastAsia="zh-CN"/>
        </w:rPr>
        <w:t>14</w:t>
      </w:r>
    </w:p>
    <w:p>
      <w:pPr>
        <w:pStyle w:val="20"/>
        <w:keepNext w:val="0"/>
        <w:keepLines w:val="0"/>
        <w:widowControl w:val="0"/>
        <w:suppressLineNumbers w:val="0"/>
        <w:tabs>
          <w:tab w:val="right" w:leader="dot" w:pos="8296"/>
        </w:tabs>
        <w:spacing w:before="93" w:beforeAutospacing="0" w:after="0" w:afterAutospacing="0"/>
        <w:ind w:left="0" w:right="0"/>
        <w:jc w:val="center"/>
        <w:rPr>
          <w:rFonts w:ascii="仿宋" w:eastAsia="仿宋" w:cs="Times New Roman"/>
          <w:b w:val="0"/>
          <w:kern w:val="2"/>
          <w:sz w:val="21"/>
          <w:szCs w:val="21"/>
          <w:lang w:val="en-US"/>
        </w:rPr>
      </w:pPr>
      <w:r>
        <w:rPr>
          <w:rFonts w:ascii="黑体" w:eastAsia="黑体" w:cs="黑体" w:hint="eastAsia"/>
          <w:color w:val="000000"/>
          <w:kern w:val="2"/>
          <w:sz w:val="20"/>
          <w:szCs w:val="20"/>
          <w:lang w:val="en-US" w:eastAsia="zh-CN"/>
        </w:rPr>
        <w:t>第</w:t>
      </w:r>
      <w:r>
        <w:rPr>
          <w:rFonts w:ascii="黑体" w:eastAsia="黑体" w:cs="黑体" w:hint="eastAsia"/>
          <w:kern w:val="44"/>
          <w:sz w:val="20"/>
          <w:szCs w:val="20"/>
          <w:lang w:val="en-US" w:eastAsia="zh-CN"/>
        </w:rPr>
        <w:t>五部分</w:t>
      </w:r>
      <w:r>
        <w:rPr>
          <w:rFonts w:ascii="黑体" w:eastAsia="黑体" w:cs="Times New Roman" w:hint="eastAsia"/>
          <w:kern w:val="44"/>
          <w:sz w:val="20"/>
          <w:szCs w:val="20"/>
          <w:lang w:val="en-US" w:eastAsia="zh-CN"/>
        </w:rPr>
        <w:t xml:space="preserve"> </w:t>
      </w:r>
      <w:r>
        <w:rPr>
          <w:rFonts w:ascii="黑体" w:eastAsia="黑体" w:cs="黑体" w:hint="eastAsia"/>
          <w:kern w:val="44"/>
          <w:sz w:val="20"/>
          <w:szCs w:val="20"/>
          <w:lang w:val="en-US" w:eastAsia="zh-CN"/>
        </w:rPr>
        <w:t>附表</w:t>
      </w:r>
      <w:r>
        <w:rPr>
          <w:rFonts w:ascii="仿宋" w:eastAsia="仿宋" w:cs="Times New Roman" w:hint="eastAsia"/>
          <w:kern w:val="2"/>
          <w:sz w:val="20"/>
          <w:szCs w:val="20"/>
          <w:lang w:val="en-US" w:eastAsia="zh-CN"/>
        </w:rPr>
        <w:tab/>
      </w:r>
      <w:r>
        <w:rPr>
          <w:rFonts w:ascii="仿宋" w:eastAsia="仿宋" w:cs="仿宋"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color w:val="000000"/>
          <w:kern w:val="2"/>
          <w:sz w:val="20"/>
          <w:szCs w:val="20"/>
          <w:lang w:val="en-US" w:eastAsia="zh-CN"/>
        </w:rPr>
        <w:t>一、收</w:t>
      </w:r>
      <w:r>
        <w:rPr>
          <w:rFonts w:ascii="仿宋" w:eastAsia="仿宋" w:cs="仿宋" w:hint="eastAsia"/>
          <w:kern w:val="2"/>
          <w:sz w:val="20"/>
          <w:szCs w:val="20"/>
          <w:lang w:val="en-US" w:eastAsia="zh-CN"/>
        </w:rPr>
        <w:t>入支出决算总表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rPr>
      </w:pPr>
      <w:r>
        <w:rPr>
          <w:rFonts w:ascii="仿宋" w:eastAsia="仿宋" w:cs="仿宋" w:hint="eastAsia"/>
          <w:color w:val="000000"/>
          <w:kern w:val="2"/>
          <w:sz w:val="20"/>
          <w:szCs w:val="20"/>
          <w:lang w:val="en-US" w:eastAsia="zh-CN"/>
        </w:rPr>
        <w:t>二、收</w:t>
      </w:r>
      <w:r>
        <w:rPr>
          <w:rFonts w:ascii="仿宋" w:eastAsia="仿宋" w:cs="仿宋" w:hint="eastAsia"/>
          <w:kern w:val="2"/>
          <w:sz w:val="20"/>
          <w:szCs w:val="20"/>
          <w:lang w:val="en-US" w:eastAsia="zh-CN"/>
        </w:rPr>
        <w:t>入决算表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w:t>
      </w:r>
      <w:r>
        <w:rPr>
          <w:rFonts w:ascii="Times New Roman" w:eastAsia="宋体" w:cs="Times New Roman" w:hAnsi="Times New Roman"/>
          <w:kern w:val="2"/>
          <w:sz w:val="20"/>
          <w:szCs w:val="20"/>
          <w:lang w:val="en-US" w:eastAsia="zh-CN"/>
        </w:rPr>
        <w:t>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三、</w:t>
      </w:r>
      <w:r>
        <w:rPr>
          <w:rFonts w:ascii="仿宋" w:eastAsia="仿宋" w:cs="仿宋" w:hint="eastAsia"/>
          <w:color w:val="000000"/>
          <w:kern w:val="2"/>
          <w:sz w:val="20"/>
          <w:szCs w:val="20"/>
          <w:lang w:val="en-US" w:eastAsia="zh-CN"/>
        </w:rPr>
        <w:t>支</w:t>
      </w:r>
      <w:r>
        <w:rPr>
          <w:rFonts w:ascii="仿宋" w:eastAsia="仿宋" w:cs="仿宋" w:hint="eastAsia"/>
          <w:kern w:val="2"/>
          <w:sz w:val="20"/>
          <w:szCs w:val="20"/>
          <w:lang w:val="en-US" w:eastAsia="zh-CN"/>
        </w:rPr>
        <w:t>出决算表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四、财政拨款收入支出决算总表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五、</w:t>
      </w:r>
      <w:r>
        <w:rPr>
          <w:rFonts w:ascii="仿宋" w:eastAsia="仿宋" w:cs="仿宋" w:hint="eastAsia"/>
          <w:color w:val="000000"/>
          <w:kern w:val="2"/>
          <w:sz w:val="20"/>
          <w:szCs w:val="20"/>
          <w:lang w:val="en-US" w:eastAsia="zh-CN"/>
        </w:rPr>
        <w:t>财</w:t>
      </w:r>
      <w:r>
        <w:rPr>
          <w:rFonts w:ascii="仿宋" w:eastAsia="仿宋" w:cs="仿宋" w:hint="eastAsia"/>
          <w:kern w:val="2"/>
          <w:sz w:val="20"/>
          <w:szCs w:val="20"/>
          <w:lang w:val="en-US" w:eastAsia="zh-CN"/>
        </w:rPr>
        <w:t>政拨款支出决算明细表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六、</w:t>
      </w:r>
      <w:r>
        <w:rPr>
          <w:rFonts w:ascii="仿宋" w:eastAsia="仿宋" w:cs="仿宋" w:hint="eastAsia"/>
          <w:color w:val="000000"/>
          <w:kern w:val="2"/>
          <w:sz w:val="20"/>
          <w:szCs w:val="20"/>
          <w:lang w:val="en-US" w:eastAsia="zh-CN"/>
        </w:rPr>
        <w:t>一</w:t>
      </w:r>
      <w:r>
        <w:rPr>
          <w:rFonts w:ascii="仿宋" w:eastAsia="仿宋" w:cs="仿宋" w:hint="eastAsia"/>
          <w:kern w:val="2"/>
          <w:sz w:val="20"/>
          <w:szCs w:val="20"/>
          <w:lang w:val="en-US" w:eastAsia="zh-CN"/>
        </w:rPr>
        <w:t>般公共预算财政拨款支出决算表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七、</w:t>
      </w:r>
      <w:r>
        <w:rPr>
          <w:rFonts w:ascii="仿宋" w:eastAsia="仿宋" w:cs="仿宋" w:hint="eastAsia"/>
          <w:color w:val="000000"/>
          <w:kern w:val="2"/>
          <w:sz w:val="20"/>
          <w:szCs w:val="20"/>
          <w:lang w:val="en-US" w:eastAsia="zh-CN"/>
        </w:rPr>
        <w:t>一</w:t>
      </w:r>
      <w:r>
        <w:rPr>
          <w:rFonts w:ascii="仿宋" w:eastAsia="仿宋" w:cs="仿宋" w:hint="eastAsia"/>
          <w:kern w:val="2"/>
          <w:sz w:val="20"/>
          <w:szCs w:val="20"/>
          <w:lang w:val="en-US" w:eastAsia="zh-CN"/>
        </w:rPr>
        <w:t>般公共预算财政拨款支出决算明细表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八、</w:t>
      </w:r>
      <w:r>
        <w:rPr>
          <w:rFonts w:ascii="仿宋" w:eastAsia="仿宋" w:cs="仿宋" w:hint="eastAsia"/>
          <w:color w:val="000000"/>
          <w:kern w:val="2"/>
          <w:sz w:val="20"/>
          <w:szCs w:val="20"/>
          <w:lang w:val="en-US" w:eastAsia="zh-CN"/>
        </w:rPr>
        <w:t>一</w:t>
      </w:r>
      <w:r>
        <w:rPr>
          <w:rFonts w:ascii="仿宋" w:eastAsia="仿宋" w:cs="仿宋" w:hint="eastAsia"/>
          <w:kern w:val="2"/>
          <w:sz w:val="20"/>
          <w:szCs w:val="20"/>
          <w:lang w:val="en-US" w:eastAsia="zh-CN"/>
        </w:rPr>
        <w:t>般公共预算财政拨款基本支出决算表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九、</w:t>
      </w:r>
      <w:r>
        <w:rPr>
          <w:rFonts w:ascii="仿宋" w:eastAsia="仿宋" w:cs="仿宋" w:hint="eastAsia"/>
          <w:color w:val="000000"/>
          <w:kern w:val="2"/>
          <w:sz w:val="20"/>
          <w:szCs w:val="20"/>
          <w:lang w:val="en-US" w:eastAsia="zh-CN"/>
        </w:rPr>
        <w:t>一</w:t>
      </w:r>
      <w:r>
        <w:rPr>
          <w:rFonts w:ascii="仿宋" w:eastAsia="仿宋" w:cs="仿宋" w:hint="eastAsia"/>
          <w:kern w:val="2"/>
          <w:sz w:val="20"/>
          <w:szCs w:val="20"/>
          <w:lang w:val="en-US" w:eastAsia="zh-CN"/>
        </w:rPr>
        <w:t>般公共预算财政拨款项目支出决算表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十、</w:t>
      </w:r>
      <w:r>
        <w:rPr>
          <w:rFonts w:ascii="仿宋" w:eastAsia="仿宋" w:cs="仿宋" w:hint="eastAsia"/>
          <w:color w:val="000000"/>
          <w:kern w:val="2"/>
          <w:sz w:val="20"/>
          <w:szCs w:val="20"/>
          <w:lang w:val="en-US" w:eastAsia="zh-CN"/>
        </w:rPr>
        <w:t>政</w:t>
      </w:r>
      <w:r>
        <w:rPr>
          <w:rFonts w:ascii="仿宋" w:eastAsia="仿宋" w:cs="仿宋" w:hint="eastAsia"/>
          <w:kern w:val="2"/>
          <w:sz w:val="20"/>
          <w:szCs w:val="20"/>
          <w:lang w:val="en-US" w:eastAsia="zh-CN"/>
        </w:rPr>
        <w:t>府性基金预算财政拨款收入支出决算表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十一、</w:t>
      </w:r>
      <w:r>
        <w:rPr>
          <w:rFonts w:ascii="仿宋" w:eastAsia="仿宋" w:cs="仿宋" w:hint="eastAsia"/>
          <w:color w:val="000000"/>
          <w:kern w:val="2"/>
          <w:sz w:val="20"/>
          <w:szCs w:val="20"/>
          <w:lang w:val="en-US" w:eastAsia="zh-CN"/>
        </w:rPr>
        <w:t>国</w:t>
      </w:r>
      <w:r>
        <w:rPr>
          <w:rFonts w:ascii="仿宋" w:eastAsia="仿宋" w:cs="仿宋" w:hint="eastAsia"/>
          <w:kern w:val="2"/>
          <w:sz w:val="20"/>
          <w:szCs w:val="20"/>
          <w:lang w:val="en-US" w:eastAsia="zh-CN"/>
        </w:rPr>
        <w:t>有资本经营预算财政拨款支出决算表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十二、国有资本经营预算财政拨款支出决算表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20"/>
        <w:keepNext w:val="0"/>
        <w:keepLines w:val="0"/>
        <w:widowControl w:val="0"/>
        <w:suppressLineNumbers w:val="0"/>
        <w:tabs>
          <w:tab w:val="right" w:leader="dot" w:pos="8296"/>
        </w:tabs>
        <w:spacing w:before="0" w:beforeAutospacing="0" w:after="0" w:afterAutospacing="0"/>
        <w:ind w:leftChars="200" w:left="420" w:right="0"/>
        <w:jc w:val="both"/>
        <w:rPr>
          <w:rFonts w:ascii="Times New Roman" w:eastAsia="宋体" w:cs="Times New Roman" w:hAnsi="Times New Roman"/>
          <w:kern w:val="2"/>
          <w:sz w:val="21"/>
          <w:szCs w:val="21"/>
          <w:lang w:val="en-US"/>
        </w:rPr>
      </w:pPr>
      <w:r>
        <w:rPr>
          <w:rFonts w:ascii="仿宋" w:eastAsia="仿宋" w:cs="仿宋" w:hint="eastAsia"/>
          <w:kern w:val="2"/>
          <w:sz w:val="20"/>
          <w:szCs w:val="20"/>
          <w:lang w:val="en-US" w:eastAsia="zh-CN"/>
        </w:rPr>
        <w:t>十三、财政拨款“三公”经费支出决算表</w:t>
      </w:r>
      <w:r>
        <w:rPr>
          <w:rFonts w:ascii="Times New Roman" w:eastAsia="宋体" w:cs="Times New Roman" w:hAnsi="Times New Roman" w:hint="eastAsia"/>
          <w:kern w:val="2"/>
          <w:sz w:val="20"/>
          <w:szCs w:val="20"/>
          <w:lang w:val="en-US" w:eastAsia="zh-CN"/>
        </w:rPr>
        <w:tab/>
      </w:r>
      <w:r>
        <w:rPr>
          <w:rFonts w:ascii="Times New Roman" w:cs="Times New Roman" w:hAnsi="Times New Roman" w:hint="eastAsia"/>
          <w:kern w:val="2"/>
          <w:sz w:val="20"/>
          <w:szCs w:val="20"/>
          <w:lang w:val="en-US" w:eastAsia="zh-CN"/>
        </w:rPr>
        <w:t>22</w:t>
      </w:r>
    </w:p>
    <w:p>
      <w:pPr>
        <w:pStyle w:val="1"/>
        <w:jc w:val="both"/>
        <w:rPr>
          <w:rFonts w:ascii="黑体" w:eastAsia="黑体" w:hint="eastAsia"/>
          <w:b w:val="0"/>
        </w:rPr>
        <w:sectPr>
          <w:headerReference w:type="default" r:id="rId2"/>
          <w:pgSz w:w="11906" w:h="16838"/>
          <w:pgMar w:top="1440" w:right="1800" w:bottom="1440" w:left="1800" w:header="851" w:footer="992" w:gutter="0"/>
          <w:pgNumType w:start="1"/>
          <w:titlePg/>
          <w:docGrid w:type="lines" w:linePitch="312" w:charSpace="0"/>
        </w:sectPr>
      </w:pPr>
    </w:p>
    <w:p>
      <w:pPr>
        <w:pStyle w:val="1"/>
        <w:jc w:val="center"/>
        <w:rPr>
          <w:rStyle w:val="1Char"/>
          <w:rFonts w:ascii="黑体" w:eastAsia="黑体"/>
          <w:b/>
          <w:bCs w:val="0"/>
        </w:rPr>
      </w:pPr>
      <w:r>
        <w:rPr>
          <w:rFonts w:ascii="黑体" w:eastAsia="黑体" w:hint="eastAsia"/>
          <w:b w:val="0"/>
        </w:rPr>
        <w:t>第一部分 单位</w:t>
      </w:r>
      <w:r>
        <w:rPr>
          <w:rStyle w:val="1Char"/>
          <w:rFonts w:ascii="黑体" w:eastAsia="黑体" w:hint="eastAsia"/>
          <w:b w:val="0"/>
          <w:bCs w:val="0"/>
        </w:rPr>
        <w:t>概况</w:t>
      </w:r>
      <w:bookmarkEnd w:id="12"/>
      <w:bookmarkEnd w:id="13"/>
    </w:p>
    <w:p>
      <w:pPr>
        <w:pStyle w:val="2"/>
        <w:ind w:left="0" w:firstLineChars="200" w:firstLine="640"/>
        <w:rPr>
          <w:rStyle w:val="2Char"/>
          <w:rFonts w:ascii="黑体" w:eastAsia="黑体"/>
          <w:b w:val="0"/>
          <w:bCs w:val="0"/>
        </w:rPr>
      </w:pPr>
      <w:bookmarkStart w:id="14" w:name="_Toc15377197"/>
      <w:bookmarkStart w:id="15" w:name="_Toc15396600"/>
      <w:r>
        <w:rPr>
          <w:rStyle w:val="2Char"/>
          <w:rFonts w:ascii="黑体" w:eastAsia="黑体" w:hint="eastAsia"/>
          <w:b w:val="0"/>
          <w:bCs w:val="0"/>
          <w:lang w:val="en-US" w:eastAsia="zh-CN"/>
        </w:rPr>
        <w:t>一、</w:t>
      </w:r>
      <w:r>
        <w:rPr>
          <w:rStyle w:val="2Char"/>
          <w:rFonts w:ascii="黑体" w:eastAsia="黑体" w:hint="eastAsia"/>
          <w:b w:val="0"/>
          <w:bCs w:val="0"/>
        </w:rPr>
        <w:t>主要职责</w:t>
      </w:r>
    </w:p>
    <w:p>
      <w:pPr>
        <w:widowControl/>
        <w:spacing w:line="600" w:lineRule="exact"/>
        <w:ind w:firstLineChars="200" w:firstLine="640"/>
        <w:jc w:val="left"/>
      </w:pPr>
      <w:r>
        <w:rPr>
          <w:rFonts w:ascii="仿宋" w:eastAsia="仿宋" w:cs="宋体" w:hint="eastAsia"/>
          <w:kern w:val="0"/>
          <w:sz w:val="32"/>
          <w:szCs w:val="32"/>
        </w:rPr>
        <w:t>根据工会的性质和任务，工会履行“维护、参与、教育、建设”四项职能，重点突出和履行“维护”职能，切实维护职工群众的合法权益，调动好、保护好、发挥好广大职工的积极性和创造性，组织和动员职工投身于社会主义现代化建设，推动社会的进步和发展。</w:t>
      </w:r>
    </w:p>
    <w:p>
      <w:pPr>
        <w:pStyle w:val="2"/>
        <w:ind w:firstLineChars="200" w:firstLine="640"/>
        <w:rPr>
          <w:rFonts w:ascii="黑体" w:eastAsia="黑体"/>
          <w:b w:val="0"/>
        </w:rPr>
      </w:pPr>
      <w:r>
        <w:rPr>
          <w:rFonts w:ascii="黑体" w:eastAsia="黑体" w:hint="eastAsia"/>
          <w:b w:val="0"/>
        </w:rPr>
        <w:t>二、机构设置</w:t>
      </w:r>
    </w:p>
    <w:p>
      <w:pPr>
        <w:pageBreakBefore w:val="0"/>
        <w:widowControl w:val="0"/>
        <w:kinsoku/>
        <w:wordWrap/>
        <w:overflowPunct/>
        <w:topLinePunct w:val="0"/>
        <w:autoSpaceDE/>
        <w:autoSpaceDN/>
        <w:bidi w:val="0"/>
        <w:adjustRightInd/>
        <w:snapToGrid/>
        <w:spacing w:line="360" w:lineRule="auto"/>
        <w:ind w:firstLineChars="200" w:firstLine="640"/>
        <w:textAlignment w:val="auto"/>
        <w:rPr>
          <w:rFonts w:hint="eastAsia"/>
        </w:rPr>
      </w:pPr>
      <w:bookmarkEnd w:id="14"/>
      <w:bookmarkEnd w:id="15"/>
      <w:r>
        <w:rPr>
          <w:rFonts w:ascii="仿宋" w:eastAsia="仿宋" w:hint="eastAsia"/>
          <w:sz w:val="32"/>
          <w:szCs w:val="32"/>
        </w:rPr>
        <w:t>汶川县总工会</w:t>
      </w:r>
      <w:r>
        <w:rPr>
          <w:rFonts w:ascii="仿宋" w:eastAsia="仿宋" w:hint="eastAsia"/>
          <w:sz w:val="32"/>
          <w:szCs w:val="32"/>
          <w:lang w:eastAsia="zh-CN"/>
        </w:rPr>
        <w:t>困难职工帮扶中心是汶川县总工会所属事业单位，</w:t>
      </w:r>
      <w:r>
        <w:rPr>
          <w:rFonts w:ascii="仿宋" w:eastAsia="仿宋" w:hint="eastAsia"/>
          <w:sz w:val="32"/>
          <w:szCs w:val="32"/>
        </w:rPr>
        <w:t>下属二级单位0个，其中行政单位0个，参照公务员法管理的事业单位</w:t>
      </w:r>
      <w:r>
        <w:rPr>
          <w:rFonts w:ascii="仿宋" w:eastAsia="仿宋" w:hint="eastAsia"/>
          <w:bCs/>
          <w:sz w:val="32"/>
          <w:szCs w:val="32"/>
        </w:rPr>
        <w:t>0</w:t>
      </w:r>
      <w:r>
        <w:rPr>
          <w:rFonts w:ascii="仿宋" w:eastAsia="仿宋" w:hint="eastAsia"/>
          <w:sz w:val="32"/>
          <w:szCs w:val="32"/>
        </w:rPr>
        <w:t>个，其他事业单位0个。</w:t>
      </w:r>
      <w:r>
        <w:rPr>
          <w:rFonts w:ascii="仿宋" w:eastAsia="仿宋" w:cs="宋体" w:hint="eastAsia"/>
          <w:kern w:val="0"/>
          <w:sz w:val="32"/>
          <w:szCs w:val="32"/>
        </w:rPr>
        <w:t>我</w:t>
      </w:r>
      <w:r>
        <w:rPr>
          <w:rFonts w:ascii="仿宋" w:eastAsia="仿宋" w:cs="宋体" w:hint="eastAsia"/>
          <w:kern w:val="0"/>
          <w:sz w:val="32"/>
          <w:szCs w:val="32"/>
          <w:lang w:eastAsia="zh-CN"/>
        </w:rPr>
        <w:t>中心</w:t>
      </w:r>
      <w:r>
        <w:rPr>
          <w:rFonts w:ascii="仿宋" w:eastAsia="仿宋" w:cs="宋体" w:hint="eastAsia"/>
          <w:kern w:val="0"/>
          <w:sz w:val="32"/>
          <w:szCs w:val="32"/>
        </w:rPr>
        <w:t>总编制</w:t>
      </w:r>
      <w:r>
        <w:rPr>
          <w:rFonts w:ascii="仿宋" w:eastAsia="仿宋" w:cs="宋体" w:hint="eastAsia"/>
          <w:kern w:val="0"/>
          <w:sz w:val="32"/>
          <w:szCs w:val="32"/>
          <w:u w:val="single"/>
          <w:lang w:val="en-US" w:eastAsia="zh-CN"/>
        </w:rPr>
        <w:t>4</w:t>
      </w:r>
      <w:r>
        <w:rPr>
          <w:rFonts w:ascii="仿宋" w:eastAsia="仿宋" w:cs="宋体" w:hint="eastAsia"/>
          <w:kern w:val="0"/>
          <w:sz w:val="32"/>
          <w:szCs w:val="32"/>
        </w:rPr>
        <w:t>名,其中:</w:t>
      </w:r>
      <w:r>
        <w:rPr>
          <w:rFonts w:ascii="仿宋" w:eastAsia="仿宋" w:cs="宋体" w:hint="eastAsia"/>
          <w:kern w:val="0"/>
          <w:sz w:val="32"/>
          <w:szCs w:val="32"/>
          <w:lang w:eastAsia="zh-CN"/>
        </w:rPr>
        <w:t>事业</w:t>
      </w:r>
      <w:r>
        <w:rPr>
          <w:rFonts w:ascii="仿宋" w:eastAsia="仿宋" w:cs="宋体" w:hint="eastAsia"/>
          <w:kern w:val="0"/>
          <w:sz w:val="32"/>
          <w:szCs w:val="32"/>
        </w:rPr>
        <w:t>编制</w:t>
      </w:r>
      <w:r>
        <w:rPr>
          <w:rFonts w:ascii="仿宋" w:eastAsia="仿宋" w:cs="宋体" w:hint="eastAsia"/>
          <w:kern w:val="0"/>
          <w:sz w:val="32"/>
          <w:szCs w:val="32"/>
          <w:u w:val="single"/>
          <w:lang w:val="en-US" w:eastAsia="zh-CN"/>
        </w:rPr>
        <w:t>4</w:t>
      </w:r>
      <w:r>
        <w:rPr>
          <w:rFonts w:ascii="仿宋" w:eastAsia="仿宋" w:cs="宋体" w:hint="eastAsia"/>
          <w:kern w:val="0"/>
          <w:sz w:val="32"/>
          <w:szCs w:val="32"/>
        </w:rPr>
        <w:t>名。在职人员总数</w:t>
      </w:r>
      <w:r>
        <w:rPr>
          <w:rFonts w:ascii="仿宋" w:eastAsia="仿宋" w:cs="宋体" w:hint="eastAsia"/>
          <w:kern w:val="0"/>
          <w:sz w:val="32"/>
          <w:szCs w:val="32"/>
          <w:lang w:val="en-US" w:eastAsia="zh-CN"/>
        </w:rPr>
        <w:t>3</w:t>
      </w:r>
      <w:r>
        <w:rPr>
          <w:rFonts w:ascii="仿宋" w:eastAsia="仿宋" w:cs="宋体" w:hint="eastAsia"/>
          <w:kern w:val="0"/>
          <w:sz w:val="32"/>
          <w:szCs w:val="32"/>
        </w:rPr>
        <w:t>名，其中：</w:t>
      </w:r>
      <w:r>
        <w:rPr>
          <w:rFonts w:ascii="仿宋" w:eastAsia="仿宋" w:cs="宋体" w:hint="eastAsia"/>
          <w:kern w:val="0"/>
          <w:sz w:val="32"/>
          <w:szCs w:val="32"/>
          <w:lang w:eastAsia="zh-CN"/>
        </w:rPr>
        <w:t>事业</w:t>
      </w:r>
      <w:r>
        <w:rPr>
          <w:rFonts w:ascii="仿宋" w:eastAsia="仿宋" w:cs="宋体" w:hint="eastAsia"/>
          <w:kern w:val="0"/>
          <w:sz w:val="32"/>
          <w:szCs w:val="32"/>
        </w:rPr>
        <w:t>人员</w:t>
      </w:r>
      <w:r>
        <w:rPr>
          <w:rFonts w:ascii="仿宋" w:eastAsia="仿宋" w:cs="宋体" w:hint="eastAsia"/>
          <w:kern w:val="0"/>
          <w:sz w:val="32"/>
          <w:szCs w:val="32"/>
          <w:lang w:val="en-US" w:eastAsia="zh-CN"/>
        </w:rPr>
        <w:t>3</w:t>
      </w:r>
      <w:r>
        <w:rPr>
          <w:rFonts w:ascii="仿宋" w:eastAsia="仿宋" w:cs="宋体" w:hint="eastAsia"/>
          <w:kern w:val="0"/>
          <w:sz w:val="32"/>
          <w:szCs w:val="32"/>
        </w:rPr>
        <w:t>人。</w:t>
      </w:r>
    </w:p>
    <w:p>
      <w:pPr>
        <w:widowControl/>
        <w:jc w:val="left"/>
        <w:rPr>
          <w:rFonts w:ascii="Times New Roman" w:eastAsia="宋体" w:cs="Times New Roman" w:hAnsi="Times New Roman"/>
          <w:kern w:val="2"/>
          <w:sz w:val="21"/>
          <w:szCs w:val="24"/>
          <w:lang w:val="en-US" w:eastAsia="zh-CN" w:bidi="ar-SA"/>
        </w:rPr>
      </w:pPr>
      <w:r>
        <w:rPr>
          <w:rFonts w:ascii="仿宋" w:eastAsia="仿宋"/>
          <w:sz w:val="32"/>
          <w:szCs w:val="32"/>
        </w:rPr>
        <w:br w:type="page"/>
      </w:r>
    </w:p>
    <w:p>
      <w:pPr>
        <w:pStyle w:val="1"/>
        <w:ind w:right="440"/>
        <w:jc w:val="center"/>
        <w:rPr>
          <w:rStyle w:val="1Char"/>
          <w:rFonts w:ascii="黑体" w:eastAsia="黑体"/>
          <w:b w:val="0"/>
          <w:bCs/>
        </w:rPr>
      </w:pPr>
      <w:bookmarkStart w:id="16" w:name="_Toc15377204"/>
      <w:bookmarkStart w:id="17" w:name="_Toc15396602"/>
      <w:r>
        <w:rPr>
          <w:rFonts w:ascii="黑体" w:eastAsia="黑体" w:hint="eastAsia"/>
          <w:b w:val="0"/>
        </w:rPr>
        <w:t>第二部分202</w:t>
      </w:r>
      <w:r>
        <w:rPr>
          <w:rFonts w:ascii="黑体" w:eastAsia="黑体" w:hint="eastAsia"/>
          <w:b w:val="0"/>
          <w:lang w:val="en-US" w:eastAsia="zh-CN"/>
        </w:rPr>
        <w:t>5</w:t>
      </w:r>
      <w:r>
        <w:rPr>
          <w:rFonts w:ascii="黑体" w:eastAsia="黑体" w:hint="eastAsia"/>
          <w:b w:val="0"/>
        </w:rPr>
        <w:t>年度</w:t>
      </w:r>
      <w:r>
        <w:rPr>
          <w:rStyle w:val="1Char"/>
          <w:rFonts w:ascii="黑体" w:eastAsia="黑体" w:hint="eastAsia"/>
          <w:b w:val="0"/>
          <w:bCs/>
        </w:rPr>
        <w:t>单位决算情况说明</w:t>
      </w:r>
      <w:bookmarkEnd w:id="16"/>
      <w:bookmarkEnd w:id="17"/>
    </w:p>
    <w:p/>
    <w:p>
      <w:pPr>
        <w:pStyle w:val="22"/>
        <w:numPr>
          <w:ilvl w:val="0"/>
          <w:numId w:val="1"/>
        </w:numPr>
        <w:spacing w:line="600" w:lineRule="exact"/>
        <w:ind w:firstLineChars="0"/>
        <w:outlineLvl w:val="1"/>
        <w:rPr>
          <w:rStyle w:val="2Char"/>
          <w:rFonts w:ascii="黑体" w:eastAsia="黑体"/>
          <w:b w:val="0"/>
        </w:rPr>
      </w:pPr>
      <w:bookmarkStart w:id="18" w:name="_Toc15396603"/>
      <w:bookmarkStart w:id="19" w:name="_Toc15377205"/>
      <w:r>
        <w:rPr>
          <w:rFonts w:ascii="黑体" w:eastAsia="黑体" w:hint="eastAsia"/>
          <w:sz w:val="32"/>
          <w:szCs w:val="32"/>
        </w:rPr>
        <w:t>收</w:t>
      </w:r>
      <w:r>
        <w:rPr>
          <w:rStyle w:val="2Char"/>
          <w:rFonts w:ascii="黑体" w:eastAsia="黑体" w:hint="eastAsia"/>
          <w:b w:val="0"/>
        </w:rPr>
        <w:t>入支出决算总体情况说明</w:t>
      </w:r>
      <w:bookmarkEnd w:id="18"/>
      <w:bookmarkEnd w:id="19"/>
    </w:p>
    <w:p>
      <w:pPr>
        <w:pStyle w:val="24"/>
        <w:keepNext w:val="0"/>
        <w:keepLines w:val="0"/>
        <w:pageBreakBefore w:val="0"/>
        <w:widowControl w:val="0"/>
        <w:kinsoku/>
        <w:wordWrap/>
        <w:overflowPunct/>
        <w:topLinePunct w:val="0"/>
        <w:bidi w:val="0"/>
        <w:snapToGrid/>
        <w:spacing w:line="540" w:lineRule="exact"/>
        <w:ind w:left="0" w:firstLineChars="200" w:firstLine="640"/>
        <w:jc w:val="both"/>
        <w:textAlignment w:val="auto"/>
        <w:outlineLvl w:val="1"/>
        <w:rPr>
          <w:rFonts w:ascii="仿宋_GB2312" w:eastAsia="仿宋_GB2312"/>
          <w:sz w:val="32"/>
          <w:szCs w:val="32"/>
        </w:rPr>
      </w:pPr>
      <w:r>
        <w:rPr>
          <w:rFonts w:ascii="仿宋" w:eastAsia="仿宋"/>
          <w:color w:val="000000"/>
          <w:sz w:val="32"/>
          <w:szCs w:val="32"/>
        </w:rPr>
        <w:t>202</w:t>
      </w:r>
      <w:r>
        <w:rPr>
          <w:rFonts w:ascii="仿宋" w:eastAsia="仿宋" w:hint="eastAsia"/>
          <w:color w:val="000000"/>
          <w:sz w:val="32"/>
          <w:szCs w:val="32"/>
          <w:lang w:val="en-US" w:eastAsia="zh-CN"/>
        </w:rPr>
        <w:t>5</w:t>
      </w:r>
      <w:r>
        <w:rPr>
          <w:rFonts w:ascii="仿宋" w:eastAsia="仿宋" w:hint="eastAsia"/>
          <w:color w:val="000000"/>
          <w:sz w:val="32"/>
          <w:szCs w:val="32"/>
        </w:rPr>
        <w:t>年度收</w:t>
      </w:r>
      <w:r>
        <w:rPr>
          <w:rFonts w:ascii="仿宋" w:eastAsia="仿宋" w:hint="eastAsia"/>
          <w:color w:val="000000"/>
          <w:sz w:val="32"/>
          <w:szCs w:val="32"/>
          <w:lang w:eastAsia="zh-CN"/>
        </w:rPr>
        <w:t>入</w:t>
      </w:r>
      <w:r>
        <w:rPr>
          <w:rFonts w:ascii="仿宋" w:eastAsia="仿宋" w:hint="eastAsia"/>
          <w:color w:val="000000"/>
          <w:sz w:val="32"/>
          <w:szCs w:val="32"/>
        </w:rPr>
        <w:t>总计</w:t>
      </w:r>
      <w:r>
        <w:rPr>
          <w:rFonts w:ascii="仿宋" w:eastAsia="仿宋" w:hint="eastAsia"/>
          <w:color w:val="000000"/>
          <w:sz w:val="32"/>
          <w:szCs w:val="32"/>
          <w:lang w:val="en-US" w:eastAsia="zh-CN"/>
        </w:rPr>
        <w:t>66.21</w:t>
      </w:r>
      <w:r>
        <w:rPr>
          <w:rFonts w:ascii="仿宋" w:eastAsia="仿宋" w:hint="eastAsia"/>
          <w:color w:val="000000"/>
          <w:sz w:val="32"/>
          <w:szCs w:val="32"/>
        </w:rPr>
        <w:t>万元。与</w:t>
      </w:r>
      <w:r>
        <w:rPr>
          <w:rFonts w:ascii="仿宋" w:eastAsia="仿宋"/>
          <w:color w:val="000000"/>
          <w:sz w:val="32"/>
          <w:szCs w:val="32"/>
        </w:rPr>
        <w:t>20</w:t>
      </w:r>
      <w:r>
        <w:rPr>
          <w:rFonts w:ascii="仿宋" w:eastAsia="仿宋" w:hint="eastAsia"/>
          <w:color w:val="000000"/>
          <w:sz w:val="32"/>
          <w:szCs w:val="32"/>
          <w:lang w:val="en-US" w:eastAsia="zh-CN"/>
        </w:rPr>
        <w:t>24</w:t>
      </w:r>
      <w:r>
        <w:rPr>
          <w:rFonts w:ascii="仿宋" w:eastAsia="仿宋" w:hint="eastAsia"/>
          <w:color w:val="000000"/>
          <w:sz w:val="32"/>
          <w:szCs w:val="32"/>
        </w:rPr>
        <w:t>年相比，收</w:t>
      </w:r>
      <w:r>
        <w:rPr>
          <w:rFonts w:ascii="仿宋" w:eastAsia="仿宋" w:hint="eastAsia"/>
          <w:color w:val="000000"/>
          <w:sz w:val="32"/>
          <w:szCs w:val="32"/>
          <w:lang w:eastAsia="zh-CN"/>
        </w:rPr>
        <w:t>入</w:t>
      </w:r>
      <w:r>
        <w:rPr>
          <w:rFonts w:ascii="仿宋" w:eastAsia="仿宋" w:hint="eastAsia"/>
          <w:color w:val="000000"/>
          <w:sz w:val="32"/>
          <w:szCs w:val="32"/>
        </w:rPr>
        <w:t>总计</w:t>
      </w:r>
      <w:r>
        <w:rPr>
          <w:rFonts w:ascii="仿宋" w:eastAsia="仿宋" w:hint="eastAsia"/>
          <w:color w:val="000000"/>
          <w:sz w:val="32"/>
          <w:szCs w:val="32"/>
          <w:lang w:eastAsia="zh-CN"/>
        </w:rPr>
        <w:t>增加</w:t>
      </w:r>
      <w:r>
        <w:rPr>
          <w:rFonts w:ascii="仿宋" w:eastAsia="仿宋" w:hint="eastAsia"/>
          <w:color w:val="000000"/>
          <w:sz w:val="32"/>
          <w:szCs w:val="32"/>
          <w:lang w:val="en-US" w:eastAsia="zh-CN"/>
        </w:rPr>
        <w:t>12.77</w:t>
      </w:r>
      <w:r>
        <w:rPr>
          <w:rFonts w:ascii="仿宋" w:eastAsia="仿宋" w:hint="eastAsia"/>
          <w:color w:val="000000"/>
          <w:sz w:val="32"/>
          <w:szCs w:val="32"/>
        </w:rPr>
        <w:t>万元，</w:t>
      </w:r>
      <w:r>
        <w:rPr>
          <w:rFonts w:ascii="仿宋" w:eastAsia="仿宋" w:hint="eastAsia"/>
          <w:color w:val="000000"/>
          <w:sz w:val="32"/>
          <w:szCs w:val="32"/>
          <w:lang w:eastAsia="zh-CN"/>
        </w:rPr>
        <w:t>增加</w:t>
      </w:r>
      <w:r>
        <w:rPr>
          <w:rFonts w:ascii="仿宋" w:eastAsia="仿宋" w:hint="eastAsia"/>
          <w:color w:val="000000"/>
          <w:sz w:val="32"/>
          <w:szCs w:val="32"/>
          <w:lang w:val="en-US" w:eastAsia="zh-CN"/>
        </w:rPr>
        <w:t>23.9</w:t>
      </w:r>
      <w:r>
        <w:rPr>
          <w:rFonts w:ascii="仿宋" w:eastAsia="仿宋"/>
          <w:color w:val="000000"/>
          <w:sz w:val="32"/>
          <w:szCs w:val="32"/>
        </w:rPr>
        <w:t>%</w:t>
      </w:r>
      <w:r>
        <w:rPr>
          <w:rFonts w:ascii="仿宋" w:eastAsia="仿宋" w:hint="eastAsia"/>
          <w:color w:val="000000"/>
          <w:sz w:val="32"/>
          <w:szCs w:val="32"/>
        </w:rPr>
        <w:t>。主要变动原因是</w:t>
      </w:r>
      <w:r>
        <w:rPr>
          <w:rFonts w:ascii="仿宋" w:eastAsia="仿宋" w:hint="eastAsia"/>
          <w:color w:val="000000"/>
          <w:sz w:val="32"/>
          <w:szCs w:val="32"/>
          <w:lang w:val="en-US" w:eastAsia="zh-CN"/>
        </w:rPr>
        <w:t>人员调资，增加相应的工资保险支出。</w:t>
      </w:r>
      <w:r>
        <w:rPr>
          <w:rFonts w:ascii="仿宋" w:eastAsia="仿宋"/>
          <w:color w:val="000000"/>
          <w:sz w:val="32"/>
          <w:szCs w:val="32"/>
        </w:rPr>
        <w:t>202</w:t>
      </w:r>
      <w:r>
        <w:rPr>
          <w:rFonts w:ascii="仿宋" w:eastAsia="仿宋" w:hint="eastAsia"/>
          <w:color w:val="000000"/>
          <w:sz w:val="32"/>
          <w:szCs w:val="32"/>
          <w:lang w:val="en-US" w:eastAsia="zh-CN"/>
        </w:rPr>
        <w:t>5</w:t>
      </w:r>
      <w:r>
        <w:rPr>
          <w:rFonts w:ascii="仿宋" w:eastAsia="仿宋" w:hint="eastAsia"/>
          <w:color w:val="000000"/>
          <w:sz w:val="32"/>
          <w:szCs w:val="32"/>
        </w:rPr>
        <w:t>年度</w:t>
      </w:r>
      <w:r>
        <w:rPr>
          <w:rFonts w:ascii="仿宋" w:eastAsia="仿宋" w:hint="eastAsia"/>
          <w:color w:val="000000"/>
          <w:sz w:val="32"/>
          <w:szCs w:val="32"/>
          <w:lang w:eastAsia="zh-CN"/>
        </w:rPr>
        <w:t>支出</w:t>
      </w:r>
      <w:r>
        <w:rPr>
          <w:rFonts w:ascii="仿宋" w:eastAsia="仿宋" w:hint="eastAsia"/>
          <w:color w:val="000000"/>
          <w:sz w:val="32"/>
          <w:szCs w:val="32"/>
        </w:rPr>
        <w:t>总计</w:t>
      </w:r>
      <w:r>
        <w:rPr>
          <w:rFonts w:ascii="仿宋" w:eastAsia="仿宋" w:hint="eastAsia"/>
          <w:color w:val="000000"/>
          <w:sz w:val="32"/>
          <w:szCs w:val="32"/>
          <w:lang w:val="en-US" w:eastAsia="zh-CN"/>
        </w:rPr>
        <w:t>66.21</w:t>
      </w:r>
      <w:r>
        <w:rPr>
          <w:rFonts w:ascii="仿宋" w:eastAsia="仿宋" w:hint="eastAsia"/>
          <w:color w:val="000000"/>
          <w:sz w:val="32"/>
          <w:szCs w:val="32"/>
        </w:rPr>
        <w:t>万元。与</w:t>
      </w:r>
      <w:r>
        <w:rPr>
          <w:rFonts w:ascii="仿宋" w:eastAsia="仿宋"/>
          <w:color w:val="000000"/>
          <w:sz w:val="32"/>
          <w:szCs w:val="32"/>
        </w:rPr>
        <w:t>20</w:t>
      </w:r>
      <w:r>
        <w:rPr>
          <w:rFonts w:ascii="仿宋" w:eastAsia="仿宋" w:hint="eastAsia"/>
          <w:color w:val="000000"/>
          <w:sz w:val="32"/>
          <w:szCs w:val="32"/>
          <w:lang w:val="en-US" w:eastAsia="zh-CN"/>
        </w:rPr>
        <w:t>24</w:t>
      </w:r>
      <w:r>
        <w:rPr>
          <w:rFonts w:ascii="仿宋" w:eastAsia="仿宋" w:hint="eastAsia"/>
          <w:color w:val="000000"/>
          <w:sz w:val="32"/>
          <w:szCs w:val="32"/>
        </w:rPr>
        <w:t>年相比，支</w:t>
      </w:r>
      <w:r>
        <w:rPr>
          <w:rFonts w:ascii="仿宋" w:eastAsia="仿宋" w:hint="eastAsia"/>
          <w:color w:val="000000"/>
          <w:sz w:val="32"/>
          <w:szCs w:val="32"/>
          <w:lang w:eastAsia="zh-CN"/>
        </w:rPr>
        <w:t>出</w:t>
      </w:r>
      <w:r>
        <w:rPr>
          <w:rFonts w:ascii="仿宋" w:eastAsia="仿宋" w:hint="eastAsia"/>
          <w:color w:val="000000"/>
          <w:sz w:val="32"/>
          <w:szCs w:val="32"/>
        </w:rPr>
        <w:t>总计</w:t>
      </w:r>
      <w:r>
        <w:rPr>
          <w:rFonts w:ascii="仿宋" w:eastAsia="仿宋" w:hint="eastAsia"/>
          <w:color w:val="000000"/>
          <w:sz w:val="32"/>
          <w:szCs w:val="32"/>
          <w:lang w:eastAsia="zh-CN"/>
        </w:rPr>
        <w:t>增加</w:t>
      </w:r>
      <w:r>
        <w:rPr>
          <w:rFonts w:ascii="仿宋" w:eastAsia="仿宋" w:hint="eastAsia"/>
          <w:color w:val="000000"/>
          <w:sz w:val="32"/>
          <w:szCs w:val="32"/>
          <w:lang w:val="en-US" w:eastAsia="zh-CN"/>
        </w:rPr>
        <w:t>12.77</w:t>
      </w:r>
      <w:r>
        <w:rPr>
          <w:rFonts w:ascii="仿宋" w:eastAsia="仿宋" w:hint="eastAsia"/>
          <w:color w:val="000000"/>
          <w:sz w:val="32"/>
          <w:szCs w:val="32"/>
          <w:lang w:eastAsia="zh-CN"/>
        </w:rPr>
        <w:t>万元，增加</w:t>
      </w:r>
      <w:r>
        <w:rPr>
          <w:rFonts w:ascii="仿宋" w:eastAsia="仿宋" w:hint="eastAsia"/>
          <w:color w:val="000000"/>
          <w:sz w:val="32"/>
          <w:szCs w:val="32"/>
          <w:lang w:val="en-US" w:eastAsia="zh-CN"/>
        </w:rPr>
        <w:t>23.9</w:t>
      </w:r>
      <w:r>
        <w:rPr>
          <w:rFonts w:ascii="仿宋" w:eastAsia="仿宋" w:hint="eastAsia"/>
          <w:color w:val="000000"/>
          <w:sz w:val="32"/>
          <w:szCs w:val="32"/>
          <w:lang w:eastAsia="zh-CN"/>
        </w:rPr>
        <w:t>%。主要变动原因是人员调资，增加相应的工资保险支出。</w:t>
      </w:r>
      <w:r>
        <w:rPr>
          <w:rFonts w:ascii="仿宋_GB2312" w:eastAsia="仿宋_GB2312" w:hint="eastAsia"/>
          <w:color w:val="000000"/>
          <w:sz w:val="32"/>
          <w:szCs w:val="32"/>
          <w:lang w:eastAsia="zh-CN"/>
        </w:rPr>
        <w:drawing>
          <wp:anchor distT="0" distB="0" distL="114300" distR="114300" simplePos="0" relativeHeight="22" behindDoc="0" locked="0" layoutInCell="1" hidden="0" allowOverlap="1">
            <wp:simplePos x="0" y="0"/>
            <wp:positionH relativeFrom="column">
              <wp:posOffset>250190</wp:posOffset>
            </wp:positionH>
            <wp:positionV relativeFrom="page">
              <wp:posOffset>4124324</wp:posOffset>
            </wp:positionV>
            <wp:extent cx="5079999" cy="3810000"/>
            <wp:effectExtent l="0" t="0" r="13" b="37"/>
            <wp:wrapSquare wrapText="bothSides"/>
            <wp:docPr id="7" name="图表 8"/>
            <wp:cNvGraphicFramePr>
              <a:graphicFrameLocks noChangeAspect="0"/>
            </wp:cNvGraphicFramePr>
            <a:graphic>
              <a:graphicData uri="http://schemas.openxmlformats.org/drawingml/2006/chart">
                <c:chart xmlns:c="http://schemas.openxmlformats.org/drawingml/2006/chart" r:id="rId5"/>
              </a:graphicData>
            </a:graphic>
          </wp:anchor>
        </w:drawing>
      </w:r>
    </w:p>
    <w:p>
      <w:pPr>
        <w:pStyle w:val="20"/>
        <w:shd w:val="clear" w:color="auto" w:fill="FFFFFF"/>
        <w:spacing w:line="560" w:lineRule="exact"/>
        <w:ind w:firstLineChars="200" w:firstLine="640"/>
        <w:rPr>
          <w:rFonts w:ascii="黑体" w:eastAsia="黑体" w:hint="eastAsia"/>
          <w:sz w:val="32"/>
          <w:szCs w:val="32"/>
        </w:rPr>
      </w:pPr>
      <w:bookmarkStart w:id="20" w:name="_Toc15396604"/>
      <w:bookmarkStart w:id="21" w:name="_Toc15377206"/>
      <w:r>
        <w:rPr>
          <w:rFonts w:ascii="仿宋" w:eastAsia="仿宋" w:hint="eastAsia"/>
          <w:sz w:val="32"/>
          <w:szCs w:val="32"/>
        </w:rPr>
        <w:t>（图1：收、支决算总计变动情况图）（柱状图）</w:t>
      </w:r>
    </w:p>
    <w:p>
      <w:pPr>
        <w:pStyle w:val="22"/>
        <w:spacing w:line="600" w:lineRule="exact"/>
        <w:ind w:left="640"/>
        <w:outlineLvl w:val="1"/>
        <w:rPr>
          <w:rStyle w:val="2Char"/>
          <w:rFonts w:ascii="黑体" w:eastAsia="黑体"/>
          <w:b w:val="0"/>
        </w:rPr>
      </w:pPr>
      <w:r>
        <w:rPr>
          <w:rFonts w:ascii="黑体" w:eastAsia="黑体" w:hint="eastAsia"/>
          <w:sz w:val="32"/>
          <w:szCs w:val="32"/>
          <w:lang w:val="en-US" w:eastAsia="zh-CN"/>
        </w:rPr>
        <w:t>二、</w:t>
      </w:r>
      <w:r>
        <w:rPr>
          <w:rFonts w:ascii="黑体" w:eastAsia="黑体" w:hint="eastAsia"/>
          <w:sz w:val="32"/>
          <w:szCs w:val="32"/>
        </w:rPr>
        <w:t>收</w:t>
      </w:r>
      <w:r>
        <w:rPr>
          <w:rStyle w:val="2Char"/>
          <w:rFonts w:ascii="黑体" w:eastAsia="黑体" w:hint="eastAsia"/>
          <w:b w:val="0"/>
        </w:rPr>
        <w:t>入决算情况说明</w:t>
      </w:r>
      <w:bookmarkEnd w:id="20"/>
      <w:bookmarkEnd w:id="21"/>
    </w:p>
    <w:p>
      <w:pPr>
        <w:spacing w:line="600" w:lineRule="exact"/>
        <w:ind w:firstLineChars="200" w:firstLine="640"/>
        <w:rPr>
          <w:rFonts w:ascii="仿宋" w:eastAsia="仿宋" w:hint="eastAsia"/>
          <w:color w:val="000000"/>
          <w:sz w:val="32"/>
          <w:szCs w:val="32"/>
        </w:rPr>
      </w:pPr>
      <w:r>
        <w:rPr>
          <w:rFonts w:ascii="仿宋" w:eastAsia="仿宋"/>
          <w:color w:val="000000"/>
          <w:sz w:val="32"/>
          <w:szCs w:val="32"/>
        </w:rPr>
        <w:t>202</w:t>
      </w:r>
      <w:r>
        <w:rPr>
          <w:rFonts w:ascii="仿宋" w:eastAsia="仿宋" w:hint="eastAsia"/>
          <w:color w:val="000000"/>
          <w:sz w:val="32"/>
          <w:szCs w:val="32"/>
          <w:lang w:val="en-US" w:eastAsia="zh-CN"/>
        </w:rPr>
        <w:t>5</w:t>
      </w:r>
      <w:r>
        <w:rPr>
          <w:rFonts w:ascii="仿宋" w:eastAsia="仿宋" w:hint="eastAsia"/>
          <w:color w:val="000000"/>
          <w:sz w:val="32"/>
          <w:szCs w:val="32"/>
        </w:rPr>
        <w:t>年本年收入合计</w:t>
      </w:r>
      <w:r>
        <w:rPr>
          <w:rFonts w:ascii="仿宋" w:eastAsia="仿宋" w:hint="eastAsia"/>
          <w:color w:val="000000"/>
          <w:sz w:val="32"/>
          <w:szCs w:val="32"/>
          <w:lang w:val="en-US" w:eastAsia="zh-CN"/>
        </w:rPr>
        <w:t>66.21</w:t>
      </w:r>
      <w:r>
        <w:rPr>
          <w:rFonts w:ascii="仿宋" w:eastAsia="仿宋" w:hint="eastAsia"/>
          <w:color w:val="000000"/>
          <w:sz w:val="32"/>
          <w:szCs w:val="32"/>
        </w:rPr>
        <w:t>万元，其中：一般公共预算财政拨款收入</w:t>
      </w:r>
      <w:r>
        <w:rPr>
          <w:rFonts w:ascii="仿宋" w:eastAsia="仿宋" w:hint="eastAsia"/>
          <w:color w:val="000000"/>
          <w:sz w:val="32"/>
          <w:szCs w:val="32"/>
          <w:lang w:val="en-US" w:eastAsia="zh-CN"/>
        </w:rPr>
        <w:t>66.21</w:t>
      </w:r>
      <w:r>
        <w:rPr>
          <w:rFonts w:ascii="仿宋" w:eastAsia="仿宋" w:hint="eastAsia"/>
          <w:color w:val="000000"/>
          <w:sz w:val="32"/>
          <w:szCs w:val="32"/>
        </w:rPr>
        <w:t>万元，占</w:t>
      </w:r>
      <w:r>
        <w:rPr>
          <w:rFonts w:ascii="仿宋" w:eastAsia="仿宋" w:hint="eastAsia"/>
          <w:color w:val="000000"/>
          <w:sz w:val="32"/>
          <w:szCs w:val="32"/>
          <w:lang w:val="en-US" w:eastAsia="zh-CN"/>
        </w:rPr>
        <w:t>100</w:t>
      </w:r>
      <w:r>
        <w:rPr>
          <w:rFonts w:ascii="仿宋" w:eastAsia="仿宋"/>
          <w:color w:val="000000"/>
          <w:sz w:val="32"/>
          <w:szCs w:val="32"/>
        </w:rPr>
        <w:t>%</w:t>
      </w:r>
      <w:r>
        <w:rPr>
          <w:rFonts w:ascii="仿宋" w:eastAsia="仿宋" w:hint="eastAsia"/>
          <w:color w:val="000000"/>
          <w:sz w:val="32"/>
          <w:szCs w:val="32"/>
        </w:rPr>
        <w:t>；政府性基金预算财政拨款收入</w:t>
      </w:r>
      <w:r>
        <w:rPr>
          <w:rFonts w:ascii="仿宋" w:eastAsia="仿宋" w:hint="eastAsia"/>
          <w:color w:val="000000"/>
          <w:sz w:val="32"/>
          <w:szCs w:val="32"/>
          <w:lang w:val="en-US" w:eastAsia="zh-CN"/>
        </w:rPr>
        <w:t>0</w:t>
      </w:r>
      <w:r>
        <w:rPr>
          <w:rFonts w:ascii="仿宋" w:eastAsia="仿宋" w:hint="eastAsia"/>
          <w:color w:val="000000"/>
          <w:sz w:val="32"/>
          <w:szCs w:val="32"/>
        </w:rPr>
        <w:t>万元，占</w:t>
      </w:r>
      <w:r>
        <w:rPr>
          <w:rFonts w:ascii="仿宋" w:eastAsia="仿宋" w:hint="eastAsia"/>
          <w:color w:val="000000"/>
          <w:sz w:val="32"/>
          <w:szCs w:val="32"/>
          <w:lang w:val="en-US" w:eastAsia="zh-CN"/>
        </w:rPr>
        <w:t>0</w:t>
      </w:r>
      <w:r>
        <w:rPr>
          <w:rFonts w:ascii="仿宋" w:eastAsia="仿宋"/>
          <w:color w:val="000000"/>
          <w:sz w:val="32"/>
          <w:szCs w:val="32"/>
        </w:rPr>
        <w:t>%</w:t>
      </w:r>
      <w:r>
        <w:rPr>
          <w:rFonts w:ascii="仿宋" w:eastAsia="仿宋" w:hint="eastAsia"/>
          <w:color w:val="000000"/>
          <w:sz w:val="32"/>
          <w:szCs w:val="32"/>
        </w:rPr>
        <w:t>；上级补助收入</w:t>
      </w:r>
      <w:r>
        <w:rPr>
          <w:rFonts w:ascii="仿宋" w:eastAsia="仿宋" w:hint="eastAsia"/>
          <w:color w:val="000000"/>
          <w:sz w:val="32"/>
          <w:szCs w:val="32"/>
          <w:lang w:val="en-US" w:eastAsia="zh-CN"/>
        </w:rPr>
        <w:t>0</w:t>
      </w:r>
      <w:r>
        <w:rPr>
          <w:rFonts w:ascii="仿宋" w:eastAsia="仿宋" w:hint="eastAsia"/>
          <w:color w:val="000000"/>
          <w:sz w:val="32"/>
          <w:szCs w:val="32"/>
        </w:rPr>
        <w:t>万元，占</w:t>
      </w:r>
      <w:r>
        <w:rPr>
          <w:rFonts w:ascii="仿宋" w:eastAsia="仿宋" w:hint="eastAsia"/>
          <w:color w:val="000000"/>
          <w:sz w:val="32"/>
          <w:szCs w:val="32"/>
          <w:lang w:val="en-US" w:eastAsia="zh-CN"/>
        </w:rPr>
        <w:t>0</w:t>
      </w:r>
      <w:r>
        <w:rPr>
          <w:rFonts w:ascii="仿宋" w:eastAsia="仿宋"/>
          <w:color w:val="000000"/>
          <w:sz w:val="32"/>
          <w:szCs w:val="32"/>
        </w:rPr>
        <w:t>%</w:t>
      </w:r>
      <w:r>
        <w:rPr>
          <w:rFonts w:ascii="仿宋" w:eastAsia="仿宋" w:hint="eastAsia"/>
          <w:color w:val="000000"/>
          <w:sz w:val="32"/>
          <w:szCs w:val="32"/>
        </w:rPr>
        <w:t>；事业</w:t>
      </w:r>
    </w:p>
    <w:p>
      <w:pPr>
        <w:spacing w:line="600" w:lineRule="exact"/>
        <w:rPr>
          <w:rFonts w:ascii="仿宋" w:eastAsia="仿宋" w:hint="eastAsia"/>
          <w:color w:val="000000"/>
          <w:sz w:val="32"/>
          <w:szCs w:val="32"/>
        </w:rPr>
      </w:pPr>
      <w:r>
        <w:rPr>
          <w:rFonts w:ascii="仿宋" w:eastAsia="仿宋" w:hint="eastAsia"/>
          <w:color w:val="000000"/>
          <w:sz w:val="32"/>
          <w:szCs w:val="32"/>
        </w:rPr>
        <w:t>收入</w:t>
      </w:r>
      <w:r>
        <w:rPr>
          <w:rFonts w:ascii="仿宋" w:eastAsia="仿宋" w:hint="eastAsia"/>
          <w:color w:val="000000"/>
          <w:sz w:val="32"/>
          <w:szCs w:val="32"/>
          <w:lang w:val="en-US" w:eastAsia="zh-CN"/>
        </w:rPr>
        <w:t>0</w:t>
      </w:r>
      <w:r>
        <w:rPr>
          <w:rFonts w:ascii="仿宋" w:eastAsia="仿宋" w:hint="eastAsia"/>
          <w:color w:val="000000"/>
          <w:sz w:val="32"/>
          <w:szCs w:val="32"/>
        </w:rPr>
        <w:t>万元，占</w:t>
      </w:r>
      <w:r>
        <w:rPr>
          <w:rFonts w:ascii="仿宋" w:eastAsia="仿宋" w:hint="eastAsia"/>
          <w:color w:val="000000"/>
          <w:sz w:val="32"/>
          <w:szCs w:val="32"/>
          <w:lang w:val="en-US" w:eastAsia="zh-CN"/>
        </w:rPr>
        <w:t>0</w:t>
      </w:r>
      <w:r>
        <w:rPr>
          <w:rFonts w:ascii="仿宋" w:eastAsia="仿宋"/>
          <w:color w:val="000000"/>
          <w:sz w:val="32"/>
          <w:szCs w:val="32"/>
        </w:rPr>
        <w:t>%</w:t>
      </w:r>
      <w:r>
        <w:rPr>
          <w:rFonts w:ascii="仿宋" w:eastAsia="仿宋" w:hint="eastAsia"/>
          <w:color w:val="000000"/>
          <w:sz w:val="32"/>
          <w:szCs w:val="32"/>
        </w:rPr>
        <w:t>；经营收入</w:t>
      </w:r>
      <w:r>
        <w:rPr>
          <w:rFonts w:ascii="仿宋" w:eastAsia="仿宋" w:hint="eastAsia"/>
          <w:color w:val="000000"/>
          <w:sz w:val="32"/>
          <w:szCs w:val="32"/>
          <w:lang w:val="en-US" w:eastAsia="zh-CN"/>
        </w:rPr>
        <w:t>0</w:t>
      </w:r>
      <w:r>
        <w:rPr>
          <w:rFonts w:ascii="仿宋" w:eastAsia="仿宋" w:hint="eastAsia"/>
          <w:color w:val="000000"/>
          <w:sz w:val="32"/>
          <w:szCs w:val="32"/>
        </w:rPr>
        <w:t>万元，占</w:t>
      </w:r>
      <w:r>
        <w:rPr>
          <w:rFonts w:ascii="仿宋" w:eastAsia="仿宋" w:hint="eastAsia"/>
          <w:color w:val="000000"/>
          <w:sz w:val="32"/>
          <w:szCs w:val="32"/>
          <w:lang w:val="en-US" w:eastAsia="zh-CN"/>
        </w:rPr>
        <w:t>0</w:t>
      </w:r>
      <w:r>
        <w:rPr>
          <w:rFonts w:ascii="仿宋" w:eastAsia="仿宋"/>
          <w:color w:val="000000"/>
          <w:sz w:val="32"/>
          <w:szCs w:val="32"/>
        </w:rPr>
        <w:t>%</w:t>
      </w:r>
      <w:r>
        <w:rPr>
          <w:rFonts w:ascii="仿宋" w:eastAsia="仿宋" w:hint="eastAsia"/>
          <w:color w:val="000000"/>
          <w:sz w:val="32"/>
          <w:szCs w:val="32"/>
        </w:rPr>
        <w:t>；附属单位上缴收入</w:t>
      </w:r>
      <w:r>
        <w:rPr>
          <w:rFonts w:ascii="仿宋" w:eastAsia="仿宋" w:hint="eastAsia"/>
          <w:color w:val="000000"/>
          <w:sz w:val="32"/>
          <w:szCs w:val="32"/>
          <w:lang w:val="en-US" w:eastAsia="zh-CN"/>
        </w:rPr>
        <w:t>0</w:t>
      </w:r>
      <w:r>
        <w:rPr>
          <w:rFonts w:ascii="仿宋" w:eastAsia="仿宋" w:hint="eastAsia"/>
          <w:color w:val="000000"/>
          <w:sz w:val="32"/>
          <w:szCs w:val="32"/>
        </w:rPr>
        <w:t>万元，占</w:t>
      </w:r>
      <w:r>
        <w:rPr>
          <w:rFonts w:ascii="仿宋" w:eastAsia="仿宋" w:hint="eastAsia"/>
          <w:color w:val="000000"/>
          <w:sz w:val="32"/>
          <w:szCs w:val="32"/>
          <w:lang w:val="en-US" w:eastAsia="zh-CN"/>
        </w:rPr>
        <w:t>0</w:t>
      </w:r>
      <w:r>
        <w:rPr>
          <w:rFonts w:ascii="仿宋" w:eastAsia="仿宋"/>
          <w:color w:val="000000"/>
          <w:sz w:val="32"/>
          <w:szCs w:val="32"/>
        </w:rPr>
        <w:t>%</w:t>
      </w:r>
      <w:r>
        <w:rPr>
          <w:rFonts w:ascii="仿宋" w:eastAsia="仿宋" w:hint="eastAsia"/>
          <w:color w:val="000000"/>
          <w:sz w:val="32"/>
          <w:szCs w:val="32"/>
        </w:rPr>
        <w:t>；其他收入</w:t>
      </w:r>
      <w:r>
        <w:rPr>
          <w:rFonts w:ascii="仿宋" w:eastAsia="仿宋" w:hint="eastAsia"/>
          <w:color w:val="000000"/>
          <w:sz w:val="32"/>
          <w:szCs w:val="32"/>
          <w:lang w:val="en-US" w:eastAsia="zh-CN"/>
        </w:rPr>
        <w:t>0</w:t>
      </w:r>
      <w:r>
        <w:rPr>
          <w:rFonts w:ascii="仿宋" w:eastAsia="仿宋" w:hint="eastAsia"/>
          <w:color w:val="000000"/>
          <w:sz w:val="32"/>
          <w:szCs w:val="32"/>
        </w:rPr>
        <w:t>万元，占</w:t>
      </w:r>
      <w:r>
        <w:rPr>
          <w:rFonts w:ascii="仿宋" w:eastAsia="仿宋" w:hint="eastAsia"/>
          <w:color w:val="000000"/>
          <w:sz w:val="32"/>
          <w:szCs w:val="32"/>
          <w:lang w:val="en-US" w:eastAsia="zh-CN"/>
        </w:rPr>
        <w:t>0</w:t>
      </w:r>
      <w:r>
        <w:rPr>
          <w:rFonts w:ascii="仿宋" w:eastAsia="仿宋"/>
          <w:color w:val="000000"/>
          <w:sz w:val="32"/>
          <w:szCs w:val="32"/>
        </w:rPr>
        <w:t>%</w:t>
      </w:r>
      <w:r>
        <w:rPr>
          <w:rFonts w:ascii="仿宋" w:eastAsia="仿宋" w:hint="eastAsia"/>
          <w:color w:val="000000"/>
          <w:sz w:val="32"/>
          <w:szCs w:val="32"/>
        </w:rPr>
        <w:t>。</w:t>
      </w:r>
    </w:p>
    <w:p>
      <w:pPr>
        <w:pStyle w:val="20"/>
        <w:shd w:val="clear" w:color="auto" w:fill="FFFFFF"/>
        <w:spacing w:line="560" w:lineRule="exact"/>
        <w:ind w:firstLineChars="200" w:firstLine="640"/>
        <w:rPr>
          <w:rStyle w:val="2Char"/>
          <w:rFonts w:ascii="黑体" w:eastAsia="黑体" w:hint="eastAsia"/>
          <w:b w:val="0"/>
          <w:lang w:val="en-US" w:eastAsia="zh-CN"/>
        </w:rPr>
      </w:pPr>
      <w:bookmarkStart w:id="22" w:name="_Toc15396605"/>
      <w:bookmarkStart w:id="23" w:name="_Toc15377207"/>
      <w:r>
        <w:rPr>
          <w:rFonts w:ascii="仿宋" w:eastAsia="仿宋" w:hint="eastAsia"/>
          <w:color w:val="000000"/>
          <w:sz w:val="32"/>
          <w:szCs w:val="32"/>
        </w:rPr>
        <w:t>（图2：收入决算结构图）（饼状图）</w:t>
      </w:r>
    </w:p>
    <w:p>
      <w:pPr>
        <w:spacing w:line="600" w:lineRule="exact"/>
        <w:ind w:firstLineChars="200" w:firstLine="640"/>
        <w:rPr>
          <w:rStyle w:val="2Char"/>
          <w:rFonts w:ascii="黑体" w:eastAsia="黑体"/>
          <w:b w:val="0"/>
        </w:rPr>
      </w:pPr>
      <w:r>
        <w:rPr>
          <w:rStyle w:val="2Char"/>
          <w:rFonts w:ascii="黑体" w:eastAsia="黑体" w:hint="eastAsia"/>
          <w:b w:val="0"/>
        </w:rPr>
        <w:drawing>
          <wp:anchor distT="0" distB="0" distL="0" distR="0" simplePos="0" relativeHeight="26" behindDoc="0" locked="0" layoutInCell="1" hidden="0" allowOverlap="1">
            <wp:simplePos x="0" y="0"/>
            <wp:positionH relativeFrom="column">
              <wp:posOffset>-67310</wp:posOffset>
            </wp:positionH>
            <wp:positionV relativeFrom="page">
              <wp:posOffset>2583815</wp:posOffset>
            </wp:positionV>
            <wp:extent cx="5274310" cy="3076575"/>
            <wp:effectExtent l="0" t="0" r="0" b="0"/>
            <wp:wrapTopAndBottom/>
            <wp:docPr id="8" name="图表 4"/>
            <wp:cNvGraphicFramePr>
              <a:graphicFrameLocks noChangeAspect="0"/>
            </wp:cNvGraphicFramePr>
            <a:graphic>
              <a:graphicData uri="http://schemas.openxmlformats.org/drawingml/2006/chart">
                <c:chart xmlns:c="http://schemas.openxmlformats.org/drawingml/2006/chart" r:id="rId6"/>
              </a:graphicData>
            </a:graphic>
          </wp:anchor>
        </w:drawing>
      </w:r>
      <w:r>
        <w:rPr>
          <w:rStyle w:val="2Char"/>
          <w:rFonts w:ascii="黑体" w:eastAsia="黑体" w:hint="eastAsia"/>
          <w:b w:val="0"/>
          <w:lang w:val="en-US" w:eastAsia="zh-CN"/>
        </w:rPr>
        <w:t>三、</w:t>
      </w:r>
      <w:r>
        <w:rPr>
          <w:rFonts w:ascii="黑体" w:eastAsia="黑体" w:hint="eastAsia"/>
          <w:sz w:val="32"/>
          <w:szCs w:val="32"/>
        </w:rPr>
        <w:t>支</w:t>
      </w:r>
      <w:r>
        <w:rPr>
          <w:rStyle w:val="2Char"/>
          <w:rFonts w:ascii="黑体" w:eastAsia="黑体" w:hint="eastAsia"/>
          <w:b w:val="0"/>
        </w:rPr>
        <w:t>出决算情况说明</w:t>
      </w:r>
      <w:bookmarkEnd w:id="22"/>
      <w:bookmarkEnd w:id="23"/>
    </w:p>
    <w:p>
      <w:pPr>
        <w:spacing w:line="600" w:lineRule="exact"/>
        <w:ind w:firstLineChars="200" w:firstLine="640"/>
        <w:rPr>
          <w:rFonts w:ascii="仿宋_GB2312" w:eastAsia="仿宋_GB2312" w:hint="eastAsia"/>
          <w:sz w:val="32"/>
          <w:szCs w:val="32"/>
        </w:rPr>
      </w:pPr>
      <w:r>
        <w:rPr>
          <w:rFonts w:ascii="仿宋_GB2312" w:eastAsia="仿宋_GB2312"/>
          <w:sz w:val="32"/>
          <w:szCs w:val="32"/>
        </w:rPr>
        <w:t>202</w:t>
      </w:r>
      <w:r>
        <w:rPr>
          <w:rFonts w:ascii="仿宋_GB2312" w:eastAsia="仿宋_GB2312" w:hint="eastAsia"/>
          <w:sz w:val="32"/>
          <w:szCs w:val="32"/>
          <w:lang w:val="en-US" w:eastAsia="zh-CN"/>
        </w:rPr>
        <w:t>5</w:t>
      </w:r>
      <w:r>
        <w:rPr>
          <w:rFonts w:ascii="仿宋_GB2312" w:eastAsia="仿宋_GB2312" w:hint="eastAsia"/>
          <w:sz w:val="32"/>
          <w:szCs w:val="32"/>
        </w:rPr>
        <w:t>年本年支出合计</w:t>
      </w:r>
      <w:r>
        <w:rPr>
          <w:rFonts w:ascii="仿宋_GB2312" w:eastAsia="仿宋_GB2312" w:hint="eastAsia"/>
          <w:sz w:val="32"/>
          <w:szCs w:val="32"/>
          <w:lang w:val="en-US" w:eastAsia="zh-CN"/>
        </w:rPr>
        <w:t>66.21</w:t>
      </w:r>
      <w:r>
        <w:rPr>
          <w:rFonts w:ascii="仿宋_GB2312" w:eastAsia="仿宋_GB2312" w:hint="eastAsia"/>
          <w:sz w:val="32"/>
          <w:szCs w:val="32"/>
        </w:rPr>
        <w:t>万元，其中：基本支出</w:t>
      </w:r>
      <w:r>
        <w:rPr>
          <w:rFonts w:ascii="仿宋_GB2312" w:eastAsia="仿宋_GB2312" w:hint="eastAsia"/>
          <w:sz w:val="32"/>
          <w:szCs w:val="32"/>
          <w:lang w:val="en-US" w:eastAsia="zh-CN"/>
        </w:rPr>
        <w:t>66.21</w:t>
      </w:r>
      <w:r>
        <w:rPr>
          <w:rFonts w:ascii="仿宋_GB2312" w:eastAsia="仿宋_GB2312" w:hint="eastAsia"/>
          <w:sz w:val="32"/>
          <w:szCs w:val="32"/>
        </w:rPr>
        <w:t>万元，占</w:t>
      </w:r>
      <w:r>
        <w:rPr>
          <w:rFonts w:ascii="仿宋_GB2312" w:eastAsia="仿宋_GB2312" w:hint="eastAsia"/>
          <w:sz w:val="32"/>
          <w:szCs w:val="32"/>
          <w:lang w:val="en-US" w:eastAsia="zh-CN"/>
        </w:rPr>
        <w:t>100</w:t>
      </w:r>
      <w:r>
        <w:rPr>
          <w:rFonts w:ascii="仿宋_GB2312" w:eastAsia="仿宋_GB2312"/>
          <w:sz w:val="32"/>
          <w:szCs w:val="32"/>
        </w:rPr>
        <w:t>%</w:t>
      </w:r>
      <w:r>
        <w:rPr>
          <w:rFonts w:ascii="仿宋_GB2312" w:eastAsia="仿宋_GB2312" w:hint="eastAsia"/>
          <w:sz w:val="32"/>
          <w:szCs w:val="32"/>
        </w:rPr>
        <w:t>；项目支出</w:t>
      </w:r>
      <w:r>
        <w:rPr>
          <w:rFonts w:ascii="仿宋_GB2312" w:eastAsia="仿宋_GB2312" w:hint="eastAsia"/>
          <w:sz w:val="32"/>
          <w:szCs w:val="32"/>
          <w:lang w:val="en-US" w:eastAsia="zh-CN"/>
        </w:rPr>
        <w:t>0</w:t>
      </w:r>
      <w:r>
        <w:rPr>
          <w:rFonts w:ascii="仿宋_GB2312" w:eastAsia="仿宋_GB2312" w:hint="eastAsia"/>
          <w:sz w:val="32"/>
          <w:szCs w:val="32"/>
        </w:rPr>
        <w:t>万元，占</w:t>
      </w:r>
      <w:r>
        <w:rPr>
          <w:rFonts w:ascii="仿宋_GB2312" w:eastAsia="仿宋_GB2312" w:hint="eastAsia"/>
          <w:sz w:val="32"/>
          <w:szCs w:val="32"/>
          <w:lang w:val="en-US" w:eastAsia="zh-CN"/>
        </w:rPr>
        <w:t>0</w:t>
      </w:r>
      <w:r>
        <w:rPr>
          <w:rFonts w:ascii="仿宋_GB2312" w:eastAsia="仿宋_GB2312"/>
          <w:sz w:val="32"/>
          <w:szCs w:val="32"/>
        </w:rPr>
        <w:t>%</w:t>
      </w:r>
      <w:r>
        <w:rPr>
          <w:rFonts w:ascii="仿宋_GB2312" w:eastAsia="仿宋_GB2312" w:hint="eastAsia"/>
          <w:sz w:val="32"/>
          <w:szCs w:val="32"/>
        </w:rPr>
        <w:t>；上缴上级支出</w:t>
      </w:r>
      <w:r>
        <w:rPr>
          <w:rFonts w:ascii="仿宋_GB2312" w:eastAsia="仿宋_GB2312" w:hint="eastAsia"/>
          <w:sz w:val="32"/>
          <w:szCs w:val="32"/>
          <w:lang w:val="en-US" w:eastAsia="zh-CN"/>
        </w:rPr>
        <w:t>0</w:t>
      </w:r>
      <w:r>
        <w:rPr>
          <w:rFonts w:ascii="仿宋_GB2312" w:eastAsia="仿宋_GB2312" w:hint="eastAsia"/>
          <w:sz w:val="32"/>
          <w:szCs w:val="32"/>
        </w:rPr>
        <w:t>万元，占</w:t>
      </w:r>
      <w:r>
        <w:rPr>
          <w:rFonts w:ascii="仿宋_GB2312" w:eastAsia="仿宋_GB2312" w:hint="eastAsia"/>
          <w:sz w:val="32"/>
          <w:szCs w:val="32"/>
          <w:lang w:val="en-US" w:eastAsia="zh-CN"/>
        </w:rPr>
        <w:t>0</w:t>
      </w:r>
      <w:r>
        <w:rPr>
          <w:rFonts w:ascii="仿宋_GB2312" w:eastAsia="仿宋_GB2312"/>
          <w:sz w:val="32"/>
          <w:szCs w:val="32"/>
        </w:rPr>
        <w:t>%</w:t>
      </w:r>
      <w:r>
        <w:rPr>
          <w:rFonts w:ascii="仿宋_GB2312" w:eastAsia="仿宋_GB2312" w:hint="eastAsia"/>
          <w:sz w:val="32"/>
          <w:szCs w:val="32"/>
        </w:rPr>
        <w:t>；经营支出</w:t>
      </w:r>
      <w:r>
        <w:rPr>
          <w:rFonts w:ascii="仿宋_GB2312" w:eastAsia="仿宋_GB2312" w:hint="eastAsia"/>
          <w:sz w:val="32"/>
          <w:szCs w:val="32"/>
          <w:lang w:val="en-US" w:eastAsia="zh-CN"/>
        </w:rPr>
        <w:t>0</w:t>
      </w:r>
      <w:r>
        <w:rPr>
          <w:rFonts w:ascii="仿宋_GB2312" w:eastAsia="仿宋_GB2312" w:hint="eastAsia"/>
          <w:sz w:val="32"/>
          <w:szCs w:val="32"/>
        </w:rPr>
        <w:t>万元，占</w:t>
      </w:r>
      <w:r>
        <w:rPr>
          <w:rFonts w:ascii="仿宋_GB2312" w:eastAsia="仿宋_GB2312" w:hint="eastAsia"/>
          <w:sz w:val="32"/>
          <w:szCs w:val="32"/>
          <w:lang w:val="en-US" w:eastAsia="zh-CN"/>
        </w:rPr>
        <w:t>0</w:t>
      </w:r>
      <w:r>
        <w:rPr>
          <w:rFonts w:ascii="仿宋_GB2312" w:eastAsia="仿宋_GB2312"/>
          <w:sz w:val="32"/>
          <w:szCs w:val="32"/>
        </w:rPr>
        <w:t>%</w:t>
      </w:r>
      <w:r>
        <w:rPr>
          <w:rFonts w:ascii="仿宋_GB2312" w:eastAsia="仿宋_GB2312" w:hint="eastAsia"/>
          <w:sz w:val="32"/>
          <w:szCs w:val="32"/>
        </w:rPr>
        <w:t>；对附属单位补助支出</w:t>
      </w:r>
      <w:r>
        <w:rPr>
          <w:rFonts w:ascii="仿宋_GB2312" w:eastAsia="仿宋_GB2312" w:hint="eastAsia"/>
          <w:sz w:val="32"/>
          <w:szCs w:val="32"/>
          <w:lang w:val="en-US" w:eastAsia="zh-CN"/>
        </w:rPr>
        <w:t>0</w:t>
      </w:r>
      <w:r>
        <w:rPr>
          <w:rFonts w:ascii="仿宋_GB2312" w:eastAsia="仿宋_GB2312" w:hint="eastAsia"/>
          <w:sz w:val="32"/>
          <w:szCs w:val="32"/>
        </w:rPr>
        <w:t>万元，占</w:t>
      </w:r>
      <w:r>
        <w:rPr>
          <w:rFonts w:ascii="仿宋_GB2312" w:eastAsia="仿宋_GB2312" w:hint="eastAsia"/>
          <w:sz w:val="32"/>
          <w:szCs w:val="32"/>
          <w:lang w:val="en-US" w:eastAsia="zh-CN"/>
        </w:rPr>
        <w:t>0</w:t>
      </w:r>
      <w:r>
        <w:rPr>
          <w:rFonts w:ascii="仿宋_GB2312" w:eastAsia="仿宋_GB2312"/>
          <w:sz w:val="32"/>
          <w:szCs w:val="32"/>
        </w:rPr>
        <w:t>%</w:t>
      </w:r>
      <w:r>
        <w:rPr>
          <w:rFonts w:ascii="仿宋_GB2312" w:eastAsia="仿宋_GB2312" w:hint="eastAsia"/>
          <w:sz w:val="32"/>
          <w:szCs w:val="32"/>
        </w:rPr>
        <w:t>。</w:t>
      </w:r>
    </w:p>
    <w:p>
      <w:pPr>
        <w:spacing w:line="600" w:lineRule="exact"/>
        <w:ind w:firstLineChars="200" w:firstLine="640"/>
        <w:rPr>
          <w:rFonts w:ascii="仿宋_GB2312" w:eastAsia="仿宋_GB2312" w:hint="eastAsia"/>
          <w:sz w:val="32"/>
          <w:szCs w:val="32"/>
        </w:rPr>
      </w:pPr>
    </w:p>
    <w:p>
      <w:pPr>
        <w:spacing w:line="600" w:lineRule="exact"/>
        <w:ind w:firstLineChars="200" w:firstLine="640"/>
        <w:rPr>
          <w:rFonts w:ascii="仿宋_GB2312" w:eastAsia="仿宋_GB2312" w:hint="eastAsia"/>
          <w:sz w:val="32"/>
          <w:szCs w:val="32"/>
        </w:rPr>
      </w:pPr>
    </w:p>
    <w:p>
      <w:pPr>
        <w:spacing w:line="600" w:lineRule="exact"/>
        <w:ind w:firstLineChars="200" w:firstLine="640"/>
        <w:rPr>
          <w:rFonts w:ascii="仿宋_GB2312" w:eastAsia="仿宋_GB2312" w:hint="eastAsia"/>
          <w:sz w:val="32"/>
          <w:szCs w:val="32"/>
        </w:rPr>
      </w:pPr>
    </w:p>
    <w:p>
      <w:pPr>
        <w:pStyle w:val="20"/>
        <w:shd w:val="clear" w:color="auto" w:fill="FFFFFF"/>
        <w:spacing w:line="560" w:lineRule="exact"/>
        <w:ind w:firstLineChars="200" w:firstLine="640"/>
        <w:rPr>
          <w:rFonts w:ascii="仿宋_GB2312" w:eastAsia="仿宋_GB2312" w:hint="eastAsia"/>
          <w:sz w:val="32"/>
          <w:szCs w:val="32"/>
        </w:rPr>
      </w:pPr>
      <w:r>
        <w:rPr>
          <w:rFonts w:ascii="仿宋" w:eastAsia="仿宋"/>
          <w:color w:val="000000"/>
          <w:sz w:val="32"/>
          <w:szCs w:val="32"/>
        </w:rPr>
        <w:drawing>
          <wp:anchor distT="0" distB="0" distL="0" distR="0" simplePos="0" relativeHeight="34" behindDoc="0" locked="0" layoutInCell="1" hidden="0" allowOverlap="1">
            <wp:simplePos x="0" y="0"/>
            <wp:positionH relativeFrom="column">
              <wp:posOffset>346075</wp:posOffset>
            </wp:positionH>
            <wp:positionV relativeFrom="paragraph">
              <wp:posOffset>456565</wp:posOffset>
            </wp:positionV>
            <wp:extent cx="4678679" cy="2653029"/>
            <wp:effectExtent l="0" t="0" r="0" b="0"/>
            <wp:wrapTopAndBottom/>
            <wp:docPr id="9" name="图表 8"/>
            <wp:cNvGraphicFramePr>
              <a:graphicFrameLocks noChangeAspect="0"/>
            </wp:cNvGraphicFramePr>
            <a:graphic>
              <a:graphicData uri="http://schemas.openxmlformats.org/drawingml/2006/chart">
                <c:chart xmlns:c="http://schemas.openxmlformats.org/drawingml/2006/chart" r:id="rId7"/>
              </a:graphicData>
            </a:graphic>
          </wp:anchor>
        </w:drawing>
      </w:r>
      <w:r>
        <w:rPr>
          <w:rFonts w:ascii="仿宋" w:eastAsia="仿宋" w:hint="eastAsia"/>
          <w:color w:val="000000"/>
          <w:sz w:val="32"/>
          <w:szCs w:val="32"/>
        </w:rPr>
        <w:t>（图3：支出决算结构图）（饼状图）</w:t>
      </w:r>
    </w:p>
    <w:p>
      <w:pPr>
        <w:spacing w:line="600" w:lineRule="exact"/>
        <w:ind w:left="640"/>
        <w:outlineLvl w:val="1"/>
        <w:rPr>
          <w:rStyle w:val="2Char"/>
          <w:rFonts w:ascii="黑体" w:eastAsia="黑体" w:hint="eastAsia"/>
          <w:b w:val="0"/>
        </w:rPr>
      </w:pPr>
      <w:bookmarkStart w:id="24" w:name="_Toc15377208"/>
      <w:bookmarkStart w:id="25" w:name="_Toc15396606"/>
      <w:r>
        <w:rPr>
          <w:rFonts w:ascii="黑体" w:eastAsia="黑体" w:hint="eastAsia"/>
          <w:sz w:val="32"/>
          <w:szCs w:val="32"/>
          <w:lang w:val="en-US" w:eastAsia="zh-CN"/>
        </w:rPr>
        <w:t>四、</w:t>
      </w:r>
      <w:r>
        <w:rPr>
          <w:rFonts w:ascii="黑体" w:eastAsia="黑体" w:hint="eastAsia"/>
          <w:sz w:val="32"/>
          <w:szCs w:val="32"/>
        </w:rPr>
        <w:t>财</w:t>
      </w:r>
      <w:r>
        <w:rPr>
          <w:rStyle w:val="2Char"/>
          <w:rFonts w:ascii="黑体" w:eastAsia="黑体" w:hint="eastAsia"/>
          <w:b w:val="0"/>
        </w:rPr>
        <w:t>政拨款收入支出决算总体情况说明</w:t>
      </w:r>
      <w:bookmarkEnd w:id="24"/>
      <w:bookmarkEnd w:id="25"/>
    </w:p>
    <w:p>
      <w:pPr>
        <w:pStyle w:val="24"/>
        <w:keepNext w:val="0"/>
        <w:keepLines w:val="0"/>
        <w:pageBreakBefore w:val="0"/>
        <w:widowControl w:val="0"/>
        <w:kinsoku/>
        <w:wordWrap/>
        <w:overflowPunct/>
        <w:topLinePunct w:val="0"/>
        <w:bidi w:val="0"/>
        <w:snapToGrid/>
        <w:spacing w:line="540" w:lineRule="exact"/>
        <w:ind w:left="0" w:firstLineChars="200" w:firstLine="640"/>
        <w:jc w:val="both"/>
        <w:textAlignment w:val="auto"/>
        <w:outlineLvl w:val="1"/>
        <w:rPr>
          <w:rFonts w:ascii="仿宋" w:eastAsia="仿宋" w:hint="eastAsia"/>
          <w:color w:val="000000"/>
          <w:sz w:val="32"/>
          <w:szCs w:val="32"/>
          <w:lang w:val="en-US" w:eastAsia="zh-CN"/>
        </w:rPr>
      </w:pPr>
      <w:r>
        <w:rPr>
          <w:rFonts w:ascii="仿宋" w:eastAsia="仿宋"/>
          <w:color w:val="000000"/>
          <w:sz w:val="32"/>
          <w:szCs w:val="32"/>
        </w:rPr>
        <w:drawing>
          <wp:anchor distT="0" distB="0" distL="0" distR="0" simplePos="0" relativeHeight="28" behindDoc="0" locked="0" layoutInCell="1" hidden="0" allowOverlap="1">
            <wp:simplePos x="0" y="0"/>
            <wp:positionH relativeFrom="column">
              <wp:posOffset>57785</wp:posOffset>
            </wp:positionH>
            <wp:positionV relativeFrom="page">
              <wp:posOffset>6269355</wp:posOffset>
            </wp:positionV>
            <wp:extent cx="4924425" cy="2857500"/>
            <wp:effectExtent l="0" t="0" r="0" b="0"/>
            <wp:wrapTopAndBottom/>
            <wp:docPr id="10" name="图表 6"/>
            <wp:cNvGraphicFramePr>
              <a:graphicFrameLocks noChangeAspect="0"/>
            </wp:cNvGraphicFramePr>
            <a:graphic>
              <a:graphicData uri="http://schemas.openxmlformats.org/drawingml/2006/chart">
                <c:chart xmlns:c="http://schemas.openxmlformats.org/drawingml/2006/chart" r:id="rId8"/>
              </a:graphicData>
            </a:graphic>
          </wp:anchor>
        </w:drawing>
      </w:r>
      <w:r>
        <w:rPr>
          <w:rFonts w:ascii="仿宋" w:eastAsia="仿宋"/>
          <w:color w:val="000000"/>
          <w:sz w:val="32"/>
          <w:szCs w:val="32"/>
        </w:rPr>
        <w:t>202</w:t>
      </w:r>
      <w:r>
        <w:rPr>
          <w:rFonts w:ascii="仿宋" w:eastAsia="仿宋" w:hint="eastAsia"/>
          <w:color w:val="000000"/>
          <w:sz w:val="32"/>
          <w:szCs w:val="32"/>
          <w:lang w:val="en-US" w:eastAsia="zh-CN"/>
        </w:rPr>
        <w:t>5</w:t>
      </w:r>
      <w:r>
        <w:rPr>
          <w:rFonts w:ascii="仿宋" w:eastAsia="仿宋" w:hint="eastAsia"/>
          <w:color w:val="000000"/>
          <w:sz w:val="32"/>
          <w:szCs w:val="32"/>
        </w:rPr>
        <w:t>年度收</w:t>
      </w:r>
      <w:r>
        <w:rPr>
          <w:rFonts w:ascii="仿宋" w:eastAsia="仿宋" w:hint="eastAsia"/>
          <w:color w:val="000000"/>
          <w:sz w:val="32"/>
          <w:szCs w:val="32"/>
          <w:lang w:eastAsia="zh-CN"/>
        </w:rPr>
        <w:t>入</w:t>
      </w:r>
      <w:r>
        <w:rPr>
          <w:rFonts w:ascii="仿宋" w:eastAsia="仿宋" w:hint="eastAsia"/>
          <w:color w:val="000000"/>
          <w:sz w:val="32"/>
          <w:szCs w:val="32"/>
        </w:rPr>
        <w:t>总计</w:t>
      </w:r>
      <w:r>
        <w:rPr>
          <w:rFonts w:ascii="仿宋" w:eastAsia="仿宋" w:hint="eastAsia"/>
          <w:color w:val="000000"/>
          <w:sz w:val="32"/>
          <w:szCs w:val="32"/>
          <w:lang w:val="en-US" w:eastAsia="zh-CN"/>
        </w:rPr>
        <w:t>66.21</w:t>
      </w:r>
      <w:r>
        <w:rPr>
          <w:rFonts w:ascii="仿宋" w:eastAsia="仿宋" w:hint="eastAsia"/>
          <w:color w:val="000000"/>
          <w:sz w:val="32"/>
          <w:szCs w:val="32"/>
        </w:rPr>
        <w:t>万元。与</w:t>
      </w:r>
      <w:r>
        <w:rPr>
          <w:rFonts w:ascii="仿宋" w:eastAsia="仿宋"/>
          <w:color w:val="000000"/>
          <w:sz w:val="32"/>
          <w:szCs w:val="32"/>
        </w:rPr>
        <w:t>20</w:t>
      </w:r>
      <w:r>
        <w:rPr>
          <w:rFonts w:ascii="仿宋" w:eastAsia="仿宋" w:hint="eastAsia"/>
          <w:color w:val="000000"/>
          <w:sz w:val="32"/>
          <w:szCs w:val="32"/>
          <w:lang w:val="en-US" w:eastAsia="zh-CN"/>
        </w:rPr>
        <w:t>24</w:t>
      </w:r>
      <w:r>
        <w:rPr>
          <w:rFonts w:ascii="仿宋" w:eastAsia="仿宋" w:hint="eastAsia"/>
          <w:color w:val="000000"/>
          <w:sz w:val="32"/>
          <w:szCs w:val="32"/>
        </w:rPr>
        <w:t>年相比，收</w:t>
      </w:r>
      <w:r>
        <w:rPr>
          <w:rFonts w:ascii="仿宋" w:eastAsia="仿宋" w:hint="eastAsia"/>
          <w:color w:val="000000"/>
          <w:sz w:val="32"/>
          <w:szCs w:val="32"/>
          <w:lang w:eastAsia="zh-CN"/>
        </w:rPr>
        <w:t>入</w:t>
      </w:r>
      <w:r>
        <w:rPr>
          <w:rFonts w:ascii="仿宋" w:eastAsia="仿宋" w:hint="eastAsia"/>
          <w:color w:val="000000"/>
          <w:sz w:val="32"/>
          <w:szCs w:val="32"/>
        </w:rPr>
        <w:t>增加12.77万元，增加23.9%。主要变动原因是</w:t>
      </w:r>
      <w:r>
        <w:rPr>
          <w:rFonts w:ascii="仿宋" w:eastAsia="仿宋" w:hint="eastAsia"/>
          <w:color w:val="000000"/>
          <w:sz w:val="32"/>
          <w:szCs w:val="32"/>
          <w:lang w:val="en-US" w:eastAsia="zh-CN"/>
        </w:rPr>
        <w:t>人员调资，增加相应的工资保险支出。</w:t>
      </w:r>
    </w:p>
    <w:p>
      <w:pPr>
        <w:pStyle w:val="20"/>
        <w:shd w:val="clear" w:color="auto" w:fill="FFFFFF"/>
        <w:spacing w:line="560" w:lineRule="exact"/>
        <w:ind w:leftChars="304" w:left="638" w:firstLine="0"/>
        <w:rPr>
          <w:rFonts w:ascii="仿宋" w:eastAsia="仿宋" w:hint="eastAsia"/>
          <w:sz w:val="32"/>
          <w:szCs w:val="32"/>
        </w:rPr>
      </w:pPr>
      <w:r>
        <w:rPr>
          <w:rFonts w:ascii="仿宋" w:eastAsia="仿宋" w:hint="eastAsia"/>
          <w:sz w:val="32"/>
          <w:szCs w:val="32"/>
        </w:rPr>
        <w:t>（图4：财政拨款收、支决算总计变动情况）（柱状图）</w:t>
      </w:r>
    </w:p>
    <w:p>
      <w:pPr>
        <w:pStyle w:val="20"/>
        <w:shd w:val="clear" w:color="auto" w:fill="FFFFFF"/>
        <w:spacing w:line="560" w:lineRule="exact"/>
        <w:ind w:firstLineChars="200" w:firstLine="640"/>
        <w:rPr>
          <w:rFonts w:ascii="仿宋" w:eastAsia="仿宋" w:hint="eastAsia"/>
          <w:sz w:val="32"/>
          <w:szCs w:val="32"/>
          <w:lang w:val="en-US" w:eastAsia="zh-CN"/>
        </w:rPr>
      </w:pPr>
      <w:r>
        <w:rPr>
          <w:rFonts w:ascii="仿宋" w:eastAsia="仿宋" w:hint="eastAsia"/>
          <w:sz w:val="32"/>
          <w:szCs w:val="32"/>
          <w:lang w:val="en-US" w:eastAsia="zh-CN"/>
        </w:rPr>
        <w:t xml:space="preserve">2025年度支出总计66.21万元。与2024年相比，支出总计增加12.77万元，增加23.9%。主要变动原因是人员调资，增加相应的工资保险支出。  </w:t>
      </w:r>
    </w:p>
    <w:p>
      <w:pPr>
        <w:spacing w:line="600" w:lineRule="exact"/>
        <w:ind w:left="0" w:firstLineChars="100" w:firstLine="320"/>
        <w:outlineLvl w:val="1"/>
        <w:rPr>
          <w:rStyle w:val="2Char"/>
          <w:rFonts w:ascii="黑体" w:eastAsia="黑体"/>
          <w:b w:val="0"/>
        </w:rPr>
      </w:pPr>
      <w:r>
        <w:rPr>
          <w:rFonts w:ascii="仿宋" w:eastAsia="仿宋" w:hint="eastAsia"/>
          <w:color w:val="000000"/>
          <w:sz w:val="32"/>
          <w:szCs w:val="32"/>
          <w:lang w:val="en-US" w:eastAsia="zh-CN"/>
        </w:rPr>
        <w:t xml:space="preserve">  </w:t>
      </w:r>
      <w:bookmarkStart w:id="26" w:name="_Toc15396607"/>
      <w:bookmarkStart w:id="27" w:name="_Toc15377209"/>
      <w:r>
        <w:rPr>
          <w:rFonts w:ascii="黑体" w:eastAsia="黑体" w:hint="eastAsia"/>
          <w:sz w:val="32"/>
          <w:szCs w:val="32"/>
        </w:rPr>
        <w:t>五、</w:t>
      </w:r>
      <w:r>
        <w:rPr>
          <w:rFonts w:ascii="黑体" w:eastAsia="黑体" w:hint="eastAsia"/>
          <w:b/>
          <w:sz w:val="32"/>
          <w:szCs w:val="32"/>
        </w:rPr>
        <w:t>一</w:t>
      </w:r>
      <w:r>
        <w:rPr>
          <w:rStyle w:val="2Char"/>
          <w:rFonts w:ascii="黑体" w:eastAsia="黑体" w:hint="eastAsia"/>
          <w:b w:val="0"/>
        </w:rPr>
        <w:t>般公共预算财政拨款支出决算情况说明</w:t>
      </w:r>
      <w:bookmarkEnd w:id="26"/>
      <w:bookmarkEnd w:id="27"/>
    </w:p>
    <w:p>
      <w:pPr>
        <w:spacing w:line="600" w:lineRule="exact"/>
        <w:ind w:firstLineChars="200" w:firstLine="640"/>
        <w:outlineLvl w:val="2"/>
        <w:rPr>
          <w:rFonts w:ascii="仿宋" w:eastAsia="仿宋"/>
          <w:b/>
          <w:sz w:val="32"/>
          <w:szCs w:val="32"/>
        </w:rPr>
      </w:pPr>
      <w:bookmarkStart w:id="28" w:name="_Toc15377210"/>
      <w:r>
        <w:rPr>
          <w:rFonts w:ascii="仿宋" w:eastAsia="仿宋" w:hint="eastAsia"/>
          <w:b/>
          <w:sz w:val="32"/>
          <w:szCs w:val="32"/>
        </w:rPr>
        <w:t>（一）一般公共预算财政拨款支出决算总体情况</w:t>
      </w:r>
      <w:bookmarkEnd w:id="28"/>
    </w:p>
    <w:p>
      <w:pPr>
        <w:pStyle w:val="20"/>
        <w:shd w:val="clear" w:color="auto" w:fill="FFFFFF"/>
        <w:spacing w:line="560" w:lineRule="exact"/>
        <w:ind w:firstLineChars="200" w:firstLine="640"/>
        <w:rPr>
          <w:rFonts w:ascii="仿宋" w:eastAsia="仿宋" w:hint="eastAsia"/>
          <w:color w:val="000000"/>
          <w:sz w:val="32"/>
          <w:szCs w:val="32"/>
          <w:lang w:eastAsia="zh-CN"/>
        </w:rPr>
      </w:pPr>
      <w:r>
        <w:rPr>
          <w:rFonts w:ascii="仿宋" w:eastAsia="仿宋"/>
          <w:color w:val="000000"/>
          <w:sz w:val="32"/>
          <w:szCs w:val="32"/>
        </w:rPr>
        <w:drawing>
          <wp:anchor distT="0" distB="0" distL="0" distR="0" simplePos="0" relativeHeight="30" behindDoc="0" locked="0" layoutInCell="1" hidden="0" allowOverlap="1">
            <wp:simplePos x="0" y="0"/>
            <wp:positionH relativeFrom="column">
              <wp:posOffset>61594</wp:posOffset>
            </wp:positionH>
            <wp:positionV relativeFrom="page">
              <wp:posOffset>4457065</wp:posOffset>
            </wp:positionV>
            <wp:extent cx="5274310" cy="3076575"/>
            <wp:effectExtent l="0" t="0" r="0" b="0"/>
            <wp:wrapTopAndBottom/>
            <wp:docPr id="11" name="图表 10"/>
            <wp:cNvGraphicFramePr>
              <a:graphicFrameLocks noChangeAspect="0"/>
            </wp:cNvGraphicFramePr>
            <a:graphic>
              <a:graphicData uri="http://schemas.openxmlformats.org/drawingml/2006/chart">
                <c:chart xmlns:c="http://schemas.openxmlformats.org/drawingml/2006/chart" r:id="rId9"/>
              </a:graphicData>
            </a:graphic>
          </wp:anchor>
        </w:drawing>
      </w:r>
      <w:r>
        <w:rPr>
          <w:rFonts w:ascii="仿宋" w:eastAsia="仿宋"/>
          <w:color w:val="000000"/>
          <w:sz w:val="32"/>
          <w:szCs w:val="32"/>
        </w:rPr>
        <w:t>202</w:t>
      </w:r>
      <w:r>
        <w:rPr>
          <w:rFonts w:ascii="仿宋" w:eastAsia="仿宋" w:hint="eastAsia"/>
          <w:color w:val="000000"/>
          <w:sz w:val="32"/>
          <w:szCs w:val="32"/>
          <w:lang w:val="en-US" w:eastAsia="zh-CN"/>
        </w:rPr>
        <w:t>5</w:t>
      </w:r>
      <w:r>
        <w:rPr>
          <w:rFonts w:ascii="仿宋" w:eastAsia="仿宋" w:hint="eastAsia"/>
          <w:color w:val="000000"/>
          <w:sz w:val="32"/>
          <w:szCs w:val="32"/>
        </w:rPr>
        <w:t>年一般公共预算财政拨款支出</w:t>
      </w:r>
      <w:r>
        <w:rPr>
          <w:rFonts w:ascii="仿宋" w:eastAsia="仿宋" w:hint="eastAsia"/>
          <w:color w:val="000000"/>
          <w:sz w:val="32"/>
          <w:szCs w:val="32"/>
          <w:lang w:val="en-US" w:eastAsia="zh-CN"/>
        </w:rPr>
        <w:t>66.21</w:t>
      </w:r>
      <w:r>
        <w:rPr>
          <w:rFonts w:ascii="仿宋" w:eastAsia="仿宋" w:hint="eastAsia"/>
          <w:color w:val="000000"/>
          <w:sz w:val="32"/>
          <w:szCs w:val="32"/>
        </w:rPr>
        <w:t>万元，占本年支出合计的</w:t>
      </w:r>
      <w:r>
        <w:rPr>
          <w:rFonts w:ascii="仿宋" w:eastAsia="仿宋" w:hint="eastAsia"/>
          <w:color w:val="000000"/>
          <w:sz w:val="32"/>
          <w:szCs w:val="32"/>
          <w:lang w:val="en-US" w:eastAsia="zh-CN"/>
        </w:rPr>
        <w:t>100</w:t>
      </w:r>
      <w:r>
        <w:rPr>
          <w:rFonts w:ascii="仿宋" w:eastAsia="仿宋"/>
          <w:color w:val="000000"/>
          <w:sz w:val="32"/>
          <w:szCs w:val="32"/>
        </w:rPr>
        <w:t>%</w:t>
      </w:r>
      <w:r>
        <w:rPr>
          <w:rFonts w:ascii="仿宋" w:eastAsia="仿宋" w:hint="eastAsia"/>
          <w:color w:val="000000"/>
          <w:sz w:val="32"/>
          <w:szCs w:val="32"/>
        </w:rPr>
        <w:t>。与</w:t>
      </w:r>
      <w:r>
        <w:rPr>
          <w:rFonts w:ascii="仿宋" w:eastAsia="仿宋"/>
          <w:color w:val="000000"/>
          <w:sz w:val="32"/>
          <w:szCs w:val="32"/>
        </w:rPr>
        <w:t>20</w:t>
      </w:r>
      <w:r>
        <w:rPr>
          <w:rFonts w:ascii="仿宋" w:eastAsia="仿宋" w:hint="eastAsia"/>
          <w:color w:val="000000"/>
          <w:sz w:val="32"/>
          <w:szCs w:val="32"/>
          <w:lang w:val="en-US" w:eastAsia="zh-CN"/>
        </w:rPr>
        <w:t>24</w:t>
      </w:r>
      <w:r>
        <w:rPr>
          <w:rFonts w:ascii="仿宋" w:eastAsia="仿宋" w:hint="eastAsia"/>
          <w:color w:val="000000"/>
          <w:sz w:val="32"/>
          <w:szCs w:val="32"/>
        </w:rPr>
        <w:t>年相比，一般公共预算财政拨款</w:t>
      </w:r>
      <w:r>
        <w:rPr>
          <w:rFonts w:ascii="仿宋" w:eastAsia="仿宋" w:hint="eastAsia"/>
          <w:color w:val="000000"/>
          <w:sz w:val="32"/>
          <w:szCs w:val="32"/>
          <w:lang w:eastAsia="zh-CN"/>
        </w:rPr>
        <w:t>增加12.77万元，增加23.9%。</w:t>
      </w:r>
    </w:p>
    <w:p>
      <w:pPr>
        <w:pStyle w:val="20"/>
        <w:shd w:val="clear" w:color="auto" w:fill="FFFFFF"/>
        <w:spacing w:line="560" w:lineRule="exact"/>
        <w:ind w:firstLineChars="200" w:firstLine="640"/>
        <w:rPr>
          <w:rFonts w:ascii="仿宋" w:eastAsia="仿宋" w:hint="eastAsia"/>
          <w:sz w:val="32"/>
          <w:szCs w:val="32"/>
        </w:rPr>
      </w:pPr>
      <w:r>
        <w:rPr>
          <w:rFonts w:ascii="仿宋" w:eastAsia="仿宋" w:hint="eastAsia"/>
          <w:color w:val="000000"/>
          <w:sz w:val="32"/>
          <w:szCs w:val="32"/>
          <w:lang w:eastAsia="zh-CN"/>
        </w:rPr>
        <w:t>（</w:t>
      </w:r>
      <w:r>
        <w:rPr>
          <w:rFonts w:ascii="仿宋" w:eastAsia="仿宋" w:hint="eastAsia"/>
          <w:sz w:val="32"/>
          <w:szCs w:val="32"/>
        </w:rPr>
        <w:t>款支出决算变动情况）（柱状图）</w:t>
      </w:r>
    </w:p>
    <w:p>
      <w:pPr>
        <w:spacing w:line="600" w:lineRule="exact"/>
        <w:ind w:firstLineChars="200" w:firstLine="640"/>
        <w:outlineLvl w:val="2"/>
        <w:rPr>
          <w:rFonts w:ascii="仿宋" w:eastAsia="仿宋"/>
          <w:b/>
          <w:sz w:val="32"/>
          <w:szCs w:val="32"/>
        </w:rPr>
      </w:pPr>
      <w:bookmarkStart w:id="29" w:name="_Toc15377211"/>
      <w:r>
        <w:rPr>
          <w:rFonts w:ascii="仿宋" w:eastAsia="仿宋" w:hint="eastAsia"/>
          <w:b/>
          <w:sz w:val="32"/>
          <w:szCs w:val="32"/>
        </w:rPr>
        <w:t>（二）一般公共预算财政拨款支出决算结构情况</w:t>
      </w:r>
      <w:bookmarkEnd w:id="29"/>
    </w:p>
    <w:p>
      <w:pPr>
        <w:spacing w:line="600" w:lineRule="exact"/>
        <w:ind w:firstLineChars="200" w:firstLine="640"/>
        <w:outlineLvl w:val="2"/>
        <w:rPr>
          <w:rFonts w:ascii="仿宋" w:eastAsia="仿宋" w:hint="eastAsia"/>
          <w:color w:val="000000"/>
          <w:sz w:val="32"/>
          <w:szCs w:val="32"/>
        </w:rPr>
      </w:pPr>
      <w:r>
        <w:rPr>
          <w:rFonts w:ascii="仿宋" w:eastAsia="仿宋"/>
          <w:color w:val="000000"/>
          <w:sz w:val="32"/>
          <w:szCs w:val="32"/>
        </w:rPr>
        <w:t>202</w:t>
      </w:r>
      <w:r>
        <w:rPr>
          <w:rFonts w:ascii="仿宋" w:eastAsia="仿宋" w:hint="eastAsia"/>
          <w:color w:val="000000"/>
          <w:sz w:val="32"/>
          <w:szCs w:val="32"/>
          <w:lang w:val="en-US" w:eastAsia="zh-CN"/>
        </w:rPr>
        <w:t>5</w:t>
      </w:r>
      <w:r>
        <w:rPr>
          <w:rFonts w:ascii="仿宋" w:eastAsia="仿宋" w:hint="eastAsia"/>
          <w:color w:val="000000"/>
          <w:sz w:val="32"/>
          <w:szCs w:val="32"/>
        </w:rPr>
        <w:t>年一般公共预算财政拨款支出</w:t>
      </w:r>
      <w:r>
        <w:rPr>
          <w:rFonts w:ascii="仿宋" w:eastAsia="仿宋" w:hint="eastAsia"/>
          <w:color w:val="000000"/>
          <w:sz w:val="32"/>
          <w:szCs w:val="32"/>
          <w:lang w:val="en-US" w:eastAsia="zh-CN"/>
        </w:rPr>
        <w:t>66.21</w:t>
      </w:r>
      <w:r>
        <w:rPr>
          <w:rFonts w:ascii="仿宋" w:eastAsia="仿宋" w:hint="eastAsia"/>
          <w:color w:val="000000"/>
          <w:sz w:val="32"/>
          <w:szCs w:val="32"/>
        </w:rPr>
        <w:t>万元，主要用于以下方</w:t>
      </w:r>
      <w:r>
        <w:rPr>
          <w:rFonts w:ascii="仿宋" w:eastAsia="仿宋" w:hint="eastAsia"/>
          <w:b w:val="0"/>
          <w:bCs w:val="0"/>
          <w:color w:val="000000"/>
          <w:sz w:val="32"/>
          <w:szCs w:val="32"/>
        </w:rPr>
        <w:t>面</w:t>
      </w:r>
      <w:r>
        <w:rPr>
          <w:rFonts w:ascii="仿宋" w:eastAsia="仿宋"/>
          <w:b w:val="0"/>
          <w:bCs w:val="0"/>
          <w:color w:val="000000"/>
          <w:sz w:val="32"/>
          <w:szCs w:val="32"/>
        </w:rPr>
        <w:t>:</w:t>
      </w:r>
      <w:r>
        <w:rPr>
          <w:rFonts w:ascii="仿宋" w:eastAsia="仿宋" w:hint="eastAsia"/>
          <w:b w:val="0"/>
          <w:bCs w:val="0"/>
          <w:color w:val="000000"/>
          <w:sz w:val="32"/>
          <w:szCs w:val="32"/>
          <w:lang w:eastAsia="zh-CN"/>
        </w:rPr>
        <w:t>一般公共服务支出</w:t>
      </w:r>
      <w:r>
        <w:rPr>
          <w:rFonts w:ascii="仿宋" w:eastAsia="仿宋" w:hint="eastAsia"/>
          <w:b w:val="0"/>
          <w:bCs w:val="0"/>
          <w:color w:val="000000"/>
          <w:sz w:val="32"/>
          <w:szCs w:val="32"/>
        </w:rPr>
        <w:t>支出</w:t>
      </w:r>
      <w:r>
        <w:rPr>
          <w:rFonts w:ascii="仿宋" w:eastAsia="仿宋" w:hint="eastAsia"/>
          <w:b w:val="0"/>
          <w:bCs w:val="0"/>
          <w:color w:val="000000"/>
          <w:sz w:val="32"/>
          <w:szCs w:val="32"/>
          <w:lang w:val="en-US" w:eastAsia="zh-CN"/>
        </w:rPr>
        <w:t>50.88</w:t>
      </w:r>
      <w:r>
        <w:rPr>
          <w:rFonts w:ascii="仿宋" w:eastAsia="仿宋" w:hint="eastAsia"/>
          <w:b w:val="0"/>
          <w:bCs w:val="0"/>
          <w:color w:val="000000"/>
          <w:sz w:val="32"/>
          <w:szCs w:val="32"/>
        </w:rPr>
        <w:t>万元，占</w:t>
      </w:r>
      <w:r>
        <w:rPr>
          <w:rFonts w:ascii="仿宋" w:eastAsia="仿宋" w:hint="eastAsia"/>
          <w:b w:val="0"/>
          <w:bCs w:val="0"/>
          <w:color w:val="000000"/>
          <w:sz w:val="32"/>
          <w:szCs w:val="32"/>
          <w:lang w:val="en-US" w:eastAsia="zh-CN"/>
        </w:rPr>
        <w:t>76.85</w:t>
      </w:r>
      <w:r>
        <w:rPr>
          <w:rFonts w:ascii="仿宋" w:eastAsia="仿宋"/>
          <w:b w:val="0"/>
          <w:bCs w:val="0"/>
          <w:color w:val="000000"/>
          <w:sz w:val="32"/>
          <w:szCs w:val="32"/>
        </w:rPr>
        <w:t>%</w:t>
      </w:r>
      <w:r>
        <w:rPr>
          <w:rFonts w:ascii="仿宋" w:eastAsia="仿宋" w:hint="eastAsia"/>
          <w:b w:val="0"/>
          <w:bCs w:val="0"/>
          <w:color w:val="000000"/>
          <w:sz w:val="32"/>
          <w:szCs w:val="32"/>
        </w:rPr>
        <w:t>；社会保障和就业（类）支出</w:t>
      </w:r>
      <w:r>
        <w:rPr>
          <w:rFonts w:ascii="仿宋" w:eastAsia="仿宋" w:hint="eastAsia"/>
          <w:b w:val="0"/>
          <w:bCs w:val="0"/>
          <w:color w:val="000000"/>
          <w:sz w:val="32"/>
          <w:szCs w:val="32"/>
          <w:lang w:val="en-US" w:eastAsia="zh-CN"/>
        </w:rPr>
        <w:t>7.48</w:t>
      </w:r>
      <w:r>
        <w:rPr>
          <w:rFonts w:ascii="仿宋" w:eastAsia="仿宋" w:hint="eastAsia"/>
          <w:b w:val="0"/>
          <w:bCs w:val="0"/>
          <w:color w:val="000000"/>
          <w:sz w:val="32"/>
          <w:szCs w:val="32"/>
        </w:rPr>
        <w:t>万元，占</w:t>
      </w:r>
      <w:r>
        <w:rPr>
          <w:rFonts w:ascii="仿宋" w:eastAsia="仿宋" w:hint="eastAsia"/>
          <w:b w:val="0"/>
          <w:bCs w:val="0"/>
          <w:color w:val="000000"/>
          <w:sz w:val="32"/>
          <w:szCs w:val="32"/>
          <w:lang w:val="en-US" w:eastAsia="zh-CN"/>
        </w:rPr>
        <w:t>11.3</w:t>
      </w:r>
      <w:r>
        <w:rPr>
          <w:rFonts w:ascii="仿宋" w:eastAsia="仿宋"/>
          <w:b w:val="0"/>
          <w:bCs w:val="0"/>
          <w:color w:val="000000"/>
          <w:sz w:val="32"/>
          <w:szCs w:val="32"/>
        </w:rPr>
        <w:t>%</w:t>
      </w:r>
      <w:r>
        <w:rPr>
          <w:rFonts w:ascii="仿宋" w:eastAsia="仿宋" w:hint="eastAsia"/>
          <w:b w:val="0"/>
          <w:bCs w:val="0"/>
          <w:color w:val="000000"/>
          <w:sz w:val="32"/>
          <w:szCs w:val="32"/>
        </w:rPr>
        <w:t>；卫生健康支出</w:t>
      </w:r>
      <w:r>
        <w:rPr>
          <w:rFonts w:ascii="仿宋" w:eastAsia="仿宋" w:hint="eastAsia"/>
          <w:b w:val="0"/>
          <w:bCs w:val="0"/>
          <w:color w:val="000000"/>
          <w:sz w:val="32"/>
          <w:szCs w:val="32"/>
          <w:lang w:val="en-US" w:eastAsia="zh-CN"/>
        </w:rPr>
        <w:t>3.41</w:t>
      </w:r>
      <w:r>
        <w:rPr>
          <w:rFonts w:ascii="仿宋" w:eastAsia="仿宋" w:hint="eastAsia"/>
          <w:color w:val="000000"/>
          <w:sz w:val="32"/>
          <w:szCs w:val="32"/>
        </w:rPr>
        <w:t>万元，占</w:t>
      </w:r>
      <w:r>
        <w:rPr>
          <w:rFonts w:ascii="仿宋" w:eastAsia="仿宋" w:hint="eastAsia"/>
          <w:color w:val="000000"/>
          <w:sz w:val="32"/>
          <w:szCs w:val="32"/>
          <w:lang w:val="en-US" w:eastAsia="zh-CN"/>
        </w:rPr>
        <w:t>5.15</w:t>
      </w:r>
      <w:r>
        <w:rPr>
          <w:rFonts w:ascii="仿宋" w:eastAsia="仿宋"/>
          <w:color w:val="000000"/>
          <w:sz w:val="32"/>
          <w:szCs w:val="32"/>
        </w:rPr>
        <w:t>%</w:t>
      </w:r>
      <w:r>
        <w:rPr>
          <w:rFonts w:ascii="仿宋" w:eastAsia="仿宋" w:hint="eastAsia"/>
          <w:color w:val="000000"/>
          <w:sz w:val="32"/>
          <w:szCs w:val="32"/>
        </w:rPr>
        <w:t>；住房保障支出</w:t>
      </w:r>
      <w:r>
        <w:rPr>
          <w:rFonts w:ascii="仿宋" w:eastAsia="仿宋" w:hint="eastAsia"/>
          <w:color w:val="000000"/>
          <w:sz w:val="32"/>
          <w:szCs w:val="32"/>
          <w:lang w:val="en-US" w:eastAsia="zh-CN"/>
        </w:rPr>
        <w:t>4.44</w:t>
      </w:r>
      <w:r>
        <w:rPr>
          <w:rFonts w:ascii="仿宋" w:eastAsia="仿宋" w:hint="eastAsia"/>
          <w:color w:val="000000"/>
          <w:sz w:val="32"/>
          <w:szCs w:val="32"/>
        </w:rPr>
        <w:t>万元，占</w:t>
      </w:r>
      <w:r>
        <w:rPr>
          <w:rFonts w:ascii="仿宋" w:eastAsia="仿宋" w:hint="eastAsia"/>
          <w:color w:val="000000"/>
          <w:sz w:val="32"/>
          <w:szCs w:val="32"/>
          <w:lang w:val="en-US" w:eastAsia="zh-CN"/>
        </w:rPr>
        <w:t>6.71</w:t>
      </w:r>
      <w:r>
        <w:rPr>
          <w:rFonts w:ascii="仿宋" w:eastAsia="仿宋"/>
          <w:color w:val="000000"/>
          <w:sz w:val="32"/>
          <w:szCs w:val="32"/>
        </w:rPr>
        <w:t>%</w:t>
      </w:r>
      <w:r>
        <w:rPr>
          <w:rFonts w:ascii="仿宋" w:eastAsia="仿宋" w:hint="eastAsia"/>
          <w:color w:val="000000"/>
          <w:sz w:val="32"/>
          <w:szCs w:val="32"/>
        </w:rPr>
        <w:t>；</w:t>
      </w:r>
    </w:p>
    <w:p>
      <w:pPr>
        <w:pStyle w:val="20"/>
        <w:shd w:val="clear" w:color="auto" w:fill="FFFFFF"/>
        <w:spacing w:line="560" w:lineRule="exact"/>
        <w:ind w:firstLineChars="200" w:firstLine="640"/>
        <w:rPr>
          <w:rFonts w:ascii="仿宋" w:eastAsia="仿宋" w:hint="eastAsia"/>
          <w:b/>
          <w:bCs/>
          <w:sz w:val="32"/>
          <w:szCs w:val="32"/>
        </w:rPr>
      </w:pPr>
      <w:r>
        <w:rPr>
          <w:rFonts w:ascii="仿宋" w:eastAsia="仿宋"/>
          <w:color w:val="000000"/>
          <w:sz w:val="32"/>
          <w:szCs w:val="32"/>
        </w:rPr>
        <w:drawing>
          <wp:anchor distT="0" distB="0" distL="0" distR="0" simplePos="0" relativeHeight="32" behindDoc="0" locked="0" layoutInCell="1" hidden="0" allowOverlap="1">
            <wp:simplePos x="0" y="0"/>
            <wp:positionH relativeFrom="column">
              <wp:posOffset>370204</wp:posOffset>
            </wp:positionH>
            <wp:positionV relativeFrom="page">
              <wp:posOffset>1960245</wp:posOffset>
            </wp:positionV>
            <wp:extent cx="4380865" cy="2492375"/>
            <wp:effectExtent l="0" t="0" r="0" b="0"/>
            <wp:wrapTopAndBottom/>
            <wp:docPr id="12" name="图表 1"/>
            <wp:cNvGraphicFramePr>
              <a:graphicFrameLocks noChangeAspect="0"/>
            </wp:cNvGraphicFramePr>
            <a:graphic>
              <a:graphicData uri="http://schemas.openxmlformats.org/drawingml/2006/chart">
                <c:chart xmlns:c="http://schemas.openxmlformats.org/drawingml/2006/chart" r:id="rId10"/>
              </a:graphicData>
            </a:graphic>
          </wp:anchor>
        </w:drawing>
      </w:r>
      <w:r>
        <w:rPr>
          <w:rFonts w:ascii="仿宋" w:eastAsia="仿宋" w:hint="eastAsia"/>
          <w:sz w:val="32"/>
          <w:szCs w:val="32"/>
        </w:rPr>
        <w:t>（图6：一般公共预算财政拨款支出决算结构）（饼状图）</w:t>
      </w:r>
    </w:p>
    <w:p>
      <w:pPr>
        <w:spacing w:line="600" w:lineRule="exact"/>
        <w:ind w:firstLineChars="200" w:firstLine="640"/>
        <w:outlineLvl w:val="2"/>
        <w:rPr>
          <w:rFonts w:ascii="仿宋" w:eastAsia="仿宋"/>
          <w:b/>
          <w:sz w:val="32"/>
          <w:szCs w:val="32"/>
        </w:rPr>
      </w:pPr>
      <w:bookmarkStart w:id="30" w:name="_Toc15377212"/>
      <w:r>
        <w:rPr>
          <w:rFonts w:ascii="仿宋" w:eastAsia="仿宋" w:hint="eastAsia"/>
          <w:b/>
          <w:sz w:val="32"/>
          <w:szCs w:val="32"/>
        </w:rPr>
        <w:t>（三）一般公共预算财政拨款支出决算具体情况</w:t>
      </w:r>
      <w:bookmarkEnd w:id="30"/>
    </w:p>
    <w:p>
      <w:pPr>
        <w:spacing w:line="600" w:lineRule="exact"/>
        <w:ind w:firstLineChars="200" w:firstLine="640"/>
        <w:outlineLvl w:val="2"/>
        <w:rPr>
          <w:rFonts w:ascii="仿宋" w:eastAsia="仿宋"/>
          <w:sz w:val="32"/>
          <w:szCs w:val="32"/>
        </w:rPr>
      </w:pPr>
      <w:bookmarkStart w:id="31" w:name="_Toc15377213"/>
      <w:bookmarkStart w:id="32" w:name="_Toc15377444"/>
      <w:bookmarkStart w:id="33" w:name="_Toc15378460"/>
      <w:r>
        <w:rPr>
          <w:rFonts w:ascii="仿宋" w:eastAsia="仿宋" w:hint="eastAsia"/>
          <w:b/>
          <w:sz w:val="32"/>
          <w:szCs w:val="32"/>
        </w:rPr>
        <w:t>202</w:t>
      </w:r>
      <w:r>
        <w:rPr>
          <w:rFonts w:ascii="仿宋" w:eastAsia="仿宋" w:hint="eastAsia"/>
          <w:b/>
          <w:sz w:val="32"/>
          <w:szCs w:val="32"/>
          <w:lang w:val="en-US" w:eastAsia="zh-CN"/>
        </w:rPr>
        <w:t>5</w:t>
      </w:r>
      <w:r>
        <w:rPr>
          <w:rFonts w:ascii="仿宋" w:eastAsia="仿宋" w:hint="eastAsia"/>
          <w:b/>
          <w:sz w:val="32"/>
          <w:szCs w:val="32"/>
        </w:rPr>
        <w:t>年一般公共预算支出决算数</w:t>
      </w:r>
      <w:r>
        <w:rPr>
          <w:rFonts w:ascii="仿宋" w:eastAsia="仿宋" w:hint="eastAsia"/>
          <w:b/>
          <w:sz w:val="32"/>
          <w:szCs w:val="32"/>
          <w:lang w:val="en-US" w:eastAsia="zh-CN"/>
        </w:rPr>
        <w:t>53.44</w:t>
      </w:r>
      <w:r>
        <w:rPr>
          <w:rFonts w:ascii="仿宋" w:eastAsia="仿宋" w:hint="eastAsia"/>
          <w:sz w:val="32"/>
          <w:szCs w:val="32"/>
        </w:rPr>
        <w:t>，</w:t>
      </w:r>
      <w:r>
        <w:rPr>
          <w:rStyle w:val="21"/>
          <w:rFonts w:ascii="仿宋" w:eastAsia="仿宋" w:hint="eastAsia"/>
          <w:bCs/>
          <w:sz w:val="32"/>
          <w:szCs w:val="32"/>
        </w:rPr>
        <w:t>完成预算</w:t>
      </w:r>
      <w:r>
        <w:rPr>
          <w:rStyle w:val="21"/>
          <w:rFonts w:ascii="仿宋" w:eastAsia="仿宋" w:hint="eastAsia"/>
          <w:bCs/>
          <w:sz w:val="32"/>
          <w:szCs w:val="32"/>
          <w:lang w:val="en-US" w:eastAsia="zh-CN"/>
        </w:rPr>
        <w:t>100</w:t>
      </w:r>
      <w:r>
        <w:rPr>
          <w:rStyle w:val="21"/>
          <w:rFonts w:ascii="仿宋" w:eastAsia="仿宋"/>
          <w:bCs/>
          <w:sz w:val="32"/>
          <w:szCs w:val="32"/>
        </w:rPr>
        <w:t>%</w:t>
      </w:r>
      <w:r>
        <w:rPr>
          <w:rStyle w:val="21"/>
          <w:rFonts w:ascii="仿宋" w:eastAsia="仿宋" w:hint="eastAsia"/>
          <w:bCs/>
          <w:sz w:val="32"/>
          <w:szCs w:val="32"/>
        </w:rPr>
        <w:t>。其中：</w:t>
      </w:r>
      <w:bookmarkEnd w:id="31"/>
      <w:bookmarkEnd w:id="32"/>
      <w:bookmarkEnd w:id="33"/>
    </w:p>
    <w:p>
      <w:pPr>
        <w:spacing w:line="600" w:lineRule="exact"/>
        <w:ind w:firstLineChars="200" w:firstLine="640"/>
        <w:rPr>
          <w:rFonts w:ascii="仿宋" w:eastAsia="仿宋" w:hint="eastAsia"/>
          <w:b/>
          <w:sz w:val="32"/>
          <w:szCs w:val="32"/>
          <w:lang w:eastAsia="zh-CN"/>
        </w:rPr>
      </w:pPr>
      <w:r>
        <w:rPr>
          <w:rStyle w:val="21"/>
          <w:rFonts w:ascii="仿宋" w:eastAsia="仿宋"/>
          <w:bCs/>
          <w:sz w:val="32"/>
          <w:szCs w:val="32"/>
        </w:rPr>
        <w:t>1.</w:t>
      </w:r>
      <w:r>
        <w:rPr>
          <w:rStyle w:val="21"/>
          <w:rFonts w:ascii="仿宋" w:eastAsia="仿宋" w:hint="eastAsia"/>
          <w:bCs/>
          <w:sz w:val="32"/>
          <w:szCs w:val="32"/>
        </w:rPr>
        <w:t>一般公共服务（类）群众团体事务（款）事业运行（项）:</w:t>
      </w:r>
      <w:r>
        <w:rPr>
          <w:rStyle w:val="21"/>
          <w:rFonts w:ascii="仿宋" w:eastAsia="仿宋" w:hint="eastAsia"/>
          <w:b w:val="0"/>
          <w:bCs/>
          <w:sz w:val="32"/>
          <w:szCs w:val="32"/>
        </w:rPr>
        <w:t>决算为</w:t>
      </w:r>
      <w:r>
        <w:rPr>
          <w:rStyle w:val="21"/>
          <w:rFonts w:ascii="仿宋" w:eastAsia="仿宋" w:hint="eastAsia"/>
          <w:b w:val="0"/>
          <w:bCs/>
          <w:sz w:val="32"/>
          <w:szCs w:val="32"/>
          <w:lang w:val="en-US" w:eastAsia="zh-CN"/>
        </w:rPr>
        <w:t>50.88</w:t>
      </w:r>
      <w:r>
        <w:rPr>
          <w:rStyle w:val="21"/>
          <w:rFonts w:ascii="仿宋" w:eastAsia="仿宋" w:hint="eastAsia"/>
          <w:b w:val="0"/>
          <w:bCs/>
          <w:sz w:val="32"/>
          <w:szCs w:val="32"/>
        </w:rPr>
        <w:t>万元，完成预算</w:t>
      </w:r>
      <w:r>
        <w:rPr>
          <w:rStyle w:val="21"/>
          <w:rFonts w:ascii="仿宋" w:eastAsia="仿宋" w:hint="eastAsia"/>
          <w:b w:val="0"/>
          <w:bCs/>
          <w:sz w:val="32"/>
          <w:szCs w:val="32"/>
          <w:lang w:val="en-US" w:eastAsia="zh-CN"/>
        </w:rPr>
        <w:t>100</w:t>
      </w:r>
      <w:r>
        <w:rPr>
          <w:rStyle w:val="21"/>
          <w:rFonts w:ascii="仿宋" w:eastAsia="仿宋"/>
          <w:b w:val="0"/>
          <w:bCs/>
          <w:sz w:val="32"/>
          <w:szCs w:val="32"/>
        </w:rPr>
        <w:t>%</w:t>
      </w:r>
      <w:r>
        <w:rPr>
          <w:rStyle w:val="21"/>
          <w:rFonts w:ascii="仿宋" w:eastAsia="仿宋" w:hint="eastAsia"/>
          <w:b w:val="0"/>
          <w:bCs/>
          <w:sz w:val="32"/>
          <w:szCs w:val="32"/>
        </w:rPr>
        <w:t>。</w:t>
      </w:r>
      <w:r>
        <w:rPr>
          <w:rStyle w:val="21"/>
          <w:rFonts w:ascii="仿宋" w:eastAsia="仿宋" w:hint="eastAsia"/>
          <w:b w:val="0"/>
          <w:bCs/>
          <w:sz w:val="32"/>
          <w:szCs w:val="32"/>
          <w:lang w:eastAsia="zh-CN"/>
        </w:rPr>
        <w:t>决算数与预算数持平。</w:t>
      </w:r>
    </w:p>
    <w:p>
      <w:pPr>
        <w:spacing w:line="600" w:lineRule="exact"/>
        <w:ind w:firstLineChars="200" w:firstLine="640"/>
        <w:rPr>
          <w:rFonts w:ascii="仿宋" w:eastAsia="仿宋" w:hint="eastAsia"/>
          <w:b/>
          <w:sz w:val="32"/>
          <w:szCs w:val="32"/>
          <w:lang w:eastAsia="zh-CN"/>
        </w:rPr>
      </w:pPr>
      <w:r>
        <w:rPr>
          <w:rStyle w:val="21"/>
          <w:rFonts w:ascii="仿宋" w:eastAsia="仿宋" w:hint="eastAsia"/>
          <w:bCs/>
          <w:color w:val="000000"/>
          <w:sz w:val="32"/>
          <w:szCs w:val="32"/>
          <w:lang w:val="en-US" w:eastAsia="zh-CN"/>
        </w:rPr>
        <w:t>2</w:t>
      </w:r>
      <w:r>
        <w:rPr>
          <w:rStyle w:val="21"/>
          <w:rFonts w:ascii="仿宋" w:eastAsia="仿宋"/>
          <w:bCs/>
          <w:color w:val="000000"/>
          <w:sz w:val="32"/>
          <w:szCs w:val="32"/>
        </w:rPr>
        <w:t>.</w:t>
      </w:r>
      <w:r>
        <w:rPr>
          <w:rStyle w:val="21"/>
          <w:rFonts w:ascii="仿宋" w:eastAsia="仿宋" w:hint="eastAsia"/>
          <w:bCs/>
          <w:color w:val="000000"/>
          <w:sz w:val="32"/>
          <w:szCs w:val="32"/>
        </w:rPr>
        <w:t>社会保障和就业（类）行政事业单位养老支出（款）机关事业单位养老保险缴费支出（项）:</w:t>
      </w:r>
      <w:r>
        <w:rPr>
          <w:rStyle w:val="21"/>
          <w:rFonts w:ascii="仿宋" w:eastAsia="仿宋" w:hint="eastAsia"/>
          <w:b w:val="0"/>
          <w:bCs/>
          <w:color w:val="000000"/>
          <w:sz w:val="32"/>
          <w:szCs w:val="32"/>
        </w:rPr>
        <w:t>决算为</w:t>
      </w:r>
      <w:r>
        <w:rPr>
          <w:rStyle w:val="21"/>
          <w:rFonts w:ascii="仿宋" w:eastAsia="仿宋" w:hint="eastAsia"/>
          <w:b w:val="0"/>
          <w:bCs/>
          <w:color w:val="000000"/>
          <w:sz w:val="32"/>
          <w:szCs w:val="32"/>
          <w:lang w:val="en-US" w:eastAsia="zh-CN"/>
        </w:rPr>
        <w:t>4.99</w:t>
      </w:r>
      <w:r>
        <w:rPr>
          <w:rStyle w:val="21"/>
          <w:rFonts w:ascii="仿宋" w:eastAsia="仿宋" w:hint="eastAsia"/>
          <w:b w:val="0"/>
          <w:bCs/>
          <w:color w:val="000000"/>
          <w:sz w:val="32"/>
          <w:szCs w:val="32"/>
        </w:rPr>
        <w:t>万元，完成预算</w:t>
      </w:r>
      <w:r>
        <w:rPr>
          <w:rStyle w:val="21"/>
          <w:rFonts w:ascii="仿宋" w:eastAsia="仿宋" w:hint="eastAsia"/>
          <w:b w:val="0"/>
          <w:bCs/>
          <w:color w:val="000000"/>
          <w:sz w:val="32"/>
          <w:szCs w:val="32"/>
          <w:lang w:val="en-US" w:eastAsia="zh-CN"/>
        </w:rPr>
        <w:t>100</w:t>
      </w:r>
      <w:r>
        <w:rPr>
          <w:rStyle w:val="21"/>
          <w:rFonts w:ascii="仿宋" w:eastAsia="仿宋"/>
          <w:b w:val="0"/>
          <w:bCs/>
          <w:color w:val="000000"/>
          <w:sz w:val="32"/>
          <w:szCs w:val="32"/>
        </w:rPr>
        <w:t>%</w:t>
      </w:r>
      <w:r>
        <w:rPr>
          <w:rStyle w:val="21"/>
          <w:rFonts w:ascii="仿宋" w:eastAsia="仿宋" w:hint="eastAsia"/>
          <w:b w:val="0"/>
          <w:bCs/>
          <w:color w:val="000000"/>
          <w:sz w:val="32"/>
          <w:szCs w:val="32"/>
          <w:lang w:eastAsia="zh-CN"/>
        </w:rPr>
        <w:t>。</w:t>
      </w:r>
      <w:r>
        <w:rPr>
          <w:rStyle w:val="21"/>
          <w:rFonts w:ascii="仿宋" w:eastAsia="仿宋" w:hint="eastAsia"/>
          <w:b w:val="0"/>
          <w:bCs/>
          <w:sz w:val="32"/>
          <w:szCs w:val="32"/>
          <w:lang w:eastAsia="zh-CN"/>
        </w:rPr>
        <w:t>决算数与预算数持平。</w:t>
      </w:r>
    </w:p>
    <w:p>
      <w:pPr>
        <w:spacing w:line="600" w:lineRule="exact"/>
        <w:ind w:firstLineChars="200" w:firstLine="640"/>
        <w:rPr>
          <w:rStyle w:val="21"/>
          <w:rFonts w:ascii="仿宋" w:eastAsia="仿宋" w:hint="eastAsia"/>
          <w:b w:val="0"/>
          <w:bCs/>
          <w:color w:val="000000"/>
          <w:sz w:val="32"/>
          <w:szCs w:val="32"/>
          <w:lang w:eastAsia="zh-CN"/>
        </w:rPr>
      </w:pPr>
      <w:r>
        <w:rPr>
          <w:rStyle w:val="21"/>
          <w:rFonts w:ascii="仿宋" w:eastAsia="仿宋" w:hint="eastAsia"/>
          <w:bCs/>
          <w:color w:val="000000"/>
          <w:sz w:val="32"/>
          <w:szCs w:val="32"/>
          <w:lang w:val="en-US" w:eastAsia="zh-CN"/>
        </w:rPr>
        <w:t>3</w:t>
      </w:r>
      <w:r>
        <w:rPr>
          <w:rStyle w:val="21"/>
          <w:rFonts w:ascii="仿宋" w:eastAsia="仿宋"/>
          <w:bCs/>
          <w:color w:val="000000"/>
          <w:sz w:val="32"/>
          <w:szCs w:val="32"/>
        </w:rPr>
        <w:t>.</w:t>
      </w:r>
      <w:bookmarkStart w:id="34" w:name="_GoBack"/>
      <w:bookmarkEnd w:id="34"/>
      <w:r>
        <w:rPr>
          <w:rStyle w:val="21"/>
          <w:rFonts w:ascii="仿宋" w:eastAsia="仿宋" w:hint="eastAsia"/>
          <w:bCs/>
          <w:color w:val="000000"/>
          <w:sz w:val="32"/>
          <w:szCs w:val="32"/>
        </w:rPr>
        <w:t>社会保障和就业（类）行政事业单位养老支出（款）机关事业单位职业年金缴费支出（项）:</w:t>
      </w:r>
      <w:r>
        <w:rPr>
          <w:rStyle w:val="21"/>
          <w:rFonts w:ascii="仿宋" w:eastAsia="仿宋" w:hint="eastAsia"/>
          <w:b w:val="0"/>
          <w:bCs/>
          <w:color w:val="000000"/>
          <w:sz w:val="32"/>
          <w:szCs w:val="32"/>
        </w:rPr>
        <w:t>决算为</w:t>
      </w:r>
      <w:r>
        <w:rPr>
          <w:rStyle w:val="21"/>
          <w:rFonts w:ascii="仿宋" w:eastAsia="仿宋" w:hint="eastAsia"/>
          <w:b w:val="0"/>
          <w:bCs/>
          <w:color w:val="000000"/>
          <w:sz w:val="32"/>
          <w:szCs w:val="32"/>
          <w:lang w:val="en-US" w:eastAsia="zh-CN"/>
        </w:rPr>
        <w:t>2.49</w:t>
      </w:r>
      <w:r>
        <w:rPr>
          <w:rStyle w:val="21"/>
          <w:rFonts w:ascii="仿宋" w:eastAsia="仿宋" w:hint="eastAsia"/>
          <w:b w:val="0"/>
          <w:bCs/>
          <w:color w:val="000000"/>
          <w:sz w:val="32"/>
          <w:szCs w:val="32"/>
        </w:rPr>
        <w:t>万元，完成预算</w:t>
      </w:r>
      <w:r>
        <w:rPr>
          <w:rStyle w:val="21"/>
          <w:rFonts w:ascii="仿宋" w:eastAsia="仿宋" w:hint="eastAsia"/>
          <w:b w:val="0"/>
          <w:bCs/>
          <w:color w:val="000000"/>
          <w:sz w:val="32"/>
          <w:szCs w:val="32"/>
          <w:lang w:val="en-US" w:eastAsia="zh-CN"/>
        </w:rPr>
        <w:t>100</w:t>
      </w:r>
      <w:r>
        <w:rPr>
          <w:rStyle w:val="21"/>
          <w:rFonts w:ascii="仿宋" w:eastAsia="仿宋"/>
          <w:b w:val="0"/>
          <w:bCs/>
          <w:color w:val="000000"/>
          <w:sz w:val="32"/>
          <w:szCs w:val="32"/>
        </w:rPr>
        <w:t>%</w:t>
      </w:r>
      <w:r>
        <w:rPr>
          <w:rStyle w:val="21"/>
          <w:rFonts w:ascii="仿宋" w:eastAsia="仿宋" w:hint="eastAsia"/>
          <w:b w:val="0"/>
          <w:bCs/>
          <w:color w:val="000000"/>
          <w:sz w:val="32"/>
          <w:szCs w:val="32"/>
          <w:lang w:eastAsia="zh-CN"/>
        </w:rPr>
        <w:t>。</w:t>
      </w:r>
      <w:r>
        <w:rPr>
          <w:rStyle w:val="21"/>
          <w:rFonts w:ascii="仿宋" w:eastAsia="仿宋" w:hint="eastAsia"/>
          <w:b w:val="0"/>
          <w:bCs/>
          <w:sz w:val="32"/>
          <w:szCs w:val="32"/>
          <w:lang w:eastAsia="zh-CN"/>
        </w:rPr>
        <w:t>决算数与预算数持平。</w:t>
      </w:r>
    </w:p>
    <w:p>
      <w:pPr>
        <w:spacing w:line="600" w:lineRule="exact"/>
        <w:ind w:firstLineChars="200" w:firstLine="640"/>
        <w:rPr>
          <w:rStyle w:val="21"/>
          <w:rFonts w:ascii="仿宋" w:eastAsia="仿宋" w:hint="eastAsia"/>
          <w:b w:val="0"/>
          <w:bCs/>
          <w:color w:val="000000"/>
          <w:sz w:val="32"/>
          <w:szCs w:val="32"/>
          <w:lang w:eastAsia="zh-CN"/>
        </w:rPr>
      </w:pPr>
      <w:r>
        <w:rPr>
          <w:rStyle w:val="21"/>
          <w:rFonts w:ascii="仿宋" w:eastAsia="仿宋" w:hint="eastAsia"/>
          <w:bCs/>
          <w:color w:val="000000"/>
          <w:sz w:val="32"/>
          <w:szCs w:val="32"/>
          <w:lang w:val="en-US" w:eastAsia="zh-CN"/>
        </w:rPr>
        <w:t>4</w:t>
      </w:r>
      <w:r>
        <w:rPr>
          <w:rStyle w:val="21"/>
          <w:rFonts w:ascii="仿宋" w:eastAsia="仿宋"/>
          <w:bCs/>
          <w:color w:val="000000"/>
          <w:sz w:val="32"/>
          <w:szCs w:val="32"/>
        </w:rPr>
        <w:t>.</w:t>
      </w:r>
      <w:r>
        <w:rPr>
          <w:rFonts w:ascii="仿宋" w:eastAsia="仿宋" w:hint="eastAsia"/>
          <w:b/>
          <w:bCs/>
          <w:color w:val="000000"/>
          <w:sz w:val="32"/>
          <w:szCs w:val="32"/>
        </w:rPr>
        <w:t>卫生健康</w:t>
      </w:r>
      <w:r>
        <w:rPr>
          <w:rFonts w:ascii="仿宋" w:eastAsia="仿宋" w:hint="eastAsia"/>
          <w:b/>
          <w:bCs/>
          <w:color w:val="000000"/>
          <w:sz w:val="32"/>
          <w:szCs w:val="32"/>
          <w:lang w:eastAsia="zh-CN"/>
        </w:rPr>
        <w:t>支出</w:t>
      </w:r>
      <w:r>
        <w:rPr>
          <w:rFonts w:ascii="仿宋" w:eastAsia="仿宋" w:hint="eastAsia"/>
          <w:b/>
          <w:bCs/>
          <w:color w:val="000000"/>
          <w:sz w:val="32"/>
          <w:szCs w:val="32"/>
        </w:rPr>
        <w:t>（类）行政事业单位医疗（款）事业单位医疗支出（项）:</w:t>
      </w:r>
      <w:r>
        <w:rPr>
          <w:rStyle w:val="21"/>
          <w:rFonts w:ascii="仿宋" w:eastAsia="仿宋" w:hint="eastAsia"/>
          <w:b w:val="0"/>
          <w:bCs/>
          <w:color w:val="000000"/>
          <w:sz w:val="32"/>
          <w:szCs w:val="32"/>
        </w:rPr>
        <w:t>决算为</w:t>
      </w:r>
      <w:r>
        <w:rPr>
          <w:rStyle w:val="21"/>
          <w:rFonts w:ascii="仿宋" w:eastAsia="仿宋" w:hint="eastAsia"/>
          <w:b w:val="0"/>
          <w:bCs/>
          <w:color w:val="000000"/>
          <w:sz w:val="32"/>
          <w:szCs w:val="32"/>
          <w:lang w:val="en-US" w:eastAsia="zh-CN"/>
        </w:rPr>
        <w:t>2.51</w:t>
      </w:r>
      <w:r>
        <w:rPr>
          <w:rStyle w:val="21"/>
          <w:rFonts w:ascii="仿宋" w:eastAsia="仿宋" w:hint="eastAsia"/>
          <w:b w:val="0"/>
          <w:bCs/>
          <w:color w:val="000000"/>
          <w:sz w:val="32"/>
          <w:szCs w:val="32"/>
        </w:rPr>
        <w:t>万元，完成预算</w:t>
      </w:r>
      <w:r>
        <w:rPr>
          <w:rStyle w:val="21"/>
          <w:rFonts w:ascii="仿宋" w:eastAsia="仿宋" w:hint="eastAsia"/>
          <w:b w:val="0"/>
          <w:bCs/>
          <w:color w:val="000000"/>
          <w:sz w:val="32"/>
          <w:szCs w:val="32"/>
          <w:lang w:val="en-US" w:eastAsia="zh-CN"/>
        </w:rPr>
        <w:t>100</w:t>
      </w:r>
      <w:r>
        <w:rPr>
          <w:rStyle w:val="21"/>
          <w:rFonts w:ascii="仿宋" w:eastAsia="仿宋"/>
          <w:b w:val="0"/>
          <w:bCs/>
          <w:color w:val="000000"/>
          <w:sz w:val="32"/>
          <w:szCs w:val="32"/>
        </w:rPr>
        <w:t>%</w:t>
      </w:r>
      <w:r>
        <w:rPr>
          <w:rStyle w:val="21"/>
          <w:rFonts w:ascii="仿宋" w:eastAsia="仿宋" w:hint="eastAsia"/>
          <w:b w:val="0"/>
          <w:bCs/>
          <w:color w:val="000000"/>
          <w:sz w:val="32"/>
          <w:szCs w:val="32"/>
          <w:lang w:eastAsia="zh-CN"/>
        </w:rPr>
        <w:t>。</w:t>
      </w:r>
      <w:r>
        <w:rPr>
          <w:rStyle w:val="21"/>
          <w:rFonts w:ascii="仿宋" w:eastAsia="仿宋" w:hint="eastAsia"/>
          <w:b w:val="0"/>
          <w:bCs/>
          <w:sz w:val="32"/>
          <w:szCs w:val="32"/>
          <w:lang w:eastAsia="zh-CN"/>
        </w:rPr>
        <w:t>决算数与预算数持平。</w:t>
      </w:r>
    </w:p>
    <w:p>
      <w:pPr>
        <w:spacing w:line="600" w:lineRule="exact"/>
        <w:ind w:firstLineChars="200" w:firstLine="640"/>
        <w:rPr>
          <w:rFonts w:ascii="仿宋" w:eastAsia="仿宋" w:hint="eastAsia"/>
          <w:b/>
          <w:sz w:val="32"/>
          <w:szCs w:val="32"/>
          <w:lang w:eastAsia="zh-CN"/>
        </w:rPr>
      </w:pPr>
      <w:r>
        <w:rPr>
          <w:rStyle w:val="21"/>
          <w:rFonts w:ascii="仿宋" w:eastAsia="仿宋" w:hint="eastAsia"/>
          <w:bCs/>
          <w:color w:val="000000"/>
          <w:sz w:val="32"/>
          <w:szCs w:val="32"/>
          <w:lang w:val="en-US" w:eastAsia="zh-CN"/>
        </w:rPr>
        <w:t>5</w:t>
      </w:r>
      <w:r>
        <w:rPr>
          <w:rStyle w:val="21"/>
          <w:rFonts w:ascii="仿宋" w:eastAsia="仿宋"/>
          <w:bCs/>
          <w:color w:val="000000"/>
          <w:sz w:val="32"/>
          <w:szCs w:val="32"/>
        </w:rPr>
        <w:t>.</w:t>
      </w:r>
      <w:r>
        <w:rPr>
          <w:rStyle w:val="21"/>
          <w:rFonts w:ascii="仿宋" w:eastAsia="仿宋" w:hint="eastAsia"/>
          <w:bCs/>
          <w:color w:val="000000"/>
          <w:sz w:val="32"/>
          <w:szCs w:val="32"/>
          <w:lang w:eastAsia="zh-CN"/>
        </w:rPr>
        <w:t>卫</w:t>
      </w:r>
      <w:r>
        <w:rPr>
          <w:rFonts w:ascii="仿宋" w:eastAsia="仿宋" w:hint="eastAsia"/>
          <w:b/>
          <w:bCs/>
          <w:color w:val="000000"/>
          <w:sz w:val="32"/>
          <w:szCs w:val="32"/>
        </w:rPr>
        <w:t>生健康</w:t>
      </w:r>
      <w:r>
        <w:rPr>
          <w:rFonts w:ascii="仿宋" w:eastAsia="仿宋" w:hint="eastAsia"/>
          <w:b/>
          <w:bCs/>
          <w:color w:val="000000"/>
          <w:sz w:val="32"/>
          <w:szCs w:val="32"/>
          <w:lang w:eastAsia="zh-CN"/>
        </w:rPr>
        <w:t>支出</w:t>
      </w:r>
      <w:r>
        <w:rPr>
          <w:rFonts w:ascii="仿宋" w:eastAsia="仿宋" w:hint="eastAsia"/>
          <w:b/>
          <w:bCs/>
          <w:color w:val="000000"/>
          <w:sz w:val="32"/>
          <w:szCs w:val="32"/>
        </w:rPr>
        <w:t>（类）行政事业单位医疗（款）其他行政事业单位医疗支出（项）:</w:t>
      </w:r>
      <w:r>
        <w:rPr>
          <w:rStyle w:val="21"/>
          <w:rFonts w:ascii="仿宋" w:eastAsia="仿宋" w:hint="eastAsia"/>
          <w:b w:val="0"/>
          <w:bCs/>
          <w:color w:val="000000"/>
          <w:sz w:val="32"/>
          <w:szCs w:val="32"/>
        </w:rPr>
        <w:t>决算为</w:t>
      </w:r>
      <w:r>
        <w:rPr>
          <w:rStyle w:val="21"/>
          <w:rFonts w:ascii="仿宋" w:eastAsia="仿宋" w:hint="eastAsia"/>
          <w:b w:val="0"/>
          <w:bCs/>
          <w:color w:val="000000"/>
          <w:sz w:val="32"/>
          <w:szCs w:val="32"/>
          <w:lang w:val="en-US" w:eastAsia="zh-CN"/>
        </w:rPr>
        <w:t>0.9</w:t>
      </w:r>
      <w:r>
        <w:rPr>
          <w:rStyle w:val="21"/>
          <w:rFonts w:ascii="仿宋" w:eastAsia="仿宋" w:hint="eastAsia"/>
          <w:b w:val="0"/>
          <w:bCs/>
          <w:color w:val="000000"/>
          <w:sz w:val="32"/>
          <w:szCs w:val="32"/>
        </w:rPr>
        <w:t>万元，完成预算</w:t>
      </w:r>
      <w:r>
        <w:rPr>
          <w:rStyle w:val="21"/>
          <w:rFonts w:ascii="仿宋" w:eastAsia="仿宋" w:hint="eastAsia"/>
          <w:b w:val="0"/>
          <w:bCs/>
          <w:color w:val="000000"/>
          <w:sz w:val="32"/>
          <w:szCs w:val="32"/>
          <w:lang w:val="en-US" w:eastAsia="zh-CN"/>
        </w:rPr>
        <w:t>100</w:t>
      </w:r>
      <w:r>
        <w:rPr>
          <w:rStyle w:val="21"/>
          <w:rFonts w:ascii="仿宋" w:eastAsia="仿宋"/>
          <w:b w:val="0"/>
          <w:bCs/>
          <w:color w:val="000000"/>
          <w:sz w:val="32"/>
          <w:szCs w:val="32"/>
        </w:rPr>
        <w:t>%</w:t>
      </w:r>
      <w:r>
        <w:rPr>
          <w:rStyle w:val="21"/>
          <w:rFonts w:ascii="仿宋" w:eastAsia="仿宋" w:hint="eastAsia"/>
          <w:b w:val="0"/>
          <w:bCs/>
          <w:color w:val="000000"/>
          <w:sz w:val="32"/>
          <w:szCs w:val="32"/>
          <w:lang w:val="en-US" w:eastAsia="zh-CN"/>
        </w:rPr>
        <w:t>.</w:t>
      </w:r>
      <w:r>
        <w:rPr>
          <w:rStyle w:val="21"/>
          <w:rFonts w:ascii="仿宋" w:eastAsia="仿宋" w:hint="eastAsia"/>
          <w:b w:val="0"/>
          <w:bCs/>
          <w:sz w:val="32"/>
          <w:szCs w:val="32"/>
          <w:lang w:eastAsia="zh-CN"/>
        </w:rPr>
        <w:t>决算数与预算数持平。</w:t>
      </w:r>
    </w:p>
    <w:p>
      <w:pPr>
        <w:spacing w:line="600" w:lineRule="exact"/>
        <w:ind w:firstLineChars="200" w:firstLine="640"/>
        <w:rPr>
          <w:rStyle w:val="21"/>
          <w:rFonts w:ascii="仿宋" w:eastAsia="仿宋" w:hint="eastAsia"/>
          <w:b w:val="0"/>
          <w:bCs/>
          <w:sz w:val="32"/>
          <w:szCs w:val="32"/>
          <w:lang w:eastAsia="zh-CN"/>
        </w:rPr>
      </w:pPr>
      <w:r>
        <w:rPr>
          <w:rStyle w:val="21"/>
          <w:rFonts w:ascii="仿宋" w:eastAsia="仿宋" w:hint="eastAsia"/>
          <w:bCs/>
          <w:color w:val="000000"/>
          <w:sz w:val="32"/>
          <w:szCs w:val="32"/>
          <w:lang w:val="en-US" w:eastAsia="zh-CN"/>
        </w:rPr>
        <w:t>6</w:t>
      </w:r>
      <w:r>
        <w:rPr>
          <w:rStyle w:val="21"/>
          <w:rFonts w:ascii="仿宋" w:eastAsia="仿宋"/>
          <w:bCs/>
          <w:color w:val="000000"/>
          <w:sz w:val="32"/>
          <w:szCs w:val="32"/>
        </w:rPr>
        <w:t>.</w:t>
      </w:r>
      <w:r>
        <w:rPr>
          <w:rFonts w:ascii="仿宋" w:eastAsia="仿宋" w:hint="eastAsia"/>
          <w:b/>
          <w:bCs/>
          <w:color w:val="000000"/>
          <w:sz w:val="32"/>
          <w:szCs w:val="32"/>
          <w:lang w:eastAsia="zh-CN"/>
        </w:rPr>
        <w:t>住房保障支出（类）住房改革支出（款）住房公积金支出（项）</w:t>
      </w:r>
      <w:r>
        <w:rPr>
          <w:rStyle w:val="21"/>
          <w:rFonts w:ascii="仿宋" w:eastAsia="仿宋" w:cs="Arial" w:hint="eastAsia"/>
          <w:b w:val="0"/>
          <w:bCs/>
          <w:color w:val="000000"/>
          <w:sz w:val="32"/>
          <w:szCs w:val="32"/>
          <w:lang w:eastAsia="zh-CN"/>
        </w:rPr>
        <w:t>：</w:t>
      </w:r>
      <w:r>
        <w:rPr>
          <w:rStyle w:val="21"/>
          <w:rFonts w:ascii="仿宋" w:eastAsia="仿宋" w:cs="Arial" w:hint="eastAsia"/>
          <w:b w:val="0"/>
          <w:bCs/>
          <w:color w:val="000000"/>
          <w:sz w:val="32"/>
          <w:szCs w:val="32"/>
        </w:rPr>
        <w:t>决算为</w:t>
      </w:r>
      <w:r>
        <w:rPr>
          <w:rStyle w:val="21"/>
          <w:rFonts w:ascii="仿宋" w:eastAsia="仿宋" w:cs="Arial" w:hint="eastAsia"/>
          <w:b w:val="0"/>
          <w:bCs/>
          <w:color w:val="000000"/>
          <w:sz w:val="32"/>
          <w:szCs w:val="32"/>
          <w:lang w:val="en-US" w:eastAsia="zh-CN"/>
        </w:rPr>
        <w:t>4.44</w:t>
      </w:r>
      <w:r>
        <w:rPr>
          <w:rStyle w:val="21"/>
          <w:rFonts w:ascii="仿宋" w:eastAsia="仿宋" w:cs="Arial" w:hint="eastAsia"/>
          <w:b w:val="0"/>
          <w:bCs/>
          <w:color w:val="000000"/>
          <w:sz w:val="32"/>
          <w:szCs w:val="32"/>
        </w:rPr>
        <w:t>万元，完成预算</w:t>
      </w:r>
      <w:r>
        <w:rPr>
          <w:rStyle w:val="21"/>
          <w:rFonts w:ascii="仿宋" w:eastAsia="仿宋" w:cs="Arial" w:hint="eastAsia"/>
          <w:b w:val="0"/>
          <w:bCs/>
          <w:color w:val="000000"/>
          <w:sz w:val="32"/>
          <w:szCs w:val="32"/>
          <w:lang w:val="en-US" w:eastAsia="zh-CN"/>
        </w:rPr>
        <w:t>100</w:t>
      </w:r>
      <w:r>
        <w:rPr>
          <w:rStyle w:val="21"/>
          <w:rFonts w:ascii="仿宋" w:eastAsia="仿宋" w:cs="Arial" w:hint="eastAsia"/>
          <w:b w:val="0"/>
          <w:bCs/>
          <w:color w:val="000000"/>
          <w:sz w:val="32"/>
          <w:szCs w:val="32"/>
        </w:rPr>
        <w:t>%。</w:t>
      </w:r>
      <w:r>
        <w:rPr>
          <w:rStyle w:val="21"/>
          <w:rFonts w:ascii="仿宋" w:eastAsia="仿宋" w:cs="Arial" w:hint="eastAsia"/>
          <w:b w:val="0"/>
          <w:bCs/>
          <w:color w:val="000000"/>
          <w:sz w:val="32"/>
          <w:szCs w:val="32"/>
          <w:lang w:eastAsia="zh-CN"/>
        </w:rPr>
        <w:t>决算数</w:t>
      </w:r>
      <w:r>
        <w:rPr>
          <w:rStyle w:val="21"/>
          <w:rFonts w:ascii="仿宋" w:eastAsia="仿宋" w:hint="eastAsia"/>
          <w:b w:val="0"/>
          <w:bCs/>
          <w:sz w:val="32"/>
          <w:szCs w:val="32"/>
          <w:lang w:eastAsia="zh-CN"/>
        </w:rPr>
        <w:t>与预算数持平。</w:t>
      </w:r>
      <w:bookmarkStart w:id="35" w:name="_Toc15377214"/>
      <w:bookmarkStart w:id="36" w:name="_Toc15396608"/>
    </w:p>
    <w:p>
      <w:pPr>
        <w:tabs>
          <w:tab w:val="right" w:pos="8306"/>
        </w:tabs>
        <w:spacing w:line="600" w:lineRule="exact"/>
        <w:ind w:firstLineChars="200" w:firstLine="640"/>
        <w:outlineLvl w:val="1"/>
        <w:rPr>
          <w:rStyle w:val="2Char"/>
        </w:rPr>
      </w:pPr>
      <w:r>
        <w:rPr>
          <w:rFonts w:ascii="黑体" w:eastAsia="黑体" w:hint="eastAsia"/>
          <w:sz w:val="32"/>
          <w:szCs w:val="32"/>
        </w:rPr>
        <w:t>六</w:t>
      </w:r>
      <w:r>
        <w:rPr>
          <w:rFonts w:ascii="黑体" w:eastAsia="黑体" w:hint="eastAsia"/>
          <w:b/>
          <w:sz w:val="32"/>
          <w:szCs w:val="32"/>
        </w:rPr>
        <w:t>、一</w:t>
      </w:r>
      <w:r>
        <w:rPr>
          <w:rStyle w:val="2Char"/>
          <w:rFonts w:ascii="黑体" w:eastAsia="黑体" w:hint="eastAsia"/>
          <w:b w:val="0"/>
        </w:rPr>
        <w:t>般公共预算财政拨款基本支出决算情况说明</w:t>
      </w:r>
      <w:bookmarkEnd w:id="35"/>
      <w:bookmarkEnd w:id="36"/>
      <w:r>
        <w:rPr>
          <w:rStyle w:val="2Char"/>
          <w:rFonts w:ascii="黑体" w:eastAsia="黑体"/>
          <w:b w:val="0"/>
        </w:rPr>
        <w:tab/>
      </w:r>
    </w:p>
    <w:p>
      <w:pPr>
        <w:spacing w:line="600" w:lineRule="exact"/>
        <w:ind w:firstLine="645"/>
        <w:rPr>
          <w:rFonts w:ascii="仿宋" w:eastAsia="仿宋"/>
          <w:sz w:val="32"/>
          <w:szCs w:val="32"/>
        </w:rPr>
      </w:pPr>
      <w:r>
        <w:rPr>
          <w:rFonts w:ascii="仿宋" w:eastAsia="仿宋"/>
          <w:sz w:val="32"/>
          <w:szCs w:val="32"/>
        </w:rPr>
        <w:t>20</w:t>
      </w:r>
      <w:r>
        <w:rPr>
          <w:rFonts w:ascii="仿宋" w:eastAsia="仿宋" w:hint="eastAsia"/>
          <w:sz w:val="32"/>
          <w:szCs w:val="32"/>
        </w:rPr>
        <w:t>2</w:t>
      </w:r>
      <w:r>
        <w:rPr>
          <w:rFonts w:ascii="仿宋" w:eastAsia="仿宋" w:hint="eastAsia"/>
          <w:sz w:val="32"/>
          <w:szCs w:val="32"/>
          <w:lang w:val="en-US" w:eastAsia="zh-CN"/>
        </w:rPr>
        <w:t>5</w:t>
      </w:r>
      <w:r>
        <w:rPr>
          <w:rFonts w:ascii="仿宋" w:eastAsia="仿宋" w:hint="eastAsia"/>
          <w:sz w:val="32"/>
          <w:szCs w:val="32"/>
        </w:rPr>
        <w:t>年一般公共预算财政拨款基本支出</w:t>
      </w:r>
      <w:r>
        <w:rPr>
          <w:rFonts w:ascii="仿宋" w:eastAsia="仿宋" w:hint="eastAsia"/>
          <w:sz w:val="32"/>
          <w:szCs w:val="32"/>
          <w:lang w:val="en-US" w:eastAsia="zh-CN"/>
        </w:rPr>
        <w:t>66.21</w:t>
      </w:r>
      <w:r>
        <w:rPr>
          <w:rFonts w:ascii="仿宋" w:eastAsia="仿宋" w:hint="eastAsia"/>
          <w:sz w:val="32"/>
          <w:szCs w:val="32"/>
        </w:rPr>
        <w:t>万元，其中：</w:t>
      </w:r>
    </w:p>
    <w:p>
      <w:pPr>
        <w:spacing w:line="600" w:lineRule="exact"/>
        <w:ind w:firstLine="645"/>
        <w:rPr>
          <w:rFonts w:ascii="黑体" w:eastAsia="黑体" w:hint="eastAsia"/>
          <w:sz w:val="32"/>
          <w:szCs w:val="32"/>
        </w:rPr>
      </w:pPr>
      <w:r>
        <w:rPr>
          <w:rFonts w:ascii="仿宋" w:eastAsia="仿宋" w:hint="eastAsia"/>
          <w:sz w:val="32"/>
          <w:szCs w:val="32"/>
        </w:rPr>
        <w:t>人员经费</w:t>
      </w:r>
      <w:r>
        <w:rPr>
          <w:rFonts w:ascii="仿宋" w:eastAsia="仿宋" w:hint="eastAsia"/>
          <w:sz w:val="32"/>
          <w:szCs w:val="32"/>
          <w:lang w:val="en-US" w:eastAsia="zh-CN"/>
        </w:rPr>
        <w:t>61.55</w:t>
      </w:r>
      <w:r>
        <w:rPr>
          <w:rFonts w:ascii="仿宋" w:eastAsia="仿宋" w:hint="eastAsia"/>
          <w:sz w:val="32"/>
          <w:szCs w:val="32"/>
        </w:rPr>
        <w:t>万元，主要包括：基本工资</w:t>
      </w:r>
      <w:r>
        <w:rPr>
          <w:rFonts w:ascii="仿宋" w:eastAsia="仿宋" w:hint="eastAsia"/>
          <w:sz w:val="32"/>
          <w:szCs w:val="32"/>
          <w:lang w:val="en-US" w:eastAsia="zh-CN"/>
        </w:rPr>
        <w:t>13.54万元</w:t>
      </w:r>
      <w:r>
        <w:rPr>
          <w:rFonts w:ascii="仿宋" w:eastAsia="仿宋" w:hint="eastAsia"/>
          <w:sz w:val="32"/>
          <w:szCs w:val="32"/>
        </w:rPr>
        <w:t>、津贴补贴</w:t>
      </w:r>
      <w:r>
        <w:rPr>
          <w:rFonts w:ascii="仿宋" w:eastAsia="仿宋" w:hint="eastAsia"/>
          <w:sz w:val="32"/>
          <w:szCs w:val="32"/>
          <w:lang w:val="en-US" w:eastAsia="zh-CN"/>
        </w:rPr>
        <w:t>7.22万元</w:t>
      </w:r>
      <w:r>
        <w:rPr>
          <w:rFonts w:ascii="仿宋" w:eastAsia="仿宋" w:hint="eastAsia"/>
          <w:sz w:val="32"/>
          <w:szCs w:val="32"/>
        </w:rPr>
        <w:t>、绩效工资</w:t>
      </w:r>
      <w:r>
        <w:rPr>
          <w:rFonts w:ascii="仿宋" w:eastAsia="仿宋" w:hint="eastAsia"/>
          <w:sz w:val="32"/>
          <w:szCs w:val="32"/>
          <w:lang w:val="en-US" w:eastAsia="zh-CN"/>
        </w:rPr>
        <w:t>24.17万元</w:t>
      </w:r>
      <w:r>
        <w:rPr>
          <w:rFonts w:ascii="仿宋" w:eastAsia="仿宋" w:hint="eastAsia"/>
          <w:sz w:val="32"/>
          <w:szCs w:val="32"/>
        </w:rPr>
        <w:t>、机关事业单位基本养老保险缴费</w:t>
      </w:r>
      <w:r>
        <w:rPr>
          <w:rFonts w:ascii="仿宋" w:eastAsia="仿宋" w:hint="eastAsia"/>
          <w:sz w:val="32"/>
          <w:szCs w:val="32"/>
          <w:lang w:val="en-US" w:eastAsia="zh-CN"/>
        </w:rPr>
        <w:t>4.99万元</w:t>
      </w:r>
      <w:r>
        <w:rPr>
          <w:rFonts w:ascii="仿宋" w:eastAsia="仿宋" w:hint="eastAsia"/>
          <w:sz w:val="32"/>
          <w:szCs w:val="32"/>
        </w:rPr>
        <w:t>、职业年金缴费</w:t>
      </w:r>
      <w:r>
        <w:rPr>
          <w:rFonts w:ascii="仿宋" w:eastAsia="仿宋" w:hint="eastAsia"/>
          <w:sz w:val="32"/>
          <w:szCs w:val="32"/>
          <w:lang w:val="en-US" w:eastAsia="zh-CN"/>
        </w:rPr>
        <w:t>2.49万元</w:t>
      </w:r>
      <w:r>
        <w:rPr>
          <w:rFonts w:ascii="仿宋" w:eastAsia="仿宋" w:hint="eastAsia"/>
          <w:sz w:val="32"/>
          <w:szCs w:val="32"/>
        </w:rPr>
        <w:t>、</w:t>
      </w:r>
      <w:r>
        <w:rPr>
          <w:rFonts w:ascii="仿宋" w:eastAsia="仿宋" w:hint="eastAsia"/>
          <w:sz w:val="32"/>
          <w:szCs w:val="32"/>
          <w:lang w:eastAsia="zh-CN"/>
        </w:rPr>
        <w:t>基本医疗保险</w:t>
      </w:r>
      <w:r>
        <w:rPr>
          <w:rFonts w:ascii="仿宋" w:eastAsia="仿宋" w:hint="eastAsia"/>
          <w:sz w:val="32"/>
          <w:szCs w:val="32"/>
          <w:lang w:val="en-US" w:eastAsia="zh-CN"/>
        </w:rPr>
        <w:t>2.51万元、补助医疗保险0.9万元、</w:t>
      </w:r>
      <w:r>
        <w:rPr>
          <w:rFonts w:ascii="仿宋" w:eastAsia="仿宋" w:hint="eastAsia"/>
          <w:sz w:val="32"/>
          <w:szCs w:val="32"/>
        </w:rPr>
        <w:t>其他社会保障缴费</w:t>
      </w:r>
      <w:r>
        <w:rPr>
          <w:rFonts w:ascii="仿宋" w:eastAsia="仿宋" w:hint="eastAsia"/>
          <w:sz w:val="32"/>
          <w:szCs w:val="32"/>
          <w:lang w:val="en-US" w:eastAsia="zh-CN"/>
        </w:rPr>
        <w:t>0.25万元、</w:t>
      </w:r>
      <w:r>
        <w:rPr>
          <w:rFonts w:ascii="仿宋" w:eastAsia="仿宋" w:hint="eastAsia"/>
          <w:sz w:val="32"/>
          <w:szCs w:val="32"/>
        </w:rPr>
        <w:t>住房公积金</w:t>
      </w:r>
      <w:r>
        <w:rPr>
          <w:rFonts w:ascii="仿宋" w:eastAsia="仿宋" w:hint="eastAsia"/>
          <w:sz w:val="32"/>
          <w:szCs w:val="32"/>
          <w:lang w:val="en-US" w:eastAsia="zh-CN"/>
        </w:rPr>
        <w:t>4.44万元</w:t>
      </w:r>
      <w:r>
        <w:rPr>
          <w:rFonts w:ascii="仿宋" w:eastAsia="仿宋" w:hint="eastAsia"/>
          <w:sz w:val="32"/>
          <w:szCs w:val="32"/>
        </w:rPr>
        <w:t>。</w:t>
      </w:r>
      <w:r>
        <w:rPr>
          <w:rFonts w:ascii="仿宋" w:eastAsia="仿宋"/>
          <w:sz w:val="32"/>
          <w:szCs w:val="32"/>
        </w:rPr>
        <w:br/>
      </w:r>
      <w:r>
        <w:rPr>
          <w:rFonts w:ascii="仿宋" w:eastAsia="仿宋" w:hint="eastAsia"/>
          <w:sz w:val="32"/>
          <w:szCs w:val="32"/>
          <w:lang w:val="en-US" w:eastAsia="zh-CN"/>
        </w:rPr>
        <w:t xml:space="preserve">    </w:t>
      </w:r>
      <w:r>
        <w:rPr>
          <w:rFonts w:ascii="仿宋" w:eastAsia="仿宋" w:hint="eastAsia"/>
          <w:sz w:val="32"/>
          <w:szCs w:val="32"/>
        </w:rPr>
        <w:t>公用经费</w:t>
      </w:r>
      <w:r>
        <w:rPr>
          <w:rFonts w:ascii="仿宋" w:eastAsia="仿宋" w:hint="eastAsia"/>
          <w:sz w:val="32"/>
          <w:szCs w:val="32"/>
          <w:lang w:val="en-US" w:eastAsia="zh-CN"/>
        </w:rPr>
        <w:t>4.66</w:t>
      </w:r>
      <w:r>
        <w:rPr>
          <w:rFonts w:ascii="仿宋" w:eastAsia="仿宋" w:hint="eastAsia"/>
          <w:sz w:val="32"/>
          <w:szCs w:val="32"/>
        </w:rPr>
        <w:t>万元，主要包括：办公费</w:t>
      </w:r>
      <w:r>
        <w:rPr>
          <w:rFonts w:ascii="仿宋" w:eastAsia="仿宋" w:hint="eastAsia"/>
          <w:sz w:val="32"/>
          <w:szCs w:val="32"/>
          <w:lang w:val="en-US" w:eastAsia="zh-CN"/>
        </w:rPr>
        <w:t>1.14万元</w:t>
      </w:r>
      <w:r>
        <w:rPr>
          <w:rFonts w:ascii="仿宋" w:eastAsia="仿宋" w:hint="eastAsia"/>
          <w:sz w:val="32"/>
          <w:szCs w:val="32"/>
        </w:rPr>
        <w:t>、差旅费</w:t>
      </w:r>
      <w:r>
        <w:rPr>
          <w:rFonts w:ascii="仿宋" w:eastAsia="仿宋" w:hint="eastAsia"/>
          <w:sz w:val="32"/>
          <w:szCs w:val="32"/>
          <w:lang w:val="en-US" w:eastAsia="zh-CN"/>
        </w:rPr>
        <w:t>1.45万元、会议费0.36万元、福利费0.92万元、其他商品和服务支出0.8万元。</w:t>
      </w:r>
      <w:bookmarkStart w:id="37" w:name="_Toc15377215"/>
      <w:bookmarkStart w:id="38" w:name="_Toc15396609"/>
    </w:p>
    <w:p>
      <w:pPr>
        <w:spacing w:line="600" w:lineRule="exact"/>
        <w:ind w:firstLine="640"/>
        <w:outlineLvl w:val="1"/>
        <w:rPr>
          <w:rStyle w:val="2Char"/>
          <w:rFonts w:ascii="黑体" w:eastAsia="黑体"/>
          <w:b w:val="0"/>
        </w:rPr>
      </w:pPr>
      <w:r>
        <w:rPr>
          <w:rFonts w:ascii="黑体" w:eastAsia="黑体" w:hint="eastAsia"/>
          <w:sz w:val="32"/>
          <w:szCs w:val="32"/>
        </w:rPr>
        <w:t>七、</w:t>
      </w:r>
      <w:r>
        <w:rPr>
          <w:rStyle w:val="2Char"/>
          <w:rFonts w:ascii="黑体" w:eastAsia="黑体" w:hint="eastAsia"/>
          <w:b w:val="0"/>
        </w:rPr>
        <w:t>财政拨款</w:t>
      </w:r>
      <w:r>
        <w:rPr>
          <w:rStyle w:val="2Char"/>
          <w:rFonts w:ascii="黑体" w:eastAsia="黑体" w:hint="eastAsia"/>
        </w:rPr>
        <w:t>“</w:t>
      </w:r>
      <w:r>
        <w:rPr>
          <w:rStyle w:val="2Char"/>
          <w:rFonts w:ascii="黑体" w:eastAsia="黑体" w:hint="eastAsia"/>
          <w:b w:val="0"/>
        </w:rPr>
        <w:t>三公”经费支出决算情况说明</w:t>
      </w:r>
      <w:bookmarkEnd w:id="37"/>
      <w:bookmarkEnd w:id="38"/>
    </w:p>
    <w:p>
      <w:pPr>
        <w:spacing w:line="600" w:lineRule="exact"/>
        <w:ind w:firstLine="640"/>
        <w:outlineLvl w:val="2"/>
        <w:rPr>
          <w:rFonts w:ascii="仿宋" w:eastAsia="仿宋"/>
          <w:b/>
          <w:sz w:val="32"/>
          <w:szCs w:val="32"/>
        </w:rPr>
      </w:pPr>
      <w:bookmarkStart w:id="39" w:name="_Toc15377216"/>
      <w:r>
        <w:rPr>
          <w:rFonts w:ascii="仿宋" w:eastAsia="仿宋" w:hint="eastAsia"/>
          <w:b/>
          <w:sz w:val="32"/>
          <w:szCs w:val="32"/>
        </w:rPr>
        <w:t>（一）“三公”经费财政拨款支出决算总体情况说明</w:t>
      </w:r>
      <w:bookmarkEnd w:id="39"/>
    </w:p>
    <w:p>
      <w:pPr>
        <w:spacing w:line="600" w:lineRule="exact"/>
        <w:ind w:firstLine="640"/>
        <w:rPr>
          <w:rFonts w:ascii="仿宋" w:eastAsia="仿宋"/>
          <w:sz w:val="32"/>
          <w:szCs w:val="32"/>
        </w:rPr>
      </w:pPr>
      <w:r>
        <w:rPr>
          <w:rFonts w:ascii="仿宋" w:eastAsia="仿宋"/>
          <w:sz w:val="32"/>
          <w:szCs w:val="32"/>
        </w:rPr>
        <w:t>20</w:t>
      </w:r>
      <w:r>
        <w:rPr>
          <w:rFonts w:ascii="仿宋" w:eastAsia="仿宋" w:hint="eastAsia"/>
          <w:sz w:val="32"/>
          <w:szCs w:val="32"/>
        </w:rPr>
        <w:t>2</w:t>
      </w:r>
      <w:r>
        <w:rPr>
          <w:rFonts w:ascii="仿宋" w:eastAsia="仿宋" w:hint="eastAsia"/>
          <w:sz w:val="32"/>
          <w:szCs w:val="32"/>
          <w:lang w:val="en-US" w:eastAsia="zh-CN"/>
        </w:rPr>
        <w:t>5</w:t>
      </w:r>
      <w:r>
        <w:rPr>
          <w:rFonts w:ascii="仿宋" w:eastAsia="仿宋" w:hint="eastAsia"/>
          <w:sz w:val="32"/>
          <w:szCs w:val="32"/>
        </w:rPr>
        <w:t>年“三公”经费财政拨款支出决算为</w:t>
      </w:r>
      <w:r>
        <w:rPr>
          <w:rFonts w:ascii="仿宋" w:eastAsia="仿宋" w:hint="eastAsia"/>
          <w:sz w:val="32"/>
          <w:szCs w:val="32"/>
          <w:lang w:val="en-US" w:eastAsia="zh-CN"/>
        </w:rPr>
        <w:t>0</w:t>
      </w:r>
      <w:r>
        <w:rPr>
          <w:rFonts w:ascii="仿宋" w:eastAsia="仿宋" w:hint="eastAsia"/>
          <w:sz w:val="32"/>
          <w:szCs w:val="32"/>
        </w:rPr>
        <w:t>万元，完成预算</w:t>
      </w:r>
      <w:r>
        <w:rPr>
          <w:rFonts w:ascii="仿宋" w:eastAsia="仿宋" w:hint="eastAsia"/>
          <w:sz w:val="32"/>
          <w:szCs w:val="32"/>
          <w:lang w:val="en-US" w:eastAsia="zh-CN"/>
        </w:rPr>
        <w:t>0</w:t>
      </w:r>
      <w:r>
        <w:rPr>
          <w:rFonts w:ascii="仿宋" w:eastAsia="仿宋"/>
          <w:sz w:val="32"/>
          <w:szCs w:val="32"/>
        </w:rPr>
        <w:t>%</w:t>
      </w:r>
      <w:r>
        <w:rPr>
          <w:rFonts w:ascii="仿宋" w:eastAsia="仿宋" w:hint="eastAsia"/>
          <w:sz w:val="32"/>
          <w:szCs w:val="32"/>
        </w:rPr>
        <w:t>，较上年</w:t>
      </w:r>
      <w:r>
        <w:rPr>
          <w:rFonts w:ascii="仿宋" w:eastAsia="仿宋" w:hint="eastAsia"/>
          <w:sz w:val="32"/>
          <w:szCs w:val="32"/>
          <w:lang w:eastAsia="zh-CN"/>
        </w:rPr>
        <w:t>无增减变动</w:t>
      </w:r>
      <w:r>
        <w:rPr>
          <w:rFonts w:ascii="仿宋" w:eastAsia="仿宋" w:hint="eastAsia"/>
          <w:sz w:val="32"/>
          <w:szCs w:val="32"/>
        </w:rPr>
        <w:t>。主要原因是：无相关支出。</w:t>
      </w:r>
    </w:p>
    <w:p>
      <w:pPr>
        <w:spacing w:line="600" w:lineRule="exact"/>
        <w:ind w:firstLine="640"/>
        <w:outlineLvl w:val="2"/>
        <w:rPr>
          <w:rFonts w:ascii="仿宋" w:eastAsia="仿宋"/>
          <w:b/>
          <w:sz w:val="32"/>
          <w:szCs w:val="32"/>
        </w:rPr>
      </w:pPr>
      <w:bookmarkStart w:id="40" w:name="_Toc15377217"/>
      <w:r>
        <w:rPr>
          <w:rFonts w:ascii="仿宋" w:eastAsia="仿宋" w:hint="eastAsia"/>
          <w:b/>
          <w:sz w:val="32"/>
          <w:szCs w:val="32"/>
        </w:rPr>
        <w:t>（二）“三公”经费财政拨款支出决算具体情况说明</w:t>
      </w:r>
      <w:bookmarkEnd w:id="40"/>
    </w:p>
    <w:p>
      <w:pPr>
        <w:spacing w:line="600" w:lineRule="exact"/>
        <w:ind w:firstLine="640"/>
        <w:rPr>
          <w:rFonts w:ascii="仿宋" w:eastAsia="仿宋" w:hint="eastAsia"/>
          <w:sz w:val="32"/>
          <w:szCs w:val="32"/>
        </w:rPr>
      </w:pPr>
      <w:r>
        <w:rPr>
          <w:rFonts w:ascii="仿宋" w:eastAsia="仿宋"/>
          <w:sz w:val="32"/>
          <w:szCs w:val="32"/>
        </w:rPr>
        <w:t>20</w:t>
      </w:r>
      <w:r>
        <w:rPr>
          <w:rFonts w:ascii="仿宋" w:eastAsia="仿宋" w:hint="eastAsia"/>
          <w:sz w:val="32"/>
          <w:szCs w:val="32"/>
        </w:rPr>
        <w:t>2</w:t>
      </w:r>
      <w:r>
        <w:rPr>
          <w:rFonts w:ascii="仿宋" w:eastAsia="仿宋" w:hint="eastAsia"/>
          <w:sz w:val="32"/>
          <w:szCs w:val="32"/>
          <w:lang w:val="en-US" w:eastAsia="zh-CN"/>
        </w:rPr>
        <w:t>5</w:t>
      </w:r>
      <w:r>
        <w:rPr>
          <w:rFonts w:ascii="仿宋" w:eastAsia="仿宋" w:hint="eastAsia"/>
          <w:sz w:val="32"/>
          <w:szCs w:val="32"/>
        </w:rPr>
        <w:t>年“三公”经费财政拨款支出决算中，因公出国（境）费支出决算</w:t>
      </w:r>
      <w:r>
        <w:rPr>
          <w:rFonts w:ascii="仿宋" w:eastAsia="仿宋" w:hint="eastAsia"/>
          <w:sz w:val="32"/>
          <w:szCs w:val="32"/>
          <w:lang w:val="en-US" w:eastAsia="zh-CN"/>
        </w:rPr>
        <w:t>0</w:t>
      </w:r>
      <w:r>
        <w:rPr>
          <w:rFonts w:ascii="仿宋" w:eastAsia="仿宋" w:hint="eastAsia"/>
          <w:sz w:val="32"/>
          <w:szCs w:val="32"/>
        </w:rPr>
        <w:t>万元，占</w:t>
      </w:r>
      <w:r>
        <w:rPr>
          <w:rFonts w:ascii="仿宋" w:eastAsia="仿宋" w:hint="eastAsia"/>
          <w:sz w:val="32"/>
          <w:szCs w:val="32"/>
          <w:lang w:val="en-US" w:eastAsia="zh-CN"/>
        </w:rPr>
        <w:t>0</w:t>
      </w:r>
      <w:r>
        <w:rPr>
          <w:rFonts w:ascii="仿宋" w:eastAsia="仿宋"/>
          <w:sz w:val="32"/>
          <w:szCs w:val="32"/>
        </w:rPr>
        <w:t>%</w:t>
      </w:r>
      <w:r>
        <w:rPr>
          <w:rFonts w:ascii="仿宋" w:eastAsia="仿宋" w:hint="eastAsia"/>
          <w:sz w:val="32"/>
          <w:szCs w:val="32"/>
        </w:rPr>
        <w:t>；公务用车购置及运行维护费支出决算</w:t>
      </w:r>
      <w:r>
        <w:rPr>
          <w:rFonts w:ascii="仿宋" w:eastAsia="仿宋" w:hint="eastAsia"/>
          <w:sz w:val="32"/>
          <w:szCs w:val="32"/>
          <w:lang w:val="en-US" w:eastAsia="zh-CN"/>
        </w:rPr>
        <w:t>0</w:t>
      </w:r>
      <w:r>
        <w:rPr>
          <w:rFonts w:ascii="仿宋" w:eastAsia="仿宋" w:hint="eastAsia"/>
          <w:sz w:val="32"/>
          <w:szCs w:val="32"/>
        </w:rPr>
        <w:t>万元，占</w:t>
      </w:r>
      <w:r>
        <w:rPr>
          <w:rFonts w:ascii="仿宋" w:eastAsia="仿宋" w:hint="eastAsia"/>
          <w:sz w:val="32"/>
          <w:szCs w:val="32"/>
          <w:lang w:val="en-US" w:eastAsia="zh-CN"/>
        </w:rPr>
        <w:t>0</w:t>
      </w:r>
      <w:r>
        <w:rPr>
          <w:rFonts w:ascii="仿宋" w:eastAsia="仿宋"/>
          <w:sz w:val="32"/>
          <w:szCs w:val="32"/>
        </w:rPr>
        <w:t>%</w:t>
      </w:r>
      <w:r>
        <w:rPr>
          <w:rFonts w:ascii="仿宋" w:eastAsia="仿宋" w:hint="eastAsia"/>
          <w:sz w:val="32"/>
          <w:szCs w:val="32"/>
        </w:rPr>
        <w:t>；公务接待费支出决算</w:t>
      </w:r>
      <w:r>
        <w:rPr>
          <w:rFonts w:ascii="仿宋" w:eastAsia="仿宋" w:hint="eastAsia"/>
          <w:sz w:val="32"/>
          <w:szCs w:val="32"/>
          <w:lang w:val="en-US" w:eastAsia="zh-CN"/>
        </w:rPr>
        <w:t>0</w:t>
      </w:r>
      <w:r>
        <w:rPr>
          <w:rFonts w:ascii="仿宋" w:eastAsia="仿宋" w:hint="eastAsia"/>
          <w:sz w:val="32"/>
          <w:szCs w:val="32"/>
        </w:rPr>
        <w:t>万元，占</w:t>
      </w:r>
      <w:r>
        <w:rPr>
          <w:rFonts w:ascii="仿宋" w:eastAsia="仿宋" w:hint="eastAsia"/>
          <w:sz w:val="32"/>
          <w:szCs w:val="32"/>
          <w:lang w:val="en-US" w:eastAsia="zh-CN"/>
        </w:rPr>
        <w:t>0</w:t>
      </w:r>
      <w:r>
        <w:rPr>
          <w:rFonts w:ascii="仿宋" w:eastAsia="仿宋"/>
          <w:sz w:val="32"/>
          <w:szCs w:val="32"/>
        </w:rPr>
        <w:t>%</w:t>
      </w:r>
      <w:r>
        <w:rPr>
          <w:rFonts w:ascii="仿宋" w:eastAsia="仿宋" w:hint="eastAsia"/>
          <w:sz w:val="32"/>
          <w:szCs w:val="32"/>
        </w:rPr>
        <w:t>。具体情况如下：</w:t>
      </w:r>
    </w:p>
    <w:p>
      <w:pPr>
        <w:spacing w:line="600" w:lineRule="exact"/>
        <w:ind w:firstLineChars="200" w:firstLine="640"/>
        <w:rPr>
          <w:rFonts w:ascii="仿宋_GB2312" w:eastAsia="仿宋_GB2312"/>
          <w:b/>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lang w:val="en-US" w:eastAsia="zh-CN"/>
        </w:rPr>
        <w:t>0</w:t>
      </w:r>
      <w:r>
        <w:rPr>
          <w:rFonts w:ascii="仿宋_GB2312" w:eastAsia="仿宋_GB2312" w:hint="eastAsia"/>
          <w:sz w:val="32"/>
          <w:szCs w:val="32"/>
        </w:rPr>
        <w:t>万元，</w:t>
      </w:r>
      <w:r>
        <w:rPr>
          <w:rStyle w:val="21"/>
          <w:rFonts w:ascii="仿宋" w:eastAsia="仿宋" w:hint="eastAsia"/>
          <w:b w:val="0"/>
          <w:bCs/>
          <w:sz w:val="32"/>
          <w:szCs w:val="32"/>
        </w:rPr>
        <w:t>完成预算</w:t>
      </w:r>
      <w:r>
        <w:rPr>
          <w:rStyle w:val="21"/>
          <w:rFonts w:ascii="仿宋" w:eastAsia="仿宋" w:hint="eastAsia"/>
          <w:b w:val="0"/>
          <w:bCs/>
          <w:sz w:val="32"/>
          <w:szCs w:val="32"/>
          <w:lang w:val="en-US" w:eastAsia="zh-CN"/>
        </w:rPr>
        <w:t>0</w:t>
      </w:r>
      <w:r>
        <w:rPr>
          <w:rStyle w:val="21"/>
          <w:rFonts w:ascii="仿宋" w:eastAsia="仿宋"/>
          <w:b w:val="0"/>
          <w:bCs/>
          <w:sz w:val="32"/>
          <w:szCs w:val="32"/>
        </w:rPr>
        <w:t>%</w:t>
      </w:r>
      <w:r>
        <w:rPr>
          <w:rStyle w:val="21"/>
          <w:rFonts w:ascii="仿宋" w:eastAsia="仿宋" w:hint="eastAsia"/>
          <w:b w:val="0"/>
          <w:bCs/>
          <w:sz w:val="32"/>
          <w:szCs w:val="32"/>
        </w:rPr>
        <w:t>。</w:t>
      </w:r>
      <w:r>
        <w:rPr>
          <w:rFonts w:ascii="仿宋_GB2312" w:eastAsia="仿宋_GB2312" w:hint="eastAsia"/>
          <w:sz w:val="32"/>
          <w:szCs w:val="32"/>
        </w:rPr>
        <w:t>全年安排因公出国（境）团组</w:t>
      </w:r>
      <w:r>
        <w:rPr>
          <w:rFonts w:ascii="仿宋_GB2312" w:eastAsia="仿宋_GB2312" w:hint="eastAsia"/>
          <w:sz w:val="32"/>
          <w:szCs w:val="32"/>
          <w:lang w:val="en-US" w:eastAsia="zh-CN"/>
        </w:rPr>
        <w:t>0</w:t>
      </w:r>
      <w:r>
        <w:rPr>
          <w:rFonts w:ascii="仿宋_GB2312" w:eastAsia="仿宋_GB2312" w:hint="eastAsia"/>
          <w:sz w:val="32"/>
          <w:szCs w:val="32"/>
        </w:rPr>
        <w:t>次，出国（境）</w:t>
      </w:r>
      <w:r>
        <w:rPr>
          <w:rFonts w:ascii="仿宋_GB2312" w:eastAsia="仿宋_GB2312" w:hint="eastAsia"/>
          <w:sz w:val="32"/>
          <w:szCs w:val="32"/>
          <w:lang w:val="en-US" w:eastAsia="zh-CN"/>
        </w:rPr>
        <w:t>0</w:t>
      </w:r>
      <w:r>
        <w:rPr>
          <w:rFonts w:ascii="仿宋_GB2312" w:eastAsia="仿宋_GB2312" w:hint="eastAsia"/>
          <w:sz w:val="32"/>
          <w:szCs w:val="32"/>
        </w:rPr>
        <w:t>人。因公出国（境）支出决算比</w:t>
      </w:r>
      <w:r>
        <w:rPr>
          <w:rFonts w:ascii="仿宋_GB2312" w:eastAsia="仿宋_GB2312"/>
          <w:sz w:val="32"/>
          <w:szCs w:val="32"/>
        </w:rPr>
        <w:t>20</w:t>
      </w:r>
      <w:r>
        <w:rPr>
          <w:rFonts w:ascii="仿宋_GB2312" w:eastAsia="仿宋_GB2312" w:hint="eastAsia"/>
          <w:sz w:val="32"/>
          <w:szCs w:val="32"/>
        </w:rPr>
        <w:t>2</w:t>
      </w:r>
      <w:r>
        <w:rPr>
          <w:rFonts w:ascii="仿宋_GB2312" w:eastAsia="仿宋_GB2312" w:hint="eastAsia"/>
          <w:sz w:val="32"/>
          <w:szCs w:val="32"/>
          <w:lang w:val="en-US" w:eastAsia="zh-CN"/>
        </w:rPr>
        <w:t>4</w:t>
      </w:r>
      <w:r>
        <w:rPr>
          <w:rFonts w:ascii="仿宋_GB2312" w:eastAsia="仿宋_GB2312" w:hint="eastAsia"/>
          <w:sz w:val="32"/>
          <w:szCs w:val="32"/>
        </w:rPr>
        <w:t>年增加</w:t>
      </w:r>
      <w:r>
        <w:rPr>
          <w:rFonts w:ascii="仿宋_GB2312" w:eastAsia="仿宋_GB2312" w:hint="eastAsia"/>
          <w:sz w:val="32"/>
          <w:szCs w:val="32"/>
          <w:lang w:val="en-US" w:eastAsia="zh-CN"/>
        </w:rPr>
        <w:t>0</w:t>
      </w:r>
      <w:r>
        <w:rPr>
          <w:rFonts w:ascii="仿宋_GB2312" w:eastAsia="仿宋_GB2312" w:hint="eastAsia"/>
          <w:sz w:val="32"/>
          <w:szCs w:val="32"/>
        </w:rPr>
        <w:t>万元，增长</w:t>
      </w:r>
      <w:r>
        <w:rPr>
          <w:rFonts w:ascii="仿宋_GB2312" w:eastAsia="仿宋_GB2312" w:hint="eastAsia"/>
          <w:sz w:val="32"/>
          <w:szCs w:val="32"/>
          <w:lang w:val="en-US" w:eastAsia="zh-CN"/>
        </w:rPr>
        <w:t>0</w:t>
      </w:r>
      <w:r>
        <w:rPr>
          <w:rFonts w:ascii="仿宋_GB2312" w:eastAsia="仿宋_GB2312"/>
          <w:sz w:val="32"/>
          <w:szCs w:val="32"/>
        </w:rPr>
        <w:t>%</w:t>
      </w:r>
      <w:r>
        <w:rPr>
          <w:rFonts w:ascii="仿宋_GB2312" w:eastAsia="仿宋_GB2312" w:hint="eastAsia"/>
          <w:sz w:val="32"/>
          <w:szCs w:val="32"/>
        </w:rPr>
        <w:t>。较上年无增减变动</w:t>
      </w:r>
      <w:r>
        <w:rPr>
          <w:rFonts w:ascii="仿宋_GB2312" w:eastAsia="仿宋_GB2312" w:hint="eastAsia"/>
          <w:sz w:val="32"/>
          <w:szCs w:val="32"/>
          <w:lang w:eastAsia="zh-CN"/>
        </w:rPr>
        <w:t>，</w:t>
      </w:r>
      <w:r>
        <w:rPr>
          <w:rFonts w:ascii="仿宋_GB2312" w:eastAsia="仿宋_GB2312" w:hint="eastAsia"/>
          <w:sz w:val="32"/>
          <w:szCs w:val="32"/>
        </w:rPr>
        <w:t>主要原因是</w:t>
      </w:r>
      <w:r>
        <w:rPr>
          <w:rFonts w:ascii="仿宋_GB2312" w:eastAsia="仿宋_GB2312" w:hint="eastAsia"/>
          <w:sz w:val="32"/>
          <w:szCs w:val="32"/>
          <w:lang w:eastAsia="zh-CN"/>
        </w:rPr>
        <w:t>：无相关支出</w:t>
      </w:r>
      <w:r>
        <w:rPr>
          <w:rFonts w:ascii="仿宋_GB2312" w:eastAsia="仿宋_GB2312" w:hint="eastAsia"/>
          <w:sz w:val="32"/>
          <w:szCs w:val="32"/>
        </w:rPr>
        <w:t>。</w:t>
      </w:r>
    </w:p>
    <w:p>
      <w:pPr>
        <w:spacing w:line="600" w:lineRule="exact"/>
        <w:ind w:firstLine="640"/>
        <w:rPr>
          <w:rFonts w:ascii="仿宋_GB2312" w:eastAsia="仿宋_GB2312" w:hint="eastAsia"/>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hint="eastAsia"/>
          <w:sz w:val="32"/>
          <w:szCs w:val="32"/>
          <w:lang w:val="en-US" w:eastAsia="zh-CN"/>
        </w:rPr>
        <w:t>0</w:t>
      </w:r>
      <w:r>
        <w:rPr>
          <w:rFonts w:ascii="仿宋_GB2312" w:eastAsia="仿宋_GB2312" w:hint="eastAsia"/>
          <w:sz w:val="32"/>
          <w:szCs w:val="32"/>
        </w:rPr>
        <w:t>万元,</w:t>
      </w:r>
      <w:r>
        <w:rPr>
          <w:rStyle w:val="21"/>
          <w:rFonts w:ascii="仿宋" w:eastAsia="仿宋" w:hint="eastAsia"/>
          <w:b w:val="0"/>
          <w:bCs/>
          <w:sz w:val="32"/>
          <w:szCs w:val="32"/>
        </w:rPr>
        <w:t>完成预算</w:t>
      </w:r>
      <w:r>
        <w:rPr>
          <w:rStyle w:val="21"/>
          <w:rFonts w:ascii="仿宋" w:eastAsia="仿宋" w:hint="eastAsia"/>
          <w:b w:val="0"/>
          <w:bCs/>
          <w:sz w:val="32"/>
          <w:szCs w:val="32"/>
          <w:lang w:val="en-US" w:eastAsia="zh-CN"/>
        </w:rPr>
        <w:t>0</w:t>
      </w:r>
      <w:r>
        <w:rPr>
          <w:rStyle w:val="21"/>
          <w:rFonts w:ascii="仿宋" w:eastAsia="仿宋"/>
          <w:b w:val="0"/>
          <w:bCs/>
          <w:sz w:val="32"/>
          <w:szCs w:val="32"/>
        </w:rPr>
        <w:t>%</w:t>
      </w:r>
      <w:r>
        <w:rPr>
          <w:rStyle w:val="21"/>
          <w:rFonts w:ascii="仿宋" w:eastAsia="仿宋" w:hint="eastAsia"/>
          <w:b w:val="0"/>
          <w:bCs/>
          <w:sz w:val="32"/>
          <w:szCs w:val="32"/>
        </w:rPr>
        <w:t>。</w:t>
      </w:r>
      <w:r>
        <w:rPr>
          <w:rFonts w:ascii="仿宋_GB2312" w:eastAsia="仿宋_GB2312" w:hint="eastAsia"/>
          <w:sz w:val="32"/>
          <w:szCs w:val="32"/>
        </w:rPr>
        <w:t>公务用车购置及运行维护费支出决算比</w:t>
      </w:r>
      <w:r>
        <w:rPr>
          <w:rFonts w:ascii="仿宋_GB2312" w:eastAsia="仿宋_GB2312"/>
          <w:sz w:val="32"/>
          <w:szCs w:val="32"/>
        </w:rPr>
        <w:t>20</w:t>
      </w:r>
      <w:r>
        <w:rPr>
          <w:rFonts w:ascii="仿宋_GB2312" w:eastAsia="仿宋_GB2312" w:hint="eastAsia"/>
          <w:sz w:val="32"/>
          <w:szCs w:val="32"/>
        </w:rPr>
        <w:t>2</w:t>
      </w:r>
      <w:r>
        <w:rPr>
          <w:rFonts w:ascii="仿宋_GB2312" w:eastAsia="仿宋_GB2312" w:hint="eastAsia"/>
          <w:sz w:val="32"/>
          <w:szCs w:val="32"/>
          <w:lang w:val="en-US" w:eastAsia="zh-CN"/>
        </w:rPr>
        <w:t>4</w:t>
      </w:r>
      <w:r>
        <w:rPr>
          <w:rFonts w:ascii="仿宋_GB2312" w:eastAsia="仿宋_GB2312" w:hint="eastAsia"/>
          <w:sz w:val="32"/>
          <w:szCs w:val="32"/>
        </w:rPr>
        <w:t>年增加</w:t>
      </w:r>
      <w:r>
        <w:rPr>
          <w:rFonts w:ascii="仿宋_GB2312" w:eastAsia="仿宋_GB2312" w:hint="eastAsia"/>
          <w:sz w:val="32"/>
          <w:szCs w:val="32"/>
          <w:lang w:val="en-US" w:eastAsia="zh-CN"/>
        </w:rPr>
        <w:t>0</w:t>
      </w:r>
      <w:r>
        <w:rPr>
          <w:rFonts w:ascii="仿宋_GB2312" w:eastAsia="仿宋_GB2312" w:hint="eastAsia"/>
          <w:sz w:val="32"/>
          <w:szCs w:val="32"/>
        </w:rPr>
        <w:t>万元，增长</w:t>
      </w:r>
      <w:r>
        <w:rPr>
          <w:rFonts w:ascii="仿宋_GB2312" w:eastAsia="仿宋_GB2312" w:hint="eastAsia"/>
          <w:sz w:val="32"/>
          <w:szCs w:val="32"/>
          <w:lang w:val="en-US" w:eastAsia="zh-CN"/>
        </w:rPr>
        <w:t>0</w:t>
      </w:r>
      <w:r>
        <w:rPr>
          <w:rFonts w:ascii="仿宋_GB2312" w:eastAsia="仿宋_GB2312"/>
          <w:sz w:val="32"/>
          <w:szCs w:val="32"/>
        </w:rPr>
        <w:t>%</w:t>
      </w:r>
      <w:r>
        <w:rPr>
          <w:rFonts w:ascii="仿宋_GB2312" w:eastAsia="仿宋_GB2312" w:hint="eastAsia"/>
          <w:sz w:val="32"/>
          <w:szCs w:val="32"/>
        </w:rPr>
        <w:t>。较上年无增减变动，主要原因是：无相关支出。</w:t>
      </w:r>
    </w:p>
    <w:p>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lang w:val="en-US" w:eastAsia="zh-CN"/>
        </w:rPr>
        <w:t>0</w:t>
      </w:r>
      <w:r>
        <w:rPr>
          <w:rFonts w:ascii="仿宋_GB2312" w:eastAsia="仿宋_GB2312" w:hint="eastAsia"/>
          <w:sz w:val="32"/>
          <w:szCs w:val="32"/>
        </w:rPr>
        <w:t>万元。全年按规定更新购置公务用车</w:t>
      </w:r>
      <w:r>
        <w:rPr>
          <w:rFonts w:ascii="仿宋_GB2312" w:eastAsia="仿宋_GB2312" w:hint="eastAsia"/>
          <w:sz w:val="32"/>
          <w:szCs w:val="32"/>
          <w:lang w:val="en-US" w:eastAsia="zh-CN"/>
        </w:rPr>
        <w:t>0</w:t>
      </w:r>
      <w:r>
        <w:rPr>
          <w:rFonts w:ascii="仿宋_GB2312" w:eastAsia="仿宋_GB2312" w:hint="eastAsia"/>
          <w:sz w:val="32"/>
          <w:szCs w:val="32"/>
        </w:rPr>
        <w:t>辆，其中：轿车</w:t>
      </w:r>
      <w:r>
        <w:rPr>
          <w:rFonts w:ascii="仿宋_GB2312" w:eastAsia="仿宋_GB2312" w:hint="eastAsia"/>
          <w:sz w:val="32"/>
          <w:szCs w:val="32"/>
          <w:lang w:val="en-US" w:eastAsia="zh-CN"/>
        </w:rPr>
        <w:t>0</w:t>
      </w:r>
      <w:r>
        <w:rPr>
          <w:rFonts w:ascii="仿宋_GB2312" w:eastAsia="仿宋_GB2312" w:hint="eastAsia"/>
          <w:sz w:val="32"/>
          <w:szCs w:val="32"/>
        </w:rPr>
        <w:t>辆、金额</w:t>
      </w:r>
      <w:r>
        <w:rPr>
          <w:rFonts w:ascii="仿宋_GB2312" w:eastAsia="仿宋_GB2312" w:hint="eastAsia"/>
          <w:sz w:val="32"/>
          <w:szCs w:val="32"/>
          <w:lang w:val="en-US" w:eastAsia="zh-CN"/>
        </w:rPr>
        <w:t>0</w:t>
      </w:r>
      <w:r>
        <w:rPr>
          <w:rFonts w:ascii="仿宋_GB2312" w:eastAsia="仿宋_GB2312" w:hint="eastAsia"/>
          <w:sz w:val="32"/>
          <w:szCs w:val="32"/>
        </w:rPr>
        <w:t>万元，越野车</w:t>
      </w:r>
      <w:r>
        <w:rPr>
          <w:rFonts w:ascii="仿宋_GB2312" w:eastAsia="仿宋_GB2312" w:hint="eastAsia"/>
          <w:sz w:val="32"/>
          <w:szCs w:val="32"/>
          <w:lang w:val="en-US" w:eastAsia="zh-CN"/>
        </w:rPr>
        <w:t>0</w:t>
      </w:r>
      <w:r>
        <w:rPr>
          <w:rFonts w:ascii="仿宋_GB2312" w:eastAsia="仿宋_GB2312" w:hint="eastAsia"/>
          <w:sz w:val="32"/>
          <w:szCs w:val="32"/>
        </w:rPr>
        <w:t>辆、金额</w:t>
      </w:r>
      <w:r>
        <w:rPr>
          <w:rFonts w:ascii="仿宋_GB2312" w:eastAsia="仿宋_GB2312" w:hint="eastAsia"/>
          <w:sz w:val="32"/>
          <w:szCs w:val="32"/>
          <w:lang w:val="en-US" w:eastAsia="zh-CN"/>
        </w:rPr>
        <w:t>0</w:t>
      </w:r>
      <w:r>
        <w:rPr>
          <w:rFonts w:ascii="仿宋_GB2312" w:eastAsia="仿宋_GB2312" w:hint="eastAsia"/>
          <w:sz w:val="32"/>
          <w:szCs w:val="32"/>
        </w:rPr>
        <w:t>万元，载客汽车</w:t>
      </w:r>
      <w:r>
        <w:rPr>
          <w:rFonts w:ascii="仿宋_GB2312" w:eastAsia="仿宋_GB2312" w:hint="eastAsia"/>
          <w:sz w:val="32"/>
          <w:szCs w:val="32"/>
          <w:lang w:val="en-US" w:eastAsia="zh-CN"/>
        </w:rPr>
        <w:t>0</w:t>
      </w:r>
      <w:r>
        <w:rPr>
          <w:rFonts w:ascii="仿宋_GB2312" w:eastAsia="仿宋_GB2312" w:hint="eastAsia"/>
          <w:sz w:val="32"/>
          <w:szCs w:val="32"/>
        </w:rPr>
        <w:t>辆、金额</w:t>
      </w:r>
      <w:r>
        <w:rPr>
          <w:rFonts w:ascii="仿宋_GB2312" w:eastAsia="仿宋_GB2312" w:hint="eastAsia"/>
          <w:sz w:val="32"/>
          <w:szCs w:val="32"/>
          <w:lang w:val="en-US" w:eastAsia="zh-CN"/>
        </w:rPr>
        <w:t>0</w:t>
      </w:r>
      <w:r>
        <w:rPr>
          <w:rFonts w:ascii="仿宋_GB2312" w:eastAsia="仿宋_GB2312" w:hint="eastAsia"/>
          <w:sz w:val="32"/>
          <w:szCs w:val="32"/>
        </w:rPr>
        <w:t>万元。截至</w:t>
      </w:r>
      <w:r>
        <w:rPr>
          <w:rFonts w:ascii="仿宋_GB2312" w:eastAsia="仿宋_GB2312"/>
          <w:sz w:val="32"/>
          <w:szCs w:val="32"/>
        </w:rPr>
        <w:t>20</w:t>
      </w:r>
      <w:r>
        <w:rPr>
          <w:rFonts w:ascii="仿宋_GB2312" w:eastAsia="仿宋_GB2312" w:hint="eastAsia"/>
          <w:sz w:val="32"/>
          <w:szCs w:val="32"/>
        </w:rPr>
        <w:t>2</w:t>
      </w:r>
      <w:r>
        <w:rPr>
          <w:rFonts w:ascii="仿宋_GB2312" w:eastAsia="仿宋_GB2312" w:hint="eastAsia"/>
          <w:sz w:val="32"/>
          <w:szCs w:val="32"/>
          <w:lang w:val="en-US" w:eastAsia="zh-CN"/>
        </w:rPr>
        <w:t>5</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月底，单位共有公务用车</w:t>
      </w:r>
      <w:r>
        <w:rPr>
          <w:rFonts w:ascii="仿宋_GB2312" w:eastAsia="仿宋_GB2312" w:hint="eastAsia"/>
          <w:sz w:val="32"/>
          <w:szCs w:val="32"/>
          <w:lang w:val="en-US" w:eastAsia="zh-CN"/>
        </w:rPr>
        <w:t>0</w:t>
      </w:r>
      <w:r>
        <w:rPr>
          <w:rFonts w:ascii="仿宋_GB2312" w:eastAsia="仿宋_GB2312" w:hint="eastAsia"/>
          <w:sz w:val="32"/>
          <w:szCs w:val="32"/>
        </w:rPr>
        <w:t>辆，其中：轿车</w:t>
      </w:r>
      <w:r>
        <w:rPr>
          <w:rFonts w:ascii="仿宋_GB2312" w:eastAsia="仿宋_GB2312" w:hint="eastAsia"/>
          <w:sz w:val="32"/>
          <w:szCs w:val="32"/>
          <w:lang w:val="en-US" w:eastAsia="zh-CN"/>
        </w:rPr>
        <w:t>0</w:t>
      </w:r>
      <w:r>
        <w:rPr>
          <w:rFonts w:ascii="仿宋_GB2312" w:eastAsia="仿宋_GB2312" w:hint="eastAsia"/>
          <w:sz w:val="32"/>
          <w:szCs w:val="32"/>
        </w:rPr>
        <w:t>辆、越野车</w:t>
      </w:r>
      <w:r>
        <w:rPr>
          <w:rFonts w:ascii="仿宋_GB2312" w:eastAsia="仿宋_GB2312" w:hint="eastAsia"/>
          <w:sz w:val="32"/>
          <w:szCs w:val="32"/>
          <w:lang w:val="en-US" w:eastAsia="zh-CN"/>
        </w:rPr>
        <w:t>0</w:t>
      </w:r>
      <w:r>
        <w:rPr>
          <w:rFonts w:ascii="仿宋_GB2312" w:eastAsia="仿宋_GB2312" w:hint="eastAsia"/>
          <w:sz w:val="32"/>
          <w:szCs w:val="32"/>
        </w:rPr>
        <w:t>辆、载客汽车</w:t>
      </w:r>
      <w:r>
        <w:rPr>
          <w:rFonts w:ascii="仿宋_GB2312" w:eastAsia="仿宋_GB2312" w:hint="eastAsia"/>
          <w:sz w:val="32"/>
          <w:szCs w:val="32"/>
          <w:lang w:val="en-US" w:eastAsia="zh-CN"/>
        </w:rPr>
        <w:t>0</w:t>
      </w:r>
      <w:r>
        <w:rPr>
          <w:rFonts w:ascii="仿宋_GB2312" w:eastAsia="仿宋_GB2312" w:hint="eastAsia"/>
          <w:sz w:val="32"/>
          <w:szCs w:val="32"/>
        </w:rPr>
        <w:t>辆。</w:t>
      </w:r>
    </w:p>
    <w:p>
      <w:pPr>
        <w:spacing w:line="600" w:lineRule="exact"/>
        <w:ind w:firstLine="640"/>
        <w:rPr>
          <w:rFonts w:ascii="仿宋_GB2312" w:eastAsia="仿宋_GB2312" w:hint="eastAsia"/>
          <w:sz w:val="32"/>
          <w:szCs w:val="32"/>
        </w:rPr>
      </w:pPr>
      <w:r>
        <w:rPr>
          <w:rFonts w:ascii="仿宋_GB2312" w:eastAsia="仿宋_GB2312" w:hint="eastAsia"/>
          <w:b/>
          <w:sz w:val="32"/>
          <w:szCs w:val="32"/>
        </w:rPr>
        <w:t>公务用车运行维护费支出</w:t>
      </w:r>
      <w:r>
        <w:rPr>
          <w:rFonts w:ascii="仿宋_GB2312" w:eastAsia="仿宋_GB2312" w:hint="eastAsia"/>
          <w:sz w:val="32"/>
          <w:szCs w:val="32"/>
          <w:lang w:val="en-US" w:eastAsia="zh-CN"/>
        </w:rPr>
        <w:t>0</w:t>
      </w:r>
      <w:r>
        <w:rPr>
          <w:rFonts w:ascii="仿宋_GB2312" w:eastAsia="仿宋_GB2312" w:hint="eastAsia"/>
          <w:sz w:val="32"/>
          <w:szCs w:val="32"/>
        </w:rPr>
        <w:t>万元。</w:t>
      </w:r>
    </w:p>
    <w:p>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lang w:val="en-US" w:eastAsia="zh-CN"/>
        </w:rPr>
        <w:t>0</w:t>
      </w:r>
      <w:r>
        <w:rPr>
          <w:rFonts w:ascii="仿宋_GB2312" w:eastAsia="仿宋_GB2312" w:hint="eastAsia"/>
          <w:sz w:val="32"/>
          <w:szCs w:val="32"/>
        </w:rPr>
        <w:t>万元，</w:t>
      </w:r>
      <w:r>
        <w:rPr>
          <w:rStyle w:val="21"/>
          <w:rFonts w:ascii="仿宋" w:eastAsia="仿宋" w:hint="eastAsia"/>
          <w:b w:val="0"/>
          <w:bCs/>
          <w:sz w:val="32"/>
          <w:szCs w:val="32"/>
        </w:rPr>
        <w:t>完成预算</w:t>
      </w:r>
      <w:r>
        <w:rPr>
          <w:rStyle w:val="21"/>
          <w:rFonts w:ascii="仿宋" w:eastAsia="仿宋" w:hint="eastAsia"/>
          <w:b w:val="0"/>
          <w:bCs/>
          <w:sz w:val="32"/>
          <w:szCs w:val="32"/>
          <w:lang w:val="en-US" w:eastAsia="zh-CN"/>
        </w:rPr>
        <w:t>0</w:t>
      </w:r>
      <w:r>
        <w:rPr>
          <w:rStyle w:val="21"/>
          <w:rFonts w:ascii="仿宋" w:eastAsia="仿宋"/>
          <w:b w:val="0"/>
          <w:bCs/>
          <w:sz w:val="32"/>
          <w:szCs w:val="32"/>
        </w:rPr>
        <w:t>%</w:t>
      </w:r>
      <w:r>
        <w:rPr>
          <w:rStyle w:val="21"/>
          <w:rFonts w:ascii="仿宋" w:eastAsia="仿宋" w:hint="eastAsia"/>
          <w:b w:val="0"/>
          <w:bCs/>
          <w:sz w:val="32"/>
          <w:szCs w:val="32"/>
        </w:rPr>
        <w:t>。</w:t>
      </w:r>
      <w:r>
        <w:rPr>
          <w:rFonts w:ascii="仿宋_GB2312" w:eastAsia="仿宋_GB2312" w:hint="eastAsia"/>
          <w:sz w:val="32"/>
          <w:szCs w:val="32"/>
        </w:rPr>
        <w:t>公务接待费支出决算比2024年增加0万元，增长0%。较上年无增减变动，主要原因是：无相关支出。</w:t>
      </w:r>
    </w:p>
    <w:p>
      <w:pPr>
        <w:spacing w:line="600" w:lineRule="exact"/>
        <w:ind w:firstLine="640"/>
        <w:rPr>
          <w:rFonts w:ascii="仿宋_GB2312" w:eastAsia="仿宋_GB2312"/>
          <w:sz w:val="32"/>
          <w:szCs w:val="32"/>
          <w:lang w:val="en-US"/>
        </w:rPr>
      </w:pPr>
      <w:r>
        <w:rPr>
          <w:rFonts w:ascii="仿宋" w:eastAsia="仿宋" w:hint="eastAsia"/>
          <w:b/>
          <w:sz w:val="32"/>
          <w:szCs w:val="32"/>
        </w:rPr>
        <w:t>国内公务接待支出</w:t>
      </w:r>
      <w:r>
        <w:rPr>
          <w:rFonts w:ascii="仿宋" w:eastAsia="仿宋" w:hint="eastAsia"/>
          <w:sz w:val="32"/>
          <w:szCs w:val="32"/>
          <w:lang w:val="en-US" w:eastAsia="zh-CN"/>
        </w:rPr>
        <w:t>0</w:t>
      </w:r>
      <w:r>
        <w:rPr>
          <w:rFonts w:ascii="仿宋_GB2312" w:eastAsia="仿宋_GB2312" w:hint="eastAsia"/>
          <w:sz w:val="32"/>
          <w:szCs w:val="32"/>
        </w:rPr>
        <w:t>万元，国内公务接待</w:t>
      </w:r>
      <w:r>
        <w:rPr>
          <w:rFonts w:ascii="仿宋_GB2312" w:eastAsia="仿宋_GB2312" w:hint="eastAsia"/>
          <w:sz w:val="32"/>
          <w:szCs w:val="32"/>
          <w:lang w:val="en-US" w:eastAsia="zh-CN"/>
        </w:rPr>
        <w:t>0</w:t>
      </w:r>
      <w:r>
        <w:rPr>
          <w:rFonts w:ascii="仿宋_GB2312" w:eastAsia="仿宋_GB2312" w:hint="eastAsia"/>
          <w:sz w:val="32"/>
          <w:szCs w:val="32"/>
        </w:rPr>
        <w:t>批次，0人次（不包括陪同人员）</w:t>
      </w:r>
      <w:r>
        <w:rPr>
          <w:rFonts w:ascii="仿宋_GB2312" w:eastAsia="仿宋_GB2312" w:hint="eastAsia"/>
          <w:sz w:val="32"/>
          <w:szCs w:val="32"/>
          <w:lang w:eastAsia="zh-CN"/>
        </w:rPr>
        <w:t>。</w:t>
      </w:r>
      <w:r>
        <w:rPr>
          <w:rFonts w:ascii="仿宋_GB2312" w:eastAsia="仿宋_GB2312" w:hint="eastAsia"/>
          <w:sz w:val="32"/>
          <w:szCs w:val="32"/>
        </w:rPr>
        <w:t>共计支出</w:t>
      </w:r>
      <w:r>
        <w:rPr>
          <w:rFonts w:ascii="仿宋_GB2312" w:eastAsia="仿宋_GB2312" w:hint="eastAsia"/>
          <w:sz w:val="32"/>
          <w:szCs w:val="32"/>
          <w:lang w:val="en-US" w:eastAsia="zh-CN"/>
        </w:rPr>
        <w:t>0</w:t>
      </w:r>
      <w:r>
        <w:rPr>
          <w:rFonts w:ascii="仿宋_GB2312" w:eastAsia="仿宋_GB2312" w:hint="eastAsia"/>
          <w:sz w:val="32"/>
          <w:szCs w:val="32"/>
        </w:rPr>
        <w:t>万元</w:t>
      </w:r>
      <w:r>
        <w:rPr>
          <w:rFonts w:ascii="仿宋" w:eastAsia="仿宋" w:hint="eastAsia"/>
          <w:sz w:val="32"/>
          <w:szCs w:val="32"/>
          <w:lang w:val="en-US" w:eastAsia="zh-CN"/>
        </w:rPr>
        <w:t>。</w:t>
      </w:r>
    </w:p>
    <w:p>
      <w:pPr>
        <w:spacing w:line="600" w:lineRule="exact"/>
        <w:ind w:firstLineChars="200" w:firstLine="640"/>
        <w:rPr>
          <w:rFonts w:ascii="仿宋_GB2312" w:eastAsia="仿宋_GB2312"/>
          <w:sz w:val="32"/>
          <w:szCs w:val="32"/>
        </w:rPr>
      </w:pPr>
      <w:r>
        <w:rPr>
          <w:rFonts w:ascii="仿宋" w:eastAsia="仿宋" w:hint="eastAsia"/>
          <w:b/>
          <w:sz w:val="32"/>
          <w:szCs w:val="32"/>
        </w:rPr>
        <w:t>外事接待支出</w:t>
      </w:r>
      <w:r>
        <w:rPr>
          <w:rFonts w:ascii="仿宋" w:eastAsia="仿宋" w:hint="eastAsia"/>
          <w:sz w:val="32"/>
          <w:szCs w:val="32"/>
          <w:lang w:val="en-US" w:eastAsia="zh-CN"/>
        </w:rPr>
        <w:t>0</w:t>
      </w:r>
      <w:r>
        <w:rPr>
          <w:rFonts w:ascii="仿宋_GB2312" w:eastAsia="仿宋_GB2312" w:hint="eastAsia"/>
          <w:sz w:val="32"/>
          <w:szCs w:val="32"/>
        </w:rPr>
        <w:t>万元，外事接待</w:t>
      </w:r>
      <w:r>
        <w:rPr>
          <w:rFonts w:ascii="仿宋_GB2312" w:eastAsia="仿宋_GB2312" w:hint="eastAsia"/>
          <w:sz w:val="32"/>
          <w:szCs w:val="32"/>
          <w:lang w:val="en-US" w:eastAsia="zh-CN"/>
        </w:rPr>
        <w:t>0</w:t>
      </w:r>
      <w:r>
        <w:rPr>
          <w:rFonts w:ascii="仿宋_GB2312" w:eastAsia="仿宋_GB2312" w:hint="eastAsia"/>
          <w:sz w:val="32"/>
          <w:szCs w:val="32"/>
        </w:rPr>
        <w:t>批次，</w:t>
      </w:r>
      <w:r>
        <w:rPr>
          <w:rFonts w:ascii="仿宋_GB2312" w:eastAsia="仿宋_GB2312" w:hint="eastAsia"/>
          <w:sz w:val="32"/>
          <w:szCs w:val="32"/>
          <w:lang w:val="en-US" w:eastAsia="zh-CN"/>
        </w:rPr>
        <w:t>0</w:t>
      </w:r>
      <w:r>
        <w:rPr>
          <w:rFonts w:ascii="仿宋_GB2312" w:eastAsia="仿宋_GB2312" w:hint="eastAsia"/>
          <w:sz w:val="32"/>
          <w:szCs w:val="32"/>
        </w:rPr>
        <w:t>人次（不包括陪同人员），共计支出</w:t>
      </w:r>
      <w:r>
        <w:rPr>
          <w:rFonts w:ascii="仿宋_GB2312" w:eastAsia="仿宋_GB2312" w:hint="eastAsia"/>
          <w:sz w:val="32"/>
          <w:szCs w:val="32"/>
          <w:lang w:val="en-US" w:eastAsia="zh-CN"/>
        </w:rPr>
        <w:t>0</w:t>
      </w:r>
      <w:r>
        <w:rPr>
          <w:rFonts w:ascii="仿宋_GB2312" w:eastAsia="仿宋_GB2312" w:hint="eastAsia"/>
          <w:sz w:val="32"/>
          <w:szCs w:val="32"/>
        </w:rPr>
        <w:t>万元。</w:t>
      </w:r>
    </w:p>
    <w:p>
      <w:pPr>
        <w:spacing w:line="600" w:lineRule="exact"/>
        <w:ind w:firstLineChars="200" w:firstLine="640"/>
        <w:outlineLvl w:val="1"/>
        <w:rPr>
          <w:rStyle w:val="2Char"/>
          <w:rFonts w:ascii="黑体" w:eastAsia="黑体"/>
        </w:rPr>
      </w:pPr>
      <w:bookmarkStart w:id="41" w:name="_Toc15377218"/>
      <w:bookmarkStart w:id="42" w:name="_Toc15396610"/>
      <w:r>
        <w:rPr>
          <w:rFonts w:ascii="黑体" w:eastAsia="黑体" w:hint="eastAsia"/>
          <w:sz w:val="32"/>
          <w:szCs w:val="32"/>
        </w:rPr>
        <w:t>八、</w:t>
      </w:r>
      <w:r>
        <w:rPr>
          <w:rStyle w:val="2Char"/>
          <w:rFonts w:ascii="黑体" w:eastAsia="黑体" w:hint="eastAsia"/>
          <w:b w:val="0"/>
        </w:rPr>
        <w:t>政府性基金预算支出决算情况说明</w:t>
      </w:r>
      <w:bookmarkEnd w:id="41"/>
      <w:bookmarkEnd w:id="42"/>
    </w:p>
    <w:p>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w:t>
      </w:r>
      <w:r>
        <w:rPr>
          <w:rFonts w:ascii="仿宋_GB2312" w:eastAsia="仿宋_GB2312" w:hint="eastAsia"/>
          <w:sz w:val="32"/>
          <w:szCs w:val="32"/>
          <w:lang w:val="en-US" w:eastAsia="zh-CN"/>
        </w:rPr>
        <w:t>5</w:t>
      </w:r>
      <w:r>
        <w:rPr>
          <w:rFonts w:ascii="仿宋_GB2312" w:eastAsia="仿宋_GB2312" w:hint="eastAsia"/>
          <w:sz w:val="32"/>
          <w:szCs w:val="32"/>
        </w:rPr>
        <w:t>年政府性基金预算财政拨款支出</w:t>
      </w:r>
      <w:r>
        <w:rPr>
          <w:rFonts w:ascii="仿宋_GB2312" w:eastAsia="仿宋_GB2312" w:hint="eastAsia"/>
          <w:sz w:val="32"/>
          <w:szCs w:val="32"/>
          <w:lang w:val="en-US" w:eastAsia="zh-CN"/>
        </w:rPr>
        <w:t>0</w:t>
      </w:r>
      <w:r>
        <w:rPr>
          <w:rFonts w:ascii="仿宋_GB2312" w:eastAsia="仿宋_GB2312" w:hint="eastAsia"/>
          <w:sz w:val="32"/>
          <w:szCs w:val="32"/>
        </w:rPr>
        <w:t>万元，与上年度相比无变化。</w:t>
      </w:r>
    </w:p>
    <w:p>
      <w:pPr>
        <w:spacing w:line="600" w:lineRule="exact"/>
        <w:ind w:left="0" w:firstLineChars="200" w:firstLine="640"/>
        <w:outlineLvl w:val="1"/>
        <w:rPr>
          <w:rStyle w:val="2Char"/>
          <w:rFonts w:ascii="黑体" w:eastAsia="黑体"/>
          <w:b w:val="0"/>
        </w:rPr>
      </w:pPr>
      <w:bookmarkStart w:id="43" w:name="_Toc15396611"/>
      <w:bookmarkStart w:id="44" w:name="_Toc15377219"/>
      <w:r>
        <w:rPr>
          <w:rStyle w:val="2Char"/>
          <w:rFonts w:ascii="黑体" w:eastAsia="黑体" w:hint="eastAsia"/>
          <w:b w:val="0"/>
          <w:lang w:val="en-US" w:eastAsia="zh-CN"/>
        </w:rPr>
        <w:t>九、</w:t>
      </w:r>
      <w:r>
        <w:rPr>
          <w:rStyle w:val="2Char"/>
          <w:rFonts w:ascii="黑体" w:eastAsia="黑体" w:hint="eastAsia"/>
          <w:b w:val="0"/>
        </w:rPr>
        <w:t>国有资本经营预算支出决算情况说明</w:t>
      </w:r>
      <w:bookmarkEnd w:id="43"/>
      <w:bookmarkEnd w:id="44"/>
    </w:p>
    <w:p>
      <w:pPr>
        <w:spacing w:line="600" w:lineRule="exact"/>
        <w:ind w:firstLine="640"/>
        <w:rPr>
          <w:rFonts w:ascii="仿宋_GB2312" w:eastAsia="仿宋_GB2312" w:cs="方正小标宋简体" w:hint="eastAsia"/>
          <w:sz w:val="32"/>
          <w:szCs w:val="32"/>
        </w:rPr>
      </w:pPr>
      <w:r>
        <w:rPr>
          <w:rFonts w:ascii="仿宋_GB2312" w:eastAsia="仿宋_GB2312"/>
          <w:sz w:val="32"/>
          <w:szCs w:val="32"/>
        </w:rPr>
        <w:t>20</w:t>
      </w:r>
      <w:r>
        <w:rPr>
          <w:rFonts w:ascii="仿宋_GB2312" w:eastAsia="仿宋_GB2312" w:hint="eastAsia"/>
          <w:sz w:val="32"/>
          <w:szCs w:val="32"/>
        </w:rPr>
        <w:t>2</w:t>
      </w:r>
      <w:r>
        <w:rPr>
          <w:rFonts w:ascii="仿宋_GB2312" w:eastAsia="仿宋_GB2312" w:hint="eastAsia"/>
          <w:sz w:val="32"/>
          <w:szCs w:val="32"/>
          <w:lang w:val="en-US" w:eastAsia="zh-CN"/>
        </w:rPr>
        <w:t>5</w:t>
      </w:r>
      <w:r>
        <w:rPr>
          <w:rFonts w:ascii="仿宋_GB2312" w:eastAsia="仿宋_GB2312" w:hint="eastAsia"/>
          <w:sz w:val="32"/>
          <w:szCs w:val="32"/>
        </w:rPr>
        <w:t>年国有资本经营预算财政拨款支出</w:t>
      </w:r>
      <w:r>
        <w:rPr>
          <w:rFonts w:ascii="仿宋_GB2312" w:eastAsia="仿宋_GB2312" w:hint="eastAsia"/>
          <w:sz w:val="32"/>
          <w:szCs w:val="32"/>
          <w:lang w:val="en-US" w:eastAsia="zh-CN"/>
        </w:rPr>
        <w:t>0</w:t>
      </w:r>
      <w:r>
        <w:rPr>
          <w:rFonts w:ascii="仿宋_GB2312" w:eastAsia="仿宋_GB2312" w:hint="eastAsia"/>
          <w:sz w:val="32"/>
          <w:szCs w:val="32"/>
        </w:rPr>
        <w:t>万元，与上年度相比无变化。</w:t>
      </w:r>
    </w:p>
    <w:p>
      <w:pPr>
        <w:spacing w:line="600" w:lineRule="exact"/>
        <w:ind w:left="0" w:firstLineChars="200" w:firstLine="640"/>
        <w:outlineLvl w:val="1"/>
        <w:rPr>
          <w:rStyle w:val="2Char"/>
          <w:rFonts w:ascii="黑体" w:eastAsia="黑体"/>
          <w:b w:val="0"/>
        </w:rPr>
      </w:pPr>
      <w:bookmarkStart w:id="45" w:name="_Toc15377221"/>
      <w:bookmarkStart w:id="46" w:name="_Toc15396612"/>
      <w:r>
        <w:rPr>
          <w:rStyle w:val="2Char"/>
          <w:rFonts w:ascii="黑体" w:eastAsia="黑体" w:hint="eastAsia"/>
          <w:b w:val="0"/>
          <w:lang w:val="en-US" w:eastAsia="zh-CN"/>
        </w:rPr>
        <w:t>十、</w:t>
      </w:r>
      <w:r>
        <w:rPr>
          <w:rStyle w:val="2Char"/>
          <w:rFonts w:ascii="黑体" w:eastAsia="黑体" w:hint="eastAsia"/>
          <w:b w:val="0"/>
        </w:rPr>
        <w:t>其他重要事项的情况说明</w:t>
      </w:r>
      <w:bookmarkEnd w:id="45"/>
      <w:bookmarkEnd w:id="46"/>
    </w:p>
    <w:p>
      <w:pPr>
        <w:spacing w:line="600" w:lineRule="exact"/>
        <w:ind w:firstLineChars="200" w:firstLine="640"/>
        <w:outlineLvl w:val="2"/>
        <w:rPr>
          <w:rFonts w:ascii="仿宋" w:eastAsia="仿宋"/>
          <w:sz w:val="32"/>
          <w:szCs w:val="32"/>
        </w:rPr>
      </w:pPr>
      <w:bookmarkStart w:id="47" w:name="_Toc15377222"/>
      <w:r>
        <w:rPr>
          <w:rFonts w:ascii="仿宋" w:eastAsia="仿宋" w:hint="eastAsia"/>
          <w:b/>
          <w:sz w:val="32"/>
          <w:szCs w:val="32"/>
        </w:rPr>
        <w:t>（一）机关运行经费支出情况</w:t>
      </w:r>
      <w:bookmarkEnd w:id="47"/>
    </w:p>
    <w:p>
      <w:pPr>
        <w:spacing w:line="600" w:lineRule="exact"/>
        <w:ind w:firstLine="640"/>
        <w:rPr>
          <w:rFonts w:ascii="仿宋" w:eastAsia="仿宋"/>
          <w:b/>
          <w:sz w:val="32"/>
          <w:szCs w:val="32"/>
        </w:rPr>
      </w:pPr>
      <w:r>
        <w:rPr>
          <w:rFonts w:ascii="仿宋_GB2312" w:eastAsia="仿宋_GB2312"/>
          <w:sz w:val="32"/>
          <w:szCs w:val="32"/>
        </w:rPr>
        <w:t>20</w:t>
      </w:r>
      <w:r>
        <w:rPr>
          <w:rFonts w:ascii="仿宋_GB2312" w:eastAsia="仿宋_GB2312" w:hint="eastAsia"/>
          <w:sz w:val="32"/>
          <w:szCs w:val="32"/>
        </w:rPr>
        <w:t>2</w:t>
      </w:r>
      <w:r>
        <w:rPr>
          <w:rFonts w:ascii="仿宋_GB2312" w:eastAsia="仿宋_GB2312" w:hint="eastAsia"/>
          <w:sz w:val="32"/>
          <w:szCs w:val="32"/>
          <w:lang w:val="en-US" w:eastAsia="zh-CN"/>
        </w:rPr>
        <w:t>5</w:t>
      </w:r>
      <w:r>
        <w:rPr>
          <w:rFonts w:ascii="仿宋_GB2312" w:eastAsia="仿宋_GB2312" w:hint="eastAsia"/>
          <w:sz w:val="32"/>
          <w:szCs w:val="32"/>
        </w:rPr>
        <w:t>年，</w:t>
      </w:r>
      <w:r>
        <w:rPr>
          <w:rFonts w:ascii="仿宋_GB2312" w:eastAsia="仿宋_GB2312" w:hint="eastAsia"/>
          <w:sz w:val="32"/>
          <w:szCs w:val="32"/>
          <w:lang w:eastAsia="zh-CN"/>
        </w:rPr>
        <w:t>汶川县帮扶中心</w:t>
      </w:r>
      <w:r>
        <w:rPr>
          <w:rFonts w:ascii="仿宋_GB2312" w:eastAsia="仿宋_GB2312" w:hint="eastAsia"/>
          <w:sz w:val="32"/>
          <w:szCs w:val="32"/>
        </w:rPr>
        <w:t>机关运行经费支出</w:t>
      </w:r>
      <w:r>
        <w:rPr>
          <w:rFonts w:ascii="仿宋_GB2312" w:eastAsia="仿宋_GB2312" w:hint="eastAsia"/>
          <w:sz w:val="32"/>
          <w:szCs w:val="32"/>
          <w:lang w:val="en-US" w:eastAsia="zh-CN"/>
        </w:rPr>
        <w:t>0</w:t>
      </w:r>
      <w:r>
        <w:rPr>
          <w:rFonts w:ascii="仿宋_GB2312" w:eastAsia="仿宋_GB2312" w:hint="eastAsia"/>
          <w:sz w:val="32"/>
          <w:szCs w:val="32"/>
        </w:rPr>
        <w:t>万元，比</w:t>
      </w:r>
      <w:r>
        <w:rPr>
          <w:rFonts w:ascii="仿宋_GB2312" w:eastAsia="仿宋_GB2312"/>
          <w:sz w:val="32"/>
          <w:szCs w:val="32"/>
        </w:rPr>
        <w:t>20</w:t>
      </w:r>
      <w:r>
        <w:rPr>
          <w:rFonts w:ascii="仿宋_GB2312" w:eastAsia="仿宋_GB2312" w:hint="eastAsia"/>
          <w:sz w:val="32"/>
          <w:szCs w:val="32"/>
        </w:rPr>
        <w:t>2</w:t>
      </w:r>
      <w:r>
        <w:rPr>
          <w:rFonts w:ascii="仿宋_GB2312" w:eastAsia="仿宋_GB2312" w:hint="eastAsia"/>
          <w:sz w:val="32"/>
          <w:szCs w:val="32"/>
          <w:lang w:val="en-US" w:eastAsia="zh-CN"/>
        </w:rPr>
        <w:t>4</w:t>
      </w:r>
      <w:r>
        <w:rPr>
          <w:rFonts w:ascii="仿宋_GB2312" w:eastAsia="仿宋_GB2312" w:hint="eastAsia"/>
          <w:sz w:val="32"/>
          <w:szCs w:val="32"/>
        </w:rPr>
        <w:t>年</w:t>
      </w:r>
      <w:r>
        <w:rPr>
          <w:rFonts w:ascii="仿宋_GB2312" w:eastAsia="仿宋_GB2312" w:hint="eastAsia"/>
          <w:sz w:val="32"/>
          <w:szCs w:val="32"/>
          <w:lang w:eastAsia="zh-CN"/>
        </w:rPr>
        <w:t>增加</w:t>
      </w:r>
      <w:r>
        <w:rPr>
          <w:rFonts w:ascii="仿宋_GB2312" w:eastAsia="仿宋_GB2312" w:hint="eastAsia"/>
          <w:sz w:val="32"/>
          <w:szCs w:val="32"/>
          <w:lang w:val="en-US" w:eastAsia="zh-CN"/>
        </w:rPr>
        <w:t>0</w:t>
      </w:r>
      <w:r>
        <w:rPr>
          <w:rFonts w:ascii="仿宋_GB2312" w:eastAsia="仿宋_GB2312" w:hint="eastAsia"/>
          <w:sz w:val="32"/>
          <w:szCs w:val="32"/>
        </w:rPr>
        <w:t>万元。与上年度相比无变化。主要原因是</w:t>
      </w:r>
      <w:r>
        <w:rPr>
          <w:rFonts w:ascii="仿宋" w:eastAsia="仿宋" w:hint="eastAsia"/>
          <w:color w:val="000000"/>
          <w:sz w:val="32"/>
          <w:szCs w:val="32"/>
          <w:lang w:val="en-US" w:eastAsia="zh-CN"/>
          <w:highlight w:val="auto"/>
        </w:rPr>
        <w:t>汶川县总工会帮扶中心是汶川县总工会下属事业中心，无机关运行开支</w:t>
      </w:r>
      <w:r>
        <w:rPr>
          <w:rFonts w:ascii="仿宋" w:eastAsia="仿宋" w:hint="eastAsia"/>
          <w:color w:val="000000"/>
          <w:sz w:val="32"/>
          <w:szCs w:val="32"/>
          <w:highlight w:val="auto"/>
        </w:rPr>
        <w:t>。</w:t>
      </w:r>
    </w:p>
    <w:p>
      <w:pPr>
        <w:autoSpaceDE w:val="0"/>
        <w:autoSpaceDN w:val="0"/>
        <w:adjustRightInd w:val="0"/>
        <w:spacing w:line="600" w:lineRule="exact"/>
        <w:ind w:firstLineChars="200" w:firstLine="640"/>
        <w:jc w:val="left"/>
        <w:outlineLvl w:val="2"/>
        <w:rPr>
          <w:rFonts w:ascii="仿宋" w:eastAsia="仿宋"/>
          <w:b/>
          <w:sz w:val="32"/>
          <w:szCs w:val="32"/>
        </w:rPr>
      </w:pPr>
      <w:bookmarkStart w:id="48" w:name="_Toc15377223"/>
      <w:r>
        <w:rPr>
          <w:rFonts w:ascii="仿宋" w:eastAsia="仿宋" w:hint="eastAsia"/>
          <w:b/>
          <w:sz w:val="32"/>
          <w:szCs w:val="32"/>
        </w:rPr>
        <w:t>（二）政府采购支出情况</w:t>
      </w:r>
      <w:bookmarkEnd w:id="48"/>
    </w:p>
    <w:p>
      <w:pPr>
        <w:spacing w:line="600" w:lineRule="exact"/>
        <w:ind w:firstLineChars="200" w:firstLine="640"/>
        <w:rPr>
          <w:rFonts w:ascii="仿宋_GB2312" w:eastAsia="仿宋_GB2312"/>
          <w:color w:val="000000"/>
          <w:sz w:val="32"/>
          <w:szCs w:val="32"/>
        </w:rPr>
      </w:pPr>
      <w:r>
        <w:rPr>
          <w:rFonts w:ascii="仿宋_GB2312" w:eastAsia="仿宋_GB2312"/>
          <w:color w:val="000000"/>
          <w:sz w:val="32"/>
          <w:szCs w:val="32"/>
        </w:rPr>
        <w:t>202</w:t>
      </w:r>
      <w:r>
        <w:rPr>
          <w:rFonts w:ascii="仿宋_GB2312" w:eastAsia="仿宋_GB2312" w:hint="eastAsia"/>
          <w:color w:val="000000"/>
          <w:sz w:val="32"/>
          <w:szCs w:val="32"/>
          <w:lang w:val="en-US" w:eastAsia="zh-CN"/>
        </w:rPr>
        <w:t>5</w:t>
      </w:r>
      <w:r>
        <w:rPr>
          <w:rFonts w:ascii="仿宋_GB2312" w:eastAsia="仿宋_GB2312" w:hint="eastAsia"/>
          <w:color w:val="000000"/>
          <w:sz w:val="32"/>
          <w:szCs w:val="32"/>
        </w:rPr>
        <w:t>年，政府采购支出总额</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万元，其中：政府采购货物支出</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万元、政府采购工程支出</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万元、政府采购服务支出</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万元。主要用于</w:t>
      </w:r>
      <w:r>
        <w:rPr>
          <w:rFonts w:ascii="仿宋_GB2312" w:eastAsia="仿宋_GB2312" w:hint="eastAsia"/>
          <w:color w:val="000000"/>
          <w:sz w:val="32"/>
          <w:szCs w:val="32"/>
          <w:lang w:val="en-US" w:eastAsia="zh-CN"/>
        </w:rPr>
        <w:t>办公用品</w:t>
      </w:r>
      <w:r>
        <w:rPr>
          <w:rFonts w:ascii="仿宋_GB2312" w:eastAsia="仿宋_GB2312" w:hint="eastAsia"/>
          <w:color w:val="000000"/>
          <w:sz w:val="32"/>
          <w:szCs w:val="32"/>
        </w:rPr>
        <w:t>。授予中小企业合同金额</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万元，占政府采购支出总额的</w:t>
      </w:r>
      <w:r>
        <w:rPr>
          <w:rFonts w:ascii="仿宋_GB2312" w:eastAsia="仿宋_GB2312" w:hint="eastAsia"/>
          <w:color w:val="000000"/>
          <w:sz w:val="32"/>
          <w:szCs w:val="32"/>
          <w:lang w:val="en-US" w:eastAsia="zh-CN"/>
        </w:rPr>
        <w:t>0</w:t>
      </w:r>
      <w:r>
        <w:rPr>
          <w:rFonts w:ascii="仿宋_GB2312" w:eastAsia="仿宋_GB2312"/>
          <w:color w:val="000000"/>
          <w:sz w:val="32"/>
          <w:szCs w:val="32"/>
        </w:rPr>
        <w:t>%</w:t>
      </w:r>
      <w:r>
        <w:rPr>
          <w:rFonts w:ascii="仿宋_GB2312" w:eastAsia="仿宋_GB2312" w:hint="eastAsia"/>
          <w:color w:val="000000"/>
          <w:sz w:val="32"/>
          <w:szCs w:val="32"/>
        </w:rPr>
        <w:t>，其中：授予小微企业合同金额</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万元，占政府采购支出总额的</w:t>
      </w:r>
      <w:r>
        <w:rPr>
          <w:rFonts w:ascii="仿宋_GB2312" w:eastAsia="仿宋_GB2312" w:hint="eastAsia"/>
          <w:color w:val="000000"/>
          <w:sz w:val="32"/>
          <w:szCs w:val="32"/>
          <w:lang w:val="en-US" w:eastAsia="zh-CN"/>
        </w:rPr>
        <w:t>0</w:t>
      </w:r>
      <w:r>
        <w:rPr>
          <w:rFonts w:ascii="仿宋_GB2312" w:eastAsia="仿宋_GB2312"/>
          <w:color w:val="000000"/>
          <w:sz w:val="32"/>
          <w:szCs w:val="32"/>
        </w:rPr>
        <w:t>%</w:t>
      </w:r>
      <w:r>
        <w:rPr>
          <w:rFonts w:ascii="仿宋_GB2312" w:eastAsia="仿宋_GB2312" w:hint="eastAsia"/>
          <w:color w:val="000000"/>
          <w:sz w:val="32"/>
          <w:szCs w:val="32"/>
        </w:rPr>
        <w:t>。</w:t>
      </w:r>
    </w:p>
    <w:p>
      <w:pPr>
        <w:autoSpaceDE w:val="0"/>
        <w:autoSpaceDN w:val="0"/>
        <w:adjustRightInd w:val="0"/>
        <w:spacing w:line="600" w:lineRule="exact"/>
        <w:ind w:firstLineChars="200" w:firstLine="640"/>
        <w:jc w:val="left"/>
        <w:outlineLvl w:val="2"/>
        <w:rPr>
          <w:rFonts w:ascii="仿宋" w:eastAsia="仿宋"/>
          <w:b/>
          <w:sz w:val="32"/>
          <w:szCs w:val="32"/>
        </w:rPr>
      </w:pPr>
      <w:bookmarkStart w:id="49" w:name="_Toc15377224"/>
      <w:r>
        <w:rPr>
          <w:rFonts w:ascii="仿宋" w:eastAsia="仿宋" w:hint="eastAsia"/>
          <w:b/>
          <w:sz w:val="32"/>
          <w:szCs w:val="32"/>
        </w:rPr>
        <w:t>（三）国有资产占有使用情况</w:t>
      </w:r>
      <w:bookmarkEnd w:id="49"/>
    </w:p>
    <w:p>
      <w:pPr>
        <w:keepNext w:val="0"/>
        <w:keepLines w:val="0"/>
        <w:pageBreakBefore w:val="0"/>
        <w:widowControl w:val="0"/>
        <w:kinsoku/>
        <w:wordWrap/>
        <w:overflowPunct/>
        <w:topLinePunct w:val="0"/>
        <w:autoSpaceDE w:val="0"/>
        <w:autoSpaceDN w:val="0"/>
        <w:bidi w:val="0"/>
        <w:adjustRightInd w:val="0"/>
        <w:snapToGrid/>
        <w:spacing w:line="540" w:lineRule="exact"/>
        <w:ind w:firstLineChars="200" w:firstLine="640"/>
        <w:jc w:val="both"/>
        <w:textAlignment w:val="auto"/>
        <w:outlineLvl w:val="2"/>
        <w:rPr>
          <w:rFonts w:ascii="仿宋_GB2312" w:eastAsia="仿宋_GB2312" w:hint="eastAsia"/>
          <w:color w:val="000000"/>
          <w:sz w:val="32"/>
          <w:szCs w:val="32"/>
        </w:rPr>
      </w:pPr>
      <w:r>
        <w:rPr>
          <w:rFonts w:ascii="仿宋_GB2312" w:eastAsia="仿宋_GB2312" w:hint="eastAsia"/>
          <w:color w:val="000000"/>
          <w:sz w:val="32"/>
          <w:szCs w:val="32"/>
        </w:rPr>
        <w:t>截至</w:t>
      </w:r>
      <w:r>
        <w:rPr>
          <w:rFonts w:ascii="仿宋_GB2312" w:eastAsia="仿宋_GB2312"/>
          <w:color w:val="000000"/>
          <w:sz w:val="32"/>
          <w:szCs w:val="32"/>
        </w:rPr>
        <w:t>202</w:t>
      </w:r>
      <w:r>
        <w:rPr>
          <w:rFonts w:ascii="仿宋_GB2312" w:eastAsia="仿宋_GB2312" w:hint="eastAsia"/>
          <w:color w:val="000000"/>
          <w:sz w:val="32"/>
          <w:szCs w:val="32"/>
          <w:lang w:val="en-US" w:eastAsia="zh-CN"/>
        </w:rPr>
        <w:t>5</w:t>
      </w:r>
      <w:r>
        <w:rPr>
          <w:rFonts w:ascii="仿宋_GB2312" w:eastAsia="仿宋_GB2312" w:hint="eastAsia"/>
          <w:color w:val="000000"/>
          <w:sz w:val="32"/>
          <w:szCs w:val="32"/>
        </w:rPr>
        <w:t>年</w:t>
      </w:r>
      <w:r>
        <w:rPr>
          <w:rFonts w:ascii="仿宋_GB2312" w:eastAsia="仿宋_GB2312"/>
          <w:color w:val="000000"/>
          <w:sz w:val="32"/>
          <w:szCs w:val="32"/>
        </w:rPr>
        <w:t>12</w:t>
      </w:r>
      <w:r>
        <w:rPr>
          <w:rFonts w:ascii="仿宋_GB2312" w:eastAsia="仿宋_GB2312" w:hint="eastAsia"/>
          <w:color w:val="000000"/>
          <w:sz w:val="32"/>
          <w:szCs w:val="32"/>
        </w:rPr>
        <w:t>月</w:t>
      </w:r>
      <w:r>
        <w:rPr>
          <w:rFonts w:ascii="仿宋_GB2312" w:eastAsia="仿宋_GB2312"/>
          <w:color w:val="000000"/>
          <w:sz w:val="32"/>
          <w:szCs w:val="32"/>
        </w:rPr>
        <w:t>31</w:t>
      </w:r>
      <w:r>
        <w:rPr>
          <w:rFonts w:ascii="仿宋_GB2312" w:eastAsia="仿宋_GB2312" w:hint="eastAsia"/>
          <w:color w:val="000000"/>
          <w:sz w:val="32"/>
          <w:szCs w:val="32"/>
        </w:rPr>
        <w:t>日，共有车辆</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辆，其中：主要领导干部用车</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辆、机要通信用车</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辆、应急保障用车</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辆、其他用车</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辆</w:t>
      </w:r>
      <w:r>
        <w:rPr>
          <w:rFonts w:ascii="仿宋_GB2312" w:eastAsia="仿宋_GB2312" w:hint="eastAsia"/>
          <w:color w:val="000000"/>
          <w:sz w:val="32"/>
          <w:szCs w:val="32"/>
          <w:lang w:eastAsia="zh-CN"/>
        </w:rPr>
        <w:t>，</w:t>
      </w:r>
      <w:r>
        <w:rPr>
          <w:rFonts w:ascii="仿宋_GB2312" w:eastAsia="仿宋_GB2312" w:hint="eastAsia"/>
          <w:color w:val="000000"/>
          <w:sz w:val="32"/>
          <w:szCs w:val="32"/>
        </w:rPr>
        <w:t>单价</w:t>
      </w:r>
      <w:r>
        <w:rPr>
          <w:rFonts w:ascii="仿宋_GB2312" w:eastAsia="仿宋_GB2312"/>
          <w:color w:val="000000"/>
          <w:sz w:val="32"/>
          <w:szCs w:val="32"/>
        </w:rPr>
        <w:t>50</w:t>
      </w:r>
      <w:r>
        <w:rPr>
          <w:rFonts w:ascii="仿宋_GB2312" w:eastAsia="仿宋_GB2312" w:hint="eastAsia"/>
          <w:color w:val="000000"/>
          <w:sz w:val="32"/>
          <w:szCs w:val="32"/>
        </w:rPr>
        <w:t>万元以上通用设备</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台（套），单价</w:t>
      </w:r>
      <w:r>
        <w:rPr>
          <w:rFonts w:ascii="仿宋_GB2312" w:eastAsia="仿宋_GB2312"/>
          <w:color w:val="000000"/>
          <w:sz w:val="32"/>
          <w:szCs w:val="32"/>
        </w:rPr>
        <w:t>100</w:t>
      </w:r>
      <w:r>
        <w:rPr>
          <w:rFonts w:ascii="仿宋_GB2312" w:eastAsia="仿宋_GB2312" w:hint="eastAsia"/>
          <w:color w:val="000000"/>
          <w:sz w:val="32"/>
          <w:szCs w:val="32"/>
        </w:rPr>
        <w:t>万元以上专用设备</w:t>
      </w:r>
      <w:r>
        <w:rPr>
          <w:rFonts w:ascii="仿宋_GB2312" w:eastAsia="仿宋_GB2312" w:hint="eastAsia"/>
          <w:color w:val="000000"/>
          <w:sz w:val="32"/>
          <w:szCs w:val="32"/>
          <w:lang w:val="en-US" w:eastAsia="zh-CN"/>
        </w:rPr>
        <w:t>0</w:t>
      </w:r>
      <w:r>
        <w:rPr>
          <w:rFonts w:ascii="仿宋_GB2312" w:eastAsia="仿宋_GB2312" w:hint="eastAsia"/>
          <w:color w:val="000000"/>
          <w:sz w:val="32"/>
          <w:szCs w:val="32"/>
        </w:rPr>
        <w:t>台（套）。</w:t>
      </w:r>
    </w:p>
    <w:p>
      <w:pPr>
        <w:autoSpaceDE w:val="0"/>
        <w:autoSpaceDN w:val="0"/>
        <w:adjustRightInd w:val="0"/>
        <w:spacing w:line="600" w:lineRule="exact"/>
        <w:ind w:firstLineChars="200" w:firstLine="640"/>
        <w:jc w:val="left"/>
        <w:outlineLvl w:val="2"/>
        <w:rPr>
          <w:rFonts w:ascii="仿宋" w:eastAsia="仿宋"/>
          <w:b/>
          <w:sz w:val="32"/>
          <w:szCs w:val="32"/>
        </w:rPr>
      </w:pPr>
      <w:r>
        <w:rPr>
          <w:rFonts w:ascii="仿宋" w:eastAsia="仿宋" w:hint="eastAsia"/>
          <w:b/>
          <w:sz w:val="32"/>
          <w:szCs w:val="32"/>
        </w:rPr>
        <w:t>（四）预算绩效管理情况</w:t>
      </w:r>
    </w:p>
    <w:p>
      <w:pPr>
        <w:pStyle w:val="15"/>
        <w:spacing w:beforeLines="0" w:before="93"/>
        <w:ind w:firstLineChars="200" w:firstLine="640"/>
        <w:rPr>
          <w:rFonts w:cs="仿宋_GB2312" w:hint="eastAsia"/>
          <w:sz w:val="32"/>
          <w:szCs w:val="32"/>
        </w:rPr>
      </w:pPr>
      <w:r>
        <w:rPr>
          <w:rFonts w:cs="仿宋_GB2312" w:hint="eastAsia"/>
          <w:sz w:val="32"/>
          <w:szCs w:val="32"/>
        </w:rPr>
        <w:t>根据预算绩效管理要求，本单位在202</w:t>
      </w:r>
      <w:r>
        <w:rPr>
          <w:rFonts w:cs="仿宋_GB2312" w:hint="eastAsia"/>
          <w:sz w:val="32"/>
          <w:szCs w:val="32"/>
          <w:lang w:val="en-US" w:eastAsia="zh-CN"/>
        </w:rPr>
        <w:t>5</w:t>
      </w:r>
      <w:r>
        <w:rPr>
          <w:rFonts w:cs="仿宋_GB2312" w:hint="eastAsia"/>
          <w:sz w:val="32"/>
          <w:szCs w:val="32"/>
        </w:rPr>
        <w:t>年度预算编制阶段，组织对</w:t>
      </w:r>
      <w:r>
        <w:rPr>
          <w:rFonts w:cs="仿宋_GB2312" w:hint="eastAsia"/>
          <w:sz w:val="32"/>
          <w:szCs w:val="32"/>
          <w:lang w:val="en-US" w:eastAsia="zh-CN"/>
        </w:rPr>
        <w:t>0</w:t>
      </w:r>
      <w:r>
        <w:rPr>
          <w:rFonts w:cs="仿宋_GB2312" w:hint="eastAsia"/>
          <w:sz w:val="32"/>
          <w:szCs w:val="32"/>
        </w:rPr>
        <w:t>项目（项目名称）等</w:t>
      </w:r>
      <w:r>
        <w:rPr>
          <w:rFonts w:cs="仿宋_GB2312" w:hint="eastAsia"/>
          <w:sz w:val="32"/>
          <w:szCs w:val="32"/>
          <w:lang w:val="en-US" w:eastAsia="zh-CN"/>
        </w:rPr>
        <w:t>0</w:t>
      </w:r>
      <w:r>
        <w:rPr>
          <w:rFonts w:cs="仿宋_GB2312" w:hint="eastAsia"/>
          <w:sz w:val="32"/>
          <w:szCs w:val="32"/>
        </w:rPr>
        <w:t>个项目开展了预算事前绩效评估，对</w:t>
      </w:r>
      <w:r>
        <w:rPr>
          <w:rFonts w:cs="仿宋_GB2312" w:hint="eastAsia"/>
          <w:sz w:val="32"/>
          <w:szCs w:val="32"/>
          <w:lang w:val="en-US" w:eastAsia="zh-CN"/>
        </w:rPr>
        <w:t>0</w:t>
      </w:r>
      <w:r>
        <w:rPr>
          <w:rFonts w:cs="仿宋_GB2312" w:hint="eastAsia"/>
          <w:sz w:val="32"/>
          <w:szCs w:val="32"/>
        </w:rPr>
        <w:t>个项目编制了绩效目标，预算执行过程中，选取</w:t>
      </w:r>
      <w:r>
        <w:rPr>
          <w:rFonts w:cs="仿宋_GB2312" w:hint="eastAsia"/>
          <w:sz w:val="32"/>
          <w:szCs w:val="32"/>
          <w:lang w:val="en-US" w:eastAsia="zh-CN"/>
        </w:rPr>
        <w:t>0</w:t>
      </w:r>
      <w:r>
        <w:rPr>
          <w:rFonts w:cs="仿宋_GB2312" w:hint="eastAsia"/>
          <w:sz w:val="32"/>
          <w:szCs w:val="32"/>
        </w:rPr>
        <w:t>个项目开展绩效监控，组织对</w:t>
      </w:r>
      <w:r>
        <w:rPr>
          <w:rFonts w:cs="仿宋_GB2312" w:hint="eastAsia"/>
          <w:sz w:val="32"/>
          <w:szCs w:val="32"/>
          <w:lang w:val="en-US" w:eastAsia="zh-CN"/>
        </w:rPr>
        <w:t>0</w:t>
      </w:r>
      <w:r>
        <w:rPr>
          <w:rFonts w:cs="仿宋_GB2312" w:hint="eastAsia"/>
          <w:sz w:val="32"/>
          <w:szCs w:val="32"/>
        </w:rPr>
        <w:t>个项目开展绩效自评，绩效自评表详见第四部分附件。</w:t>
      </w:r>
    </w:p>
    <w:p>
      <w:pPr>
        <w:pStyle w:val="15"/>
        <w:spacing w:beforeLines="0" w:before="93"/>
        <w:ind w:firstLineChars="200" w:firstLine="640"/>
        <w:rPr>
          <w:rFonts w:cs="仿宋_GB2312" w:hint="eastAsia"/>
          <w:sz w:val="32"/>
          <w:szCs w:val="32"/>
        </w:rPr>
      </w:pPr>
    </w:p>
    <w:p>
      <w:pPr>
        <w:pStyle w:val="15"/>
        <w:spacing w:beforeLines="0" w:before="93"/>
        <w:ind w:firstLineChars="200" w:firstLine="640"/>
        <w:rPr>
          <w:rFonts w:cs="仿宋_GB2312" w:hint="eastAsia"/>
          <w:sz w:val="32"/>
          <w:szCs w:val="32"/>
        </w:rPr>
      </w:pPr>
    </w:p>
    <w:p>
      <w:pPr>
        <w:pStyle w:val="15"/>
        <w:spacing w:beforeLines="0" w:before="93"/>
        <w:ind w:firstLineChars="200" w:firstLine="640"/>
        <w:rPr>
          <w:rFonts w:cs="仿宋_GB2312" w:hint="eastAsia"/>
          <w:sz w:val="32"/>
          <w:szCs w:val="32"/>
        </w:rPr>
      </w:pPr>
    </w:p>
    <w:p>
      <w:pPr>
        <w:pStyle w:val="15"/>
        <w:spacing w:beforeLines="0" w:before="93"/>
        <w:ind w:firstLineChars="200" w:firstLine="640"/>
        <w:rPr>
          <w:rFonts w:cs="仿宋_GB2312" w:hint="eastAsia"/>
          <w:sz w:val="32"/>
          <w:szCs w:val="32"/>
        </w:rPr>
      </w:pPr>
    </w:p>
    <w:p>
      <w:pPr>
        <w:pStyle w:val="15"/>
        <w:spacing w:beforeLines="0" w:before="93"/>
        <w:ind w:firstLineChars="200" w:firstLine="640"/>
        <w:rPr>
          <w:rFonts w:cs="仿宋_GB2312" w:hint="eastAsia"/>
          <w:sz w:val="32"/>
          <w:szCs w:val="32"/>
        </w:rPr>
      </w:pPr>
    </w:p>
    <w:p>
      <w:pPr>
        <w:pStyle w:val="15"/>
        <w:spacing w:beforeLines="0" w:before="93"/>
        <w:ind w:firstLineChars="200" w:firstLine="640"/>
        <w:rPr>
          <w:rFonts w:cs="仿宋_GB2312" w:hint="eastAsia"/>
          <w:sz w:val="32"/>
          <w:szCs w:val="32"/>
        </w:rPr>
      </w:pPr>
    </w:p>
    <w:p>
      <w:pPr>
        <w:pStyle w:val="15"/>
        <w:spacing w:beforeLines="0" w:before="93"/>
        <w:ind w:firstLineChars="200" w:firstLine="640"/>
        <w:rPr>
          <w:rFonts w:cs="仿宋_GB2312" w:hint="eastAsia"/>
          <w:sz w:val="32"/>
          <w:szCs w:val="32"/>
        </w:rPr>
      </w:pPr>
    </w:p>
    <w:p>
      <w:pPr>
        <w:pStyle w:val="15"/>
        <w:spacing w:beforeLines="0" w:before="93"/>
        <w:ind w:firstLineChars="200" w:firstLine="640"/>
        <w:rPr>
          <w:rFonts w:cs="仿宋_GB2312" w:hint="eastAsia"/>
          <w:sz w:val="32"/>
          <w:szCs w:val="32"/>
        </w:rPr>
      </w:pPr>
    </w:p>
    <w:p>
      <w:pPr>
        <w:pStyle w:val="15"/>
        <w:spacing w:beforeLines="0" w:before="93"/>
        <w:ind w:firstLineChars="200" w:firstLine="640"/>
        <w:rPr>
          <w:rFonts w:cs="仿宋_GB2312" w:hint="eastAsia"/>
          <w:sz w:val="32"/>
          <w:szCs w:val="32"/>
        </w:rPr>
      </w:pPr>
    </w:p>
    <w:p>
      <w:pPr>
        <w:pStyle w:val="15"/>
        <w:spacing w:beforeLines="0" w:before="93"/>
        <w:ind w:firstLineChars="200" w:firstLine="640"/>
        <w:rPr>
          <w:rFonts w:cs="仿宋_GB2312" w:hint="eastAsia"/>
          <w:sz w:val="32"/>
          <w:szCs w:val="32"/>
        </w:rPr>
      </w:pPr>
    </w:p>
    <w:p>
      <w:pPr>
        <w:pStyle w:val="15"/>
        <w:spacing w:beforeLines="0" w:before="93"/>
        <w:ind w:firstLineChars="200" w:firstLine="640"/>
        <w:rPr>
          <w:rFonts w:cs="仿宋_GB2312" w:hint="eastAsia"/>
          <w:sz w:val="32"/>
          <w:szCs w:val="32"/>
        </w:rPr>
      </w:pPr>
    </w:p>
    <w:p>
      <w:pPr>
        <w:pStyle w:val="15"/>
        <w:spacing w:beforeLines="0" w:before="93"/>
        <w:rPr>
          <w:rFonts w:cs="仿宋_GB2312"/>
          <w:sz w:val="32"/>
          <w:szCs w:val="32"/>
        </w:rPr>
      </w:pPr>
    </w:p>
    <w:p>
      <w:pPr>
        <w:widowControl/>
        <w:jc w:val="center"/>
        <w:rPr>
          <w:rStyle w:val="1Char"/>
          <w:rFonts w:ascii="黑体" w:eastAsia="黑体"/>
          <w:b w:val="0"/>
        </w:rPr>
      </w:pPr>
      <w:bookmarkStart w:id="50" w:name="_Toc15377225"/>
      <w:bookmarkStart w:id="51" w:name="_Toc15396613"/>
      <w:r>
        <w:rPr>
          <w:rFonts w:ascii="黑体" w:eastAsia="黑体" w:hint="eastAsia"/>
          <w:sz w:val="44"/>
          <w:szCs w:val="44"/>
          <w:lang w:eastAsia="zh-CN"/>
        </w:rPr>
        <w:t>第三部分</w:t>
      </w:r>
      <w:r>
        <w:rPr>
          <w:rFonts w:ascii="黑体" w:eastAsia="黑体" w:hint="eastAsia"/>
          <w:sz w:val="44"/>
          <w:szCs w:val="44"/>
          <w:lang w:val="en-US" w:eastAsia="zh-CN"/>
        </w:rPr>
        <w:t xml:space="preserve"> </w:t>
      </w:r>
      <w:r>
        <w:rPr>
          <w:rFonts w:ascii="黑体" w:eastAsia="黑体" w:hint="eastAsia"/>
          <w:sz w:val="44"/>
          <w:szCs w:val="44"/>
        </w:rPr>
        <w:t>名</w:t>
      </w:r>
      <w:r>
        <w:rPr>
          <w:rStyle w:val="1Char"/>
          <w:rFonts w:ascii="黑体" w:eastAsia="黑体" w:hint="eastAsia"/>
          <w:b w:val="0"/>
        </w:rPr>
        <w:t>词解释</w:t>
      </w:r>
      <w:bookmarkEnd w:id="50"/>
      <w:bookmarkEnd w:id="51"/>
    </w:p>
    <w:p>
      <w:pPr>
        <w:spacing w:line="600" w:lineRule="exact"/>
        <w:jc w:val="left"/>
        <w:rPr>
          <w:rFonts w:ascii="宋体"/>
          <w:b/>
          <w:sz w:val="44"/>
          <w:szCs w:val="44"/>
        </w:rPr>
      </w:pPr>
    </w:p>
    <w:p>
      <w:pPr>
        <w:pStyle w:val="23"/>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pPr>
        <w:pStyle w:val="23"/>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w:t>
      </w:r>
      <w:r>
        <w:rPr>
          <w:rFonts w:ascii="仿宋_GB2312" w:eastAsia="仿宋_GB2312" w:hint="eastAsia"/>
          <w:color w:val="auto"/>
          <w:sz w:val="32"/>
          <w:szCs w:val="32"/>
          <w:lang w:eastAsia="zh-CN"/>
        </w:rPr>
        <w:t>如</w:t>
      </w:r>
      <w:r>
        <w:rPr>
          <w:rFonts w:ascii="仿宋_GB2312" w:eastAsia="仿宋_GB2312" w:hint="eastAsia"/>
          <w:color w:val="auto"/>
          <w:sz w:val="32"/>
          <w:szCs w:val="32"/>
        </w:rPr>
        <w:t>（二级预算单位事业收入情况）等。</w:t>
      </w:r>
    </w:p>
    <w:p>
      <w:pPr>
        <w:pStyle w:val="23"/>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3.</w:t>
      </w:r>
      <w:r>
        <w:rPr>
          <w:rFonts w:ascii="仿宋_GB2312" w:eastAsia="仿宋_GB2312" w:hint="eastAsia"/>
          <w:color w:val="auto"/>
          <w:sz w:val="32"/>
          <w:szCs w:val="32"/>
        </w:rPr>
        <w:t>经营收入：指事业单位在专业业务活动及其辅助活动之外开展非独立核算经营活动取得的收入。如（二级预算单位经营收入情况）等。</w:t>
      </w:r>
    </w:p>
    <w:p>
      <w:pPr>
        <w:pStyle w:val="23"/>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4.</w:t>
      </w:r>
      <w:r>
        <w:rPr>
          <w:rFonts w:ascii="仿宋_GB2312" w:eastAsia="仿宋_GB2312" w:hint="eastAsia"/>
          <w:color w:val="auto"/>
          <w:sz w:val="32"/>
          <w:szCs w:val="32"/>
        </w:rPr>
        <w:t>其他收入：指单位取得的除上述收入以外的各项收入。主要是（收入类型）等。</w:t>
      </w:r>
      <w:r>
        <w:rPr>
          <w:rFonts w:ascii="仿宋_GB2312" w:eastAsia="仿宋_GB2312"/>
          <w:color w:val="auto"/>
          <w:sz w:val="32"/>
          <w:szCs w:val="32"/>
        </w:rPr>
        <w:t xml:space="preserve"> </w:t>
      </w:r>
    </w:p>
    <w:p>
      <w:pPr>
        <w:pStyle w:val="23"/>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5.</w:t>
      </w:r>
      <w:r>
        <w:rPr>
          <w:rFonts w:ascii="仿宋_GB2312" w:eastAsia="仿宋_GB2312" w:hint="eastAsia"/>
          <w:color w:val="auto"/>
          <w:sz w:val="32"/>
          <w:szCs w:val="32"/>
        </w:rPr>
        <w:t>使用非财政拨款结余：指事业单位使用以前年度积累的非财政拨款结余弥补当年收支差额的金额。</w:t>
      </w:r>
      <w:r>
        <w:rPr>
          <w:rFonts w:ascii="仿宋_GB2312" w:eastAsia="仿宋_GB2312"/>
          <w:color w:val="auto"/>
          <w:sz w:val="32"/>
          <w:szCs w:val="32"/>
        </w:rPr>
        <w:t xml:space="preserve"> </w:t>
      </w:r>
    </w:p>
    <w:p>
      <w:pPr>
        <w:pStyle w:val="23"/>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6.</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23"/>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7.</w:t>
      </w:r>
      <w:r>
        <w:rPr>
          <w:rFonts w:ascii="仿宋_GB2312" w:eastAsia="仿宋_GB2312" w:hint="eastAsia"/>
          <w:color w:val="auto"/>
          <w:sz w:val="32"/>
          <w:szCs w:val="32"/>
        </w:rPr>
        <w:t>结余分配：指事业单位按照会计制度规定缴纳的所得税、提取的专用结余以及转入非财政拨款结余的金额等。</w:t>
      </w:r>
    </w:p>
    <w:p>
      <w:pPr>
        <w:pStyle w:val="23"/>
        <w:spacing w:line="560" w:lineRule="exact"/>
        <w:ind w:firstLineChars="200" w:firstLine="640"/>
        <w:rPr>
          <w:rFonts w:ascii="仿宋_GB2312" w:eastAsia="仿宋_GB2312" w:hint="eastAsia"/>
          <w:color w:val="auto"/>
          <w:sz w:val="32"/>
          <w:szCs w:val="32"/>
        </w:rPr>
      </w:pPr>
      <w:r>
        <w:rPr>
          <w:rFonts w:ascii="仿宋_GB2312" w:eastAsia="仿宋_GB2312"/>
          <w:color w:val="auto"/>
          <w:sz w:val="32"/>
          <w:szCs w:val="32"/>
        </w:rPr>
        <w:t>8</w:t>
      </w:r>
      <w:r>
        <w:rPr>
          <w:rFonts w:ascii="仿宋_GB2312" w:eastAsia="仿宋_GB2312" w:hint="eastAsia"/>
          <w:color w:val="auto"/>
          <w:sz w:val="32"/>
          <w:szCs w:val="32"/>
        </w:rPr>
        <w:t>.年末结转和结余：指单位按有关规定结转到下年或以后年度继续使用的资金。</w:t>
      </w:r>
    </w:p>
    <w:p>
      <w:pPr>
        <w:ind w:firstLineChars="200" w:firstLine="640"/>
        <w:rPr>
          <w:rFonts w:ascii="仿宋_GB2312" w:eastAsia="仿宋_GB2312" w:hint="eastAsia"/>
          <w:sz w:val="32"/>
          <w:szCs w:val="32"/>
          <w:lang w:eastAsia="zh-CN"/>
        </w:rPr>
      </w:pPr>
      <w:r>
        <w:rPr>
          <w:rFonts w:ascii="仿宋_GB2312" w:eastAsia="仿宋_GB2312" w:hint="eastAsia"/>
          <w:sz w:val="32"/>
          <w:szCs w:val="32"/>
          <w:lang w:val="en-US" w:eastAsia="zh-CN"/>
        </w:rPr>
        <w:t>9</w:t>
      </w:r>
      <w:r>
        <w:rPr>
          <w:rFonts w:ascii="仿宋_GB2312" w:eastAsia="仿宋_GB2312" w:hint="eastAsia"/>
          <w:sz w:val="32"/>
          <w:szCs w:val="32"/>
        </w:rPr>
        <w:t>.一般公共服务（类）群众团体事务（款）事业运行（项）。反映事业单位的基本支出，不包括行政单位（包括实行公务员管理的事业单位）后勤服务中心、医务室等附属事业单位。</w:t>
      </w:r>
    </w:p>
    <w:p>
      <w:pPr>
        <w:ind w:firstLineChars="200" w:firstLine="640"/>
        <w:rPr>
          <w:rFonts w:ascii="仿宋" w:eastAsia="仿宋" w:cs="宋体" w:hint="eastAsia"/>
          <w:kern w:val="0"/>
          <w:sz w:val="32"/>
          <w:szCs w:val="32"/>
          <w:lang w:val="en-US" w:eastAsia="zh-CN" w:bidi="ar-SA"/>
        </w:rPr>
      </w:pPr>
      <w:r>
        <w:rPr>
          <w:rFonts w:ascii="仿宋_GB2312" w:eastAsia="仿宋_GB2312" w:hint="eastAsia"/>
          <w:sz w:val="32"/>
          <w:szCs w:val="32"/>
          <w:lang w:val="en-US" w:eastAsia="zh-CN"/>
        </w:rPr>
        <w:t>10</w:t>
      </w:r>
      <w:r>
        <w:rPr>
          <w:rFonts w:ascii="仿宋_GB2312" w:eastAsia="仿宋_GB2312" w:hint="eastAsia"/>
          <w:sz w:val="32"/>
          <w:szCs w:val="32"/>
        </w:rPr>
        <w:t>.</w:t>
      </w:r>
      <w:r>
        <w:rPr>
          <w:rFonts w:ascii="仿宋" w:eastAsia="仿宋" w:cs="宋体" w:hint="eastAsia"/>
          <w:kern w:val="0"/>
          <w:sz w:val="32"/>
          <w:szCs w:val="32"/>
          <w:lang w:val="en-US" w:eastAsia="zh-CN" w:bidi="ar-SA"/>
        </w:rPr>
        <w:t xml:space="preserve">社会保障和就业（类）行政事业单位养老支出（款）机关事业单位养老保险缴费支出（项）。反映机关事业单位实施养老保险制度由单位缴纳的基本养老保险费支出。  </w:t>
      </w:r>
    </w:p>
    <w:p>
      <w:pPr>
        <w:spacing w:line="600" w:lineRule="exact"/>
        <w:ind w:firstLineChars="200" w:firstLine="640"/>
        <w:rPr>
          <w:rFonts w:ascii="仿宋" w:eastAsia="仿宋" w:cs="宋体"/>
          <w:kern w:val="0"/>
          <w:sz w:val="32"/>
          <w:szCs w:val="32"/>
          <w:lang w:val="en-US" w:eastAsia="zh-CN" w:bidi="ar-SA"/>
        </w:rPr>
      </w:pPr>
      <w:r>
        <w:rPr>
          <w:rFonts w:ascii="仿宋_GB2312" w:eastAsia="仿宋_GB2312" w:hint="eastAsia"/>
          <w:sz w:val="32"/>
          <w:szCs w:val="32"/>
          <w:lang w:val="en-US" w:eastAsia="zh-CN"/>
        </w:rPr>
        <w:t>11</w:t>
      </w:r>
      <w:r>
        <w:rPr>
          <w:rFonts w:ascii="仿宋_GB2312" w:eastAsia="仿宋_GB2312" w:hint="eastAsia"/>
          <w:sz w:val="32"/>
          <w:szCs w:val="32"/>
        </w:rPr>
        <w:t>.</w:t>
      </w:r>
      <w:r>
        <w:rPr>
          <w:rFonts w:ascii="仿宋" w:eastAsia="仿宋" w:cs="宋体" w:hint="eastAsia"/>
          <w:kern w:val="0"/>
          <w:sz w:val="32"/>
          <w:szCs w:val="32"/>
          <w:lang w:val="en-US" w:eastAsia="zh-CN" w:bidi="ar-SA"/>
        </w:rPr>
        <w:t>社会保障和就业（类）行政事业单位养老支出（款）机关事业单位职业年金缴费支出（项）。反映机关事业单位实施养老保险制度由单位实际缴纳的职业年金支出（含职业年金补记支出）</w:t>
      </w:r>
    </w:p>
    <w:p>
      <w:pPr>
        <w:spacing w:line="600" w:lineRule="exact"/>
        <w:ind w:firstLineChars="200" w:firstLine="640"/>
        <w:rPr>
          <w:rFonts w:ascii="仿宋" w:eastAsia="仿宋" w:cs="宋体" w:hint="eastAsia"/>
          <w:kern w:val="0"/>
          <w:sz w:val="32"/>
          <w:szCs w:val="32"/>
          <w:lang w:val="en-US" w:eastAsia="zh-CN" w:bidi="ar-SA"/>
        </w:rPr>
      </w:pPr>
      <w:r>
        <w:rPr>
          <w:rFonts w:ascii="仿宋_GB2312" w:eastAsia="仿宋_GB2312" w:hint="eastAsia"/>
          <w:sz w:val="32"/>
          <w:szCs w:val="32"/>
          <w:lang w:val="en-US" w:eastAsia="zh-CN"/>
        </w:rPr>
        <w:t>12</w:t>
      </w:r>
      <w:r>
        <w:rPr>
          <w:rFonts w:ascii="仿宋_GB2312" w:eastAsia="仿宋_GB2312" w:hint="eastAsia"/>
          <w:sz w:val="32"/>
          <w:szCs w:val="32"/>
        </w:rPr>
        <w:t>.</w:t>
      </w:r>
      <w:r>
        <w:rPr>
          <w:rFonts w:ascii="仿宋" w:eastAsia="仿宋" w:cs="宋体" w:hint="eastAsia"/>
          <w:kern w:val="0"/>
          <w:sz w:val="32"/>
          <w:szCs w:val="32"/>
          <w:lang w:val="en-US" w:eastAsia="zh-CN" w:bidi="ar-SA"/>
        </w:rPr>
        <w:t>卫生健康（类）行政事业单位医疗（款）事业单位医疗支出（项）。反映财政部门安排的事业单位基本医疗保险缴费经费，未参加医疗保险的事业单位的公费医疗经费，按国家规定享受离休人员待遇的医疗经费。</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13</w:t>
      </w:r>
      <w:r>
        <w:rPr>
          <w:rFonts w:ascii="仿宋_GB2312" w:eastAsia="仿宋_GB2312" w:hint="eastAsia"/>
          <w:sz w:val="32"/>
          <w:szCs w:val="32"/>
        </w:rPr>
        <w:t>.</w:t>
      </w:r>
      <w:r>
        <w:rPr>
          <w:rFonts w:ascii="仿宋_GB2312" w:eastAsia="仿宋_GB2312" w:hint="eastAsia"/>
          <w:sz w:val="32"/>
          <w:szCs w:val="32"/>
          <w:lang w:eastAsia="zh-CN"/>
        </w:rPr>
        <w:t>生健康（类）行政事业单位医疗（款）其他行政事业单位医疗支出（项）</w:t>
      </w:r>
      <w:r>
        <w:rPr>
          <w:rFonts w:ascii="仿宋_GB2312" w:eastAsia="仿宋_GB2312" w:hint="eastAsia"/>
          <w:sz w:val="32"/>
          <w:szCs w:val="32"/>
        </w:rPr>
        <w:t>。反映除上述项目以外的其他用于行政事业单位医疗方面的支出</w:t>
      </w:r>
    </w:p>
    <w:p>
      <w:pPr>
        <w:spacing w:line="600" w:lineRule="exact"/>
        <w:ind w:firstLineChars="200" w:firstLine="640"/>
        <w:rPr>
          <w:rFonts w:ascii="仿宋_GB2312" w:eastAsia="仿宋_GB2312" w:hint="eastAsia"/>
          <w:sz w:val="32"/>
          <w:szCs w:val="32"/>
          <w:lang w:eastAsia="zh-CN"/>
        </w:rPr>
      </w:pPr>
      <w:r>
        <w:rPr>
          <w:rFonts w:ascii="仿宋_GB2312" w:eastAsia="仿宋_GB2312" w:hint="eastAsia"/>
          <w:sz w:val="32"/>
          <w:szCs w:val="32"/>
          <w:lang w:val="en-US" w:eastAsia="zh-CN"/>
        </w:rPr>
        <w:t>14</w:t>
      </w:r>
      <w:r>
        <w:rPr>
          <w:rFonts w:ascii="仿宋_GB2312" w:eastAsia="仿宋_GB2312" w:hint="eastAsia"/>
          <w:sz w:val="32"/>
          <w:szCs w:val="32"/>
        </w:rPr>
        <w:t>住房保障支出（类）住房改革支出（款）住房公积金支出（项）</w:t>
      </w:r>
      <w:r>
        <w:rPr>
          <w:rFonts w:ascii="仿宋" w:eastAsia="仿宋" w:cs="宋体" w:hint="eastAsia"/>
          <w:kern w:val="0"/>
          <w:sz w:val="32"/>
          <w:szCs w:val="32"/>
          <w:lang w:val="en-US" w:eastAsia="zh-CN" w:bidi="ar-SA"/>
        </w:rPr>
        <w:t>。反映按房改政策规定，行政事业单位向符合条件职工（含离退休人员）、军队（含武警）向转役复员离退休人员发放的用于购买住房的补贴。</w:t>
      </w:r>
    </w:p>
    <w:p>
      <w:pPr>
        <w:ind w:firstLineChars="200" w:firstLine="640"/>
        <w:rPr>
          <w:rFonts w:ascii="仿宋_GB2312" w:eastAsia="仿宋_GB2312"/>
          <w:sz w:val="32"/>
          <w:szCs w:val="32"/>
        </w:rPr>
      </w:pPr>
      <w:r>
        <w:rPr>
          <w:rFonts w:ascii="仿宋_GB2312" w:eastAsia="仿宋_GB2312" w:hint="eastAsia"/>
          <w:sz w:val="32"/>
          <w:szCs w:val="32"/>
          <w:lang w:val="en-US" w:eastAsia="zh-CN"/>
        </w:rPr>
        <w:t>15</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pPr>
        <w:ind w:firstLineChars="200" w:firstLine="640"/>
        <w:rPr>
          <w:rFonts w:ascii="仿宋_GB2312" w:eastAsia="仿宋_GB2312"/>
          <w:sz w:val="32"/>
          <w:szCs w:val="32"/>
        </w:rPr>
      </w:pPr>
      <w:r>
        <w:rPr>
          <w:rFonts w:ascii="仿宋_GB2312" w:eastAsia="仿宋_GB2312" w:hint="eastAsia"/>
          <w:sz w:val="32"/>
          <w:szCs w:val="32"/>
          <w:lang w:val="en-US" w:eastAsia="zh-CN"/>
        </w:rPr>
        <w:t>16</w:t>
      </w:r>
      <w:r>
        <w:rPr>
          <w:rFonts w:ascii="仿宋_GB2312" w:eastAsia="仿宋_GB2312"/>
          <w:sz w:val="32"/>
          <w:szCs w:val="32"/>
        </w:rPr>
        <w:t>.</w:t>
      </w:r>
      <w:r>
        <w:rPr>
          <w:rFonts w:ascii="仿宋_GB2312" w:eastAsia="仿宋_GB2312" w:hint="eastAsia"/>
          <w:sz w:val="32"/>
          <w:szCs w:val="32"/>
        </w:rPr>
        <w:t>项目支出：指在基本支出之外为完成特定行政任务和事业发展目标所发生的支出。</w:t>
      </w:r>
      <w:r>
        <w:rPr>
          <w:rFonts w:ascii="仿宋_GB2312" w:eastAsia="仿宋_GB2312"/>
          <w:sz w:val="32"/>
          <w:szCs w:val="32"/>
        </w:rPr>
        <w:t xml:space="preserve"> </w:t>
      </w:r>
    </w:p>
    <w:p>
      <w:pPr>
        <w:ind w:firstLineChars="200" w:firstLine="640"/>
        <w:rPr>
          <w:rFonts w:ascii="仿宋_GB2312" w:eastAsia="仿宋_GB2312"/>
          <w:sz w:val="32"/>
          <w:szCs w:val="32"/>
        </w:rPr>
      </w:pPr>
      <w:r>
        <w:rPr>
          <w:rFonts w:ascii="仿宋_GB2312" w:eastAsia="仿宋_GB2312" w:hint="eastAsia"/>
          <w:sz w:val="32"/>
          <w:szCs w:val="32"/>
          <w:lang w:val="en-US" w:eastAsia="zh-CN"/>
        </w:rPr>
        <w:t>17</w:t>
      </w:r>
      <w:r>
        <w:rPr>
          <w:rFonts w:ascii="仿宋_GB2312" w:eastAsia="仿宋_GB2312"/>
          <w:sz w:val="32"/>
          <w:szCs w:val="32"/>
        </w:rPr>
        <w:t>.</w:t>
      </w:r>
      <w:r>
        <w:rPr>
          <w:rFonts w:ascii="仿宋_GB2312" w:eastAsia="仿宋_GB2312" w:hint="eastAsia"/>
          <w:sz w:val="32"/>
          <w:szCs w:val="32"/>
        </w:rPr>
        <w:t>经营支出：指事业单位在专业业务活动及其辅助活动之外开展非独立核算经营活动发生的支出。</w:t>
      </w:r>
    </w:p>
    <w:p>
      <w:pPr>
        <w:pStyle w:val="23"/>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18</w:t>
      </w:r>
      <w:r>
        <w:rPr>
          <w:rFonts w:ascii="仿宋_GB2312" w:eastAsia="仿宋_GB2312"/>
          <w:color w:val="auto"/>
          <w:sz w:val="32"/>
          <w:szCs w:val="32"/>
        </w:rPr>
        <w:t>.</w:t>
      </w:r>
      <w:r>
        <w:rPr>
          <w:rFonts w:ascii="仿宋_GB2312" w:eastAsia="仿宋_GB2312" w:hint="eastAsia"/>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3"/>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19</w:t>
      </w:r>
      <w:r>
        <w:rPr>
          <w:rFonts w:ascii="仿宋_GB2312" w:eastAsia="仿宋_GB2312"/>
          <w:color w:val="auto"/>
          <w:sz w:val="32"/>
          <w:szCs w:val="32"/>
        </w:rPr>
        <w:t>.</w:t>
      </w:r>
      <w:r>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widowControl/>
        <w:suppressLineNumbers w:val="0"/>
        <w:autoSpaceDE w:val="0"/>
        <w:autoSpaceDN/>
        <w:spacing w:before="0" w:beforeAutospacing="0" w:after="0" w:afterAutospacing="0" w:line="578" w:lineRule="exact"/>
        <w:ind w:left="0" w:right="0"/>
        <w:contextualSpacing/>
        <w:jc w:val="center"/>
        <w:outlineLvl w:val="0"/>
        <w:rPr>
          <w:rFonts w:ascii="宋体"/>
          <w:b/>
          <w:sz w:val="44"/>
          <w:szCs w:val="44"/>
        </w:rPr>
      </w:pPr>
      <w:bookmarkStart w:id="52" w:name="_Toc15377226"/>
      <w:r>
        <w:rPr>
          <w:rFonts w:ascii="宋体"/>
          <w:b/>
          <w:sz w:val="44"/>
          <w:szCs w:val="44"/>
        </w:rPr>
        <w:br w:type="page"/>
      </w:r>
      <w:bookmarkStart w:id="53" w:name="_Toc15396618"/>
    </w:p>
    <w:p>
      <w:pPr>
        <w:pStyle w:val="20"/>
        <w:keepNext w:val="0"/>
        <w:keepLines w:val="0"/>
        <w:widowControl/>
        <w:suppressLineNumbers w:val="0"/>
        <w:shd w:val="clear" w:color="auto" w:fill="FFFFFF"/>
        <w:spacing w:before="0" w:beforeAutospacing="1" w:after="0" w:afterAutospacing="1" w:line="560" w:lineRule="exact"/>
        <w:ind w:left="0" w:right="0" w:firstLineChars="600" w:firstLine="2640"/>
        <w:jc w:val="both"/>
        <w:rPr>
          <w:rFonts w:ascii="黑体" w:eastAsia="黑体" w:cs="宋体" w:hint="eastAsia"/>
          <w:kern w:val="0"/>
          <w:sz w:val="32"/>
          <w:szCs w:val="32"/>
          <w:shd w:val="clear" w:color="auto" w:fill="FFFFFF"/>
        </w:rPr>
      </w:pPr>
      <w:r>
        <w:rPr>
          <w:rStyle w:val="26"/>
          <w:rFonts w:ascii="黑体" w:eastAsia="黑体" w:cs="黑体" w:hint="eastAsia"/>
          <w:b/>
          <w:bCs w:val="0"/>
          <w:sz w:val="44"/>
          <w:szCs w:val="44"/>
          <w:shd w:val="clear" w:color="auto" w:fill="FFFFFF"/>
          <w:lang w:val="en-US" w:eastAsia="zh-CN"/>
        </w:rPr>
        <w:t>第四部分</w:t>
      </w:r>
      <w:r>
        <w:rPr>
          <w:rStyle w:val="26"/>
          <w:rFonts w:ascii="黑体" w:eastAsia="黑体" w:cs="Times New Roman" w:hint="eastAsia"/>
          <w:b/>
          <w:bCs w:val="0"/>
          <w:sz w:val="44"/>
          <w:szCs w:val="44"/>
          <w:shd w:val="clear" w:color="auto" w:fill="FFFFFF"/>
          <w:lang w:val="en-US" w:eastAsia="zh-CN"/>
        </w:rPr>
        <w:t xml:space="preserve"> </w:t>
      </w:r>
      <w:r>
        <w:rPr>
          <w:rStyle w:val="26"/>
          <w:rFonts w:ascii="黑体" w:eastAsia="黑体" w:cs="黑体" w:hint="eastAsia"/>
          <w:b/>
          <w:bCs w:val="0"/>
          <w:sz w:val="44"/>
          <w:szCs w:val="44"/>
          <w:shd w:val="clear" w:color="auto" w:fill="FFFFFF"/>
          <w:lang w:val="en-US" w:eastAsia="zh-CN"/>
        </w:rPr>
        <w:t>附件</w:t>
      </w:r>
    </w:p>
    <w:p>
      <w:pPr>
        <w:keepNext w:val="0"/>
        <w:keepLines w:val="0"/>
        <w:widowControl/>
        <w:suppressLineNumbers w:val="0"/>
        <w:autoSpaceDE w:val="0"/>
        <w:autoSpaceDN/>
        <w:spacing w:before="0" w:beforeAutospacing="0" w:after="0" w:afterAutospacing="0" w:line="578" w:lineRule="exact"/>
        <w:ind w:left="0" w:right="0"/>
        <w:contextualSpacing/>
        <w:jc w:val="center"/>
        <w:outlineLvl w:val="0"/>
        <w:rPr>
          <w:rFonts w:ascii="Times New Roman" w:eastAsia="方正小标宋简体" w:cs="Times New Roman" w:hAnsi="Times New Roman"/>
          <w:b w:val="0"/>
          <w:bCs/>
          <w:kern w:val="2"/>
          <w:sz w:val="44"/>
          <w:szCs w:val="44"/>
          <w:shd w:val="clear" w:color="auto" w:fill="FFFFFF"/>
        </w:rPr>
      </w:pPr>
      <w:r>
        <w:rPr>
          <w:rFonts w:ascii="方正小标宋简体" w:eastAsia="方正小标宋简体" w:cs="方正小标宋简体" w:hint="eastAsia"/>
          <w:b w:val="0"/>
          <w:bCs/>
          <w:kern w:val="2"/>
          <w:sz w:val="44"/>
          <w:szCs w:val="44"/>
          <w:shd w:val="clear" w:color="auto" w:fill="FFFFFF"/>
          <w:lang w:val="en-US" w:eastAsia="zh-CN"/>
        </w:rPr>
        <w:t>汶川县总工会</w:t>
      </w:r>
      <w:r>
        <w:rPr>
          <w:rFonts w:ascii="Times New Roman" w:eastAsia="方正小标宋简体" w:cs="Times New Roman" w:hAnsi="Times New Roman"/>
          <w:b w:val="0"/>
          <w:bCs/>
          <w:kern w:val="2"/>
          <w:sz w:val="44"/>
          <w:szCs w:val="44"/>
          <w:shd w:val="clear" w:color="auto" w:fill="FFFFFF"/>
          <w:lang w:val="en-US" w:eastAsia="zh-CN"/>
        </w:rPr>
        <w:t>2025</w:t>
      </w:r>
      <w:r>
        <w:rPr>
          <w:rFonts w:ascii="方正小标宋简体" w:eastAsia="方正小标宋简体" w:cs="方正小标宋简体" w:hint="eastAsia"/>
          <w:b w:val="0"/>
          <w:bCs/>
          <w:kern w:val="2"/>
          <w:sz w:val="44"/>
          <w:szCs w:val="44"/>
          <w:shd w:val="clear" w:color="auto" w:fill="FFFFFF"/>
          <w:lang w:val="en-US" w:eastAsia="zh-CN"/>
        </w:rPr>
        <w:t>年预算绩效评价报告</w:t>
      </w:r>
    </w:p>
    <w:p>
      <w:pPr>
        <w:keepNext w:val="0"/>
        <w:keepLines w:val="0"/>
        <w:widowControl/>
        <w:suppressLineNumbers w:val="0"/>
        <w:autoSpaceDE w:val="0"/>
        <w:autoSpaceDN/>
        <w:spacing w:before="0" w:beforeAutospacing="0" w:after="0" w:afterAutospacing="0" w:line="578" w:lineRule="exact"/>
        <w:ind w:left="0" w:right="0"/>
        <w:contextualSpacing/>
        <w:jc w:val="center"/>
        <w:outlineLvl w:val="0"/>
        <w:rPr>
          <w:rFonts w:ascii="仿宋" w:eastAsia="仿宋" w:cs="宋体" w:hint="eastAsia"/>
          <w:bCs/>
          <w:kern w:val="0"/>
          <w:sz w:val="32"/>
          <w:szCs w:val="32"/>
        </w:rPr>
      </w:pPr>
      <w:r>
        <w:rPr>
          <w:rFonts w:ascii="仿宋" w:eastAsia="仿宋" w:cs="仿宋" w:hint="eastAsia"/>
          <w:bCs/>
          <w:kern w:val="0"/>
          <w:sz w:val="32"/>
          <w:szCs w:val="32"/>
          <w:lang w:val="en-US" w:eastAsia="zh-CN"/>
        </w:rPr>
        <w:t>（报告范围包括机关和下属单位）</w:t>
      </w:r>
    </w:p>
    <w:p>
      <w:pPr>
        <w:keepNext w:val="0"/>
        <w:keepLines w:val="0"/>
        <w:widowControl/>
        <w:suppressLineNumbers w:val="0"/>
        <w:autoSpaceDE w:val="0"/>
        <w:autoSpaceDN/>
        <w:spacing w:before="0" w:beforeAutospacing="0" w:after="0" w:afterAutospacing="0" w:line="578" w:lineRule="exact"/>
        <w:ind w:left="0" w:right="0"/>
        <w:contextualSpacing/>
        <w:jc w:val="center"/>
        <w:outlineLvl w:val="0"/>
        <w:rPr>
          <w:rFonts w:ascii="仿宋" w:eastAsia="仿宋" w:cs="宋体" w:hint="eastAsia"/>
          <w:bCs/>
          <w:kern w:val="0"/>
          <w:sz w:val="32"/>
          <w:szCs w:val="32"/>
        </w:rPr>
      </w:pPr>
      <w:r>
        <w:rPr>
          <w:rFonts w:ascii="仿宋" w:eastAsia="仿宋" w:cs="宋体" w:hint="eastAsia"/>
          <w:bCs/>
          <w:kern w:val="0"/>
          <w:sz w:val="32"/>
          <w:szCs w:val="32"/>
          <w:lang w:val="en-US" w:eastAsia="zh-CN"/>
        </w:rPr>
        <w:t xml:space="preserve"> </w:t>
      </w:r>
    </w:p>
    <w:p>
      <w:pPr>
        <w:keepNext w:val="0"/>
        <w:keepLines w:val="0"/>
        <w:widowControl/>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0"/>
        <w:rPr>
          <w:rFonts w:ascii="仿宋" w:eastAsia="仿宋" w:cs="宋体" w:hint="eastAsia"/>
          <w:b/>
          <w:bCs w:val="0"/>
          <w:kern w:val="0"/>
          <w:sz w:val="32"/>
          <w:szCs w:val="32"/>
        </w:rPr>
      </w:pPr>
      <w:r>
        <w:rPr>
          <w:rFonts w:ascii="仿宋" w:eastAsia="仿宋" w:cs="仿宋" w:hint="eastAsia"/>
          <w:b/>
          <w:bCs w:val="0"/>
          <w:kern w:val="0"/>
          <w:sz w:val="32"/>
          <w:szCs w:val="32"/>
          <w:lang w:val="en-US" w:eastAsia="zh-CN"/>
        </w:rPr>
        <w:t>一、部门（单位）基本情况</w:t>
      </w:r>
      <w:r>
        <w:rPr>
          <w:rFonts w:ascii="仿宋" w:eastAsia="仿宋" w:cs="宋体" w:hint="eastAsia"/>
          <w:b/>
          <w:bCs w:val="0"/>
          <w:kern w:val="0"/>
          <w:sz w:val="32"/>
          <w:szCs w:val="32"/>
          <w:lang w:val="en-US" w:eastAsia="zh-CN"/>
        </w:rPr>
        <w:t xml:space="preserve"> </w:t>
      </w:r>
    </w:p>
    <w:p>
      <w:pPr>
        <w:keepNext w:val="0"/>
        <w:keepLines w:val="0"/>
        <w:widowControl/>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（一）机构组成。我会属一级预算单位，无下属二级预算单位，其中内设机构2个，分别是办公室和困难职工帮扶中心。</w:t>
      </w:r>
    </w:p>
    <w:p>
      <w:pPr>
        <w:keepNext w:val="0"/>
        <w:keepLines w:val="0"/>
        <w:widowControl/>
        <w:suppressLineNumbers w:val="0"/>
        <w:autoSpaceDE w:val="0"/>
        <w:autoSpaceDN/>
        <w:spacing w:before="0" w:beforeAutospacing="0" w:after="0" w:afterAutospacing="0" w:line="580"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二）机构职能。县总工会是全县各级工会的领导机关，以宪法为根本活动准则，依照《工会法》和《中国工会章程》规定，组织和指导全县各级工会组织切实履行“维护、建设、参与、教育”四项社会职能，维护职工合法权益是工会的基本职能。按照经费使用“三服务”原则，独立自主地开展工会各项工作。</w:t>
      </w:r>
    </w:p>
    <w:p>
      <w:pPr>
        <w:keepNext w:val="0"/>
        <w:keepLines w:val="0"/>
        <w:widowControl/>
        <w:suppressLineNumbers w:val="0"/>
        <w:autoSpaceDE w:val="0"/>
        <w:autoSpaceDN/>
        <w:spacing w:before="0" w:beforeAutospacing="0" w:after="0" w:afterAutospacing="0" w:line="580"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1．负责单位工会组建工作；</w:t>
      </w:r>
    </w:p>
    <w:p>
      <w:pPr>
        <w:keepNext w:val="0"/>
        <w:keepLines w:val="0"/>
        <w:widowControl/>
        <w:suppressLineNumbers w:val="0"/>
        <w:autoSpaceDE w:val="0"/>
        <w:autoSpaceDN/>
        <w:spacing w:before="0" w:beforeAutospacing="0" w:after="0" w:afterAutospacing="0" w:line="580"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2．指导基层工会加强对行政与职工签订劳动合同提供帮助并加强监督；代表职工与单位就有关职工的分配、劳动保护、社会保障等事项，与单位进行平等协商、签订劳动合同；维护职工的经济利益和民主权利。</w:t>
      </w:r>
    </w:p>
    <w:p>
      <w:pPr>
        <w:keepNext w:val="0"/>
        <w:keepLines w:val="0"/>
        <w:widowControl/>
        <w:suppressLineNumbers w:val="0"/>
        <w:autoSpaceDE w:val="0"/>
        <w:autoSpaceDN/>
        <w:spacing w:before="0" w:beforeAutospacing="0" w:after="0" w:afterAutospacing="0" w:line="580"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3．协调和处理单位劳动争议和劳资矛盾。推动职工之家建设，指导创建劳动关系和谐企业，创建稳定协调的劳动关系。</w:t>
      </w:r>
    </w:p>
    <w:p>
      <w:pPr>
        <w:keepNext w:val="0"/>
        <w:keepLines w:val="0"/>
        <w:widowControl/>
        <w:suppressLineNumbers w:val="0"/>
        <w:autoSpaceDE w:val="0"/>
        <w:autoSpaceDN/>
        <w:spacing w:before="0" w:beforeAutospacing="0" w:after="0" w:afterAutospacing="0" w:line="580"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4．加强单位精神文明建设和文化建设，开展安全生产竞赛等适合单位特点的工会活动和文化体育活动。</w:t>
      </w:r>
    </w:p>
    <w:p>
      <w:pPr>
        <w:keepNext w:val="0"/>
        <w:keepLines w:val="0"/>
        <w:widowControl/>
        <w:suppressLineNumbers w:val="0"/>
        <w:autoSpaceDE w:val="0"/>
        <w:autoSpaceDN/>
        <w:spacing w:before="0" w:beforeAutospacing="0" w:after="0" w:afterAutospacing="0" w:line="580"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5．指导基层对工会经费的收缴、上解，管好、用好工会经费。</w:t>
      </w:r>
    </w:p>
    <w:p>
      <w:pPr>
        <w:keepNext w:val="0"/>
        <w:keepLines w:val="0"/>
        <w:widowControl/>
        <w:suppressLineNumbers w:val="0"/>
        <w:autoSpaceDE w:val="0"/>
        <w:autoSpaceDN/>
        <w:spacing w:before="0" w:beforeAutospacing="0" w:after="0" w:afterAutospacing="0" w:line="580"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6．执行会员大会上或会员代表大会的决议和上级工会的决定，负责闭会期间工会的日常工作：代表和组织职工依照法律规定，通过职工代表大会的日常工作、检查、督促职工代表大会决议的执行。</w:t>
      </w:r>
    </w:p>
    <w:p>
      <w:pPr>
        <w:keepNext w:val="0"/>
        <w:keepLines w:val="0"/>
        <w:widowControl/>
        <w:suppressLineNumbers w:val="0"/>
        <w:autoSpaceDE w:val="0"/>
        <w:autoSpaceDN/>
        <w:spacing w:before="0" w:beforeAutospacing="0" w:after="0" w:afterAutospacing="0" w:line="580"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7．推动创建职工之家，开展创建"工人先锋号"活动，并使之与建家活动科学结合。</w:t>
      </w:r>
    </w:p>
    <w:p>
      <w:pPr>
        <w:keepNext w:val="0"/>
        <w:keepLines w:val="0"/>
        <w:widowControl/>
        <w:suppressLineNumbers w:val="0"/>
        <w:autoSpaceDE w:val="0"/>
        <w:autoSpaceDN/>
        <w:adjustRightInd w:val="0"/>
        <w:snapToGrid w:val="0"/>
        <w:spacing w:before="0" w:beforeAutospacing="0" w:after="0" w:afterAutospacing="0" w:line="580"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（三）人员概况。截至</w:t>
      </w:r>
      <w:r>
        <w:rPr>
          <w:rFonts w:ascii="仿宋" w:eastAsia="仿宋" w:cs="宋体" w:hint="eastAsia"/>
          <w:bCs/>
          <w:kern w:val="0"/>
          <w:sz w:val="32"/>
          <w:szCs w:val="32"/>
          <w:lang w:val="en-US" w:eastAsia="zh-CN"/>
        </w:rPr>
        <w:t>202</w:t>
      </w:r>
      <w:r>
        <w:rPr>
          <w:rFonts w:ascii="仿宋" w:eastAsia="仿宋" w:cs="仿宋" w:hint="eastAsia"/>
          <w:bCs/>
          <w:kern w:val="0"/>
          <w:sz w:val="32"/>
          <w:szCs w:val="32"/>
          <w:lang w:val="en-US" w:eastAsia="zh-CN"/>
        </w:rPr>
        <w:t>5年末，我会根据县委编办核定编制人数9人,其中:行政编制5人,事业编制4人。在职人员总数7人，其中：行政人员4人，事业人员3人。</w:t>
      </w:r>
    </w:p>
    <w:p>
      <w:pPr>
        <w:keepNext w:val="0"/>
        <w:keepLines w:val="0"/>
        <w:widowControl/>
        <w:suppressLineNumbers w:val="0"/>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
          <w:bCs w:val="0"/>
          <w:kern w:val="0"/>
          <w:sz w:val="32"/>
          <w:szCs w:val="32"/>
        </w:rPr>
      </w:pPr>
      <w:r>
        <w:rPr>
          <w:rFonts w:ascii="仿宋" w:eastAsia="仿宋" w:cs="仿宋" w:hint="eastAsia"/>
          <w:b/>
          <w:bCs w:val="0"/>
          <w:kern w:val="0"/>
          <w:sz w:val="32"/>
          <w:szCs w:val="32"/>
          <w:lang w:val="en-US" w:eastAsia="zh-CN"/>
        </w:rPr>
        <w:t>二、部门资金收支情况</w:t>
      </w:r>
    </w:p>
    <w:p>
      <w:pPr>
        <w:keepNext w:val="0"/>
        <w:keepLines w:val="0"/>
        <w:widowControl/>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0"/>
        <w:rPr>
          <w:rFonts w:ascii="仿宋" w:eastAsia="仿宋" w:cs="宋体" w:hint="eastAsia"/>
          <w:bCs/>
          <w:kern w:val="0"/>
          <w:sz w:val="32"/>
          <w:szCs w:val="32"/>
        </w:rPr>
      </w:pPr>
      <w:r>
        <w:rPr>
          <w:rFonts w:ascii="仿宋" w:eastAsia="仿宋" w:cs="仿宋" w:hint="eastAsia"/>
          <w:bCs/>
          <w:kern w:val="0"/>
          <w:sz w:val="32"/>
          <w:szCs w:val="32"/>
          <w:lang w:val="en-US" w:eastAsia="zh-CN"/>
        </w:rPr>
        <w:t>（一）收入情况。汶川县总工会2025年年初预算收入1278.89万元、决算报表收入1302.2万元。其中：一般公共预算财政拨款收入1202.2万元，占收入的92.32%。年初结转结余100万。占收入的7.68%。</w:t>
      </w:r>
    </w:p>
    <w:p>
      <w:pPr>
        <w:keepNext w:val="0"/>
        <w:keepLines w:val="0"/>
        <w:widowControl/>
        <w:suppressLineNumbers w:val="0"/>
        <w:autoSpaceDE w:val="0"/>
        <w:autoSpaceDN/>
        <w:adjustRightInd w:val="0"/>
        <w:snapToGrid w:val="0"/>
        <w:spacing w:before="0" w:beforeAutospacing="0" w:after="0" w:afterAutospacing="0" w:line="580" w:lineRule="exact"/>
        <w:ind w:left="0" w:right="0" w:firstLine="720"/>
        <w:jc w:val="left"/>
        <w:rPr>
          <w:rFonts w:ascii="仿宋" w:eastAsia="仿宋" w:cs="宋体" w:hint="eastAsia"/>
          <w:bCs/>
          <w:kern w:val="0"/>
          <w:sz w:val="32"/>
          <w:szCs w:val="32"/>
        </w:rPr>
      </w:pPr>
      <w:r>
        <w:rPr>
          <w:rFonts w:ascii="仿宋" w:eastAsia="仿宋" w:cs="仿宋" w:hint="eastAsia"/>
          <w:bCs/>
          <w:kern w:val="0"/>
          <w:sz w:val="32"/>
          <w:szCs w:val="32"/>
          <w:lang w:val="en-US" w:eastAsia="zh-CN"/>
        </w:rPr>
        <w:t>（二）支出情况。汶川县总工会2025年年初预算支出1278.89万元、决算报表支出1302.2万元。其中:一般公共服务支出1260.97万元，占96.83%；社会保障和就业支出20.34万元，占1.56%；卫生健康支出为9.68万元，占比0.74%；住房保障支出为11.17万元，占比0.86%</w:t>
      </w:r>
    </w:p>
    <w:p>
      <w:pPr>
        <w:keepNext w:val="0"/>
        <w:keepLines w:val="0"/>
        <w:widowControl/>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（三）结余分配和结转结余情况。汶川县总工会2025年无结转结余情况。</w:t>
      </w:r>
    </w:p>
    <w:p>
      <w:pPr>
        <w:keepNext w:val="0"/>
        <w:keepLines w:val="0"/>
        <w:widowControl/>
        <w:suppressLineNumbers w:val="0"/>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
          <w:bCs w:val="0"/>
          <w:kern w:val="0"/>
          <w:sz w:val="32"/>
          <w:szCs w:val="32"/>
        </w:rPr>
      </w:pPr>
      <w:r>
        <w:rPr>
          <w:rFonts w:ascii="仿宋" w:eastAsia="仿宋" w:cs="仿宋" w:hint="eastAsia"/>
          <w:b/>
          <w:bCs w:val="0"/>
          <w:kern w:val="0"/>
          <w:sz w:val="32"/>
          <w:szCs w:val="32"/>
          <w:lang w:val="en-US" w:eastAsia="zh-CN"/>
        </w:rPr>
        <w:t>三、部门预算绩效分析</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1"/>
        <w:rPr>
          <w:rFonts w:ascii="仿宋" w:eastAsia="仿宋" w:cs="宋体" w:hint="eastAsia"/>
          <w:bCs/>
          <w:kern w:val="0"/>
          <w:sz w:val="32"/>
          <w:szCs w:val="32"/>
        </w:rPr>
      </w:pPr>
      <w:r>
        <w:rPr>
          <w:rFonts w:ascii="仿宋" w:eastAsia="仿宋" w:cs="仿宋" w:hint="eastAsia"/>
          <w:bCs/>
          <w:kern w:val="0"/>
          <w:sz w:val="32"/>
          <w:szCs w:val="32"/>
          <w:lang w:val="en-US" w:eastAsia="zh-CN"/>
        </w:rPr>
        <w:t>（一）部门预算总体绩效分析。根据部门预算绩效评价指标体系“总体绩效”涉及二、三级指标进行逐项绩效分析并评分，依次包括履职效能、预算管理、财务管理、资产管理、采购管理等情况。</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1.履职效能。（15分）</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（1）数量指标：困难职工帮扶人次100人，全部完成绩效目标。</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（2）质量指标：机关事务正常运转率100%，已按照年初计划开展本年度工作，保障工会工运事业健康发展。</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（3）时效指标：2025年12月前完成年度任务，完成绩效目标，但个别工作推进滞后。</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（4）社会效益指标：困难职工帮扶合格率&gt;=90%,完成绩效目标。</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（5）可持续影响指标：提升职工获得感，幸福感。有所提升。</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（6）满意度指标：服务对象满意度&gt;=90%，完成绩效目标。</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（7）经济成本指标：财政预算拨款支付率&gt;=95%，完成绩效目标</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综上，根据评分标准，绩效指标值全部达标，但在时间把控上有待提升，该项指标，得12分。</w:t>
      </w:r>
    </w:p>
    <w:p>
      <w:pPr>
        <w:keepNext w:val="0"/>
        <w:keepLines w:val="0"/>
        <w:widowControl w:val="0"/>
        <w:suppressLineNumbers w:val="0"/>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2.预算管理（25分）。</w:t>
      </w:r>
    </w:p>
    <w:p>
      <w:pPr>
        <w:keepNext w:val="0"/>
        <w:keepLines w:val="0"/>
        <w:widowControl w:val="0"/>
        <w:suppressLineNumbers w:val="0"/>
        <w:autoSpaceDE w:val="0"/>
        <w:autoSpaceDN/>
        <w:spacing w:before="0" w:beforeAutospacing="0" w:after="0" w:afterAutospacing="0" w:line="580" w:lineRule="exact"/>
        <w:ind w:left="0" w:right="0" w:firstLineChars="200" w:firstLine="640"/>
        <w:jc w:val="both"/>
        <w:rPr>
          <w:rFonts w:ascii="仿宋" w:eastAsia="仿宋" w:cs="宋体" w:hint="eastAsia"/>
          <w:bCs/>
          <w:kern w:val="0"/>
          <w:sz w:val="32"/>
          <w:szCs w:val="32"/>
        </w:rPr>
      </w:pPr>
      <w:r>
        <w:rPr>
          <w:rFonts w:ascii="仿宋" w:eastAsia="仿宋" w:cs="仿宋" w:hint="eastAsia"/>
          <w:bCs/>
          <w:kern w:val="0"/>
          <w:sz w:val="32"/>
          <w:szCs w:val="32"/>
          <w:lang w:val="en-US" w:eastAsia="zh-CN"/>
        </w:rPr>
        <w:t>2025年总工会的部门预算编制规范、准确，各项经费足额纳入预算安排，确保了部门正常运转和专项工作的顺利开展，较好完成年初绩效目标任务。2025年决算按县财政要求进行编制、准确、详实、真实地反映了本单位财政收支情况。</w:t>
      </w:r>
    </w:p>
    <w:p>
      <w:pPr>
        <w:keepNext w:val="0"/>
        <w:keepLines w:val="0"/>
        <w:widowControl w:val="0"/>
        <w:suppressLineNumbers w:val="0"/>
        <w:autoSpaceDE w:val="0"/>
        <w:autoSpaceDN/>
        <w:spacing w:before="0" w:beforeAutospacing="0" w:after="0" w:afterAutospacing="0" w:line="580" w:lineRule="exact"/>
        <w:ind w:left="0" w:right="0" w:firstLineChars="200" w:firstLine="640"/>
        <w:jc w:val="both"/>
        <w:rPr>
          <w:rFonts w:ascii="仿宋" w:eastAsia="仿宋" w:cs="宋体" w:hint="eastAsia"/>
          <w:bCs/>
          <w:kern w:val="0"/>
          <w:sz w:val="32"/>
          <w:szCs w:val="32"/>
        </w:rPr>
      </w:pPr>
      <w:r>
        <w:rPr>
          <w:rFonts w:ascii="仿宋" w:eastAsia="仿宋" w:cs="仿宋" w:hint="eastAsia"/>
          <w:bCs/>
          <w:kern w:val="0"/>
          <w:sz w:val="32"/>
          <w:szCs w:val="32"/>
          <w:lang w:val="en-US" w:eastAsia="zh-CN"/>
        </w:rPr>
        <w:t>县总工会认真贯彻落实中央和省委省政府相关规定，厉行节约，严格控制经费支出。2025年年初预算收入为1278.89万元，支出为1302.2元。因人员工资标准以及人员变动等情况导致比年初预算收入增加23.31万元。2025年“三公”经费财政拨款预算数10万元，其中:公务接待费预算2万元，公务用车运行维护费8万元。年末实际“三公”经费支出8.15万元，其中公务接待费0.15万元，公务用车运行维护费8万元。公务车购置费0万元。</w:t>
      </w:r>
    </w:p>
    <w:p>
      <w:pPr>
        <w:keepNext w:val="0"/>
        <w:keepLines w:val="0"/>
        <w:widowControl w:val="0"/>
        <w:suppressLineNumbers w:val="0"/>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综上，根据评分标准，全年完成预算执行，得22.92分。</w:t>
      </w:r>
    </w:p>
    <w:p>
      <w:pPr>
        <w:keepNext w:val="0"/>
        <w:keepLines w:val="0"/>
        <w:widowControl w:val="0"/>
        <w:suppressLineNumbers w:val="0"/>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3.财务管理（10分）</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围绕财务管理制度、财务岗位设置、资金使用规范进行绩效分析。</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我单位建立了全面、系统的财务管理制度，涵盖预算管理、收支管理、资产管理、合同管理等多个方面。并及时及时更新制度，以适应国家政策法规和单位发展的需要。</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财务岗位设置与单位业务规模、业务范围及复杂程度相匹配，确保各岗位职责明确、分工合理，避免职责重叠或缺失。</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建立了完善的资金管理制度，包括资金收入、使用、审批、监督等各个环节。明确规定了资金使用的范围、标准、程序和责任。但细节把控仍有不足需改进。</w:t>
      </w:r>
    </w:p>
    <w:p>
      <w:pPr>
        <w:keepNext w:val="0"/>
        <w:keepLines w:val="0"/>
        <w:widowControl w:val="0"/>
        <w:suppressLineNumbers w:val="0"/>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综上，根据评分标准，该项指标，得7分。</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4.资产管理。（9分）</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围绕人均资产变化率、资产利用率、资产盘活率进行绩效分析。</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我单位2025年年末人均资产变化率未超过县级财政同期比率，资产利用率较好，资产得到了充分有效利用。单位通过出租方式实现资产价值增值，在资产管理方面具有较强的市场敏感性和操作能力，但总体有待提高。</w:t>
      </w:r>
    </w:p>
    <w:p>
      <w:pPr>
        <w:keepNext w:val="0"/>
        <w:keepLines w:val="0"/>
        <w:widowControl w:val="0"/>
        <w:suppressLineNumbers w:val="0"/>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综上，根据评分标准，该项指标，得6.3分。</w:t>
      </w:r>
    </w:p>
    <w:p>
      <w:pPr>
        <w:keepNext w:val="0"/>
        <w:keepLines w:val="0"/>
        <w:widowControl w:val="0"/>
        <w:numPr>
          <w:ilvl w:val="0"/>
          <w:numId w:val="2"/>
        </w:numPr>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采购管理。（6分）</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围绕支持中小企业发展、采购执行率进行绩效分析。</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2025年度我单位采购均为框架协议采购公车维修以及保险服务，严格按照相关流程进行采购。</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综上，根据评分标准，该项指标，得5.5分。</w:t>
      </w:r>
    </w:p>
    <w:p>
      <w:pPr>
        <w:keepNext w:val="0"/>
        <w:keepLines w:val="0"/>
        <w:widowControl/>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1"/>
        <w:rPr>
          <w:rFonts w:ascii="仿宋" w:eastAsia="仿宋" w:cs="宋体" w:hint="eastAsia"/>
          <w:bCs/>
          <w:kern w:val="0"/>
          <w:sz w:val="32"/>
          <w:szCs w:val="32"/>
        </w:rPr>
      </w:pPr>
      <w:r>
        <w:rPr>
          <w:rFonts w:ascii="仿宋" w:eastAsia="仿宋" w:cs="仿宋" w:hint="eastAsia"/>
          <w:bCs/>
          <w:kern w:val="0"/>
          <w:sz w:val="32"/>
          <w:szCs w:val="32"/>
          <w:lang w:val="en-US" w:eastAsia="zh-CN"/>
        </w:rPr>
        <w:t>（二）部门预算项目绩效分析。填报以下数据，并根据部门预算绩效评价指标体系“项目绩效”涉及二、三级指标进行逐项绩效分析并评分，依次包括项目决策、项目执行、目标实现等情况。</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常年项目绩效分析。该类项目总数5个，涉及预算总金额1127.05万元，其他资金项目1个，涉及金额100万。</w:t>
      </w:r>
      <w:r>
        <w:rPr>
          <w:rFonts w:ascii="仿宋" w:eastAsia="仿宋" w:cs="宋体" w:hint="eastAsia"/>
          <w:bCs/>
          <w:kern w:val="0"/>
          <w:sz w:val="32"/>
          <w:szCs w:val="32"/>
          <w:lang w:val="en-US" w:eastAsia="zh-CN"/>
        </w:rPr>
        <w:t>1</w:t>
      </w:r>
      <w:r>
        <w:rPr>
          <w:rFonts w:ascii="仿宋" w:eastAsia="仿宋" w:cs="仿宋" w:hint="eastAsia"/>
          <w:bCs/>
          <w:kern w:val="0"/>
          <w:sz w:val="32"/>
          <w:szCs w:val="32"/>
          <w:lang w:val="en-US" w:eastAsia="zh-CN"/>
        </w:rPr>
        <w:t>—</w:t>
      </w:r>
      <w:r>
        <w:rPr>
          <w:rFonts w:ascii="仿宋" w:eastAsia="仿宋" w:cs="宋体" w:hint="eastAsia"/>
          <w:bCs/>
          <w:kern w:val="0"/>
          <w:sz w:val="32"/>
          <w:szCs w:val="32"/>
          <w:lang w:val="en-US" w:eastAsia="zh-CN"/>
        </w:rPr>
        <w:t>12</w:t>
      </w:r>
      <w:r>
        <w:rPr>
          <w:rFonts w:ascii="仿宋" w:eastAsia="仿宋" w:cs="仿宋" w:hint="eastAsia"/>
          <w:bCs/>
          <w:kern w:val="0"/>
          <w:sz w:val="32"/>
          <w:szCs w:val="32"/>
          <w:lang w:val="en-US" w:eastAsia="zh-CN"/>
        </w:rPr>
        <w:t>月预算执行总体进度为100</w:t>
      </w:r>
      <w:r>
        <w:rPr>
          <w:rFonts w:ascii="仿宋" w:eastAsia="仿宋" w:cs="宋体" w:hint="eastAsia"/>
          <w:bCs/>
          <w:kern w:val="0"/>
          <w:sz w:val="32"/>
          <w:szCs w:val="32"/>
          <w:lang w:val="en-US" w:eastAsia="zh-CN"/>
        </w:rPr>
        <w:t>%，其中：预算结余率大于10%</w:t>
      </w:r>
      <w:r>
        <w:rPr>
          <w:rFonts w:ascii="仿宋" w:eastAsia="仿宋" w:cs="仿宋" w:hint="eastAsia"/>
          <w:bCs/>
          <w:kern w:val="0"/>
          <w:sz w:val="32"/>
          <w:szCs w:val="32"/>
          <w:lang w:val="en-US" w:eastAsia="zh-CN"/>
        </w:rPr>
        <w:t>的项目共计0个。</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阶段（一次性）项目绩效分析。该类项目总数5个，涉及预算总金额1127.05万元，</w:t>
      </w:r>
      <w:r>
        <w:rPr>
          <w:rFonts w:ascii="仿宋" w:eastAsia="仿宋" w:cs="宋体" w:hint="eastAsia"/>
          <w:bCs/>
          <w:kern w:val="0"/>
          <w:sz w:val="32"/>
          <w:szCs w:val="32"/>
          <w:lang w:val="en-US" w:eastAsia="zh-CN"/>
        </w:rPr>
        <w:t>1</w:t>
      </w:r>
      <w:r>
        <w:rPr>
          <w:rFonts w:ascii="仿宋" w:eastAsia="仿宋" w:cs="仿宋" w:hint="eastAsia"/>
          <w:bCs/>
          <w:kern w:val="0"/>
          <w:sz w:val="32"/>
          <w:szCs w:val="32"/>
          <w:lang w:val="en-US" w:eastAsia="zh-CN"/>
        </w:rPr>
        <w:t>—</w:t>
      </w:r>
      <w:r>
        <w:rPr>
          <w:rFonts w:ascii="仿宋" w:eastAsia="仿宋" w:cs="宋体" w:hint="eastAsia"/>
          <w:bCs/>
          <w:kern w:val="0"/>
          <w:sz w:val="32"/>
          <w:szCs w:val="32"/>
          <w:lang w:val="en-US" w:eastAsia="zh-CN"/>
        </w:rPr>
        <w:t>12</w:t>
      </w:r>
      <w:r>
        <w:rPr>
          <w:rFonts w:ascii="仿宋" w:eastAsia="仿宋" w:cs="仿宋" w:hint="eastAsia"/>
          <w:bCs/>
          <w:kern w:val="0"/>
          <w:sz w:val="32"/>
          <w:szCs w:val="32"/>
          <w:lang w:val="en-US" w:eastAsia="zh-CN"/>
        </w:rPr>
        <w:t>月预算执行总体进度为100</w:t>
      </w:r>
      <w:r>
        <w:rPr>
          <w:rFonts w:ascii="仿宋" w:eastAsia="仿宋" w:cs="宋体" w:hint="eastAsia"/>
          <w:bCs/>
          <w:kern w:val="0"/>
          <w:sz w:val="32"/>
          <w:szCs w:val="32"/>
          <w:lang w:val="en-US" w:eastAsia="zh-CN"/>
        </w:rPr>
        <w:t>%，其中：预算结余率大于10%</w:t>
      </w:r>
      <w:r>
        <w:rPr>
          <w:rFonts w:ascii="仿宋" w:eastAsia="仿宋" w:cs="仿宋" w:hint="eastAsia"/>
          <w:bCs/>
          <w:kern w:val="0"/>
          <w:sz w:val="32"/>
          <w:szCs w:val="32"/>
          <w:lang w:val="en-US" w:eastAsia="zh-CN"/>
        </w:rPr>
        <w:t>的项目共计0个。</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1.项目决策。（12分）</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围绕决策程序、目标设置、项目入库进行绩效分析。</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决策过程科学和合理，决策程序的规范，包括项目立项的依据、资金构成、事前绩效评估、设置合理的绩效目标。按照预算编制规定及时进行项目入库。</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综上，根据评分标准，该项指标，得12分。</w:t>
      </w:r>
    </w:p>
    <w:p>
      <w:pPr>
        <w:keepNext w:val="0"/>
        <w:keepLines w:val="0"/>
        <w:widowControl w:val="0"/>
        <w:numPr>
          <w:ilvl w:val="0"/>
          <w:numId w:val="3"/>
        </w:numPr>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项目执行。（12分）</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围绕资金执行同向、项目调整、执行结果进行绩效分析。</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项目执行计划具有合理性和可操作性，在任务分解、时间节点、责任分配等方面合理明确。项目执行过程中的关键环节和重点任务顺利完成，在进度控制、质量控制、成本控制等方面有待加强。</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综上，根据评分标准，该项指标，得12分。</w:t>
      </w:r>
    </w:p>
    <w:p>
      <w:pPr>
        <w:keepNext w:val="0"/>
        <w:keepLines w:val="0"/>
        <w:widowControl w:val="0"/>
        <w:numPr>
          <w:ilvl w:val="0"/>
          <w:numId w:val="3"/>
        </w:numPr>
        <w:suppressLineNumbers w:val="0"/>
        <w:autoSpaceDE w:val="0"/>
        <w:autoSpaceDN/>
        <w:adjustRightInd w:val="0"/>
        <w:snapToGrid w:val="0"/>
        <w:spacing w:before="0" w:beforeAutospacing="0" w:after="0" w:afterAutospacing="0" w:line="578" w:lineRule="exact"/>
        <w:ind w:left="0" w:right="0" w:firstLineChars="200" w:firstLine="64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目标实现。（11分）</w:t>
      </w:r>
    </w:p>
    <w:p>
      <w:pPr>
        <w:keepNext w:val="0"/>
        <w:keepLines w:val="0"/>
        <w:widowControl w:val="0"/>
        <w:suppressLineNumbers w:val="0"/>
        <w:autoSpaceDE w:val="0"/>
        <w:autoSpaceDN/>
        <w:adjustRightInd w:val="0"/>
        <w:snapToGrid w:val="0"/>
        <w:spacing w:before="0" w:beforeAutospacing="0" w:after="0" w:afterAutospacing="0" w:line="578" w:lineRule="exact"/>
        <w:ind w:leftChars="200" w:left="420" w:right="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围绕目标完成、目标偏离、实现效果进行绩效分析。</w:t>
      </w:r>
    </w:p>
    <w:p>
      <w:pPr>
        <w:keepNext w:val="0"/>
        <w:keepLines w:val="0"/>
        <w:widowControl w:val="0"/>
        <w:suppressLineNumbers w:val="0"/>
        <w:autoSpaceDE w:val="0"/>
        <w:autoSpaceDN/>
        <w:adjustRightInd w:val="0"/>
        <w:snapToGrid w:val="0"/>
        <w:spacing w:before="0" w:beforeAutospacing="0" w:after="0" w:afterAutospacing="0" w:line="578" w:lineRule="exact"/>
        <w:ind w:leftChars="200" w:left="420" w:right="0"/>
        <w:contextualSpacing/>
        <w:jc w:val="left"/>
        <w:outlineLvl w:val="2"/>
        <w:rPr>
          <w:rFonts w:ascii="仿宋" w:eastAsia="仿宋" w:cs="宋体" w:hint="eastAsia"/>
          <w:bCs/>
          <w:kern w:val="0"/>
          <w:sz w:val="32"/>
          <w:szCs w:val="32"/>
        </w:rPr>
      </w:pPr>
      <w:r>
        <w:rPr>
          <w:rFonts w:ascii="仿宋" w:eastAsia="仿宋" w:cs="仿宋" w:hint="eastAsia"/>
          <w:bCs/>
          <w:kern w:val="0"/>
          <w:sz w:val="32"/>
          <w:szCs w:val="32"/>
          <w:lang w:val="en-US" w:eastAsia="zh-CN"/>
        </w:rPr>
        <w:t>按计划完成了项目、目标偏离度小于10%，达到预期效果。</w:t>
      </w:r>
    </w:p>
    <w:p>
      <w:pPr>
        <w:keepNext w:val="0"/>
        <w:keepLines w:val="0"/>
        <w:widowControl w:val="0"/>
        <w:suppressLineNumbers w:val="0"/>
        <w:snapToGrid w:val="0"/>
        <w:spacing w:before="0" w:beforeAutospacing="0" w:after="0" w:afterAutospacing="0" w:line="578"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综上，根据评分标准，该项指标，得11分。</w:t>
      </w:r>
    </w:p>
    <w:p>
      <w:pPr>
        <w:keepNext w:val="0"/>
        <w:keepLines w:val="0"/>
        <w:widowControl w:val="0"/>
        <w:suppressLineNumbers w:val="0"/>
        <w:snapToGrid w:val="0"/>
        <w:spacing w:before="0" w:beforeAutospacing="0" w:after="0" w:afterAutospacing="0" w:line="578" w:lineRule="exact"/>
        <w:ind w:left="0" w:right="0" w:firstLineChars="200" w:firstLine="640"/>
        <w:jc w:val="left"/>
        <w:rPr>
          <w:rFonts w:ascii="仿宋" w:eastAsia="仿宋" w:cs="宋体" w:hint="eastAsia"/>
          <w:bCs/>
          <w:kern w:val="0"/>
          <w:sz w:val="32"/>
          <w:szCs w:val="32"/>
        </w:rPr>
      </w:pPr>
      <w:r>
        <w:rPr>
          <w:rFonts w:ascii="仿宋" w:eastAsia="仿宋" w:cs="仿宋" w:hint="eastAsia"/>
          <w:bCs/>
          <w:kern w:val="0"/>
          <w:sz w:val="32"/>
          <w:szCs w:val="32"/>
          <w:lang w:val="en-US" w:eastAsia="zh-CN"/>
        </w:rPr>
        <w:t>（三）绩效结果应用情况。围绕内部应用情况、信息公开情况、整改反馈情况进行分析。</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我会将绩效自评结果作为下年度预算配置、预算执行和预算管理的重要参照依据，不断细化绩效评价指标，提高资金使用效益。严格按照财政要求对相关数据在指定地点规定时间内进行信息公开，接受上级部门的监督检查，同时不定期进行财务自查。对于存在的问题及时整改并反馈结果。</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
          <w:bCs w:val="0"/>
          <w:kern w:val="0"/>
          <w:sz w:val="32"/>
          <w:szCs w:val="32"/>
        </w:rPr>
      </w:pPr>
      <w:r>
        <w:rPr>
          <w:rFonts w:ascii="仿宋" w:eastAsia="仿宋" w:cs="仿宋" w:hint="eastAsia"/>
          <w:b/>
          <w:bCs w:val="0"/>
          <w:kern w:val="0"/>
          <w:sz w:val="32"/>
          <w:szCs w:val="32"/>
          <w:lang w:val="en-US" w:eastAsia="zh-CN"/>
        </w:rPr>
        <w:t>四、评价结论及建议</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（一）评价结论。</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从整体看，本单位重视财政资金的支出绩效，并加强日常监管，在资金的预算、执行、支付上严格按相关规定执行。无截留、挪用等现象。自评得分88.72分</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存在问题。</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1、对绩效管理工作的重要性认识不够，财务管理科学化、精细化有待进一步加强。</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2、部分绩效指标缺乏科学合理的设置，绩效指标体系有待完善。</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（三）改进建议。</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业务素质有待进一步提高，由于预算绩效管理工作缺乏系统的培训，对预算绩效管理认识不到位、理解不充分，对预算绩效管理业务不了解、不熟悉，对工作重点把握不到位。加大对会计人员的培训力度，进一步统一认识，充实业务知识。</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宋体" w:hint="eastAsia"/>
          <w:bCs/>
          <w:kern w:val="0"/>
          <w:sz w:val="32"/>
          <w:szCs w:val="32"/>
          <w:lang w:val="en-US" w:eastAsia="zh-CN"/>
        </w:rPr>
        <w:t xml:space="preserve"> </w:t>
      </w:r>
    </w:p>
    <w:p>
      <w:pPr>
        <w:keepNext w:val="0"/>
        <w:keepLines w:val="0"/>
        <w:widowControl w:val="0"/>
        <w:suppressLineNumbers w:val="0"/>
        <w:autoSpaceDE w:val="0"/>
        <w:autoSpaceDN/>
        <w:adjustRightInd w:val="0"/>
        <w:snapToGrid w:val="0"/>
        <w:spacing w:before="0" w:beforeAutospacing="0" w:after="0" w:afterAutospacing="0" w:line="578" w:lineRule="exact"/>
        <w:ind w:left="0" w:right="0" w:firstLineChars="200" w:firstLine="640"/>
        <w:contextualSpacing/>
        <w:jc w:val="left"/>
        <w:rPr>
          <w:rFonts w:ascii="仿宋" w:eastAsia="仿宋" w:cs="宋体" w:hint="eastAsia"/>
          <w:bCs/>
          <w:kern w:val="0"/>
          <w:sz w:val="32"/>
          <w:szCs w:val="32"/>
        </w:rPr>
      </w:pPr>
      <w:r>
        <w:rPr>
          <w:rFonts w:ascii="仿宋" w:eastAsia="仿宋" w:cs="仿宋" w:hint="eastAsia"/>
          <w:bCs/>
          <w:kern w:val="0"/>
          <w:sz w:val="32"/>
          <w:szCs w:val="32"/>
          <w:lang w:val="en-US" w:eastAsia="zh-CN"/>
        </w:rPr>
        <w:t>附表：部门整体支出绩效目标表</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宋体" w:eastAsia="宋体" w:cs="宋体" w:hint="eastAsia"/>
          <w:kern w:val="0"/>
          <w:sz w:val="24"/>
          <w:szCs w:val="24"/>
          <w:shd w:val="clear" w:color="auto" w:fill="FFFFFF"/>
          <w:lang w:val="en-US" w:eastAsia="zh-CN"/>
        </w:rPr>
        <w:drawing>
          <wp:anchor distT="0" distB="0" distL="114300" distR="114300" simplePos="0" relativeHeight="36" behindDoc="0" locked="0" layoutInCell="1" hidden="0" allowOverlap="1">
            <wp:simplePos x="0" y="0"/>
            <wp:positionH relativeFrom="column">
              <wp:posOffset>-142875</wp:posOffset>
            </wp:positionH>
            <wp:positionV relativeFrom="paragraph">
              <wp:posOffset>286385</wp:posOffset>
            </wp:positionV>
            <wp:extent cx="5276850" cy="8467725"/>
            <wp:effectExtent l="0" t="0" r="0" b="0"/>
            <wp:wrapNone/>
            <wp:docPr id="13" name="图片 1" descr="IMG_256"/>
            <wp:cNvGraphicFramePr>
              <a:graphicFrameLocks noChangeAspect="1"/>
            </wp:cNvGraphicFramePr>
            <a:graphic>
              <a:graphicData uri="http://schemas.openxmlformats.org/drawingml/2006/picture">
                <pic:pic>
                  <pic:nvPicPr>
                    <pic:cNvPr id="15" name="图片 1 15"/>
                    <pic:cNvPicPr/>
                  </pic:nvPicPr>
                  <pic:blipFill>
                    <a:blip r:embed="rId11"/>
                    <a:stretch>
                      <a:fillRect/>
                    </a:stretch>
                  </pic:blipFill>
                  <pic:spPr>
                    <a:xfrm rot="0">
                      <a:off x="0" y="0"/>
                      <a:ext cx="5276850" cy="8467725"/>
                    </a:xfrm>
                    <a:prstGeom prst="rect"/>
                    <a:noFill/>
                    <a:ln w="9525" cmpd="sng" cap="flat">
                      <a:noFill/>
                      <a:prstDash val="solid"/>
                      <a:round/>
                    </a:ln>
                  </pic:spPr>
                </pic:pic>
              </a:graphicData>
            </a:graphic>
          </wp:anchor>
        </w:drawing>
      </w: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仿宋_GB2312" w:eastAsia="仿宋_GB2312" w:cs="宋体" w:hint="eastAsia"/>
          <w:color w:val="FF0000"/>
          <w:kern w:val="0"/>
          <w:sz w:val="32"/>
          <w:szCs w:val="32"/>
          <w:shd w:val="clear" w:color="auto" w:fill="FFFFFF"/>
        </w:rPr>
      </w:pPr>
      <w:r>
        <w:rPr>
          <w:rFonts w:ascii="仿宋_GB2312" w:eastAsia="仿宋_GB2312" w:cs="宋体" w:hint="eastAsia"/>
          <w:color w:val="FF0000"/>
          <w:kern w:val="0"/>
          <w:sz w:val="32"/>
          <w:szCs w:val="32"/>
          <w:shd w:val="clear" w:color="auto" w:fill="FFFFFF"/>
          <w:lang w:val="en-US" w:eastAsia="zh-CN"/>
        </w:rPr>
        <w:t xml:space="preserve"> </w:t>
      </w:r>
    </w:p>
    <w:p>
      <w:pPr>
        <w:pStyle w:val="20"/>
        <w:keepNext w:val="0"/>
        <w:keepLines w:val="0"/>
        <w:widowControl/>
        <w:suppressLineNumbers w:val="0"/>
        <w:shd w:val="clear" w:color="auto" w:fill="FFFFFF"/>
        <w:spacing w:before="0" w:beforeAutospacing="1" w:after="0" w:afterAutospacing="1" w:line="560" w:lineRule="exact"/>
        <w:ind w:left="0" w:right="0"/>
        <w:jc w:val="left"/>
        <w:rPr>
          <w:rFonts w:ascii="黑体" w:eastAsia="黑体" w:cs="宋体" w:hint="eastAsia"/>
          <w:kern w:val="0"/>
          <w:sz w:val="32"/>
          <w:szCs w:val="32"/>
          <w:shd w:val="clear" w:color="auto" w:fill="FFFFFF"/>
        </w:rPr>
      </w:pPr>
    </w:p>
    <w:p>
      <w:pPr>
        <w:spacing w:line="600" w:lineRule="exact"/>
        <w:jc w:val="both"/>
        <w:outlineLvl w:val="0"/>
        <w:rPr>
          <w:rFonts w:ascii="黑体" w:eastAsia="黑体" w:hint="eastAsia"/>
          <w:sz w:val="44"/>
          <w:szCs w:val="44"/>
        </w:rPr>
      </w:pPr>
    </w:p>
    <w:p>
      <w:pPr>
        <w:spacing w:line="600" w:lineRule="exact"/>
        <w:jc w:val="center"/>
        <w:outlineLvl w:val="0"/>
        <w:rPr>
          <w:rFonts w:ascii="仿宋" w:eastAsia="仿宋"/>
        </w:rPr>
      </w:pPr>
      <w:r>
        <w:rPr>
          <w:rFonts w:ascii="黑体" w:eastAsia="黑体" w:hint="eastAsia"/>
          <w:sz w:val="44"/>
          <w:szCs w:val="44"/>
        </w:rPr>
        <w:t>第</w:t>
      </w:r>
      <w:r>
        <w:rPr>
          <w:rStyle w:val="1Char"/>
          <w:rFonts w:ascii="黑体" w:eastAsia="黑体" w:hint="eastAsia"/>
          <w:b w:val="0"/>
        </w:rPr>
        <w:t>五部分 附表</w:t>
      </w:r>
      <w:bookmarkStart w:id="54" w:name="_Toc15396619"/>
      <w:bookmarkEnd w:id="52"/>
      <w:bookmarkEnd w:id="53"/>
    </w:p>
    <w:p>
      <w:pPr>
        <w:pStyle w:val="2"/>
        <w:rPr>
          <w:rFonts w:ascii="仿宋" w:eastAsia="仿宋"/>
        </w:rPr>
      </w:pPr>
      <w:r>
        <w:rPr>
          <w:rFonts w:ascii="仿宋" w:eastAsia="仿宋" w:hint="eastAsia"/>
          <w:b w:val="0"/>
        </w:rPr>
        <w:t>一、收</w:t>
      </w:r>
      <w:r>
        <w:rPr>
          <w:rStyle w:val="2Char"/>
          <w:rFonts w:ascii="仿宋" w:eastAsia="仿宋" w:hint="eastAsia"/>
          <w:b w:val="0"/>
          <w:bCs w:val="0"/>
        </w:rPr>
        <w:t>入支出决算总表</w:t>
      </w:r>
      <w:bookmarkEnd w:id="54"/>
    </w:p>
    <w:p>
      <w:pPr>
        <w:pStyle w:val="2"/>
        <w:rPr>
          <w:rFonts w:ascii="仿宋" w:eastAsia="仿宋"/>
        </w:rPr>
      </w:pPr>
      <w:bookmarkStart w:id="55" w:name="_Toc15396620"/>
      <w:r>
        <w:rPr>
          <w:rFonts w:ascii="仿宋" w:eastAsia="仿宋" w:hint="eastAsia"/>
          <w:b w:val="0"/>
        </w:rPr>
        <w:t>二、收</w:t>
      </w:r>
      <w:r>
        <w:rPr>
          <w:rStyle w:val="2Char"/>
          <w:rFonts w:ascii="仿宋" w:eastAsia="仿宋" w:hint="eastAsia"/>
          <w:b w:val="0"/>
          <w:bCs w:val="0"/>
        </w:rPr>
        <w:t>入决算表</w:t>
      </w:r>
      <w:bookmarkEnd w:id="55"/>
    </w:p>
    <w:p>
      <w:pPr>
        <w:pStyle w:val="2"/>
        <w:rPr>
          <w:rFonts w:ascii="仿宋" w:eastAsia="仿宋"/>
        </w:rPr>
      </w:pPr>
      <w:bookmarkStart w:id="56" w:name="_Toc15396621"/>
      <w:r>
        <w:rPr>
          <w:rStyle w:val="2Char"/>
          <w:rFonts w:ascii="仿宋" w:eastAsia="仿宋" w:hint="eastAsia"/>
          <w:b w:val="0"/>
          <w:bCs w:val="0"/>
        </w:rPr>
        <w:t>三、</w:t>
      </w:r>
      <w:r>
        <w:rPr>
          <w:rFonts w:ascii="仿宋" w:eastAsia="仿宋" w:hint="eastAsia"/>
          <w:b w:val="0"/>
        </w:rPr>
        <w:t>支</w:t>
      </w:r>
      <w:r>
        <w:rPr>
          <w:rStyle w:val="2Char"/>
          <w:rFonts w:ascii="仿宋" w:eastAsia="仿宋" w:hint="eastAsia"/>
          <w:b w:val="0"/>
          <w:bCs w:val="0"/>
        </w:rPr>
        <w:t>出决算表</w:t>
      </w:r>
      <w:bookmarkEnd w:id="56"/>
    </w:p>
    <w:p>
      <w:pPr>
        <w:pStyle w:val="2"/>
        <w:rPr>
          <w:rFonts w:ascii="仿宋" w:eastAsia="仿宋"/>
          <w:b w:val="0"/>
        </w:rPr>
      </w:pPr>
      <w:bookmarkStart w:id="57" w:name="_Toc15396622"/>
      <w:r>
        <w:rPr>
          <w:rStyle w:val="2Char"/>
          <w:rFonts w:ascii="仿宋" w:eastAsia="仿宋" w:hint="eastAsia"/>
          <w:b w:val="0"/>
          <w:bCs w:val="0"/>
        </w:rPr>
        <w:t>四、</w:t>
      </w:r>
      <w:r>
        <w:rPr>
          <w:rFonts w:ascii="仿宋" w:eastAsia="仿宋" w:hint="eastAsia"/>
          <w:b w:val="0"/>
        </w:rPr>
        <w:t>财</w:t>
      </w:r>
      <w:r>
        <w:rPr>
          <w:rStyle w:val="2Char"/>
          <w:rFonts w:ascii="仿宋" w:eastAsia="仿宋" w:hint="eastAsia"/>
          <w:b w:val="0"/>
          <w:bCs w:val="0"/>
        </w:rPr>
        <w:t>政拨款收入支出决算总表</w:t>
      </w:r>
      <w:bookmarkEnd w:id="57"/>
    </w:p>
    <w:p>
      <w:pPr>
        <w:pStyle w:val="2"/>
        <w:rPr>
          <w:rStyle w:val="2Char"/>
          <w:rFonts w:ascii="仿宋" w:eastAsia="仿宋"/>
          <w:b w:val="0"/>
          <w:bCs w:val="0"/>
        </w:rPr>
      </w:pPr>
      <w:bookmarkStart w:id="58" w:name="_Toc15396623"/>
      <w:r>
        <w:rPr>
          <w:rStyle w:val="2Char"/>
          <w:rFonts w:ascii="仿宋" w:eastAsia="仿宋" w:hint="eastAsia"/>
          <w:b w:val="0"/>
          <w:bCs w:val="0"/>
        </w:rPr>
        <w:t>五、</w:t>
      </w:r>
      <w:r>
        <w:rPr>
          <w:rFonts w:ascii="仿宋" w:eastAsia="仿宋" w:hint="eastAsia"/>
          <w:b w:val="0"/>
        </w:rPr>
        <w:t>财</w:t>
      </w:r>
      <w:r>
        <w:rPr>
          <w:rStyle w:val="2Char"/>
          <w:rFonts w:ascii="仿宋" w:eastAsia="仿宋" w:hint="eastAsia"/>
          <w:b w:val="0"/>
          <w:bCs w:val="0"/>
        </w:rPr>
        <w:t>政拨款支出决算明细表</w:t>
      </w:r>
      <w:bookmarkStart w:id="59" w:name="_Toc15396624"/>
      <w:bookmarkEnd w:id="58"/>
    </w:p>
    <w:p>
      <w:pPr>
        <w:pStyle w:val="2"/>
        <w:rPr>
          <w:rFonts w:ascii="仿宋" w:eastAsia="仿宋"/>
        </w:rPr>
      </w:pPr>
      <w:r>
        <w:rPr>
          <w:rStyle w:val="2Char"/>
          <w:rFonts w:ascii="仿宋" w:eastAsia="仿宋" w:hint="eastAsia"/>
          <w:b w:val="0"/>
          <w:bCs w:val="0"/>
        </w:rPr>
        <w:t>六、</w:t>
      </w:r>
      <w:r>
        <w:rPr>
          <w:rFonts w:ascii="仿宋" w:eastAsia="仿宋" w:hint="eastAsia"/>
          <w:b w:val="0"/>
        </w:rPr>
        <w:t>一</w:t>
      </w:r>
      <w:r>
        <w:rPr>
          <w:rStyle w:val="2Char"/>
          <w:rFonts w:ascii="仿宋" w:eastAsia="仿宋" w:hint="eastAsia"/>
          <w:b w:val="0"/>
          <w:bCs w:val="0"/>
        </w:rPr>
        <w:t>般公共预算财政拨款支出决算表</w:t>
      </w:r>
      <w:bookmarkEnd w:id="59"/>
    </w:p>
    <w:p>
      <w:pPr>
        <w:pStyle w:val="2"/>
        <w:rPr>
          <w:rFonts w:ascii="仿宋" w:eastAsia="仿宋"/>
        </w:rPr>
      </w:pPr>
      <w:bookmarkStart w:id="60" w:name="_Toc15396625"/>
      <w:r>
        <w:rPr>
          <w:rStyle w:val="2Char"/>
          <w:rFonts w:ascii="仿宋" w:eastAsia="仿宋" w:hint="eastAsia"/>
          <w:b w:val="0"/>
          <w:bCs w:val="0"/>
        </w:rPr>
        <w:t>七、</w:t>
      </w:r>
      <w:r>
        <w:rPr>
          <w:rFonts w:ascii="仿宋" w:eastAsia="仿宋" w:hint="eastAsia"/>
          <w:b w:val="0"/>
        </w:rPr>
        <w:t>一</w:t>
      </w:r>
      <w:r>
        <w:rPr>
          <w:rStyle w:val="2Char"/>
          <w:rFonts w:ascii="仿宋" w:eastAsia="仿宋" w:hint="eastAsia"/>
          <w:b w:val="0"/>
          <w:bCs w:val="0"/>
        </w:rPr>
        <w:t>般公共预算财政拨款支出决算明细表</w:t>
      </w:r>
      <w:bookmarkEnd w:id="60"/>
    </w:p>
    <w:p>
      <w:pPr>
        <w:pStyle w:val="2"/>
        <w:rPr>
          <w:rFonts w:ascii="仿宋" w:eastAsia="仿宋"/>
        </w:rPr>
      </w:pPr>
      <w:bookmarkStart w:id="61" w:name="_Toc15396626"/>
      <w:r>
        <w:rPr>
          <w:rStyle w:val="2Char"/>
          <w:rFonts w:ascii="仿宋" w:eastAsia="仿宋" w:hint="eastAsia"/>
          <w:b w:val="0"/>
          <w:bCs w:val="0"/>
        </w:rPr>
        <w:t>八、</w:t>
      </w:r>
      <w:r>
        <w:rPr>
          <w:rFonts w:ascii="仿宋" w:eastAsia="仿宋" w:hint="eastAsia"/>
          <w:b w:val="0"/>
        </w:rPr>
        <w:t>一</w:t>
      </w:r>
      <w:r>
        <w:rPr>
          <w:rStyle w:val="2Char"/>
          <w:rFonts w:ascii="仿宋" w:eastAsia="仿宋" w:hint="eastAsia"/>
          <w:b w:val="0"/>
          <w:bCs w:val="0"/>
        </w:rPr>
        <w:t>般公共预算财政拨款基本支出决算表</w:t>
      </w:r>
      <w:bookmarkEnd w:id="61"/>
    </w:p>
    <w:p>
      <w:pPr>
        <w:pStyle w:val="2"/>
        <w:rPr>
          <w:rFonts w:ascii="仿宋" w:eastAsia="仿宋"/>
        </w:rPr>
      </w:pPr>
      <w:bookmarkStart w:id="62" w:name="_Toc15396627"/>
      <w:r>
        <w:rPr>
          <w:rStyle w:val="2Char"/>
          <w:rFonts w:ascii="仿宋" w:eastAsia="仿宋" w:hint="eastAsia"/>
          <w:b w:val="0"/>
          <w:bCs w:val="0"/>
        </w:rPr>
        <w:t>九、</w:t>
      </w:r>
      <w:r>
        <w:rPr>
          <w:rFonts w:ascii="仿宋" w:eastAsia="仿宋" w:hint="eastAsia"/>
          <w:b w:val="0"/>
        </w:rPr>
        <w:t>一</w:t>
      </w:r>
      <w:r>
        <w:rPr>
          <w:rStyle w:val="2Char"/>
          <w:rFonts w:ascii="仿宋" w:eastAsia="仿宋" w:hint="eastAsia"/>
          <w:b w:val="0"/>
          <w:bCs w:val="0"/>
        </w:rPr>
        <w:t>般公共预算财政拨款项目支出决算表</w:t>
      </w:r>
      <w:bookmarkEnd w:id="62"/>
    </w:p>
    <w:p>
      <w:pPr>
        <w:pStyle w:val="2"/>
        <w:rPr>
          <w:rFonts w:ascii="仿宋" w:eastAsia="仿宋"/>
        </w:rPr>
      </w:pPr>
      <w:bookmarkStart w:id="63" w:name="_Toc15396628"/>
      <w:r>
        <w:rPr>
          <w:rStyle w:val="2Char"/>
          <w:rFonts w:ascii="仿宋" w:eastAsia="仿宋" w:hint="eastAsia"/>
          <w:b w:val="0"/>
          <w:bCs w:val="0"/>
        </w:rPr>
        <w:t>十、</w:t>
      </w:r>
      <w:bookmarkEnd w:id="63"/>
      <w:r>
        <w:rPr>
          <w:rFonts w:ascii="仿宋" w:eastAsia="仿宋" w:hint="eastAsia"/>
          <w:b w:val="0"/>
        </w:rPr>
        <w:t>政</w:t>
      </w:r>
      <w:r>
        <w:rPr>
          <w:rStyle w:val="2Char"/>
          <w:rFonts w:ascii="仿宋" w:eastAsia="仿宋" w:hint="eastAsia"/>
          <w:b w:val="0"/>
          <w:bCs w:val="0"/>
        </w:rPr>
        <w:t>府性基金预算财政拨款收入支出决算表</w:t>
      </w:r>
    </w:p>
    <w:p>
      <w:pPr>
        <w:pStyle w:val="2"/>
        <w:rPr>
          <w:rFonts w:ascii="仿宋" w:eastAsia="仿宋"/>
        </w:rPr>
      </w:pPr>
      <w:bookmarkStart w:id="64" w:name="_Toc15396629"/>
      <w:r>
        <w:rPr>
          <w:rStyle w:val="2Char"/>
          <w:rFonts w:ascii="仿宋" w:eastAsia="仿宋" w:hint="eastAsia"/>
          <w:b w:val="0"/>
          <w:bCs w:val="0"/>
        </w:rPr>
        <w:t>十一、</w:t>
      </w:r>
      <w:bookmarkEnd w:id="64"/>
      <w:r>
        <w:rPr>
          <w:rFonts w:ascii="仿宋" w:eastAsia="仿宋" w:hint="eastAsia"/>
          <w:b w:val="0"/>
        </w:rPr>
        <w:t>国</w:t>
      </w:r>
      <w:r>
        <w:rPr>
          <w:rStyle w:val="2Char"/>
          <w:rFonts w:ascii="仿宋" w:eastAsia="仿宋" w:hint="eastAsia"/>
          <w:b w:val="0"/>
          <w:bCs w:val="0"/>
        </w:rPr>
        <w:t>有资本经营预算财政拨款收入支出决算表</w:t>
      </w:r>
    </w:p>
    <w:p>
      <w:pPr>
        <w:pStyle w:val="2"/>
        <w:rPr>
          <w:rFonts w:ascii="仿宋" w:eastAsia="仿宋"/>
        </w:rPr>
      </w:pPr>
      <w:bookmarkStart w:id="65" w:name="_Toc15396630"/>
      <w:r>
        <w:rPr>
          <w:rStyle w:val="2Char"/>
          <w:rFonts w:ascii="仿宋" w:eastAsia="仿宋" w:hint="eastAsia"/>
          <w:b w:val="0"/>
          <w:bCs w:val="0"/>
        </w:rPr>
        <w:t>十二、</w:t>
      </w:r>
      <w:bookmarkEnd w:id="65"/>
      <w:r>
        <w:rPr>
          <w:rStyle w:val="2Char"/>
          <w:rFonts w:ascii="仿宋" w:eastAsia="仿宋" w:hint="eastAsia"/>
          <w:b w:val="0"/>
          <w:bCs w:val="0"/>
        </w:rPr>
        <w:t>国有资本经营预算财政拨款支出决算表</w:t>
      </w:r>
    </w:p>
    <w:p>
      <w:pPr>
        <w:pStyle w:val="2"/>
        <w:rPr>
          <w:rFonts w:eastAsia="仿宋"/>
        </w:rPr>
      </w:pPr>
      <w:bookmarkStart w:id="66" w:name="_Toc15396631"/>
      <w:r>
        <w:rPr>
          <w:rStyle w:val="2Char"/>
          <w:rFonts w:ascii="仿宋" w:eastAsia="仿宋" w:hint="eastAsia"/>
          <w:b w:val="0"/>
          <w:bCs w:val="0"/>
        </w:rPr>
        <w:t>十三、</w:t>
      </w:r>
      <w:bookmarkEnd w:id="66"/>
      <w:r>
        <w:rPr>
          <w:rStyle w:val="2Char"/>
          <w:rFonts w:ascii="仿宋" w:eastAsia="仿宋" w:hint="eastAsia"/>
          <w:b w:val="0"/>
          <w:bCs w:val="0"/>
        </w:rPr>
        <w:t>财政拨款“三公”经费支出决算表</w:t>
      </w:r>
    </w:p>
    <w:p/>
    <w:sectPr>
      <w:footerReference w:type="default" r:id="rId3"/>
      <w:footerReference w:type="first" r:id="rId4"/>
      <w:pgSz w:w="11906" w:h="16838"/>
      <w:pgMar w:top="1440" w:right="1800" w:bottom="1440" w:left="1800" w:header="851" w:footer="992" w:gutter="0"/>
      <w:pgNumType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3000509000000000000"/>
    <w:charset w:val="86"/>
    <w:family w:val="script"/>
    <w:pitch w:val="variable"/>
    <w:sig w:usb0="00000001" w:usb1="080E0000" w:usb2="00000000" w:usb3="00000000" w:csb0="00040000" w:csb1="00000000"/>
  </w:font>
  <w:font w:name="Times New Roman">
    <w:panose1 w:val="02020603050405020304"/>
    <w:charset w:val="01"/>
    <w:family w:val="auto"/>
    <w:pitch w:val="variable"/>
    <w:sig w:usb0="E0002AFF" w:usb1="C0007841" w:usb2="00000009" w:usb3="00000000" w:csb0="400001FF" w:csb1="FFFF0000"/>
  </w:font>
  <w:font w:name="宋体">
    <w:panose1 w:val="02010600030101010101"/>
    <w:charset w:val="50"/>
    <w:family w:val="auto"/>
    <w:pitch w:val="variable"/>
    <w:sig w:usb0="00000003" w:usb1="288F0000" w:usb2="00000006" w:usb3="00000000" w:csb0="00040001"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Arial">
    <w:panose1 w:val="020B0604020202020204"/>
    <w:charset w:val="01"/>
    <w:family w:val="swiss"/>
    <w:pitch w:val="variable"/>
    <w:sig w:usb0="E0002AFF" w:usb1="C0007843" w:usb2="00000009" w:usb3="00000000" w:csb0="400001FF" w:csb1="FFFF0000"/>
  </w:font>
  <w:font w:name="仿宋">
    <w:panose1 w:val="02010609060101010101"/>
    <w:charset w:val="86"/>
    <w:family w:val="modern"/>
    <w:pitch w:val="variable"/>
    <w:sig w:usb0="800002BF" w:usb1="38CF7CFA" w:usb2="00000016" w:usb3="00000000" w:csb0="00040001" w:csb1="00000000"/>
  </w:font>
  <w:font w:name="Calibri Light">
    <w:altName w:val="Calibri"/>
    <w:panose1 w:val="020F0302020204030204"/>
    <w:charset w:val="00"/>
    <w:family w:val="auto"/>
    <w:pitch w:val="variable"/>
    <w:sig w:usb0="00000000" w:usb1="00000000" w:usb2="00000009" w:usb3="00000000" w:csb0="200001FF" w:csb1="00000000"/>
  </w:font>
  <w:font w:name="Calibri">
    <w:panose1 w:val="020F0502020204030204"/>
    <w:charset w:val="00"/>
    <w:family w:val="swiss"/>
    <w:pitch w:val="variable"/>
    <w:sig w:usb0="E10002FF" w:usb1="4000ACFF" w:usb2="00000009" w:usb3="00000000" w:csb0="2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tabs>
        <w:tab w:val="center" w:pos="4153"/>
        <w:tab w:val="right" w:pos="8306"/>
      </w:tabs>
    </w:pPr>
    <w:r>
      <w:rPr>
        <w:sz w:val="18"/>
      </w:rPr>
      <mc:AlternateContent>
        <mc:Choice Requires="wps">
          <w:drawing>
            <wp:anchor distT="0" distB="0" distL="114298" distR="114298" simplePos="0" relativeHeight="20" behindDoc="0" locked="0" layoutInCell="1" hidden="0" allowOverlap="1">
              <wp:simplePos x="0" y="0"/>
              <wp:positionH relativeFrom="margin">
                <wp:align>center</wp:align>
              </wp:positionH>
              <wp:positionV relativeFrom="paragraph">
                <wp:posOffset>0</wp:posOffset>
              </wp:positionV>
              <wp:extent cx="57950" cy="139560"/>
              <wp:effectExtent l="0" t="0" r="0" b="0"/>
              <wp:wrapNone/>
              <wp:docPr id="1" name="文本框 2"/>
              <wp:cNvGraphicFramePr>
                <a:graphicFrameLocks noChangeAspect="0"/>
              </wp:cNvGraphicFramePr>
              <a:graphic>
                <a:graphicData uri="http://schemas.microsoft.com/office/word/2010/wordprocessingShape">
                  <wps:wsp>
                    <wps:cNvSpPr/>
                    <wps:spPr>
                      <a:xfrm rot="0">
                        <a:off x="0" y="0"/>
                        <a:ext cx="57950" cy="139560"/>
                      </a:xfrm>
                      <a:prstGeom prst="rect"/>
                      <a:noFill/>
                      <a:ln w="6350" cmpd="sng" cap="flat">
                        <a:noFill/>
                        <a:prstDash val="solid"/>
                        <a:round/>
                      </a:ln>
                    </wps:spPr>
                    <wps:txbx id="2">
                      <w:txbxContent>
                        <w:p>
                          <w:pPr>
                            <w:pStyle w:val="16"/>
                            <w:tabs>
                              <w:tab w:val="center" w:pos="4153"/>
                              <w:tab w:val="right" w:pos="8306"/>
                            </w:tabs>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type="#_x0000_t202" id="文本框 2 3" o:spid="_x0000_s3" filled="f" stroked="f" strokeweight="0.5pt" style="position:absolute;margin-left:0.0pt;margin-top:0.0pt;width:4.56301pt;height:10.988999pt;z-index:20;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16"/>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tabs>
        <w:tab w:val="center" w:pos="4153"/>
        <w:tab w:val="right" w:pos="8306"/>
      </w:tabs>
    </w:pPr>
    <w:r>
      <w:rPr>
        <w:sz w:val="18"/>
      </w:rPr>
      <mc:AlternateContent>
        <mc:Choice Requires="wps">
          <w:drawing>
            <wp:anchor distT="0" distB="0" distL="114298" distR="114298" simplePos="0" relativeHeight="24" behindDoc="0" locked="0" layoutInCell="1" hidden="0" allowOverlap="1">
              <wp:simplePos x="0" y="0"/>
              <wp:positionH relativeFrom="margin">
                <wp:align>center</wp:align>
              </wp:positionH>
              <wp:positionV relativeFrom="paragraph">
                <wp:posOffset>0</wp:posOffset>
              </wp:positionV>
              <wp:extent cx="57950" cy="139560"/>
              <wp:effectExtent l="0" t="0" r="0" b="0"/>
              <wp:wrapNone/>
              <wp:docPr id="4" name="文本框 16"/>
              <wp:cNvGraphicFramePr>
                <a:graphicFrameLocks noChangeAspect="0"/>
              </wp:cNvGraphicFramePr>
              <a:graphic>
                <a:graphicData uri="http://schemas.microsoft.com/office/word/2010/wordprocessingShape">
                  <wps:wsp>
                    <wps:cNvSpPr/>
                    <wps:spPr>
                      <a:xfrm rot="0">
                        <a:off x="0" y="0"/>
                        <a:ext cx="57950" cy="139560"/>
                      </a:xfrm>
                      <a:prstGeom prst="rect"/>
                      <a:noFill/>
                      <a:ln w="6350" cmpd="sng" cap="flat">
                        <a:noFill/>
                        <a:prstDash val="solid"/>
                        <a:round/>
                      </a:ln>
                    </wps:spPr>
                    <wps:txbx id="5">
                      <w:txbxContent>
                        <w:p>
                          <w:pPr>
                            <w:pStyle w:val="16"/>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6 6" o:spid="_x0000_s6" filled="f" stroked="f" strokeweight="0.5pt" style="position:absolute;margin-left:0.0pt;margin-top:0.0pt;width:4.562999pt;height:10.988999pt;z-index:24;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16"/>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1272550B"/>
    <w:multiLevelType w:val="multilevel"/>
    <w:tmpl w:val="1272550B"/>
    <w:lvl w:ilvl="0">
      <w:start w:val="1"/>
      <w:numFmt w:val="japaneseCounting"/>
      <w:lvlRestart w:val="0"/>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13AEB8E8"/>
    <w:multiLevelType w:val="multilevel"/>
    <w:tmpl w:val="13AEB8E8"/>
    <w:lvl w:ilvl="0">
      <w:start w:val="2"/>
      <w:numFmt w:val="decimal"/>
      <w:lvlRestart w:val="0"/>
      <w:lvlText w:val="%1."/>
      <w:lvlJc w:val="left"/>
      <w:pPr>
        <w:ind w:left="0" w:hanging="0"/>
      </w:pPr>
      <w:rPr>
        <w:rFonts w:ascii="Times New Roman" w:hAnsi="Times New Roman" w:cs="Times New Roman" w:hint="default"/>
      </w:rPr>
    </w:lvl>
    <w:lvl w:ilvl="1">
      <w:start w:val="1"/>
      <w:numFmt w:val="decimal"/>
      <w:lvlText w:val="%2."/>
      <w:lvlJc w:val="left"/>
      <w:pPr>
        <w:ind w:left="1440" w:hanging="1440"/>
      </w:pPr>
    </w:lvl>
    <w:lvl w:ilvl="2">
      <w:start w:val="1"/>
      <w:numFmt w:val="decimal"/>
      <w:lvlText w:val="%3."/>
      <w:lvlJc w:val="left"/>
      <w:pPr>
        <w:ind w:left="2160" w:hanging="2160"/>
      </w:pPr>
    </w:lvl>
    <w:lvl w:ilvl="3">
      <w:start w:val="1"/>
      <w:numFmt w:val="decimal"/>
      <w:lvlText w:val="%4."/>
      <w:lvlJc w:val="left"/>
      <w:pPr>
        <w:ind w:left="2880" w:hanging="2880"/>
      </w:pPr>
    </w:lvl>
    <w:lvl w:ilvl="4">
      <w:start w:val="1"/>
      <w:numFmt w:val="decimal"/>
      <w:lvlText w:val="%5."/>
      <w:lvlJc w:val="left"/>
      <w:pPr>
        <w:ind w:left="3600" w:hanging="3600"/>
      </w:pPr>
    </w:lvl>
    <w:lvl w:ilvl="5">
      <w:start w:val="1"/>
      <w:numFmt w:val="decimal"/>
      <w:lvlText w:val="%6."/>
      <w:lvlJc w:val="left"/>
      <w:pPr>
        <w:ind w:left="4320" w:hanging="4320"/>
      </w:pPr>
    </w:lvl>
    <w:lvl w:ilvl="6">
      <w:start w:val="1"/>
      <w:numFmt w:val="decimal"/>
      <w:lvlText w:val="%7."/>
      <w:lvlJc w:val="left"/>
      <w:pPr>
        <w:ind w:left="5040" w:hanging="5040"/>
      </w:pPr>
    </w:lvl>
    <w:lvl w:ilvl="7">
      <w:start w:val="1"/>
      <w:numFmt w:val="decimal"/>
      <w:lvlText w:val="%8."/>
      <w:lvlJc w:val="left"/>
      <w:pPr>
        <w:ind w:left="5760" w:hanging="5760"/>
      </w:pPr>
    </w:lvl>
    <w:lvl w:ilvl="8">
      <w:start w:val="1"/>
      <w:numFmt w:val="decimal"/>
      <w:lvlText w:val="%9."/>
      <w:lvlJc w:val="left"/>
      <w:pPr>
        <w:ind w:left="6480" w:hanging="6480"/>
      </w:pPr>
    </w:lvl>
  </w:abstractNum>
  <w:abstractNum w:abstractNumId="2">
    <w:nsid w:val="F099A8BC"/>
    <w:multiLevelType w:val="multilevel"/>
    <w:tmpl w:val="F099A8BC"/>
    <w:lvl w:ilvl="0">
      <w:start w:val="2"/>
      <w:numFmt w:val="decimal"/>
      <w:lvlRestart w:val="0"/>
      <w:lvlText w:val="%1."/>
      <w:lvlJc w:val="left"/>
      <w:pPr>
        <w:ind w:left="0" w:hanging="0"/>
      </w:pPr>
      <w:rPr>
        <w:rFonts w:ascii="Times New Roman" w:hAnsi="Times New Roman" w:cs="Times New Roman" w:hint="default"/>
      </w:rPr>
    </w:lvl>
    <w:lvl w:ilvl="1">
      <w:start w:val="1"/>
      <w:numFmt w:val="decimal"/>
      <w:lvlText w:val="%2."/>
      <w:lvlJc w:val="left"/>
      <w:pPr>
        <w:ind w:left="1440" w:hanging="1440"/>
      </w:pPr>
    </w:lvl>
    <w:lvl w:ilvl="2">
      <w:start w:val="1"/>
      <w:numFmt w:val="decimal"/>
      <w:lvlText w:val="%3."/>
      <w:lvlJc w:val="left"/>
      <w:pPr>
        <w:ind w:left="2160" w:hanging="2160"/>
      </w:pPr>
    </w:lvl>
    <w:lvl w:ilvl="3">
      <w:start w:val="1"/>
      <w:numFmt w:val="decimal"/>
      <w:lvlText w:val="%4."/>
      <w:lvlJc w:val="left"/>
      <w:pPr>
        <w:ind w:left="2880" w:hanging="2880"/>
      </w:pPr>
    </w:lvl>
    <w:lvl w:ilvl="4">
      <w:start w:val="1"/>
      <w:numFmt w:val="decimal"/>
      <w:lvlText w:val="%5."/>
      <w:lvlJc w:val="left"/>
      <w:pPr>
        <w:ind w:left="3600" w:hanging="3600"/>
      </w:pPr>
    </w:lvl>
    <w:lvl w:ilvl="5">
      <w:start w:val="1"/>
      <w:numFmt w:val="decimal"/>
      <w:lvlText w:val="%6."/>
      <w:lvlJc w:val="left"/>
      <w:pPr>
        <w:ind w:left="4320" w:hanging="4320"/>
      </w:pPr>
    </w:lvl>
    <w:lvl w:ilvl="6">
      <w:start w:val="1"/>
      <w:numFmt w:val="decimal"/>
      <w:lvlText w:val="%7."/>
      <w:lvlJc w:val="left"/>
      <w:pPr>
        <w:ind w:left="5040" w:hanging="5040"/>
      </w:pPr>
    </w:lvl>
    <w:lvl w:ilvl="7">
      <w:start w:val="1"/>
      <w:numFmt w:val="decimal"/>
      <w:lvlText w:val="%8."/>
      <w:lvlJc w:val="left"/>
      <w:pPr>
        <w:ind w:left="5760" w:hanging="5760"/>
      </w:pPr>
    </w:lvl>
    <w:lvl w:ilvl="8">
      <w:start w:val="1"/>
      <w:numFmt w:val="decimal"/>
      <w:lvlText w:val="%9."/>
      <w:lvlJc w:val="left"/>
      <w:pPr>
        <w:ind w:left="6480" w:hanging="648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val="0"/>
  <w:bordersDoNotSurroundFooter w:val="0"/>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NjljZTdmYjNmMDhmMjdlY2MxNzgzZjBhNzlmZTgxYjI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libri Light" w:eastAsia="宋体" w:cs="Times New Roman" w:hAnsi="Calibri Light"/>
      <w:b/>
      <w:bCs/>
      <w:sz w:val="32"/>
      <w:szCs w:val="32"/>
    </w:rPr>
  </w:style>
  <w:style w:type="character" w:customStyle="1" w:styleId="2Char">
    <w:name w:val="heading 2 Char"/>
    <w:basedOn w:val="10"/>
    <w:link w:val="2"/>
    <w:rPr>
      <w:rFonts w:ascii="Calibri Light" w:eastAsia="宋体" w:cs="Times New Roman" w:hAnsi="Calibri Light"/>
      <w:b/>
      <w:bCs/>
      <w:kern w:val="2"/>
      <w:sz w:val="32"/>
      <w:szCs w:val="32"/>
      <w:lang w:val="en-US" w:eastAsia="zh-CN" w:bidi="ar-SA"/>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15">
    <w:name w:val="Body Text"/>
    <w:basedOn w:val="0"/>
    <w:autoRedefine/>
    <w:pPr>
      <w:spacing w:beforeLines="30" w:before="30"/>
    </w:pPr>
    <w:rPr>
      <w:rFonts w:ascii="仿宋_GB2312" w:eastAsia="仿宋_GB2312"/>
      <w:kern w:val="0"/>
      <w:sz w:val="30"/>
    </w:rPr>
  </w:style>
  <w:style w:type="paragraph" w:styleId="16">
    <w:name w:val="footer"/>
    <w:basedOn w:val="0"/>
    <w:autoRedefine/>
    <w:pPr>
      <w:tabs>
        <w:tab w:val="center" w:pos="4153"/>
        <w:tab w:val="right" w:pos="8306"/>
      </w:tabs>
      <w:snapToGrid w:val="0"/>
      <w:jc w:val="left"/>
    </w:pPr>
    <w:rPr>
      <w:rFonts w:ascii="Calibri" w:hAnsi="Calibri"/>
      <w:kern w:val="0"/>
      <w:sz w:val="18"/>
      <w:szCs w:val="18"/>
    </w:rPr>
  </w:style>
  <w:style w:type="paragraph" w:styleId="17">
    <w:name w:val="header"/>
    <w:basedOn w:val="0"/>
    <w:autoRedefine/>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8">
    <w:name w:val="toc 1"/>
    <w:basedOn w:val="0"/>
    <w:autoRedefine/>
    <w:next w:val="0"/>
    <w:pPr>
      <w:tabs>
        <w:tab w:val="right" w:leader="dot" w:pos="8296"/>
      </w:tabs>
      <w:spacing w:before="93"/>
      <w:jc w:val="center"/>
    </w:pPr>
    <w:rPr>
      <w:rFonts w:ascii="仿宋" w:eastAsia="仿宋"/>
      <w:sz w:val="28"/>
      <w:szCs w:val="28"/>
    </w:rPr>
  </w:style>
  <w:style w:type="paragraph" w:styleId="19">
    <w:name w:val="toc 2"/>
    <w:basedOn w:val="0"/>
    <w:next w:val="0"/>
    <w:pPr>
      <w:tabs>
        <w:tab w:val="right" w:leader="dot" w:pos="8296"/>
      </w:tabs>
      <w:ind w:leftChars="200" w:left="200"/>
    </w:pPr>
  </w:style>
  <w:style w:type="paragraph" w:styleId="20">
    <w:name w:val="Normal (Web)"/>
    <w:basedOn w:val="0"/>
    <w:pPr>
      <w:widowControl/>
      <w:spacing w:before="100" w:beforeAutospacing="1" w:after="100" w:afterAutospacing="1"/>
      <w:jc w:val="left"/>
    </w:pPr>
    <w:rPr>
      <w:rFonts w:ascii="宋体" w:cs="宋体"/>
      <w:kern w:val="0"/>
      <w:sz w:val="24"/>
    </w:rPr>
  </w:style>
  <w:style w:type="character" w:styleId="21">
    <w:name w:val="Strong"/>
    <w:basedOn w:val="10"/>
    <w:autoRedefine/>
    <w:rPr>
      <w:b/>
    </w:rPr>
  </w:style>
  <w:style w:type="paragraph" w:styleId="22">
    <w:name w:val="List Paragraph"/>
    <w:basedOn w:val="0"/>
    <w:pPr>
      <w:ind w:firstLineChars="200" w:firstLine="200"/>
    </w:pPr>
  </w:style>
  <w:style w:type="paragraph" w:customStyle="1" w:styleId="23">
    <w:name w:val="Default"/>
    <w:autoRedefine/>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24">
    <w:name w:val="列表段落1"/>
    <w:basedOn w:val="0"/>
    <w:autoRedefine/>
    <w:pPr>
      <w:ind w:firstLineChars="200" w:firstLine="200"/>
    </w:pPr>
  </w:style>
  <w:style w:type="paragraph" w:customStyle="1" w:styleId="25">
    <w:name w:val="标题 5（有编号）（绿盟科技）"/>
    <w:basedOn w:val="0"/>
    <w:pPr>
      <w:keepNext/>
      <w:keepLines/>
      <w:widowControl w:val="0"/>
      <w:suppressLineNumbers w:val="0"/>
      <w:spacing w:before="280" w:beforeAutospacing="0" w:after="156" w:afterAutospacing="0" w:line="377" w:lineRule="auto"/>
      <w:jc w:val="left"/>
      <w:outlineLvl w:val="4"/>
    </w:pPr>
    <w:rPr>
      <w:rFonts w:ascii="Arial" w:eastAsia="黑体" w:cs="Times New Roman" w:hAnsi="Arial"/>
      <w:b/>
      <w:kern w:val="2"/>
      <w:sz w:val="24"/>
      <w:szCs w:val="24"/>
      <w:lang w:val="en-US" w:eastAsia="zh-CN"/>
    </w:rPr>
  </w:style>
  <w:style w:type="character" w:customStyle="1" w:styleId="26">
    <w:name w:val="15"/>
    <w:basedOn w:val="10"/>
    <w:rPr>
      <w:rFonts w:ascii="Calibri" w:cs="Times New Roman" w:hAnsi="Calibri"/>
      <w:b/>
    </w:rPr>
  </w:style>
  <w:style w:type="character" w:customStyle="1" w:styleId="27">
    <w:name w:val="10"/>
    <w:basedOn w:val="10"/>
    <w:rPr>
      <w:rFonts w:ascii="Calibri" w:cs="Calibri" w:hAnsi="Calibri"/>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chart" Target="charts/chart3.xml"/><Relationship Id="rId8" Type="http://schemas.openxmlformats.org/officeDocument/2006/relationships/chart" Target="charts/chart4.xml"/><Relationship Id="rId9" Type="http://schemas.openxmlformats.org/officeDocument/2006/relationships/chart" Target="charts/chart5.xml"/><Relationship Id="rId10" Type="http://schemas.openxmlformats.org/officeDocument/2006/relationships/chart" Target="charts/chart6.xml"/><Relationship Id="rId11" Type="http://schemas.openxmlformats.org/officeDocument/2006/relationships/image" Target="media/14.jpeg"/><Relationship Id="rId12" Type="http://schemas.openxmlformats.org/officeDocument/2006/relationships/styles" Target="styles.xml"/><Relationship Id="rId13" Type="http://schemas.openxmlformats.org/officeDocument/2006/relationships/numbering" Target="numbering.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Arial"/>
              </a:defRPr>
            </a:pPr>
            <a:r>
              <a:rPr lang="zh-CN"/>
              <a:t>收入支出决算表</a:t>
            </a:r>
          </a:p>
        </c:rich>
      </c:tx>
      <c:layout/>
      <c:overlay val="0"/>
      <c:spPr>
        <a:noFill/>
        <a:ln>
          <a:noFill/>
        </a:ln>
      </c:spPr>
    </c:title>
    <c:autoTitleDeleted val="1"/>
    <c:plotArea>
      <c:layout/>
      <c:barChart>
        <c:barDir val="col"/>
        <c:grouping val="clustered"/>
        <c:varyColors val="0"/>
        <c:ser>
          <c:idx val="1"/>
          <c:order val="0"/>
          <c:tx>
            <c:strRef>
              <c:f>'Sheet1'!$B$1</c:f>
              <c:strCache>
                <c:ptCount val="1"/>
                <c:pt idx="0">
                  <c:v>系列 2</c:v>
                </c:pt>
              </c:strCache>
            </c:strRef>
          </c:tx>
          <c:spPr>
            <a:solidFill>
              <a:srgbClr val="EE822F"/>
            </a:solidFill>
            <a:ln>
              <a:noFill/>
            </a:ln>
          </c:spPr>
          <c:invertIfNegative val="0"/>
          <c:dPt>
            <c:idx val="1"/>
            <c:invertIfNegative val="0"/>
            <c:bubble3D val="0"/>
            <c:spPr>
              <a:solidFill>
                <a:srgbClr val="92D050"/>
              </a:solidFill>
              <a:ln>
                <a:noFill/>
              </a:ln>
            </c:spPr>
          </c:dPt>
          <c:dPt>
            <c:idx val="3"/>
            <c:invertIfNegative val="0"/>
            <c:bubble3D val="0"/>
            <c:spPr>
              <a:solidFill>
                <a:srgbClr val="92D050"/>
              </a:solidFill>
              <a:ln>
                <a:noFill/>
              </a:ln>
            </c:spPr>
          </c:dPt>
          <c:dLbls>
            <c:txPr>
              <a:bodyPr/>
              <a:lstStyle/>
              <a:p>
                <a:pPr>
                  <a:defRPr sz="1000" b="0" i="0" u="none" strike="noStrike" baseline="0">
                    <a:solidFill>
                      <a:srgbClr val="000000"/>
                    </a:solidFill>
                    <a:latin typeface="Times New Roman"/>
                    <a:ea typeface="宋体"/>
                    <a:cs typeface="Arial"/>
                  </a:defRPr>
                </a:pPr>
                <a:endParaRPr lang="zh-CN"/>
              </a:p>
            </c:txPr>
            <c:numFmt formatCode="General" sourceLinked="1"/>
            <c:showLegendKey val="0"/>
            <c:showVal val="0"/>
            <c:showCatName val="0"/>
            <c:showSerName val="0"/>
            <c:showPercent val="0"/>
            <c:showBubbleSize val="0"/>
            <c:showLeaderLines val="0"/>
          </c:dLbls>
          <c:cat>
            <c:strRef>
              <c:f>'Sheet1'!$A$2:$A$5</c:f>
              <c:strCache>
                <c:ptCount val="4"/>
                <c:pt idx="0">
                  <c:v>2025年收入</c:v>
                </c:pt>
                <c:pt idx="1">
                  <c:v>2024年收入</c:v>
                </c:pt>
                <c:pt idx="2">
                  <c:v>2025年支出</c:v>
                </c:pt>
                <c:pt idx="3">
                  <c:v>2024年支出</c:v>
                </c:pt>
              </c:strCache>
            </c:strRef>
          </c:cat>
          <c:val>
            <c:numRef>
              <c:f>'Sheet1'!$B$2:$B$5</c:f>
              <c:numCache>
                <c:formatCode>General</c:formatCode>
                <c:ptCount val="4"/>
                <c:pt idx="0">
                  <c:v>66.21</c:v>
                </c:pt>
                <c:pt idx="1">
                  <c:v>53.44</c:v>
                </c:pt>
                <c:pt idx="2">
                  <c:v>66.21</c:v>
                </c:pt>
                <c:pt idx="3">
                  <c:v>53.44</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17072"/>
          <c:y val="0.14826006"/>
          <c:w val="0.4143607"/>
          <c:h val="0.71035707"/>
        </c:manualLayout>
      </c:layout>
      <c:pieChart>
        <c:varyColors val="1"/>
        <c:ser>
          <c:idx val="0"/>
          <c:order val="0"/>
          <c:tx>
            <c:strRef>
              <c:f>'Sheet1 (2)'!$B$1</c:f>
              <c:strCache>
                <c:ptCount val="1"/>
                <c:pt idx="0">
                  <c:v>收入决算结构图</c:v>
                </c:pt>
              </c:strCache>
            </c:strRef>
          </c:tx>
          <c:spPr>
            <a:solidFill>
              <a:srgbClr val="4F81BD"/>
            </a:solidFill>
          </c:spPr>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Pt>
            <c:idx val="4"/>
            <c:bubble3D val="0"/>
            <c:spPr>
              <a:solidFill>
                <a:srgbClr val="4198AF"/>
              </a:solidFill>
            </c:spPr>
          </c:dPt>
          <c:dPt>
            <c:idx val="5"/>
            <c:bubble3D val="0"/>
            <c:spPr>
              <a:solidFill>
                <a:srgbClr val="DB843D"/>
              </a:solidFill>
            </c:spPr>
          </c:dPt>
          <c:dLbls>
            <c:spPr>
              <a:noFill/>
              <a:ln>
                <a:noFill/>
              </a:ln>
            </c:spPr>
            <c:txPr>
              <a:bodyPr vert="horz"/>
              <a:lstStyle/>
              <a:p>
                <a:pPr>
                  <a:defRPr sz="1000" b="0" i="0" u="none" strike="noStrike" baseline="0">
                    <a:solidFill>
                      <a:srgbClr val="000000"/>
                    </a:solidFill>
                    <a:latin typeface="Times New Roman"/>
                    <a:ea typeface="宋体"/>
                    <a:cs typeface="Arial"/>
                  </a:defRPr>
                </a:pPr>
                <a:endParaRPr lang="zh-CN"/>
              </a:p>
            </c:txPr>
            <c:numFmt formatCode="0.00%" sourceLinked="0"/>
            <c:showLegendKey val="0"/>
            <c:showVal val="1"/>
            <c:showCatName val="0"/>
            <c:showSerName val="0"/>
            <c:showPercent val="0"/>
            <c:showBubbleSize val="0"/>
            <c:showLeaderLines val="1"/>
          </c:dLbls>
          <c:cat>
            <c:strRef>
              <c:f>'Sheet1 (2)'!$A$2:$A$7</c:f>
              <c:strCache>
                <c:ptCount val="6"/>
                <c:pt idx="0">
                  <c:v>一般公共预算财政拨款收入</c:v>
                </c:pt>
                <c:pt idx="1">
                  <c:v>政府性基金预算财政拨款收入</c:v>
                </c:pt>
                <c:pt idx="2">
                  <c:v>国有资本经营预算财政拨款收入</c:v>
                </c:pt>
                <c:pt idx="3">
                  <c:v>事业收入</c:v>
                </c:pt>
                <c:pt idx="4">
                  <c:v>经营收入</c:v>
                </c:pt>
                <c:pt idx="5">
                  <c:v>其他收入</c:v>
                </c:pt>
              </c:strCache>
            </c:strRef>
          </c:cat>
          <c:val>
            <c:numRef>
              <c:f>'Sheet1 (2)'!$B$2:$B$7</c:f>
              <c:numCache>
                <c:formatCode>0.00%</c:formatCode>
                <c:ptCount val="6"/>
                <c:pt idx="0">
                  <c:v>1.0</c:v>
                </c:pt>
              </c:numCache>
            </c:numRef>
          </c:val>
        </c:ser>
        <c:firstSliceAng val="0"/>
      </c:pieChart>
      <c:spPr>
        <a:noFill/>
      </c:spPr>
    </c:plotArea>
    <c:legend>
      <c:legendPos val="r"/>
      <c:layout>
        <c:manualLayout>
          <c:xMode val="edge"/>
          <c:yMode val="edge"/>
          <c:x val="0.6439923"/>
          <c:y val="0.13642931"/>
        </c:manualLayout>
      </c:layout>
      <c:overlay val="0"/>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gap"/>
    <c:showDLblsOverMax val="0"/>
  </c:chart>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a:t>支出决算结构图</a:t>
            </a:r>
          </a:p>
        </c:rich>
      </c:tx>
      <c:layout/>
      <c:overlay val="0"/>
      <c:spPr>
        <a:ln>
          <a:noFill/>
        </a:ln>
      </c:spPr>
    </c:title>
    <c:autoTitleDeleted val="1"/>
    <c:plotArea>
      <c:layout>
        <c:manualLayout>
          <c:layoutTarget val="inner"/>
          <c:xMode val="edge"/>
          <c:yMode val="edge"/>
          <c:x val="0.22688659"/>
          <c:y val="0.22373994"/>
          <c:w val="0.39910427"/>
          <c:h val="0.68420225"/>
        </c:manualLayout>
      </c:layout>
      <c:pieChart>
        <c:varyColors val="1"/>
        <c:ser>
          <c:idx val="0"/>
          <c:order val="0"/>
          <c:tx>
            <c:strRef>
              <c:f>'Sheet1 (3)'!$B$1</c:f>
              <c:strCache>
                <c:ptCount val="1"/>
                <c:pt idx="0">
                  <c:v>支出决算结构图</c:v>
                </c:pt>
              </c:strCache>
            </c:strRef>
          </c:tx>
          <c:spPr>
            <a:solidFill>
              <a:srgbClr val="4F81BD"/>
            </a:solidFill>
            <a:ln>
              <a:noFill/>
            </a:ln>
          </c:spPr>
          <c:dPt>
            <c:idx val="0"/>
            <c:bubble3D val="0"/>
            <c:spPr>
              <a:solidFill>
                <a:srgbClr val="4F81BD"/>
              </a:solidFill>
              <a:ln>
                <a:noFill/>
              </a:ln>
            </c:spPr>
          </c:dPt>
          <c:dPt>
            <c:idx val="1"/>
            <c:bubble3D val="0"/>
            <c:spPr>
              <a:solidFill>
                <a:srgbClr val="C0504D"/>
              </a:solidFill>
              <a:ln>
                <a:noFill/>
              </a:ln>
            </c:spPr>
          </c:dPt>
          <c:dLbls>
            <c:spPr>
              <a:noFill/>
              <a:ln>
                <a:noFill/>
              </a:ln>
            </c:spPr>
            <c:txPr>
              <a:bodyPr vert="horz"/>
              <a:lstStyle/>
              <a:p>
                <a:pPr>
                  <a:defRPr sz="1000" b="0" i="0" u="none" strike="noStrike" baseline="0">
                    <a:solidFill>
                      <a:srgbClr val="000000"/>
                    </a:solidFill>
                    <a:latin typeface="Times New Roman"/>
                    <a:ea typeface="宋体"/>
                    <a:cs typeface="Arial"/>
                  </a:defRPr>
                </a:pPr>
                <a:endParaRPr lang="zh-CN"/>
              </a:p>
            </c:txPr>
            <c:numFmt formatCode="0.00%" sourceLinked="0"/>
            <c:showLegendKey val="0"/>
            <c:showVal val="1"/>
            <c:showCatName val="0"/>
            <c:showSerName val="0"/>
            <c:showPercent val="0"/>
            <c:showBubbleSize val="0"/>
            <c:showLeaderLines val="1"/>
          </c:dLbls>
          <c:cat>
            <c:strRef>
              <c:f>'Sheet1 (3)'!$A$2:$A$3</c:f>
              <c:strCache>
                <c:ptCount val="2"/>
                <c:pt idx="0">
                  <c:v>基本支出</c:v>
                </c:pt>
                <c:pt idx="1">
                  <c:v>项目支出</c:v>
                </c:pt>
              </c:strCache>
            </c:strRef>
          </c:cat>
          <c:val>
            <c:numRef>
              <c:f>'Sheet1 (3)'!$B$2:$B$3</c:f>
              <c:numCache>
                <c:formatCode>0.00%</c:formatCode>
                <c:ptCount val="2"/>
                <c:pt idx="0">
                  <c:v>1.0</c:v>
                </c:pt>
                <c:pt idx="1">
                  <c:v>0.0</c:v>
                </c:pt>
              </c:numCache>
            </c:numRef>
          </c:val>
        </c:ser>
        <c:firstSliceAng val="0"/>
      </c:pieChart>
      <c:spPr>
        <a:noFill/>
      </c:spPr>
    </c:plotArea>
    <c:legend>
      <c:legendPos val="r"/>
      <c:layout/>
      <c:overlay val="0"/>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gap"/>
    <c:showDLblsOverMax val="0"/>
  </c:chart>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a:t>收入支出变动情况图</a:t>
            </a:r>
          </a:p>
        </c:rich>
      </c:tx>
      <c:layout/>
      <c:overlay val="0"/>
      <c:spPr>
        <a:ln>
          <a:noFill/>
        </a:ln>
      </c:spPr>
    </c:title>
    <c:autoTitleDeleted val="1"/>
    <c:plotArea>
      <c:layout/>
      <c:barChart>
        <c:barDir val="col"/>
        <c:grouping val="clustered"/>
        <c:varyColors val="0"/>
        <c:ser>
          <c:idx val="0"/>
          <c:order val="0"/>
          <c:tx>
            <c:strRef>
              <c:f>'Sheet1 (4)'!$B$1</c:f>
              <c:strCache>
                <c:ptCount val="1"/>
                <c:pt idx="0">
                  <c:v>收入支出变动情况图</c:v>
                </c:pt>
              </c:strCache>
            </c:strRef>
          </c:tx>
          <c:spPr>
            <a:solidFill>
              <a:srgbClr val="4F81BD"/>
            </a:solidFill>
            <a:ln>
              <a:noFill/>
            </a:ln>
          </c:spPr>
          <c:invertIfNegative val="0"/>
          <c:dPt>
            <c:idx val="0"/>
            <c:invertIfNegative val="0"/>
            <c:bubble3D val="0"/>
            <c:spPr>
              <a:solidFill>
                <a:srgbClr val="92D050"/>
              </a:solidFill>
              <a:ln>
                <a:noFill/>
              </a:ln>
            </c:spPr>
          </c:dPt>
          <c:dPt>
            <c:idx val="2"/>
            <c:invertIfNegative val="0"/>
            <c:bubble3D val="0"/>
            <c:spPr>
              <a:solidFill>
                <a:srgbClr val="92D050"/>
              </a:solidFill>
              <a:ln>
                <a:noFill/>
              </a:ln>
            </c:spPr>
          </c:dPt>
          <c:dLbls>
            <c:spPr>
              <a:noFill/>
              <a:ln>
                <a:noFill/>
              </a:ln>
            </c:spPr>
            <c:txPr>
              <a:bodyPr vert="horz"/>
              <a:lstStyle/>
              <a:p>
                <a:pPr>
                  <a:defRPr sz="1000" b="0" i="0" u="none" strike="noStrike" baseline="0">
                    <a:solidFill>
                      <a:srgbClr val="00000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0"/>
          </c:dLbls>
          <c:cat>
            <c:strRef>
              <c:f>'Sheet1 (4)'!$A$2:$A$5</c:f>
              <c:strCache>
                <c:ptCount val="4"/>
                <c:pt idx="0">
                  <c:v>2022年收入</c:v>
                </c:pt>
                <c:pt idx="1">
                  <c:v>2023年收入</c:v>
                </c:pt>
                <c:pt idx="2">
                  <c:v>2022年支出</c:v>
                </c:pt>
                <c:pt idx="3">
                  <c:v>2023年支出</c:v>
                </c:pt>
              </c:strCache>
            </c:strRef>
          </c:cat>
          <c:val>
            <c:numRef>
              <c:f>'Sheet1 (4)'!$B$2:$B$5</c:f>
              <c:numCache>
                <c:formatCode>General</c:formatCode>
                <c:ptCount val="4"/>
                <c:pt idx="0">
                  <c:v>63.7</c:v>
                </c:pt>
                <c:pt idx="1">
                  <c:v>47.3</c:v>
                </c:pt>
                <c:pt idx="2">
                  <c:v>63.7</c:v>
                </c:pt>
                <c:pt idx="3">
                  <c:v>47.3</c:v>
                </c:pt>
              </c:numCache>
            </c:numRef>
          </c:val>
        </c:ser>
        <c:gapWidth val="150"/>
        <c:axId val="0"/>
        <c:axId val="1"/>
      </c:barChart>
      <c:catAx>
        <c:axId val="0"/>
        <c:scaling>
          <c:orientation val="minMax"/>
        </c:scaling>
        <c:delete val="0"/>
        <c:axPos val="b"/>
        <c:numFmt formatCode="General" sourceLinked="1"/>
        <c:majorTickMark val="out"/>
        <c:minorTickMark val="none"/>
        <c:tickLblPos val="nextTo"/>
        <c:txPr>
          <a:bodyPr/>
          <a:lstStyle/>
          <a:p>
            <a:pPr>
              <a:defRPr sz="1000" b="0" i="0" u="none" strike="noStrike" baseline="0">
                <a:solidFill>
                  <a:srgbClr val="000000"/>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numFmt formatCode="General" sourceLinked="1"/>
        <c:majorTickMark val="out"/>
        <c:minorTickMark val="none"/>
        <c:tickLblPos val="nextTo"/>
        <c:txPr>
          <a:bodyPr/>
          <a:lstStyle/>
          <a:p>
            <a:pPr>
              <a:defRPr sz="1000" b="0" i="0" u="none" strike="noStrike" baseline="0">
                <a:solidFill>
                  <a:srgbClr val="000000"/>
                </a:solidFill>
                <a:latin typeface="Times New Roman"/>
                <a:ea typeface="宋体"/>
                <a:cs typeface="Arial"/>
              </a:defRPr>
            </a:pPr>
            <a:endParaRPr lang="zh-CN"/>
          </a:p>
        </c:txPr>
        <c:crossesAt val="1.0"/>
        <c:crossBetween val="between"/>
        <c:crossAx val="0"/>
      </c:valAx>
      <c:spPr>
        <a:solidFill>
          <a:srgbClr val="FFFFFF"/>
        </a:solidFill>
      </c:spPr>
    </c:plotArea>
    <c:legend>
      <c:legendPos val="r"/>
      <c:layout/>
      <c:overlay val="0"/>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gap"/>
    <c:showDLblsOverMax val="0"/>
  </c:chart>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a:t>一般公共预算财政拨款支出决算变动情况图</a:t>
            </a:r>
          </a:p>
        </c:rich>
      </c:tx>
      <c:layout>
        <c:manualLayout>
          <c:xMode val="edge"/>
          <c:yMode val="edge"/>
          <c:x val="0.10751264"/>
          <c:y val="0.070381835"/>
        </c:manualLayout>
      </c:layout>
      <c:overlay val="0"/>
      <c:spPr>
        <a:ln>
          <a:noFill/>
        </a:ln>
      </c:spPr>
    </c:title>
    <c:autoTitleDeleted val="1"/>
    <c:plotArea>
      <c:layout>
        <c:manualLayout>
          <c:layoutTarget val="inner"/>
          <c:xMode val="edge"/>
          <c:yMode val="edge"/>
          <c:x val="0.05947508"/>
          <c:y val="0.30546954"/>
          <c:w val="0.54827833"/>
          <c:h val="0.6255934"/>
        </c:manualLayout>
      </c:layout>
      <c:barChart>
        <c:barDir val="col"/>
        <c:grouping val="stacked"/>
        <c:varyColors val="0"/>
        <c:ser>
          <c:idx val="0"/>
          <c:order val="0"/>
          <c:tx>
            <c:strRef>
              <c:f>'Sheet1 (5)'!$B$1</c:f>
              <c:strCache>
                <c:ptCount val="1"/>
                <c:pt idx="0">
                  <c:v>一般公共预算财政拨款支出决算变动情况图</c:v>
                </c:pt>
              </c:strCache>
            </c:strRef>
          </c:tx>
          <c:spPr>
            <a:solidFill>
              <a:srgbClr val="4F81BD"/>
            </a:solidFill>
            <a:ln>
              <a:noFill/>
            </a:ln>
          </c:spPr>
          <c:invertIfNegative val="0"/>
          <c:dPt>
            <c:idx val="0"/>
            <c:invertIfNegative val="0"/>
            <c:bubble3D val="0"/>
            <c:spPr>
              <a:solidFill>
                <a:srgbClr val="92D050"/>
              </a:solidFill>
              <a:ln>
                <a:noFill/>
              </a:ln>
            </c:spPr>
          </c:dPt>
          <c:dLbls>
            <c:spPr>
              <a:noFill/>
              <a:ln>
                <a:noFill/>
              </a:ln>
            </c:spPr>
            <c:txPr>
              <a:bodyPr vert="horz"/>
              <a:lstStyle/>
              <a:p>
                <a:pPr>
                  <a:defRPr sz="1000" b="0" i="0" u="none" strike="noStrike" baseline="0">
                    <a:solidFill>
                      <a:srgbClr val="000000"/>
                    </a:solidFill>
                    <a:latin typeface="Times New Roman"/>
                    <a:ea typeface="宋体"/>
                    <a:cs typeface="Arial"/>
                  </a:defRPr>
                </a:pPr>
                <a:endParaRPr lang="zh-CN"/>
              </a:p>
            </c:txPr>
            <c:numFmt formatCode="General" sourceLinked="1"/>
            <c:dLblPos val="ctr"/>
            <c:showLegendKey val="0"/>
            <c:showVal val="1"/>
            <c:showCatName val="0"/>
            <c:showSerName val="0"/>
            <c:showPercent val="0"/>
            <c:showBubbleSize val="0"/>
            <c:showLeaderLines val="0"/>
          </c:dLbls>
          <c:cat>
            <c:strRef>
              <c:f>'Sheet1 (5)'!$A$2:$A$3</c:f>
              <c:strCache>
                <c:ptCount val="2"/>
                <c:pt idx="0">
                  <c:v>2024年支出决算</c:v>
                </c:pt>
                <c:pt idx="1">
                  <c:v>2025年支出决算</c:v>
                </c:pt>
              </c:strCache>
            </c:strRef>
          </c:cat>
          <c:val>
            <c:numRef>
              <c:f>'Sheet1 (5)'!$B$2:$B$3</c:f>
              <c:numCache>
                <c:formatCode>General</c:formatCode>
                <c:ptCount val="2"/>
                <c:pt idx="0">
                  <c:v>55.34</c:v>
                </c:pt>
                <c:pt idx="1">
                  <c:v>66.21</c:v>
                </c:pt>
              </c:numCache>
            </c:numRef>
          </c:val>
        </c:ser>
        <c:overlap val="100"/>
        <c:gapWidth val="150"/>
        <c:axId val="0"/>
        <c:axId val="1"/>
      </c:barChart>
      <c:catAx>
        <c:axId val="0"/>
        <c:scaling>
          <c:orientation val="minMax"/>
        </c:scaling>
        <c:delete val="0"/>
        <c:axPos val="b"/>
        <c:numFmt formatCode="General" sourceLinked="1"/>
        <c:majorTickMark val="out"/>
        <c:minorTickMark val="none"/>
        <c:tickLblPos val="nextTo"/>
        <c:txPr>
          <a:bodyPr/>
          <a:lstStyle/>
          <a:p>
            <a:pPr>
              <a:defRPr sz="1000" b="0" i="0" u="none" strike="noStrike" baseline="0">
                <a:solidFill>
                  <a:srgbClr val="000000"/>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numFmt formatCode="General" sourceLinked="1"/>
        <c:majorTickMark val="out"/>
        <c:minorTickMark val="none"/>
        <c:tickLblPos val="nextTo"/>
        <c:txPr>
          <a:bodyPr/>
          <a:lstStyle/>
          <a:p>
            <a:pPr>
              <a:defRPr sz="1000" b="0" i="0" u="none" strike="noStrike" baseline="0">
                <a:solidFill>
                  <a:srgbClr val="000000"/>
                </a:solidFill>
                <a:latin typeface="Times New Roman"/>
                <a:ea typeface="宋体"/>
                <a:cs typeface="Arial"/>
              </a:defRPr>
            </a:pPr>
            <a:endParaRPr lang="zh-CN"/>
          </a:p>
        </c:txPr>
        <c:crossesAt val="1.0"/>
        <c:crossBetween val="between"/>
        <c:crossAx val="0"/>
      </c:valAx>
      <c:spPr>
        <a:solidFill>
          <a:srgbClr val="FFFFFF"/>
        </a:solidFill>
      </c:spPr>
    </c:plotArea>
    <c:legend>
      <c:legendPos val="r"/>
      <c:layout/>
      <c:overlay val="0"/>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gap"/>
    <c:showDLblsOverMax val="0"/>
  </c:chart>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a:t>一般公共预算财政拨款支出结构图</a:t>
            </a:r>
          </a:p>
        </c:rich>
      </c:tx>
      <c:layout/>
      <c:overlay val="0"/>
      <c:spPr>
        <a:ln>
          <a:noFill/>
        </a:ln>
      </c:spPr>
    </c:title>
    <c:autoTitleDeleted val="0"/>
    <c:plotArea>
      <c:layout/>
      <c:pieChart>
        <c:varyColors val="1"/>
        <c:ser>
          <c:idx val="0"/>
          <c:order val="0"/>
          <c:tx>
            <c:strRef>
              <c:f>'Sheet1 (6)'!$B$1</c:f>
              <c:strCache>
                <c:ptCount val="1"/>
                <c:pt idx="0">
                  <c:v>一般公共预算财政拨款支出结构图</c:v>
                </c:pt>
              </c:strCache>
            </c:strRef>
          </c:tx>
          <c:spPr>
            <a:ln>
              <a:noFill/>
            </a:ln>
          </c:spPr>
          <c:dPt>
            <c:idx val="0"/>
            <c:bubble3D val="0"/>
            <c:spPr>
              <a:solidFill>
                <a:srgbClr val="4F81BD"/>
              </a:solidFill>
              <a:ln>
                <a:noFill/>
              </a:ln>
            </c:spPr>
          </c:dPt>
          <c:dPt>
            <c:idx val="1"/>
            <c:bubble3D val="0"/>
            <c:spPr>
              <a:solidFill>
                <a:srgbClr val="C0504D"/>
              </a:solidFill>
              <a:ln>
                <a:noFill/>
              </a:ln>
            </c:spPr>
          </c:dPt>
          <c:dPt>
            <c:idx val="2"/>
            <c:bubble3D val="0"/>
            <c:spPr>
              <a:solidFill>
                <a:srgbClr val="9BBB59"/>
              </a:solidFill>
              <a:ln>
                <a:noFill/>
              </a:ln>
            </c:spPr>
          </c:dPt>
          <c:dPt>
            <c:idx val="3"/>
            <c:bubble3D val="0"/>
            <c:spPr>
              <a:solidFill>
                <a:srgbClr val="8064A2"/>
              </a:solidFill>
              <a:ln>
                <a:noFill/>
              </a:ln>
            </c:spPr>
          </c:dPt>
          <c:dPt>
            <c:idx val="4"/>
            <c:bubble3D val="0"/>
            <c:spPr>
              <a:solidFill>
                <a:srgbClr val="4874CB"/>
              </a:solidFill>
              <a:ln>
                <a:noFill/>
              </a:ln>
            </c:spPr>
          </c:dPt>
          <c:dLbls>
            <c:spPr>
              <a:noFill/>
              <a:ln>
                <a:noFill/>
              </a:ln>
            </c:spPr>
            <c:txPr>
              <a:bodyPr vert="horz"/>
              <a:lstStyle/>
              <a:p>
                <a:pPr>
                  <a:defRPr sz="1000" b="0" i="0" u="none" strike="noStrike" baseline="0">
                    <a:solidFill>
                      <a:srgbClr val="000000"/>
                    </a:solidFill>
                    <a:latin typeface="Times New Roman"/>
                    <a:ea typeface="宋体"/>
                    <a:cs typeface="Arial"/>
                  </a:defRPr>
                </a:pPr>
                <a:endParaRPr lang="zh-CN"/>
              </a:p>
            </c:txPr>
            <c:numFmt formatCode="0.00%" sourceLinked="1"/>
            <c:showLegendKey val="0"/>
            <c:showVal val="1"/>
            <c:showCatName val="0"/>
            <c:showSerName val="0"/>
            <c:showPercent val="0"/>
            <c:showBubbleSize val="0"/>
            <c:showLeaderLines val="1"/>
          </c:dLbls>
          <c:cat>
            <c:strRef>
              <c:f>'Sheet1 (6)'!$A$2:$A$6</c:f>
              <c:strCache>
                <c:ptCount val="5"/>
                <c:pt idx="0">
                  <c:v>一般公共服务支出</c:v>
                </c:pt>
                <c:pt idx="1">
                  <c:v>社会保障和就业支出</c:v>
                </c:pt>
                <c:pt idx="2">
                  <c:v>卫生健康支出</c:v>
                </c:pt>
                <c:pt idx="3">
                  <c:v>住房保障支出</c:v>
                </c:pt>
              </c:strCache>
            </c:strRef>
          </c:cat>
          <c:val>
            <c:numRef>
              <c:f>'Sheet1 (6)'!$B$2:$B$6</c:f>
              <c:numCache>
                <c:formatCode>0.00%</c:formatCode>
                <c:ptCount val="5"/>
                <c:pt idx="0">
                  <c:v>0.7684639782510196</c:v>
                </c:pt>
                <c:pt idx="1">
                  <c:v>0.11297387101646279</c:v>
                </c:pt>
                <c:pt idx="2">
                  <c:v>0.05150279413985803</c:v>
                </c:pt>
                <c:pt idx="3">
                  <c:v>0.06705935659265973</c:v>
                </c:pt>
              </c:numCache>
            </c:numRef>
          </c:val>
        </c:ser>
        <c:firstSliceAng val="0"/>
      </c:pieChart>
      <c:spPr>
        <a:noFill/>
      </c:spPr>
    </c:plotArea>
    <c:legend>
      <c:legendPos val="r"/>
      <c:layout/>
      <c:overlay val="0"/>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Entry>
        <c:idx val="4"/>
        <c:delete val="1"/>
      </c:legendEntry>
    </c:legend>
    <c:plotVisOnly val="1"/>
    <c:dispBlanksAs val="gap"/>
    <c:showDLblsOverMax val="0"/>
  </c:chart>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1</TotalTime>
  <Application>Yozo_Office27021597764231179</Application>
  <Pages>24</Pages>
  <Words>7925</Words>
  <Characters>8528</Characters>
  <Lines>462</Lines>
  <Paragraphs>208</Paragraphs>
  <CharactersWithSpaces>8613</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Y–Queen</dc:creator>
  <cp:lastModifiedBy>Administrator</cp:lastModifiedBy>
  <cp:revision>1</cp:revision>
  <cp:lastPrinted>2026-10-10T02:45:00Z</cp:lastPrinted>
  <dcterms:created xsi:type="dcterms:W3CDTF">2024-10-24T07:09:00Z</dcterms:created>
  <dcterms:modified xsi:type="dcterms:W3CDTF">2026-10-22T07:44:44Z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A47AD8107BBF47259DAE23BD986134B6_11</vt:lpwstr>
  </property>
  <property fmtid="{D5CDD505-2E9C-101B-9397-08002B2CF9AE}" pid="4" name="KSOTemplateDocerSaveRecord">
    <vt:lpwstr>eyJoZGlkIjoiZGFlMmNkOGM3YTI5Yzc0M2NlYzcyNzk2ZjRkYmQ4ZjYiLCJ1c2VySWQiOiIxOTQ2MTY4NTAifQ==</vt:lpwstr>
  </property>
</Properties>
</file>