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spacing w:line="600" w:lineRule="exact"/>
        <w:jc w:val="left"/>
        <w:rPr>
          <w:rFonts w:ascii="仿宋" w:eastAsia="仿宋" w:cs="仿宋" w:hint="eastAsia"/>
          <w:sz w:val="32"/>
          <w:szCs w:val="32"/>
        </w:rPr>
      </w:pPr>
      <w:bookmarkStart w:id="0" w:name="_Toc15306267"/>
      <w:bookmarkStart w:id="1" w:name="_GoBack"/>
      <w:bookmarkEnd w:id="1"/>
    </w:p>
    <w:p>
      <w:pPr>
        <w:spacing w:line="600" w:lineRule="exact"/>
        <w:jc w:val="center"/>
        <w:rPr>
          <w:rFonts w:ascii="仿宋" w:eastAsia="仿宋" w:cs="仿宋" w:hint="eastAsia"/>
          <w:sz w:val="32"/>
          <w:szCs w:val="32"/>
        </w:rPr>
      </w:pPr>
    </w:p>
    <w:p>
      <w:pPr>
        <w:spacing w:line="600" w:lineRule="exact"/>
        <w:jc w:val="center"/>
        <w:rPr>
          <w:rFonts w:ascii="仿宋" w:eastAsia="仿宋" w:cs="仿宋" w:hint="eastAsia"/>
          <w:sz w:val="32"/>
          <w:szCs w:val="32"/>
        </w:rPr>
      </w:pPr>
      <w:bookmarkEnd w:id="0"/>
    </w:p>
    <w:p>
      <w:pPr>
        <w:jc w:val="center"/>
        <w:rPr>
          <w:rFonts w:ascii="方正小标宋简体" w:eastAsia="方正小标宋简体" w:cs="方正小标宋简体"/>
          <w:sz w:val="72"/>
          <w:szCs w:val="72"/>
        </w:rPr>
      </w:pPr>
      <w:bookmarkStart w:id="2" w:name="_Toc23566"/>
      <w:bookmarkStart w:id="3" w:name="_Toc15396597"/>
      <w:bookmarkStart w:id="4" w:name="_Toc25117"/>
      <w:bookmarkStart w:id="5" w:name="_Toc15378441"/>
      <w:bookmarkStart w:id="6" w:name="_Toc15377193"/>
      <w:bookmarkStart w:id="7" w:name="_Toc15377425"/>
      <w:bookmarkStart w:id="8" w:name="_Toc15396475"/>
      <w:bookmarkStart w:id="9" w:name="_Toc15377194"/>
      <w:bookmarkStart w:id="10" w:name="_Toc15306268"/>
      <w:bookmarkStart w:id="11" w:name="_Toc15377426"/>
      <w:bookmarkStart w:id="12" w:name="_Toc15396476"/>
      <w:bookmarkStart w:id="13" w:name="_Toc15378442"/>
      <w:bookmarkStart w:id="14" w:name="_Toc15396598"/>
      <w:r>
        <w:rPr>
          <w:rFonts w:ascii="方正小标宋简体" w:eastAsia="方正小标宋简体" w:cs="方正小标宋简体" w:hint="eastAsia"/>
          <w:sz w:val="72"/>
          <w:szCs w:val="72"/>
        </w:rPr>
        <w:t>2025年度</w:t>
      </w:r>
      <w:bookmarkEnd w:id="2"/>
      <w:bookmarkEnd w:id="3"/>
      <w:bookmarkEnd w:id="4"/>
      <w:bookmarkEnd w:id="5"/>
      <w:bookmarkEnd w:id="6"/>
      <w:bookmarkEnd w:id="7"/>
      <w:bookmarkEnd w:id="8"/>
    </w:p>
    <w:p>
      <w:pPr>
        <w:autoSpaceDE w:val="0"/>
        <w:autoSpaceDN w:val="0"/>
        <w:adjustRightInd w:val="0"/>
        <w:ind w:leftChars="200" w:left="420"/>
        <w:jc w:val="center"/>
        <w:rPr>
          <w:rFonts w:ascii="仿宋" w:eastAsia="仿宋" w:cs="仿宋" w:hint="eastAsia"/>
          <w:sz w:val="72"/>
          <w:szCs w:val="72"/>
        </w:rPr>
      </w:pPr>
      <w:bookmarkStart w:id="15" w:name="_Toc11285"/>
      <w:bookmarkStart w:id="16" w:name="_Toc11009"/>
      <w:bookmarkStart w:id="17" w:name="_Toc28568"/>
      <w:bookmarkStart w:id="18" w:name="_Toc5756"/>
      <w:r>
        <w:rPr>
          <w:rFonts w:ascii="方正小标宋简体" w:eastAsia="方正小标宋简体" w:cs="方正小标宋简体" w:hint="eastAsia"/>
          <w:sz w:val="72"/>
          <w:szCs w:val="72"/>
        </w:rPr>
        <w:t>四川省阿坝州汶川县</w:t>
      </w:r>
      <w:bookmarkStart w:id="19" w:name="_Toc22241"/>
      <w:bookmarkStart w:id="20" w:name="_Toc485"/>
      <w:bookmarkEnd w:id="15"/>
      <w:bookmarkEnd w:id="16"/>
      <w:bookmarkEnd w:id="17"/>
      <w:bookmarkEnd w:id="18"/>
      <w:r>
        <w:rPr>
          <w:rFonts w:ascii="方正小标宋简体" w:eastAsia="方正小标宋简体" w:cs="方正小标宋简体" w:hint="eastAsia"/>
          <w:sz w:val="72"/>
          <w:szCs w:val="72"/>
        </w:rPr>
        <w:t>漩口小学校</w:t>
      </w:r>
      <w:bookmarkEnd w:id="9"/>
      <w:bookmarkEnd w:id="10"/>
      <w:bookmarkEnd w:id="11"/>
      <w:bookmarkEnd w:id="12"/>
      <w:bookmarkEnd w:id="13"/>
      <w:bookmarkEnd w:id="14"/>
      <w:r>
        <w:rPr>
          <w:rFonts w:ascii="方正小标宋简体" w:eastAsia="方正小标宋简体" w:cs="方正小标宋简体" w:hint="eastAsia"/>
          <w:sz w:val="72"/>
          <w:szCs w:val="72"/>
        </w:rPr>
        <w:t>单位决算</w:t>
      </w:r>
      <w:bookmarkEnd w:id="19"/>
      <w:bookmarkEnd w:id="20"/>
    </w:p>
    <w:p>
      <w:pPr>
        <w:autoSpaceDE w:val="0"/>
        <w:autoSpaceDN w:val="0"/>
        <w:adjustRightInd w:val="0"/>
        <w:ind w:leftChars="200" w:left="420"/>
        <w:jc w:val="center"/>
        <w:rPr>
          <w:rFonts w:ascii="仿宋" w:eastAsia="仿宋" w:cs="仿宋" w:hint="eastAsia"/>
          <w:sz w:val="32"/>
          <w:szCs w:val="32"/>
        </w:rPr>
      </w:pPr>
    </w:p>
    <w:p>
      <w:pPr>
        <w:autoSpaceDE w:val="0"/>
        <w:autoSpaceDN w:val="0"/>
        <w:adjustRightInd w:val="0"/>
        <w:ind w:leftChars="200" w:left="420"/>
        <w:jc w:val="center"/>
        <w:rPr>
          <w:rFonts w:ascii="仿宋" w:eastAsia="仿宋" w:cs="仿宋" w:hint="eastAsia"/>
          <w:sz w:val="32"/>
          <w:szCs w:val="32"/>
        </w:rPr>
      </w:pPr>
    </w:p>
    <w:p>
      <w:pPr>
        <w:autoSpaceDE w:val="0"/>
        <w:autoSpaceDN w:val="0"/>
        <w:adjustRightInd w:val="0"/>
        <w:ind w:leftChars="200" w:left="420"/>
        <w:jc w:val="left"/>
        <w:rPr>
          <w:rFonts w:ascii="仿宋" w:eastAsia="仿宋" w:cs="仿宋" w:hint="eastAsia"/>
          <w:sz w:val="32"/>
          <w:szCs w:val="32"/>
        </w:rPr>
      </w:pPr>
    </w:p>
    <w:p>
      <w:pPr>
        <w:autoSpaceDE w:val="0"/>
        <w:autoSpaceDN w:val="0"/>
        <w:adjustRightInd w:val="0"/>
        <w:ind w:leftChars="200" w:left="420"/>
        <w:jc w:val="left"/>
        <w:rPr>
          <w:rFonts w:ascii="仿宋" w:eastAsia="仿宋" w:cs="仿宋" w:hint="eastAsia"/>
          <w:sz w:val="32"/>
          <w:szCs w:val="32"/>
        </w:rPr>
      </w:pPr>
    </w:p>
    <w:p>
      <w:pPr>
        <w:autoSpaceDE w:val="0"/>
        <w:autoSpaceDN w:val="0"/>
        <w:adjustRightInd w:val="0"/>
        <w:ind w:leftChars="200" w:left="420"/>
        <w:jc w:val="left"/>
        <w:rPr>
          <w:rFonts w:ascii="仿宋" w:eastAsia="仿宋" w:cs="仿宋" w:hint="eastAsia"/>
          <w:sz w:val="32"/>
          <w:szCs w:val="32"/>
        </w:rPr>
      </w:pPr>
    </w:p>
    <w:p>
      <w:pPr>
        <w:autoSpaceDE w:val="0"/>
        <w:autoSpaceDN w:val="0"/>
        <w:adjustRightInd w:val="0"/>
        <w:ind w:leftChars="200" w:left="420"/>
        <w:jc w:val="left"/>
        <w:rPr>
          <w:rFonts w:ascii="仿宋" w:eastAsia="仿宋" w:cs="仿宋" w:hint="eastAsia"/>
          <w:sz w:val="32"/>
          <w:szCs w:val="32"/>
        </w:rPr>
      </w:pPr>
    </w:p>
    <w:p>
      <w:pPr>
        <w:autoSpaceDE w:val="0"/>
        <w:autoSpaceDN w:val="0"/>
        <w:adjustRightInd w:val="0"/>
        <w:ind w:leftChars="200" w:left="420"/>
        <w:jc w:val="left"/>
        <w:rPr>
          <w:rFonts w:ascii="仿宋" w:eastAsia="仿宋" w:cs="仿宋" w:hint="eastAsia"/>
          <w:sz w:val="32"/>
          <w:szCs w:val="32"/>
        </w:rPr>
      </w:pPr>
    </w:p>
    <w:p>
      <w:pPr>
        <w:autoSpaceDE w:val="0"/>
        <w:autoSpaceDN w:val="0"/>
        <w:adjustRightInd w:val="0"/>
        <w:ind w:leftChars="200" w:left="420"/>
        <w:jc w:val="left"/>
        <w:rPr>
          <w:rFonts w:ascii="仿宋" w:eastAsia="仿宋" w:cs="仿宋" w:hint="eastAsia"/>
          <w:sz w:val="32"/>
          <w:szCs w:val="32"/>
        </w:rPr>
      </w:pPr>
    </w:p>
    <w:p>
      <w:pPr>
        <w:autoSpaceDE w:val="0"/>
        <w:autoSpaceDN w:val="0"/>
        <w:adjustRightInd w:val="0"/>
        <w:ind w:leftChars="200" w:left="420"/>
        <w:jc w:val="left"/>
        <w:rPr>
          <w:rFonts w:ascii="宋体" w:cs="仿宋_GB2312"/>
          <w:sz w:val="32"/>
          <w:szCs w:val="32"/>
        </w:rPr>
      </w:pPr>
    </w:p>
    <w:p>
      <w:pPr>
        <w:autoSpaceDE w:val="0"/>
        <w:autoSpaceDN w:val="0"/>
        <w:adjustRightInd w:val="0"/>
        <w:ind w:leftChars="200" w:left="420"/>
        <w:jc w:val="left"/>
        <w:rPr>
          <w:rFonts w:ascii="宋体" w:cs="仿宋_GB2312"/>
          <w:sz w:val="32"/>
          <w:szCs w:val="32"/>
        </w:rPr>
      </w:pPr>
    </w:p>
    <w:p>
      <w:pPr>
        <w:autoSpaceDE w:val="0"/>
        <w:autoSpaceDN w:val="0"/>
        <w:adjustRightInd w:val="0"/>
        <w:jc w:val="left"/>
        <w:rPr>
          <w:rFonts w:ascii="宋体" w:cs="仿宋_GB2312"/>
          <w:sz w:val="32"/>
          <w:szCs w:val="32"/>
        </w:rPr>
      </w:pPr>
    </w:p>
    <w:p>
      <w:pPr>
        <w:autoSpaceDE w:val="0"/>
        <w:autoSpaceDN w:val="0"/>
        <w:adjustRightInd w:val="0"/>
        <w:ind w:leftChars="200" w:left="420"/>
        <w:jc w:val="left"/>
        <w:rPr>
          <w:rFonts w:ascii="宋体"/>
          <w:sz w:val="32"/>
          <w:szCs w:val="32"/>
        </w:rPr>
      </w:pPr>
      <w:r>
        <w:rPr>
          <w:rFonts w:ascii="宋体" w:cs="仿宋_GB2312" w:hint="eastAsia"/>
          <w:sz w:val="32"/>
          <w:szCs w:val="32"/>
        </w:rPr>
        <w:t>保密审查情况：已审查，内容审定</w:t>
      </w:r>
    </w:p>
    <w:p>
      <w:pPr>
        <w:autoSpaceDE w:val="0"/>
        <w:autoSpaceDN w:val="0"/>
        <w:adjustRightInd w:val="0"/>
        <w:ind w:leftChars="200" w:left="420"/>
        <w:jc w:val="left"/>
        <w:rPr>
          <w:rFonts w:ascii="宋体"/>
          <w:sz w:val="32"/>
          <w:szCs w:val="32"/>
        </w:rPr>
      </w:pPr>
      <w:r>
        <w:rPr>
          <w:rFonts w:ascii="宋体" w:cs="仿宋_GB2312" w:hint="eastAsia"/>
          <w:sz w:val="32"/>
          <w:szCs w:val="32"/>
        </w:rPr>
        <w:t>部门主要负责人审签情况：已审签，同意对外公开</w:t>
      </w:r>
    </w:p>
    <w:p>
      <w:pPr>
        <w:widowControl/>
        <w:jc w:val="center"/>
        <w:rPr>
          <w:rFonts w:ascii="黑体" w:eastAsia="黑体"/>
          <w:sz w:val="44"/>
          <w:szCs w:val="44"/>
        </w:rPr>
        <w:sectPr>
          <w:headerReference w:type="default" r:id="rId2"/>
          <w:footerReference w:type="default" r:id="rId3"/>
          <w:pgSz w:w="11906" w:h="16838"/>
          <w:pgMar w:top="1440" w:right="1800" w:bottom="1440" w:left="1800" w:header="851" w:footer="992" w:gutter="0"/>
          <w:titlePg/>
          <w:docGrid w:type="lines" w:linePitch="312" w:charSpace="0"/>
        </w:sectPr>
      </w:pPr>
    </w:p>
    <w:p>
      <w:pPr>
        <w:tabs>
          <w:tab w:val="left" w:pos="3849"/>
          <w:tab w:val="center" w:pos="4482"/>
        </w:tabs>
        <w:spacing w:line="600" w:lineRule="exact"/>
        <w:jc w:val="center"/>
        <w:rPr>
          <w:rFonts w:ascii="黑体" w:eastAsia="黑体" w:cs="黑体" w:hint="eastAsia"/>
          <w:sz w:val="44"/>
          <w:szCs w:val="44"/>
        </w:rPr>
      </w:pPr>
      <w:r>
        <w:rPr>
          <w:rFonts w:ascii="黑体" w:eastAsia="黑体" w:cs="黑体" w:hint="eastAsia"/>
          <w:sz w:val="44"/>
          <w:szCs w:val="44"/>
        </w:rPr>
        <w:t>目录</w:t>
      </w:r>
    </w:p>
    <w:p>
      <w:pPr>
        <w:widowControl/>
        <w:jc w:val="center"/>
        <w:rPr>
          <w:rFonts w:ascii="仿宋" w:eastAsia="仿宋" w:cs="仿宋" w:hint="eastAsia"/>
          <w:sz w:val="32"/>
          <w:szCs w:val="32"/>
        </w:rPr>
      </w:pPr>
    </w:p>
    <w:p>
      <w:pPr>
        <w:pStyle w:val="25"/>
        <w:tabs>
          <w:tab w:val="right" w:leader="dot" w:pos="8296"/>
        </w:tabs>
        <w:rPr>
          <w:rFonts w:cs="仿宋" w:hint="eastAsia"/>
          <w:kern w:val="0"/>
          <w:sz w:val="32"/>
          <w:szCs w:val="32"/>
        </w:rPr>
      </w:pPr>
      <w:r>
        <w:rPr>
          <w:rFonts w:cs="仿宋" w:hint="eastAsia"/>
          <w:kern w:val="0"/>
          <w:sz w:val="32"/>
          <w:szCs w:val="32"/>
        </w:rPr>
        <w:t>公开时间：2026年 10月8日</w:t>
      </w:r>
    </w:p>
    <w:sdt>
      <w:sdtPr>
        <w:rPr>
          <w:rFonts w:ascii="宋体" w:hAnsi="宋体"/>
        </w:rPr>
        <w:id w:val="270738710"/>
        <w:docPartObj>
          <w:docPartGallery w:val="Table of Contents"/>
          <w:docPartUnique/>
        </w:docPartObj>
      </w:sdtPr>
      <w:sdtEndPr>
        <w:rPr>
          <w:rFonts w:ascii="Times New Roman" w:hAnsi="Times New Roman" w:hint="eastAsia"/>
        </w:rPr>
      </w:sdtEndPr>
      <w:sdtContent>
        <w:p>
          <w:pPr>
            <w:jc w:val="center"/>
          </w:pPr>
          <w:r>
            <w:rPr>
              <w:rFonts w:hint="eastAsia"/>
            </w:rPr>
            <w:fldChar w:fldCharType="begin"/>
          </w:r>
          <w:r>
            <w:rPr>
              <w:rFonts w:hint="eastAsia"/>
            </w:rPr>
            <w:instrText xml:space="preserve">TOC \o "1-3" \h \u </w:instrText>
          </w:r>
          <w:r>
            <w:rPr>
              <w:rFonts w:hint="eastAsia"/>
            </w:rPr>
            <w:fldChar w:fldCharType="separate"/>
          </w:r>
        </w:p>
        <w:p>
          <w:pPr>
            <w:pStyle w:val="43"/>
            <w:tabs>
              <w:tab w:val="right" w:leader="dot" w:pos="8306"/>
              <w:tab w:val="right" w:pos="8845"/>
            </w:tabs>
          </w:pPr>
          <w:r>
            <w:fldChar w:fldCharType="begin"/>
          </w:r>
          <w:r>
            <w:instrText xml:space="preserve"> HYPERLINK \l "_Toc13050" </w:instrText>
          </w:r>
          <w:r>
            <w:fldChar w:fldCharType="separate"/>
          </w:r>
          <w:r>
            <w:rPr>
              <w:rFonts w:ascii="黑体" w:eastAsia="黑体" w:cs="黑体" w:hint="eastAsia"/>
              <w:bCs/>
            </w:rPr>
            <w:t>第一部分 单位概况</w:t>
          </w:r>
          <w:r>
            <w:tab/>
          </w:r>
          <w:r>
            <w:rPr>
              <w:rFonts w:ascii="黑体" w:eastAsia="黑体" w:cs="黑体" w:hint="eastAsia"/>
            </w:rPr>
            <w:fldChar w:fldCharType="begin"/>
          </w:r>
          <w:r>
            <w:rPr>
              <w:rFonts w:ascii="黑体" w:eastAsia="黑体" w:cs="黑体" w:hint="eastAsia"/>
            </w:rPr>
            <w:instrText xml:space="preserve"> PAGEREF _Toc13050 \h </w:instrText>
          </w:r>
          <w:r>
            <w:rPr>
              <w:rFonts w:ascii="黑体" w:eastAsia="黑体" w:cs="黑体" w:hint="eastAsia"/>
            </w:rPr>
            <w:fldChar w:fldCharType="separate"/>
          </w:r>
          <w:r>
            <w:rPr>
              <w:rFonts w:ascii="黑体" w:eastAsia="黑体" w:cs="黑体" w:hint="eastAsia"/>
            </w:rPr>
            <w:t>1</w:t>
          </w:r>
          <w:r>
            <w:rPr>
              <w:rFonts w:ascii="黑体" w:eastAsia="黑体" w:cs="黑体" w:hint="eastAsia"/>
            </w:rPr>
            <w:fldChar w:fldCharType="end"/>
          </w:r>
          <w:r>
            <w:rPr>
              <w:rFonts w:ascii="黑体" w:eastAsia="黑体" w:cs="黑体" w:hint="eastAsia"/>
            </w:rPr>
            <w:fldChar w:fldCharType="end"/>
          </w:r>
          <w:r>
            <w:rPr>
              <w:rFonts w:ascii="黑体" w:eastAsia="黑体" w:cs="黑体" w:hint="eastAsia"/>
            </w:rPr>
            <w:tab/>
          </w:r>
        </w:p>
        <w:p>
          <w:pPr>
            <w:pStyle w:val="44"/>
            <w:tabs>
              <w:tab w:val="right" w:leader="dot" w:pos="8306"/>
            </w:tabs>
          </w:pPr>
          <w:r>
            <w:fldChar w:fldCharType="begin"/>
          </w:r>
          <w:r>
            <w:instrText xml:space="preserve"> HYPERLINK \l "_Toc24362" </w:instrText>
          </w:r>
          <w:r>
            <w:fldChar w:fldCharType="separate"/>
          </w:r>
          <w:r>
            <w:rPr>
              <w:rFonts w:ascii="黑体" w:eastAsia="黑体" w:cs="黑体" w:hint="eastAsia"/>
              <w:szCs w:val="32"/>
            </w:rPr>
            <w:t>一、主要职责</w:t>
          </w:r>
          <w:r>
            <w:tab/>
          </w:r>
          <w:r>
            <w:rPr>
              <w:rFonts w:hint="eastAsia"/>
            </w:rPr>
            <w:t>1</w:t>
          </w:r>
          <w:r>
            <w:rPr>
              <w:rFonts w:hint="eastAsia"/>
            </w:rPr>
            <w:fldChar w:fldCharType="end"/>
          </w:r>
        </w:p>
        <w:p>
          <w:pPr>
            <w:pStyle w:val="44"/>
            <w:tabs>
              <w:tab w:val="right" w:leader="dot" w:pos="8306"/>
            </w:tabs>
          </w:pPr>
          <w:r>
            <w:fldChar w:fldCharType="begin"/>
          </w:r>
          <w:r>
            <w:instrText xml:space="preserve"> HYPERLINK \l "_Toc1504" </w:instrText>
          </w:r>
          <w:r>
            <w:fldChar w:fldCharType="separate"/>
          </w:r>
          <w:r>
            <w:rPr>
              <w:rFonts w:ascii="黑体" w:eastAsia="黑体" w:cs="黑体" w:hint="eastAsia"/>
              <w:szCs w:val="32"/>
            </w:rPr>
            <w:t>二、机构设置</w:t>
          </w:r>
          <w:r>
            <w:tab/>
          </w:r>
          <w:r>
            <w:rPr>
              <w:rFonts w:hint="eastAsia"/>
            </w:rPr>
            <w:t>1</w:t>
          </w:r>
          <w:r>
            <w:rPr>
              <w:rFonts w:hint="eastAsia"/>
            </w:rPr>
            <w:fldChar w:fldCharType="end"/>
          </w:r>
        </w:p>
        <w:p>
          <w:pPr>
            <w:pStyle w:val="43"/>
            <w:tabs>
              <w:tab w:val="right" w:leader="dot" w:pos="8306"/>
            </w:tabs>
          </w:pPr>
          <w:r>
            <w:fldChar w:fldCharType="begin"/>
          </w:r>
          <w:r>
            <w:instrText xml:space="preserve"> HYPERLINK \l "_Toc13774" </w:instrText>
          </w:r>
          <w:r>
            <w:fldChar w:fldCharType="separate"/>
          </w:r>
          <w:r>
            <w:rPr>
              <w:rFonts w:ascii="黑体" w:eastAsia="黑体" w:cs="黑体" w:hint="eastAsia"/>
              <w:szCs w:val="44"/>
            </w:rPr>
            <w:t>第二部分 2025年度</w:t>
          </w:r>
          <w:r>
            <w:rPr>
              <w:rFonts w:ascii="黑体" w:eastAsia="黑体" w:cs="黑体" w:hint="eastAsia"/>
              <w:bCs/>
              <w:szCs w:val="44"/>
            </w:rPr>
            <w:t>单位决算情况说明</w:t>
          </w:r>
          <w:r>
            <w:tab/>
          </w:r>
          <w:r>
            <w:rPr>
              <w:rFonts w:hint="eastAsia"/>
            </w:rPr>
            <w:t>1</w:t>
          </w:r>
          <w:r>
            <w:rPr>
              <w:rFonts w:hint="eastAsia"/>
            </w:rPr>
            <w:fldChar w:fldCharType="end"/>
          </w:r>
        </w:p>
        <w:p>
          <w:pPr>
            <w:pStyle w:val="44"/>
            <w:tabs>
              <w:tab w:val="right" w:leader="dot" w:pos="8306"/>
            </w:tabs>
          </w:pPr>
          <w:r>
            <w:fldChar w:fldCharType="begin"/>
          </w:r>
          <w:r>
            <w:instrText xml:space="preserve"> HYPERLINK \l "_Toc19606" </w:instrText>
          </w:r>
          <w:r>
            <w:fldChar w:fldCharType="separate"/>
          </w:r>
          <w:r>
            <w:rPr>
              <w:rFonts w:ascii="黑体" w:eastAsia="黑体" w:cs="黑体"/>
            </w:rPr>
            <w:t xml:space="preserve">一、 </w:t>
          </w:r>
          <w:r>
            <w:rPr>
              <w:rFonts w:ascii="黑体" w:eastAsia="黑体" w:cs="黑体" w:hint="eastAsia"/>
            </w:rPr>
            <w:t>收入支出决算总体情况说明</w:t>
          </w:r>
          <w:r>
            <w:tab/>
          </w:r>
          <w:r>
            <w:rPr>
              <w:rFonts w:hint="eastAsia"/>
            </w:rPr>
            <w:t>1</w:t>
          </w:r>
          <w:r>
            <w:rPr>
              <w:rFonts w:hint="eastAsia"/>
            </w:rPr>
            <w:fldChar w:fldCharType="end"/>
          </w:r>
        </w:p>
        <w:p>
          <w:pPr>
            <w:pStyle w:val="44"/>
            <w:tabs>
              <w:tab w:val="right" w:leader="dot" w:pos="8306"/>
            </w:tabs>
          </w:pPr>
          <w:r>
            <w:fldChar w:fldCharType="begin"/>
          </w:r>
          <w:r>
            <w:instrText xml:space="preserve"> HYPERLINK \l "_Toc27060" </w:instrText>
          </w:r>
          <w:r>
            <w:fldChar w:fldCharType="separate"/>
          </w:r>
          <w:r>
            <w:rPr>
              <w:rFonts w:ascii="黑体" w:eastAsia="黑体" w:cs="黑体"/>
            </w:rPr>
            <w:t xml:space="preserve">二、 </w:t>
          </w:r>
          <w:r>
            <w:rPr>
              <w:rFonts w:ascii="黑体" w:eastAsia="黑体" w:cs="黑体" w:hint="eastAsia"/>
            </w:rPr>
            <w:t>收入决算情况说明</w:t>
          </w:r>
          <w:r>
            <w:tab/>
          </w:r>
          <w:r>
            <w:fldChar w:fldCharType="end"/>
          </w:r>
          <w:r>
            <w:rPr>
              <w:rFonts w:hint="eastAsia"/>
            </w:rPr>
            <w:t>2</w:t>
          </w:r>
        </w:p>
        <w:p>
          <w:pPr>
            <w:pStyle w:val="44"/>
            <w:tabs>
              <w:tab w:val="right" w:leader="dot" w:pos="8306"/>
            </w:tabs>
          </w:pPr>
          <w:r>
            <w:fldChar w:fldCharType="begin"/>
          </w:r>
          <w:r>
            <w:instrText xml:space="preserve"> HYPERLINK \l "_Toc2761" </w:instrText>
          </w:r>
          <w:r>
            <w:fldChar w:fldCharType="separate"/>
          </w:r>
          <w:r>
            <w:rPr>
              <w:rFonts w:ascii="黑体" w:eastAsia="黑体" w:cs="黑体"/>
            </w:rPr>
            <w:t xml:space="preserve">三、 </w:t>
          </w:r>
          <w:r>
            <w:rPr>
              <w:rFonts w:ascii="黑体" w:eastAsia="黑体" w:cs="黑体" w:hint="eastAsia"/>
            </w:rPr>
            <w:t>支出决算情况说明</w:t>
          </w:r>
          <w:r>
            <w:tab/>
          </w:r>
          <w:r>
            <w:rPr>
              <w:rFonts w:hint="eastAsia"/>
            </w:rPr>
            <w:t>3</w:t>
          </w:r>
          <w:r>
            <w:rPr>
              <w:rFonts w:hint="eastAsia"/>
            </w:rPr>
            <w:fldChar w:fldCharType="end"/>
          </w:r>
        </w:p>
        <w:p>
          <w:pPr>
            <w:pStyle w:val="44"/>
            <w:tabs>
              <w:tab w:val="right" w:leader="dot" w:pos="8306"/>
            </w:tabs>
          </w:pPr>
          <w:r>
            <w:fldChar w:fldCharType="begin"/>
          </w:r>
          <w:r>
            <w:instrText xml:space="preserve"> HYPERLINK \l "_Toc21253" </w:instrText>
          </w:r>
          <w:r>
            <w:fldChar w:fldCharType="separate"/>
          </w:r>
          <w:r>
            <w:rPr>
              <w:rFonts w:ascii="黑体" w:eastAsia="黑体" w:cs="黑体" w:hint="eastAsia"/>
            </w:rPr>
            <w:t>四、财政拨款收入支出决算总体情况说明</w:t>
          </w:r>
          <w:r>
            <w:tab/>
          </w:r>
          <w:r>
            <w:fldChar w:fldCharType="end"/>
          </w:r>
          <w:r>
            <w:rPr>
              <w:rFonts w:hint="eastAsia"/>
            </w:rPr>
            <w:t>4</w:t>
          </w:r>
        </w:p>
        <w:p>
          <w:pPr>
            <w:pStyle w:val="44"/>
            <w:tabs>
              <w:tab w:val="right" w:leader="dot" w:pos="8306"/>
            </w:tabs>
          </w:pPr>
          <w:r>
            <w:fldChar w:fldCharType="begin"/>
          </w:r>
          <w:r>
            <w:instrText xml:space="preserve"> HYPERLINK \l "_Toc30481" </w:instrText>
          </w:r>
          <w:r>
            <w:fldChar w:fldCharType="separate"/>
          </w:r>
          <w:r>
            <w:rPr>
              <w:rFonts w:ascii="黑体" w:eastAsia="黑体" w:cs="黑体" w:hint="eastAsia"/>
              <w:bCs/>
            </w:rPr>
            <w:t>五、一般公共预算财政拨款支出决算情况说明</w:t>
          </w:r>
          <w:r>
            <w:tab/>
          </w:r>
          <w:r>
            <w:fldChar w:fldCharType="end"/>
          </w:r>
          <w:r>
            <w:rPr>
              <w:rFonts w:hint="eastAsia"/>
            </w:rPr>
            <w:t>4</w:t>
          </w:r>
        </w:p>
        <w:p>
          <w:pPr>
            <w:pStyle w:val="44"/>
            <w:tabs>
              <w:tab w:val="right" w:leader="dot" w:pos="8306"/>
            </w:tabs>
          </w:pPr>
          <w:r>
            <w:fldChar w:fldCharType="begin"/>
          </w:r>
          <w:r>
            <w:instrText xml:space="preserve"> HYPERLINK \l "_Toc22297" </w:instrText>
          </w:r>
          <w:r>
            <w:fldChar w:fldCharType="separate"/>
          </w:r>
          <w:r>
            <w:rPr>
              <w:rFonts w:ascii="黑体" w:eastAsia="黑体" w:cs="黑体" w:hint="eastAsia"/>
              <w:szCs w:val="32"/>
            </w:rPr>
            <w:t>六、一般公共预算财政拨款基本支出决算情况说明</w:t>
          </w:r>
          <w:r>
            <w:tab/>
          </w:r>
          <w:r>
            <w:fldChar w:fldCharType="end"/>
          </w:r>
          <w:r>
            <w:rPr>
              <w:rFonts w:hint="eastAsia"/>
            </w:rPr>
            <w:t>7</w:t>
          </w:r>
        </w:p>
        <w:p>
          <w:pPr>
            <w:pStyle w:val="44"/>
            <w:tabs>
              <w:tab w:val="right" w:leader="dot" w:pos="8306"/>
            </w:tabs>
          </w:pPr>
          <w:r>
            <w:fldChar w:fldCharType="begin"/>
          </w:r>
          <w:r>
            <w:instrText xml:space="preserve"> HYPERLINK \l "_Toc16124" </w:instrText>
          </w:r>
          <w:r>
            <w:fldChar w:fldCharType="separate"/>
          </w:r>
          <w:r>
            <w:rPr>
              <w:rFonts w:ascii="黑体" w:eastAsia="黑体" w:cs="黑体" w:hint="eastAsia"/>
              <w:szCs w:val="32"/>
            </w:rPr>
            <w:t>七、财政拨款“三公”经费支出决算情况说明</w:t>
          </w:r>
          <w:r>
            <w:tab/>
          </w:r>
          <w:r>
            <w:fldChar w:fldCharType="end"/>
          </w:r>
          <w:r>
            <w:rPr>
              <w:rFonts w:hint="eastAsia"/>
            </w:rPr>
            <w:t>8</w:t>
          </w:r>
        </w:p>
        <w:p>
          <w:pPr>
            <w:pStyle w:val="44"/>
            <w:tabs>
              <w:tab w:val="right" w:leader="dot" w:pos="8306"/>
            </w:tabs>
          </w:pPr>
          <w:r>
            <w:fldChar w:fldCharType="begin"/>
          </w:r>
          <w:r>
            <w:instrText xml:space="preserve"> HYPERLINK \l "_Toc13844" </w:instrText>
          </w:r>
          <w:r>
            <w:fldChar w:fldCharType="separate"/>
          </w:r>
          <w:r>
            <w:rPr>
              <w:rFonts w:ascii="黑体" w:eastAsia="黑体" w:cs="黑体" w:hint="eastAsia"/>
              <w:szCs w:val="32"/>
            </w:rPr>
            <w:t>八、政府性基金预算支出决算情况说明</w:t>
          </w:r>
          <w:r>
            <w:tab/>
          </w:r>
          <w:r>
            <w:fldChar w:fldCharType="end"/>
          </w:r>
          <w:r>
            <w:rPr>
              <w:rFonts w:hint="eastAsia"/>
            </w:rPr>
            <w:t>9</w:t>
          </w:r>
        </w:p>
        <w:p>
          <w:pPr>
            <w:pStyle w:val="44"/>
            <w:tabs>
              <w:tab w:val="right" w:leader="dot" w:pos="8306"/>
            </w:tabs>
          </w:pPr>
          <w:r>
            <w:fldChar w:fldCharType="begin"/>
          </w:r>
          <w:r>
            <w:instrText xml:space="preserve"> HYPERLINK \l "_Toc29650" </w:instrText>
          </w:r>
          <w:r>
            <w:fldChar w:fldCharType="separate"/>
          </w:r>
          <w:r>
            <w:rPr>
              <w:rFonts w:ascii="黑体" w:eastAsia="黑体" w:cs="黑体" w:hint="eastAsia"/>
              <w:szCs w:val="32"/>
            </w:rPr>
            <w:t>九、国有资本经营预算支出决算情况说明</w:t>
          </w:r>
          <w:r>
            <w:tab/>
          </w:r>
          <w:r>
            <w:fldChar w:fldCharType="end"/>
          </w:r>
          <w:r>
            <w:rPr>
              <w:rFonts w:hint="eastAsia"/>
            </w:rPr>
            <w:t>9</w:t>
          </w:r>
        </w:p>
        <w:p>
          <w:pPr>
            <w:pStyle w:val="44"/>
            <w:tabs>
              <w:tab w:val="right" w:leader="dot" w:pos="8306"/>
            </w:tabs>
          </w:pPr>
          <w:r>
            <w:fldChar w:fldCharType="begin"/>
          </w:r>
          <w:r>
            <w:instrText xml:space="preserve"> HYPERLINK \l "_Toc32675" </w:instrText>
          </w:r>
          <w:r>
            <w:fldChar w:fldCharType="separate"/>
          </w:r>
          <w:r>
            <w:rPr>
              <w:rFonts w:ascii="黑体" w:eastAsia="黑体" w:cs="黑体" w:hint="eastAsia"/>
              <w:szCs w:val="32"/>
            </w:rPr>
            <w:t>十、其他重要事项的情况说明</w:t>
          </w:r>
          <w:r>
            <w:tab/>
          </w:r>
          <w:r>
            <w:fldChar w:fldCharType="end"/>
          </w:r>
          <w:r>
            <w:rPr>
              <w:rFonts w:hint="eastAsia"/>
            </w:rPr>
            <w:t>9</w:t>
          </w:r>
        </w:p>
        <w:p>
          <w:pPr>
            <w:pStyle w:val="43"/>
            <w:tabs>
              <w:tab w:val="right" w:leader="dot" w:pos="8306"/>
            </w:tabs>
            <w:rPr>
              <w:rFonts w:eastAsia="黑体"/>
            </w:rPr>
          </w:pPr>
          <w:r>
            <w:fldChar w:fldCharType="begin"/>
          </w:r>
          <w:r>
            <w:instrText xml:space="preserve"> HYPERLINK \l "_Toc10899" </w:instrText>
          </w:r>
          <w:r>
            <w:fldChar w:fldCharType="separate"/>
          </w:r>
          <w:r>
            <w:rPr>
              <w:rFonts w:ascii="黑体" w:eastAsia="黑体" w:cs="黑体" w:hint="eastAsia"/>
              <w:bCs/>
            </w:rPr>
            <w:t>第三部分 名词解释</w:t>
          </w:r>
          <w:r>
            <w:tab/>
          </w:r>
          <w:r>
            <w:fldChar w:fldCharType="end"/>
          </w:r>
          <w:r>
            <w:rPr>
              <w:rFonts w:ascii="黑体" w:eastAsia="黑体" w:cs="黑体" w:hint="eastAsia"/>
              <w:bCs/>
            </w:rPr>
            <w:t>11</w:t>
          </w:r>
        </w:p>
        <w:p>
          <w:pPr>
            <w:pStyle w:val="43"/>
            <w:tabs>
              <w:tab w:val="right" w:leader="dot" w:pos="8306"/>
            </w:tabs>
          </w:pPr>
          <w:r>
            <w:fldChar w:fldCharType="begin"/>
          </w:r>
          <w:r>
            <w:instrText xml:space="preserve"> HYPERLINK \l "_Toc6636" </w:instrText>
          </w:r>
          <w:r>
            <w:fldChar w:fldCharType="separate"/>
          </w:r>
          <w:r>
            <w:rPr>
              <w:rFonts w:ascii="黑体" w:eastAsia="黑体" w:cs="黑体" w:hint="eastAsia"/>
              <w:szCs w:val="44"/>
            </w:rPr>
            <w:t>第四部分 附件</w:t>
          </w:r>
          <w:r>
            <w:tab/>
          </w:r>
          <w:r>
            <w:fldChar w:fldCharType="end"/>
          </w:r>
          <w:r>
            <w:rPr>
              <w:rFonts w:hint="eastAsia"/>
            </w:rPr>
            <w:t>13</w:t>
          </w:r>
        </w:p>
        <w:p>
          <w:pPr>
            <w:pStyle w:val="43"/>
            <w:tabs>
              <w:tab w:val="right" w:leader="dot" w:pos="8306"/>
            </w:tabs>
          </w:pPr>
          <w:r>
            <w:fldChar w:fldCharType="begin"/>
          </w:r>
          <w:r>
            <w:instrText xml:space="preserve"> HYPERLINK \l "_Toc25783" </w:instrText>
          </w:r>
          <w:r>
            <w:fldChar w:fldCharType="separate"/>
          </w:r>
          <w:r>
            <w:rPr>
              <w:rFonts w:ascii="黑体" w:eastAsia="黑体" w:cs="黑体" w:hint="eastAsia"/>
              <w:szCs w:val="44"/>
            </w:rPr>
            <w:t>第五部分 附表</w:t>
          </w:r>
          <w:r>
            <w:tab/>
          </w:r>
          <w:r>
            <w:fldChar w:fldCharType="end"/>
          </w:r>
          <w:r>
            <w:rPr>
              <w:rFonts w:hint="eastAsia"/>
            </w:rPr>
            <w:t>52</w:t>
          </w:r>
        </w:p>
        <w:p>
          <w:pPr>
            <w:pStyle w:val="44"/>
            <w:tabs>
              <w:tab w:val="right" w:leader="dot" w:pos="8306"/>
            </w:tabs>
            <w:rPr>
              <w:rFonts w:ascii="黑体" w:eastAsia="黑体" w:cs="黑体" w:hint="eastAsia"/>
              <w:szCs w:val="32"/>
            </w:rPr>
          </w:pPr>
          <w:r>
            <w:fldChar w:fldCharType="begin"/>
          </w:r>
          <w:r>
            <w:instrText xml:space="preserve"> HYPERLINK \l "_Toc11757" </w:instrText>
          </w:r>
          <w:r>
            <w:fldChar w:fldCharType="separate"/>
          </w:r>
          <w:r>
            <w:rPr>
              <w:rFonts w:ascii="黑体" w:eastAsia="黑体" w:cs="黑体" w:hint="eastAsia"/>
              <w:szCs w:val="32"/>
            </w:rPr>
            <w:t>一、收入支出决算总表</w:t>
            <w:tab/>
          </w:r>
          <w:r>
            <w:rPr>
              <w:rFonts w:ascii="黑体" w:eastAsia="黑体" w:cs="黑体" w:hint="eastAsia"/>
              <w:szCs w:val="32"/>
            </w:rPr>
            <w:fldChar w:fldCharType="end"/>
          </w:r>
          <w:r>
            <w:rPr>
              <w:rFonts w:ascii="黑体" w:eastAsia="黑体" w:cs="黑体" w:hint="eastAsia"/>
              <w:szCs w:val="32"/>
            </w:rPr>
            <w:t>52</w:t>
          </w:r>
        </w:p>
        <w:p>
          <w:pPr>
            <w:pStyle w:val="44"/>
            <w:tabs>
              <w:tab w:val="right" w:leader="dot" w:pos="8306"/>
            </w:tabs>
            <w:rPr>
              <w:rFonts w:ascii="黑体" w:eastAsia="黑体" w:cs="黑体" w:hint="eastAsia"/>
              <w:szCs w:val="32"/>
            </w:rPr>
          </w:pPr>
          <w:r>
            <w:fldChar w:fldCharType="begin"/>
          </w:r>
          <w:r>
            <w:instrText xml:space="preserve"> HYPERLINK \l "_Toc30636" </w:instrText>
          </w:r>
          <w:r>
            <w:fldChar w:fldCharType="separate"/>
          </w:r>
          <w:r>
            <w:rPr>
              <w:rFonts w:ascii="黑体" w:eastAsia="黑体" w:cs="黑体" w:hint="eastAsia"/>
              <w:szCs w:val="32"/>
            </w:rPr>
            <w:t>二、收入决算表</w:t>
            <w:tab/>
          </w:r>
          <w:r>
            <w:rPr>
              <w:rFonts w:ascii="黑体" w:eastAsia="黑体" w:cs="黑体" w:hint="eastAsia"/>
              <w:szCs w:val="32"/>
            </w:rPr>
            <w:fldChar w:fldCharType="end"/>
          </w:r>
          <w:r>
            <w:rPr>
              <w:rFonts w:ascii="黑体" w:eastAsia="黑体" w:cs="黑体" w:hint="eastAsia"/>
              <w:szCs w:val="32"/>
            </w:rPr>
            <w:t>52</w:t>
          </w:r>
        </w:p>
        <w:p>
          <w:pPr>
            <w:pStyle w:val="44"/>
            <w:tabs>
              <w:tab w:val="right" w:leader="dot" w:pos="8306"/>
            </w:tabs>
            <w:rPr>
              <w:rFonts w:ascii="黑体" w:eastAsia="黑体" w:cs="黑体" w:hint="eastAsia"/>
              <w:szCs w:val="32"/>
            </w:rPr>
          </w:pPr>
          <w:r>
            <w:fldChar w:fldCharType="begin"/>
          </w:r>
          <w:r>
            <w:instrText xml:space="preserve"> HYPERLINK \l "_Toc14846" </w:instrText>
          </w:r>
          <w:r>
            <w:fldChar w:fldCharType="separate"/>
          </w:r>
          <w:r>
            <w:rPr>
              <w:rFonts w:ascii="黑体" w:eastAsia="黑体" w:cs="黑体" w:hint="eastAsia"/>
              <w:szCs w:val="32"/>
            </w:rPr>
            <w:t>三、支出决算表</w:t>
            <w:tab/>
          </w:r>
          <w:r>
            <w:rPr>
              <w:rFonts w:ascii="黑体" w:eastAsia="黑体" w:cs="黑体" w:hint="eastAsia"/>
              <w:szCs w:val="32"/>
            </w:rPr>
            <w:fldChar w:fldCharType="end"/>
          </w:r>
          <w:r>
            <w:rPr>
              <w:rFonts w:ascii="黑体" w:eastAsia="黑体" w:cs="黑体" w:hint="eastAsia"/>
              <w:szCs w:val="32"/>
            </w:rPr>
            <w:t>52</w:t>
          </w:r>
        </w:p>
        <w:p>
          <w:pPr>
            <w:pStyle w:val="44"/>
            <w:tabs>
              <w:tab w:val="right" w:leader="dot" w:pos="8306"/>
            </w:tabs>
            <w:rPr>
              <w:rFonts w:ascii="黑体" w:eastAsia="黑体" w:cs="黑体" w:hint="eastAsia"/>
              <w:szCs w:val="32"/>
            </w:rPr>
          </w:pPr>
          <w:r>
            <w:fldChar w:fldCharType="begin"/>
          </w:r>
          <w:r>
            <w:instrText xml:space="preserve"> HYPERLINK \l "_Toc9546" </w:instrText>
          </w:r>
          <w:r>
            <w:fldChar w:fldCharType="separate"/>
          </w:r>
          <w:r>
            <w:rPr>
              <w:rFonts w:ascii="黑体" w:eastAsia="黑体" w:cs="黑体" w:hint="eastAsia"/>
              <w:szCs w:val="32"/>
            </w:rPr>
            <w:t>四、财政拨款收入支出决算总表</w:t>
            <w:tab/>
          </w:r>
          <w:r>
            <w:rPr>
              <w:rFonts w:ascii="黑体" w:eastAsia="黑体" w:cs="黑体" w:hint="eastAsia"/>
              <w:szCs w:val="32"/>
            </w:rPr>
            <w:fldChar w:fldCharType="end"/>
          </w:r>
          <w:r>
            <w:rPr>
              <w:rFonts w:ascii="黑体" w:eastAsia="黑体" w:cs="黑体" w:hint="eastAsia"/>
              <w:szCs w:val="32"/>
            </w:rPr>
            <w:t>52</w:t>
          </w:r>
        </w:p>
        <w:p>
          <w:pPr>
            <w:pStyle w:val="44"/>
            <w:tabs>
              <w:tab w:val="right" w:leader="dot" w:pos="8306"/>
            </w:tabs>
            <w:rPr>
              <w:rFonts w:ascii="黑体" w:eastAsia="黑体" w:cs="黑体" w:hint="eastAsia"/>
              <w:szCs w:val="32"/>
            </w:rPr>
          </w:pPr>
          <w:r>
            <w:fldChar w:fldCharType="begin"/>
          </w:r>
          <w:r>
            <w:instrText xml:space="preserve"> HYPERLINK \l "_Toc22992" </w:instrText>
          </w:r>
          <w:r>
            <w:fldChar w:fldCharType="separate"/>
          </w:r>
          <w:r>
            <w:rPr>
              <w:rFonts w:ascii="黑体" w:eastAsia="黑体" w:cs="黑体" w:hint="eastAsia"/>
              <w:szCs w:val="32"/>
            </w:rPr>
            <w:t>五、财政拨款支出决算明细表</w:t>
            <w:tab/>
          </w:r>
          <w:r>
            <w:rPr>
              <w:rFonts w:ascii="黑体" w:eastAsia="黑体" w:cs="黑体" w:hint="eastAsia"/>
              <w:szCs w:val="32"/>
            </w:rPr>
            <w:fldChar w:fldCharType="end"/>
          </w:r>
          <w:r>
            <w:rPr>
              <w:rFonts w:ascii="黑体" w:eastAsia="黑体" w:cs="黑体" w:hint="eastAsia"/>
              <w:szCs w:val="32"/>
            </w:rPr>
            <w:t>52</w:t>
          </w:r>
        </w:p>
        <w:p>
          <w:pPr>
            <w:pStyle w:val="44"/>
            <w:tabs>
              <w:tab w:val="right" w:leader="dot" w:pos="8306"/>
            </w:tabs>
            <w:rPr>
              <w:rFonts w:ascii="黑体" w:eastAsia="黑体" w:cs="黑体" w:hint="eastAsia"/>
              <w:szCs w:val="32"/>
            </w:rPr>
          </w:pPr>
          <w:r>
            <w:fldChar w:fldCharType="begin"/>
          </w:r>
          <w:r>
            <w:instrText xml:space="preserve"> HYPERLINK \l "_Toc29037" </w:instrText>
          </w:r>
          <w:r>
            <w:fldChar w:fldCharType="separate"/>
          </w:r>
          <w:r>
            <w:rPr>
              <w:rFonts w:ascii="黑体" w:eastAsia="黑体" w:cs="黑体" w:hint="eastAsia"/>
              <w:szCs w:val="32"/>
            </w:rPr>
            <w:t>六、一般公共预算财政拨款支出决算表</w:t>
            <w:tab/>
          </w:r>
          <w:r>
            <w:rPr>
              <w:rFonts w:ascii="黑体" w:eastAsia="黑体" w:cs="黑体" w:hint="eastAsia"/>
              <w:szCs w:val="32"/>
            </w:rPr>
            <w:fldChar w:fldCharType="end"/>
          </w:r>
          <w:r>
            <w:rPr>
              <w:rFonts w:ascii="黑体" w:eastAsia="黑体" w:cs="黑体" w:hint="eastAsia"/>
              <w:szCs w:val="32"/>
            </w:rPr>
            <w:t>52</w:t>
          </w:r>
        </w:p>
        <w:p>
          <w:pPr>
            <w:pStyle w:val="44"/>
            <w:tabs>
              <w:tab w:val="right" w:leader="dot" w:pos="8306"/>
            </w:tabs>
            <w:rPr>
              <w:rFonts w:ascii="黑体" w:eastAsia="黑体" w:cs="黑体" w:hint="eastAsia"/>
              <w:szCs w:val="32"/>
            </w:rPr>
          </w:pPr>
          <w:r>
            <w:fldChar w:fldCharType="begin"/>
          </w:r>
          <w:r>
            <w:instrText xml:space="preserve"> HYPERLINK \l "_Toc445" </w:instrText>
          </w:r>
          <w:r>
            <w:fldChar w:fldCharType="separate"/>
          </w:r>
          <w:r>
            <w:rPr>
              <w:rFonts w:ascii="黑体" w:eastAsia="黑体" w:cs="黑体" w:hint="eastAsia"/>
              <w:szCs w:val="32"/>
            </w:rPr>
            <w:t>七、一般公共预算财政拨款支出决算明细表</w:t>
            <w:tab/>
          </w:r>
          <w:r>
            <w:rPr>
              <w:rFonts w:ascii="黑体" w:eastAsia="黑体" w:cs="黑体" w:hint="eastAsia"/>
              <w:szCs w:val="32"/>
            </w:rPr>
            <w:fldChar w:fldCharType="end"/>
          </w:r>
          <w:r>
            <w:rPr>
              <w:rFonts w:ascii="黑体" w:eastAsia="黑体" w:cs="黑体" w:hint="eastAsia"/>
              <w:szCs w:val="32"/>
            </w:rPr>
            <w:t>52</w:t>
          </w:r>
        </w:p>
        <w:p>
          <w:pPr>
            <w:pStyle w:val="44"/>
            <w:tabs>
              <w:tab w:val="right" w:leader="dot" w:pos="8306"/>
            </w:tabs>
            <w:rPr>
              <w:rFonts w:ascii="黑体" w:eastAsia="黑体" w:cs="黑体" w:hint="eastAsia"/>
              <w:szCs w:val="32"/>
            </w:rPr>
          </w:pPr>
          <w:r>
            <w:fldChar w:fldCharType="begin"/>
          </w:r>
          <w:r>
            <w:instrText xml:space="preserve"> HYPERLINK \l "_Toc10058" </w:instrText>
          </w:r>
          <w:r>
            <w:fldChar w:fldCharType="separate"/>
          </w:r>
          <w:r>
            <w:rPr>
              <w:rFonts w:ascii="黑体" w:eastAsia="黑体" w:cs="黑体" w:hint="eastAsia"/>
              <w:szCs w:val="32"/>
            </w:rPr>
            <w:t>八、一般公共预算财政拨款基本支出决算表</w:t>
            <w:tab/>
          </w:r>
          <w:r>
            <w:rPr>
              <w:rFonts w:ascii="黑体" w:eastAsia="黑体" w:cs="黑体" w:hint="eastAsia"/>
              <w:szCs w:val="32"/>
            </w:rPr>
            <w:fldChar w:fldCharType="end"/>
          </w:r>
          <w:r>
            <w:rPr>
              <w:rFonts w:ascii="黑体" w:eastAsia="黑体" w:cs="黑体" w:hint="eastAsia"/>
              <w:szCs w:val="32"/>
            </w:rPr>
            <w:t>52</w:t>
          </w:r>
        </w:p>
        <w:p>
          <w:pPr>
            <w:pStyle w:val="44"/>
            <w:tabs>
              <w:tab w:val="right" w:leader="dot" w:pos="8306"/>
            </w:tabs>
            <w:rPr>
              <w:rFonts w:ascii="黑体" w:eastAsia="黑体" w:cs="黑体" w:hint="eastAsia"/>
              <w:szCs w:val="32"/>
            </w:rPr>
          </w:pPr>
          <w:r>
            <w:fldChar w:fldCharType="begin"/>
          </w:r>
          <w:r>
            <w:instrText xml:space="preserve"> HYPERLINK \l "_Toc24410" </w:instrText>
          </w:r>
          <w:r>
            <w:fldChar w:fldCharType="separate"/>
          </w:r>
          <w:r>
            <w:rPr>
              <w:rFonts w:ascii="黑体" w:eastAsia="黑体" w:cs="黑体" w:hint="eastAsia"/>
              <w:szCs w:val="32"/>
            </w:rPr>
            <w:t>九、一般公共预算财政拨款项目支出决算表</w:t>
            <w:tab/>
          </w:r>
          <w:r>
            <w:rPr>
              <w:rFonts w:ascii="黑体" w:eastAsia="黑体" w:cs="黑体" w:hint="eastAsia"/>
              <w:szCs w:val="32"/>
            </w:rPr>
            <w:fldChar w:fldCharType="end"/>
          </w:r>
          <w:r>
            <w:rPr>
              <w:rFonts w:ascii="黑体" w:eastAsia="黑体" w:cs="黑体" w:hint="eastAsia"/>
              <w:szCs w:val="32"/>
            </w:rPr>
            <w:t>52</w:t>
          </w:r>
        </w:p>
        <w:p>
          <w:pPr>
            <w:pStyle w:val="44"/>
            <w:tabs>
              <w:tab w:val="right" w:leader="dot" w:pos="8306"/>
            </w:tabs>
            <w:rPr>
              <w:rFonts w:ascii="黑体" w:eastAsia="黑体" w:cs="黑体" w:hint="eastAsia"/>
              <w:szCs w:val="32"/>
            </w:rPr>
          </w:pPr>
          <w:r>
            <w:fldChar w:fldCharType="begin"/>
          </w:r>
          <w:r>
            <w:instrText xml:space="preserve"> HYPERLINK \l "_Toc30833" </w:instrText>
          </w:r>
          <w:r>
            <w:fldChar w:fldCharType="separate"/>
          </w:r>
          <w:r>
            <w:rPr>
              <w:rFonts w:ascii="黑体" w:eastAsia="黑体" w:cs="黑体" w:hint="eastAsia"/>
              <w:szCs w:val="32"/>
            </w:rPr>
            <w:t>十、政府性基金预算财政拨款收入支出决算表</w:t>
            <w:tab/>
          </w:r>
          <w:r>
            <w:rPr>
              <w:rFonts w:ascii="黑体" w:eastAsia="黑体" w:cs="黑体" w:hint="eastAsia"/>
              <w:szCs w:val="32"/>
            </w:rPr>
            <w:fldChar w:fldCharType="end"/>
          </w:r>
          <w:r>
            <w:rPr>
              <w:rFonts w:ascii="黑体" w:eastAsia="黑体" w:cs="黑体" w:hint="eastAsia"/>
              <w:szCs w:val="32"/>
            </w:rPr>
            <w:t>52</w:t>
          </w:r>
        </w:p>
        <w:p>
          <w:pPr>
            <w:pStyle w:val="44"/>
            <w:tabs>
              <w:tab w:val="right" w:leader="dot" w:pos="8306"/>
            </w:tabs>
            <w:rPr>
              <w:rFonts w:ascii="黑体" w:eastAsia="黑体" w:cs="黑体" w:hint="eastAsia"/>
              <w:szCs w:val="32"/>
            </w:rPr>
          </w:pPr>
          <w:r>
            <w:fldChar w:fldCharType="begin"/>
          </w:r>
          <w:r>
            <w:instrText xml:space="preserve"> HYPERLINK \l "_Toc30471" </w:instrText>
          </w:r>
          <w:r>
            <w:fldChar w:fldCharType="separate"/>
          </w:r>
          <w:r>
            <w:rPr>
              <w:rFonts w:ascii="黑体" w:eastAsia="黑体" w:cs="黑体" w:hint="eastAsia"/>
              <w:szCs w:val="32"/>
            </w:rPr>
            <w:t>十一、国有资本经营预算财政拨款收入支出决算表</w:t>
            <w:tab/>
          </w:r>
          <w:r>
            <w:rPr>
              <w:rFonts w:ascii="黑体" w:eastAsia="黑体" w:cs="黑体" w:hint="eastAsia"/>
              <w:szCs w:val="32"/>
            </w:rPr>
            <w:fldChar w:fldCharType="end"/>
          </w:r>
          <w:r>
            <w:rPr>
              <w:rFonts w:ascii="黑体" w:eastAsia="黑体" w:cs="黑体" w:hint="eastAsia"/>
              <w:szCs w:val="32"/>
            </w:rPr>
            <w:t>52</w:t>
          </w:r>
        </w:p>
        <w:p>
          <w:pPr>
            <w:pStyle w:val="44"/>
            <w:tabs>
              <w:tab w:val="right" w:leader="dot" w:pos="8306"/>
            </w:tabs>
            <w:rPr>
              <w:rFonts w:ascii="黑体" w:eastAsia="黑体" w:cs="黑体" w:hint="eastAsia"/>
              <w:szCs w:val="32"/>
            </w:rPr>
          </w:pPr>
          <w:r>
            <w:fldChar w:fldCharType="begin"/>
          </w:r>
          <w:r>
            <w:instrText xml:space="preserve"> HYPERLINK \l "_Toc13481" </w:instrText>
          </w:r>
          <w:r>
            <w:fldChar w:fldCharType="separate"/>
          </w:r>
          <w:r>
            <w:rPr>
              <w:rFonts w:ascii="黑体" w:eastAsia="黑体" w:cs="黑体" w:hint="eastAsia"/>
              <w:szCs w:val="32"/>
            </w:rPr>
            <w:t>十二、国有资本经营预算财政拨款支出决算表</w:t>
            <w:tab/>
          </w:r>
          <w:r>
            <w:rPr>
              <w:rFonts w:ascii="黑体" w:eastAsia="黑体" w:cs="黑体" w:hint="eastAsia"/>
              <w:szCs w:val="32"/>
            </w:rPr>
            <w:fldChar w:fldCharType="end"/>
          </w:r>
          <w:r>
            <w:rPr>
              <w:rFonts w:ascii="黑体" w:eastAsia="黑体" w:cs="黑体" w:hint="eastAsia"/>
              <w:szCs w:val="32"/>
            </w:rPr>
            <w:t>52</w:t>
          </w:r>
        </w:p>
        <w:p>
          <w:pPr>
            <w:pStyle w:val="44"/>
            <w:tabs>
              <w:tab w:val="right" w:leader="dot" w:pos="8306"/>
            </w:tabs>
            <w:rPr>
              <w:rFonts w:eastAsia="黑体"/>
            </w:rPr>
          </w:pPr>
          <w:r>
            <w:fldChar w:fldCharType="begin"/>
          </w:r>
          <w:r>
            <w:instrText xml:space="preserve"> HYPERLINK \l "_Toc19138" </w:instrText>
          </w:r>
          <w:r>
            <w:fldChar w:fldCharType="separate"/>
          </w:r>
          <w:r>
            <w:rPr>
              <w:rFonts w:ascii="黑体" w:eastAsia="黑体" w:cs="黑体" w:hint="eastAsia"/>
              <w:szCs w:val="32"/>
            </w:rPr>
            <w:t>十三、财政拨款“三公”经费支出决算表</w:t>
            <w:tab/>
          </w:r>
          <w:r>
            <w:rPr>
              <w:rFonts w:ascii="黑体" w:eastAsia="黑体" w:cs="黑体" w:hint="eastAsia"/>
              <w:szCs w:val="32"/>
            </w:rPr>
            <w:fldChar w:fldCharType="end"/>
          </w:r>
          <w:r>
            <w:rPr>
              <w:rFonts w:ascii="黑体" w:eastAsia="黑体" w:cs="黑体" w:hint="eastAsia"/>
              <w:szCs w:val="32"/>
            </w:rPr>
            <w:t>52</w:t>
          </w:r>
        </w:p>
        <w:p>
          <w:r>
            <w:rPr>
              <w:rFonts w:hint="eastAsia"/>
            </w:rPr>
            <w:fldChar w:fldCharType="end"/>
          </w:r>
        </w:p>
      </w:sdtContent>
    </w:sdt>
    <w:p/>
    <w:sdt>
      <w:sdtPr>
        <w:rPr>
          <w:rFonts w:ascii="宋体"/>
        </w:rPr>
        <w:id w:val="1853697661"/>
        <w:docPartObj>
          <w:docPartGallery w:val="Table of Contents"/>
          <w:docPartUnique/>
        </w:docPartObj>
      </w:sdtPr>
      <w:sdtContent>
        <w:bookmarkStart w:id="21" w:name="_Toc13050" w:displacedByCustomXml="prev"/>
        <w:bookmarkStart w:id="22" w:name="_Toc15561" w:displacedByCustomXml="prev"/>
        <w:p/>
      </w:sdtContent>
    </w:sdt>
    <w:p>
      <w:pPr>
        <w:jc w:val="center"/>
        <w:rPr>
          <w:rFonts w:ascii="黑体" w:eastAsia="黑体" w:cs="黑体" w:hint="eastAsia"/>
          <w:bCs/>
          <w:kern w:val="44"/>
          <w:sz w:val="44"/>
          <w:szCs w:val="44"/>
        </w:rPr>
        <w:sectPr>
          <w:footerReference w:type="default" r:id="rId4"/>
          <w:footerReference w:type="first" r:id="rId5"/>
          <w:pgSz w:w="11906" w:h="16838"/>
          <w:pgMar w:top="2098" w:right="1474" w:bottom="1984" w:left="1587" w:header="851" w:footer="992" w:gutter="0"/>
          <w:pgNumType w:start="1"/>
          <w:docGrid w:type="lines" w:linePitch="312" w:charSpace="0"/>
        </w:sectPr>
      </w:pPr>
    </w:p>
    <w:p>
      <w:pPr>
        <w:tabs>
          <w:tab w:val="left" w:pos="3849"/>
          <w:tab w:val="center" w:pos="4482"/>
        </w:tabs>
        <w:spacing w:line="600" w:lineRule="exact"/>
        <w:jc w:val="center"/>
        <w:outlineLvl w:val="0"/>
        <w:rPr>
          <w:rFonts w:ascii="黑体" w:eastAsia="黑体" w:cs="黑体" w:hint="eastAsia"/>
          <w:sz w:val="44"/>
          <w:szCs w:val="44"/>
        </w:rPr>
      </w:pPr>
      <w:r>
        <w:rPr>
          <w:rFonts w:ascii="黑体" w:eastAsia="黑体" w:cs="黑体" w:hint="eastAsia"/>
          <w:sz w:val="44"/>
          <w:szCs w:val="44"/>
        </w:rPr>
        <w:t>第一部分 单位概况</w:t>
      </w:r>
      <w:bookmarkEnd w:id="21"/>
      <w:bookmarkEnd w:id="22"/>
    </w:p>
    <w:p>
      <w:pPr>
        <w:pStyle w:val="2"/>
        <w:spacing w:before="0" w:after="0" w:line="576" w:lineRule="exact"/>
        <w:ind w:firstLineChars="200" w:firstLine="640"/>
        <w:rPr>
          <w:rStyle w:val="2Char"/>
          <w:rFonts w:ascii="黑体" w:eastAsia="黑体" w:cs="黑体" w:hint="eastAsia"/>
          <w:b w:val="0"/>
          <w:bCs w:val="0"/>
        </w:rPr>
      </w:pPr>
      <w:bookmarkStart w:id="23" w:name="_Toc24362"/>
      <w:bookmarkStart w:id="24" w:name="_Toc29529"/>
      <w:bookmarkStart w:id="25" w:name="_Toc1888"/>
      <w:bookmarkStart w:id="26" w:name="_Toc14881"/>
      <w:bookmarkStart w:id="27" w:name="_Toc15377197"/>
      <w:bookmarkStart w:id="28" w:name="_Toc15396600"/>
      <w:r>
        <w:rPr>
          <w:rStyle w:val="2Char"/>
          <w:rFonts w:ascii="黑体" w:eastAsia="黑体" w:cs="黑体" w:hint="eastAsia"/>
          <w:b w:val="0"/>
          <w:bCs w:val="0"/>
        </w:rPr>
        <w:t>一、主要职责</w:t>
      </w:r>
      <w:bookmarkEnd w:id="23"/>
      <w:bookmarkEnd w:id="24"/>
      <w:bookmarkEnd w:id="25"/>
      <w:bookmarkEnd w:id="26"/>
    </w:p>
    <w:p>
      <w:pPr>
        <w:ind w:firstLineChars="200" w:firstLine="640"/>
        <w:rPr>
          <w:rFonts w:ascii="仿宋" w:eastAsia="仿宋" w:cs="仿宋" w:hint="eastAsia"/>
          <w:bCs/>
          <w:sz w:val="32"/>
          <w:szCs w:val="32"/>
        </w:rPr>
      </w:pPr>
      <w:r>
        <w:rPr>
          <w:rFonts w:ascii="仿宋" w:eastAsia="仿宋" w:cs="仿宋" w:hint="eastAsia"/>
          <w:bCs/>
          <w:sz w:val="32"/>
          <w:szCs w:val="32"/>
        </w:rPr>
        <w:t>实施小学义务教育，促进基础教育。实施小学教育、学前教育，促进基础教育发展</w:t>
      </w:r>
      <w:bookmarkStart w:id="29" w:name="_Toc79163854"/>
      <w:bookmarkStart w:id="30" w:name="_Toc79163604"/>
      <w:bookmarkStart w:id="31" w:name="_Toc15377199"/>
      <w:bookmarkStart w:id="32" w:name="_Toc15378446"/>
      <w:r>
        <w:rPr>
          <w:rFonts w:ascii="仿宋" w:eastAsia="仿宋" w:hint="eastAsia"/>
          <w:sz w:val="32"/>
          <w:szCs w:val="32"/>
        </w:rPr>
        <w:t>。</w:t>
      </w:r>
    </w:p>
    <w:p>
      <w:pPr>
        <w:pStyle w:val="2"/>
        <w:spacing w:before="0" w:after="0" w:line="576" w:lineRule="exact"/>
        <w:ind w:firstLineChars="200" w:firstLine="640"/>
        <w:rPr>
          <w:rStyle w:val="2Char"/>
          <w:rFonts w:ascii="黑体" w:eastAsia="黑体" w:cs="黑体" w:hint="eastAsia"/>
          <w:b w:val="0"/>
          <w:bCs w:val="0"/>
        </w:rPr>
      </w:pPr>
      <w:bookmarkStart w:id="33" w:name="_Toc19420"/>
      <w:bookmarkStart w:id="34" w:name="_Toc1504"/>
      <w:bookmarkStart w:id="35" w:name="_Toc16897"/>
      <w:bookmarkStart w:id="36" w:name="_Toc12007"/>
      <w:bookmarkEnd w:id="29"/>
      <w:bookmarkEnd w:id="30"/>
      <w:bookmarkEnd w:id="31"/>
      <w:bookmarkEnd w:id="32"/>
      <w:r>
        <w:rPr>
          <w:rStyle w:val="2Char"/>
          <w:rFonts w:ascii="黑体" w:eastAsia="黑体" w:cs="黑体" w:hint="eastAsia"/>
          <w:b w:val="0"/>
          <w:bCs w:val="0"/>
        </w:rPr>
        <w:t>二、机构设置</w:t>
      </w:r>
      <w:bookmarkEnd w:id="33"/>
      <w:bookmarkEnd w:id="34"/>
      <w:bookmarkEnd w:id="35"/>
      <w:bookmarkEnd w:id="36"/>
    </w:p>
    <w:p>
      <w:pPr>
        <w:autoSpaceDE w:val="0"/>
        <w:autoSpaceDN w:val="0"/>
        <w:adjustRightInd w:val="0"/>
        <w:ind w:firstLineChars="200" w:firstLine="640"/>
        <w:jc w:val="left"/>
        <w:rPr>
          <w:rFonts w:ascii="仿宋" w:eastAsia="仿宋" w:cs="仿宋" w:hint="eastAsia"/>
          <w:sz w:val="32"/>
          <w:szCs w:val="32"/>
        </w:rPr>
      </w:pPr>
      <w:bookmarkEnd w:id="27"/>
      <w:bookmarkEnd w:id="28"/>
      <w:r>
        <w:rPr>
          <w:rFonts w:ascii="仿宋" w:eastAsia="仿宋" w:cs="仿宋" w:hint="eastAsia"/>
          <w:sz w:val="32"/>
          <w:szCs w:val="32"/>
        </w:rPr>
        <w:t>汶川县漩口小学校属汶川县教育局下属二级单位1个，其中行政单位0个，参照公务员法管理的事业单位0个，其他事业单位0个。</w:t>
      </w:r>
    </w:p>
    <w:p>
      <w:pPr>
        <w:autoSpaceDE w:val="0"/>
        <w:autoSpaceDN w:val="0"/>
        <w:adjustRightInd w:val="0"/>
        <w:ind w:firstLineChars="200" w:firstLine="640"/>
        <w:jc w:val="left"/>
        <w:rPr>
          <w:rFonts w:ascii="仿宋" w:eastAsia="仿宋" w:cs="仿宋" w:hint="eastAsia"/>
          <w:sz w:val="32"/>
          <w:szCs w:val="32"/>
        </w:rPr>
      </w:pPr>
      <w:r>
        <w:rPr>
          <w:rFonts w:ascii="仿宋" w:eastAsia="仿宋" w:cs="仿宋" w:hint="eastAsia"/>
          <w:color w:val="000000"/>
          <w:sz w:val="32"/>
          <w:szCs w:val="32"/>
        </w:rPr>
        <w:t>纳入汶川县漩口小学校2025年度部门决算编制范围的二级预算单位包括：无。</w:t>
      </w:r>
    </w:p>
    <w:p>
      <w:pPr>
        <w:spacing w:line="500" w:lineRule="exact"/>
        <w:ind w:firstLine="640"/>
        <w:rPr>
          <w:rFonts w:ascii="仿宋" w:eastAsia="仿宋" w:cs="仿宋" w:hint="eastAsia"/>
          <w:sz w:val="32"/>
          <w:szCs w:val="32"/>
        </w:rPr>
      </w:pPr>
      <w:bookmarkStart w:id="37" w:name="OLE_LINK2"/>
      <w:bookmarkStart w:id="38" w:name="_Toc15377204"/>
      <w:bookmarkStart w:id="39" w:name="_Toc13774"/>
      <w:bookmarkStart w:id="40" w:name="_Toc15396602"/>
      <w:bookmarkStart w:id="41" w:name="_Toc24144"/>
      <w:bookmarkStart w:id="42" w:name="_Toc14037"/>
      <w:bookmarkStart w:id="43" w:name="_Toc29811"/>
      <w:r>
        <w:rPr>
          <w:rFonts w:ascii="仿宋" w:eastAsia="仿宋" w:cs="仿宋" w:hint="eastAsia"/>
          <w:sz w:val="32"/>
          <w:szCs w:val="32"/>
          <w:lang w:val="zh-CN"/>
        </w:rPr>
        <w:t>汶川</w:t>
      </w:r>
      <w:r>
        <w:rPr>
          <w:rFonts w:ascii="仿宋" w:eastAsia="仿宋" w:cs="仿宋" w:hint="eastAsia"/>
          <w:sz w:val="32"/>
          <w:szCs w:val="32"/>
        </w:rPr>
        <w:t>漩口小学校总编制72名，其中：事业编制72名；2025年末在职人员总数63人，其中专业技术人员62人、工勤人员1人。</w:t>
      </w:r>
    </w:p>
    <w:p>
      <w:pPr>
        <w:pStyle w:val="1"/>
        <w:ind w:right="440"/>
        <w:jc w:val="center"/>
        <w:rPr>
          <w:rFonts w:ascii="黑体" w:eastAsia="黑体" w:cs="黑体" w:hint="eastAsia"/>
        </w:rPr>
      </w:pPr>
      <w:bookmarkEnd w:id="37"/>
      <w:r>
        <w:rPr>
          <w:rFonts w:ascii="黑体" w:eastAsia="黑体" w:cs="黑体" w:hint="eastAsia"/>
          <w:b w:val="0"/>
          <w:bCs w:val="0"/>
          <w:kern w:val="2"/>
        </w:rPr>
        <w:t>第二部分 2025年度单位决算情况说明</w:t>
      </w:r>
      <w:bookmarkEnd w:id="38"/>
      <w:bookmarkEnd w:id="39"/>
      <w:bookmarkEnd w:id="40"/>
      <w:bookmarkEnd w:id="41"/>
      <w:bookmarkEnd w:id="42"/>
      <w:bookmarkEnd w:id="43"/>
    </w:p>
    <w:p>
      <w:pPr>
        <w:pStyle w:val="39"/>
        <w:spacing w:line="576" w:lineRule="exact"/>
        <w:outlineLvl w:val="1"/>
        <w:rPr>
          <w:rStyle w:val="2Char"/>
          <w:rFonts w:ascii="黑体" w:eastAsia="黑体" w:cs="黑体" w:hint="eastAsia"/>
          <w:b w:val="0"/>
          <w:bCs w:val="0"/>
        </w:rPr>
      </w:pPr>
      <w:bookmarkStart w:id="44" w:name="_Toc15396603"/>
      <w:bookmarkStart w:id="45" w:name="_Toc15377205"/>
      <w:bookmarkStart w:id="46" w:name="_Toc24021"/>
      <w:bookmarkStart w:id="47" w:name="_Toc19606"/>
      <w:bookmarkStart w:id="48" w:name="_Toc7919"/>
      <w:bookmarkStart w:id="49" w:name="_Toc8798"/>
      <w:r>
        <w:rPr>
          <w:rStyle w:val="2Char"/>
          <w:rFonts w:ascii="黑体" w:eastAsia="黑体" w:cs="黑体" w:hint="eastAsia"/>
          <w:b w:val="0"/>
          <w:bCs w:val="0"/>
        </w:rPr>
        <w:t>一、收入支出决算总体情况说明</w:t>
      </w:r>
      <w:bookmarkEnd w:id="44"/>
      <w:bookmarkEnd w:id="45"/>
      <w:bookmarkEnd w:id="46"/>
      <w:bookmarkEnd w:id="47"/>
      <w:bookmarkEnd w:id="48"/>
      <w:bookmarkEnd w:id="49"/>
    </w:p>
    <w:p>
      <w:pPr>
        <w:spacing w:line="600" w:lineRule="exact"/>
        <w:ind w:firstLineChars="200" w:firstLine="640"/>
        <w:rPr>
          <w:rFonts w:ascii="仿宋" w:eastAsia="仿宋" w:cs="仿宋" w:hint="eastAsia"/>
          <w:color w:val="000000"/>
          <w:sz w:val="32"/>
          <w:szCs w:val="32"/>
        </w:rPr>
      </w:pPr>
      <w:r>
        <w:rPr>
          <w:rFonts w:ascii="仿宋" w:eastAsia="仿宋" w:cs="仿宋" w:hint="eastAsia"/>
          <w:color w:val="000000"/>
          <w:sz w:val="32"/>
          <w:szCs w:val="32"/>
        </w:rPr>
        <w:t>2025年度收入总计</w:t>
      </w:r>
      <w:r>
        <w:rPr>
          <w:rFonts w:ascii="仿宋" w:eastAsia="仿宋" w:cs="仿宋"/>
          <w:color w:val="000000"/>
          <w:sz w:val="32"/>
          <w:szCs w:val="32"/>
        </w:rPr>
        <w:t>1943.37</w:t>
      </w:r>
      <w:r>
        <w:rPr>
          <w:rFonts w:ascii="仿宋" w:eastAsia="仿宋" w:cs="仿宋" w:hint="eastAsia"/>
          <w:color w:val="000000"/>
          <w:sz w:val="32"/>
          <w:szCs w:val="32"/>
        </w:rPr>
        <w:t>万元</w:t>
      </w:r>
      <w:r>
        <w:rPr>
          <w:rFonts w:ascii="仿宋" w:eastAsia="仿宋" w:cs="仿宋" w:hint="eastAsia"/>
          <w:color w:val="000000"/>
          <w:sz w:val="32"/>
          <w:szCs w:val="32"/>
          <w:lang w:val="en-US" w:eastAsia="zh-CN"/>
        </w:rPr>
        <w:t>(含年初结转结余11.00万元）</w:t>
      </w:r>
      <w:r>
        <w:rPr>
          <w:rFonts w:ascii="仿宋" w:eastAsia="仿宋" w:cs="仿宋" w:hint="eastAsia"/>
          <w:color w:val="000000"/>
          <w:sz w:val="32"/>
          <w:szCs w:val="32"/>
        </w:rPr>
        <w:t>，支出总计</w:t>
      </w:r>
      <w:r>
        <w:rPr>
          <w:rFonts w:ascii="仿宋" w:eastAsia="仿宋" w:cs="仿宋"/>
          <w:color w:val="000000"/>
          <w:sz w:val="32"/>
          <w:szCs w:val="32"/>
        </w:rPr>
        <w:t>1943.37</w:t>
      </w:r>
      <w:r>
        <w:rPr>
          <w:rFonts w:ascii="仿宋" w:eastAsia="仿宋" w:cs="仿宋" w:hint="eastAsia"/>
          <w:color w:val="000000"/>
          <w:sz w:val="32"/>
          <w:szCs w:val="32"/>
        </w:rPr>
        <w:t>万元。与2024年相比，收入总计增加</w:t>
      </w:r>
      <w:bookmarkStart w:id="50" w:name="OLE_LINK4"/>
      <w:r>
        <w:rPr>
          <w:rFonts w:ascii="仿宋" w:eastAsia="仿宋" w:cs="仿宋" w:hint="eastAsia"/>
          <w:color w:val="000000"/>
          <w:sz w:val="32"/>
          <w:szCs w:val="32"/>
        </w:rPr>
        <w:t>32.77万元，增长1.72%，</w:t>
      </w:r>
      <w:bookmarkEnd w:id="50"/>
      <w:r>
        <w:rPr>
          <w:rFonts w:ascii="仿宋" w:eastAsia="仿宋" w:cs="仿宋" w:hint="eastAsia"/>
          <w:color w:val="000000"/>
          <w:sz w:val="32"/>
          <w:szCs w:val="32"/>
        </w:rPr>
        <w:t>支出总计增加32.77万元，增长1.72%。主要变动原因是：2025年较2024年口径改变，在其它收入中增加课后服务费导致收入、支出均有所增加。</w:t>
      </w:r>
    </w:p>
    <w:p>
      <w:pPr>
        <w:spacing w:line="600" w:lineRule="exact"/>
        <w:rPr>
          <w:rFonts w:ascii="仿宋" w:eastAsia="仿宋" w:cs="仿宋" w:hint="eastAsia"/>
          <w:color w:val="000000"/>
          <w:sz w:val="32"/>
          <w:szCs w:val="32"/>
        </w:rPr>
      </w:pPr>
    </w:p>
    <w:p>
      <w:pPr>
        <w:rPr>
          <w:rFonts w:ascii="仿宋" w:eastAsia="仿宋" w:cs="仿宋" w:hint="eastAsia"/>
          <w:color w:val="000000"/>
          <w:sz w:val="32"/>
          <w:szCs w:val="32"/>
        </w:rPr>
      </w:pPr>
      <w:r>
        <w:drawing>
          <wp:inline distT="0" distB="0" distL="0" distR="0">
            <wp:extent cx="5383530" cy="3054349"/>
            <wp:effectExtent l="0" t="0" r="0" b="0"/>
            <wp:docPr id="10" name="图表 1"/>
            <wp:cNvGraphicFramePr>
              <a:graphicFrameLocks noChangeAspect="0"/>
            </wp:cNvGraphicFramePr>
            <a:graphic>
              <a:graphicData uri="http://schemas.openxmlformats.org/drawingml/2006/chart">
                <c:chart xmlns:c="http://schemas.openxmlformats.org/drawingml/2006/chart" r:id="rId9"/>
              </a:graphicData>
            </a:graphic>
          </wp:inline>
        </w:drawing>
      </w:r>
      <w:r>
        <w:t xml:space="preserve"> </w:t>
      </w:r>
    </w:p>
    <w:p>
      <w:pPr>
        <w:spacing w:line="576" w:lineRule="exact"/>
        <w:jc w:val="center"/>
        <w:rPr>
          <w:rFonts w:ascii="仿宋" w:eastAsia="仿宋" w:cs="仿宋" w:hint="eastAsia"/>
          <w:sz w:val="32"/>
          <w:szCs w:val="32"/>
        </w:rPr>
      </w:pPr>
      <w:r>
        <w:rPr>
          <w:rFonts w:ascii="仿宋" w:eastAsia="仿宋" w:cs="仿宋" w:hint="eastAsia"/>
          <w:sz w:val="32"/>
          <w:szCs w:val="32"/>
        </w:rPr>
        <w:t>（图1：</w:t>
      </w:r>
      <w:bookmarkStart w:id="51" w:name="OLE_LINK7"/>
      <w:r>
        <w:rPr>
          <w:rFonts w:ascii="仿宋" w:eastAsia="仿宋" w:cs="仿宋" w:hint="eastAsia"/>
          <w:sz w:val="32"/>
          <w:szCs w:val="32"/>
        </w:rPr>
        <w:t>收、支决算总计变动情况图</w:t>
      </w:r>
      <w:bookmarkEnd w:id="51"/>
      <w:r>
        <w:rPr>
          <w:rFonts w:ascii="仿宋" w:eastAsia="仿宋" w:cs="仿宋" w:hint="eastAsia"/>
          <w:sz w:val="32"/>
          <w:szCs w:val="32"/>
        </w:rPr>
        <w:t>）（柱状图）</w:t>
      </w:r>
    </w:p>
    <w:p>
      <w:pPr>
        <w:pStyle w:val="39"/>
        <w:spacing w:line="576" w:lineRule="exact"/>
        <w:outlineLvl w:val="1"/>
        <w:rPr>
          <w:rStyle w:val="2Char"/>
          <w:rFonts w:ascii="黑体" w:eastAsia="黑体" w:cs="黑体" w:hint="eastAsia"/>
          <w:b w:val="0"/>
          <w:bCs w:val="0"/>
        </w:rPr>
      </w:pPr>
      <w:bookmarkStart w:id="52" w:name="_Toc15396604"/>
      <w:bookmarkStart w:id="53" w:name="_Toc24395"/>
      <w:bookmarkStart w:id="54" w:name="_Toc27060"/>
      <w:bookmarkStart w:id="55" w:name="_Toc29287"/>
      <w:bookmarkStart w:id="56" w:name="_Toc15377206"/>
      <w:bookmarkStart w:id="57" w:name="_Toc23885"/>
      <w:r>
        <w:rPr>
          <w:rStyle w:val="2Char"/>
          <w:rFonts w:ascii="黑体" w:eastAsia="黑体" w:cs="黑体" w:hint="eastAsia"/>
          <w:b w:val="0"/>
          <w:bCs w:val="0"/>
        </w:rPr>
        <w:t>二、收入决算情况说明</w:t>
      </w:r>
      <w:bookmarkEnd w:id="52"/>
      <w:bookmarkEnd w:id="53"/>
      <w:bookmarkEnd w:id="54"/>
      <w:bookmarkEnd w:id="55"/>
      <w:bookmarkEnd w:id="56"/>
      <w:bookmarkEnd w:id="57"/>
    </w:p>
    <w:p>
      <w:pPr>
        <w:spacing w:line="576" w:lineRule="exact"/>
        <w:ind w:firstLineChars="200" w:firstLine="640"/>
        <w:rPr>
          <w:rFonts w:ascii="仿宋" w:eastAsia="仿宋" w:cs="仿宋" w:hint="eastAsia"/>
          <w:color w:val="000000"/>
          <w:sz w:val="32"/>
          <w:szCs w:val="32"/>
        </w:rPr>
      </w:pPr>
      <w:r>
        <w:rPr>
          <w:rFonts w:ascii="仿宋" w:eastAsia="仿宋" w:cs="仿宋" w:hint="eastAsia"/>
          <w:color w:val="000000"/>
          <w:sz w:val="32"/>
          <w:szCs w:val="32"/>
        </w:rPr>
        <w:t>2025年度本年收入</w:t>
      </w:r>
      <w:r>
        <w:rPr>
          <w:rFonts w:ascii="宋体" w:cs="宋体" w:hint="eastAsia"/>
          <w:sz w:val="32"/>
          <w:szCs w:val="32"/>
        </w:rPr>
        <w:t>合计</w:t>
      </w:r>
      <w:r>
        <w:rPr>
          <w:rFonts w:ascii="仿宋" w:eastAsia="仿宋" w:cs="仿宋"/>
          <w:color w:val="000000"/>
          <w:sz w:val="32"/>
          <w:szCs w:val="32"/>
        </w:rPr>
        <w:t>1932.37</w:t>
      </w:r>
      <w:r>
        <w:rPr>
          <w:rFonts w:ascii="仿宋" w:eastAsia="仿宋" w:cs="仿宋" w:hint="eastAsia"/>
          <w:color w:val="000000"/>
          <w:sz w:val="32"/>
          <w:szCs w:val="32"/>
        </w:rPr>
        <w:t>万元，其中：一般公共预算财政拨款收入</w:t>
      </w:r>
      <w:r>
        <w:rPr>
          <w:rFonts w:ascii="仿宋" w:eastAsia="仿宋" w:cs="仿宋"/>
          <w:color w:val="000000"/>
          <w:sz w:val="32"/>
          <w:szCs w:val="32"/>
        </w:rPr>
        <w:t>1908.97</w:t>
      </w:r>
      <w:r>
        <w:rPr>
          <w:rFonts w:ascii="仿宋" w:eastAsia="仿宋" w:cs="仿宋" w:hint="eastAsia"/>
          <w:color w:val="000000"/>
          <w:sz w:val="32"/>
          <w:szCs w:val="32"/>
        </w:rPr>
        <w:t>万元，占98.79%；政府性基金预算财政拨款收入</w:t>
      </w:r>
      <w:r>
        <w:rPr>
          <w:rFonts w:ascii="仿宋" w:eastAsia="仿宋" w:cs="仿宋"/>
          <w:color w:val="000000"/>
          <w:sz w:val="32"/>
          <w:szCs w:val="32"/>
        </w:rPr>
        <w:t>1</w:t>
      </w:r>
      <w:r>
        <w:rPr>
          <w:rFonts w:ascii="仿宋" w:eastAsia="仿宋" w:cs="仿宋" w:hint="eastAsia"/>
          <w:color w:val="000000"/>
          <w:sz w:val="32"/>
          <w:szCs w:val="32"/>
        </w:rPr>
        <w:t>万元，占0.05%；国有资本经营预算财政拨款收入0万元，占0%；上级补助收入0万元，占0%；事业收入0万元，占0%；经营收入0万元，占0%；附属单位上缴收入0万元，占0%；其他收入</w:t>
      </w:r>
      <w:r>
        <w:rPr>
          <w:rFonts w:ascii="仿宋" w:eastAsia="仿宋" w:cs="仿宋"/>
          <w:color w:val="000000"/>
          <w:sz w:val="32"/>
          <w:szCs w:val="32"/>
        </w:rPr>
        <w:t>22.4</w:t>
      </w:r>
      <w:r>
        <w:rPr>
          <w:rFonts w:ascii="仿宋" w:eastAsia="仿宋" w:cs="仿宋" w:hint="eastAsia"/>
          <w:color w:val="000000"/>
          <w:sz w:val="32"/>
          <w:szCs w:val="32"/>
        </w:rPr>
        <w:t>万元，占1.16%</w:t>
      </w:r>
      <w:bookmarkStart w:id="58" w:name="_Toc14419"/>
      <w:bookmarkStart w:id="59" w:name="_Toc11882"/>
      <w:bookmarkStart w:id="60" w:name="_Toc7944"/>
      <w:bookmarkStart w:id="61" w:name="_Toc10483"/>
      <w:bookmarkStart w:id="62" w:name="_Toc15396605"/>
      <w:bookmarkStart w:id="63" w:name="_Toc15377207"/>
      <w:r>
        <w:rPr>
          <w:rFonts w:ascii="仿宋" w:eastAsia="仿宋" w:cs="仿宋" w:hint="eastAsia"/>
          <w:color w:val="000000"/>
          <w:sz w:val="32"/>
          <w:szCs w:val="32"/>
        </w:rPr>
        <w:t xml:space="preserve">。 </w:t>
      </w:r>
    </w:p>
    <w:p>
      <w:pPr>
        <w:rPr>
          <w:rFonts w:ascii="仿宋" w:eastAsia="仿宋" w:cs="仿宋" w:hint="eastAsia"/>
          <w:sz w:val="32"/>
          <w:szCs w:val="32"/>
        </w:rPr>
      </w:pPr>
      <w:r>
        <w:drawing>
          <wp:inline distT="0" distB="0" distL="0" distR="0">
            <wp:extent cx="5354320" cy="2743200"/>
            <wp:effectExtent l="0" t="0" r="0" b="0"/>
            <wp:docPr id="11" name="图表 1"/>
            <wp:cNvGraphicFramePr>
              <a:graphicFrameLocks noChangeAspect="0"/>
            </wp:cNvGraphicFramePr>
            <a:graphic>
              <a:graphicData uri="http://schemas.openxmlformats.org/drawingml/2006/chart">
                <c:chart xmlns:c="http://schemas.openxmlformats.org/drawingml/2006/chart" r:id="rId10"/>
              </a:graphicData>
            </a:graphic>
          </wp:inline>
        </w:drawing>
      </w:r>
    </w:p>
    <w:p>
      <w:pPr>
        <w:spacing w:line="576" w:lineRule="exact"/>
        <w:jc w:val="center"/>
        <w:rPr>
          <w:rStyle w:val="2Char"/>
          <w:rFonts w:ascii="仿宋" w:eastAsia="仿宋" w:cs="仿宋" w:hint="eastAsia"/>
          <w:b w:val="0"/>
        </w:rPr>
      </w:pPr>
      <w:r>
        <w:rPr>
          <w:rFonts w:ascii="仿宋" w:eastAsia="仿宋" w:cs="仿宋" w:hint="eastAsia"/>
          <w:sz w:val="32"/>
          <w:szCs w:val="32"/>
        </w:rPr>
        <w:t>（图2：收入决算结构图）（饼状图）</w:t>
      </w:r>
      <w:bookmarkEnd w:id="58"/>
      <w:bookmarkEnd w:id="59"/>
      <w:bookmarkEnd w:id="60"/>
      <w:bookmarkEnd w:id="61"/>
    </w:p>
    <w:p>
      <w:pPr>
        <w:pStyle w:val="39"/>
        <w:spacing w:line="576" w:lineRule="exact"/>
        <w:outlineLvl w:val="1"/>
        <w:rPr>
          <w:rStyle w:val="2Char"/>
          <w:rFonts w:ascii="黑体" w:eastAsia="黑体" w:cs="黑体" w:hint="eastAsia"/>
          <w:b w:val="0"/>
          <w:bCs w:val="0"/>
        </w:rPr>
      </w:pPr>
      <w:bookmarkStart w:id="64" w:name="_Toc23712"/>
      <w:bookmarkStart w:id="65" w:name="_Toc2761"/>
      <w:bookmarkStart w:id="66" w:name="_Toc15016"/>
      <w:bookmarkStart w:id="67" w:name="_Toc23412"/>
      <w:r>
        <w:rPr>
          <w:rStyle w:val="2Char"/>
          <w:rFonts w:ascii="黑体" w:eastAsia="黑体" w:cs="黑体" w:hint="eastAsia"/>
          <w:b w:val="0"/>
          <w:bCs w:val="0"/>
        </w:rPr>
        <w:t>三、支出决算情况说明</w:t>
      </w:r>
      <w:bookmarkEnd w:id="62"/>
      <w:bookmarkEnd w:id="63"/>
      <w:bookmarkEnd w:id="64"/>
      <w:bookmarkEnd w:id="65"/>
      <w:bookmarkEnd w:id="66"/>
      <w:bookmarkEnd w:id="67"/>
    </w:p>
    <w:p>
      <w:pPr>
        <w:spacing w:line="600" w:lineRule="exact"/>
        <w:ind w:firstLineChars="200" w:firstLine="640"/>
        <w:outlineLvl w:val="1"/>
      </w:pPr>
      <w:bookmarkStart w:id="68" w:name="_Toc5325"/>
      <w:r>
        <w:rPr>
          <w:rFonts w:ascii="仿宋" w:eastAsia="仿宋" w:cs="仿宋" w:hint="eastAsia"/>
          <w:sz w:val="32"/>
          <w:szCs w:val="32"/>
        </w:rPr>
        <w:t>2025年本年支出合计</w:t>
      </w:r>
      <w:r>
        <w:rPr>
          <w:rFonts w:ascii="仿宋" w:eastAsia="仿宋" w:cs="仿宋"/>
          <w:sz w:val="32"/>
          <w:szCs w:val="32"/>
        </w:rPr>
        <w:t>1937.32</w:t>
      </w:r>
      <w:r>
        <w:rPr>
          <w:rFonts w:ascii="仿宋" w:eastAsia="仿宋" w:cs="仿宋" w:hint="eastAsia"/>
          <w:sz w:val="32"/>
          <w:szCs w:val="32"/>
        </w:rPr>
        <w:t>万元，其中：基本支出</w:t>
      </w:r>
      <w:r>
        <w:rPr>
          <w:rFonts w:ascii="仿宋" w:eastAsia="仿宋" w:cs="仿宋"/>
          <w:sz w:val="32"/>
          <w:szCs w:val="32"/>
        </w:rPr>
        <w:t>1669.95</w:t>
      </w:r>
      <w:r>
        <w:rPr>
          <w:rFonts w:ascii="仿宋" w:eastAsia="仿宋" w:cs="仿宋" w:hint="eastAsia"/>
          <w:sz w:val="32"/>
          <w:szCs w:val="32"/>
        </w:rPr>
        <w:t>万元，占86.20%；项目支出</w:t>
      </w:r>
      <w:r>
        <w:rPr>
          <w:rFonts w:ascii="仿宋" w:eastAsia="仿宋" w:cs="仿宋"/>
          <w:sz w:val="32"/>
          <w:szCs w:val="32"/>
        </w:rPr>
        <w:t>267.37</w:t>
      </w:r>
      <w:r>
        <w:rPr>
          <w:rFonts w:ascii="仿宋" w:eastAsia="仿宋" w:cs="仿宋" w:hint="eastAsia"/>
          <w:sz w:val="32"/>
          <w:szCs w:val="32"/>
        </w:rPr>
        <w:t>万元，占13.80%。上缴上级支出0万元，占0%；经营支出0万元，占0%；对附属单位补助支出0万元，占0%。</w:t>
      </w:r>
      <w:bookmarkEnd w:id="68"/>
    </w:p>
    <w:p>
      <w:pPr>
        <w:jc w:val="center"/>
      </w:pPr>
    </w:p>
    <w:p>
      <w:pPr>
        <w:jc w:val="center"/>
      </w:pPr>
    </w:p>
    <w:p>
      <w:pPr>
        <w:jc w:val="center"/>
      </w:pPr>
      <w:r>
        <w:drawing>
          <wp:inline distT="0" distB="0" distL="0" distR="0">
            <wp:extent cx="4572000" cy="3049270"/>
            <wp:effectExtent l="0" t="0" r="0" b="0"/>
            <wp:docPr id="12" name="图表 1"/>
            <wp:cNvGraphicFramePr>
              <a:graphicFrameLocks noChangeAspect="0"/>
            </wp:cNvGraphicFramePr>
            <a:graphic>
              <a:graphicData uri="http://schemas.openxmlformats.org/drawingml/2006/chart">
                <c:chart xmlns:c="http://schemas.openxmlformats.org/drawingml/2006/chart" r:id="rId11"/>
              </a:graphicData>
            </a:graphic>
          </wp:inline>
        </w:drawing>
      </w:r>
    </w:p>
    <w:p>
      <w:pPr>
        <w:spacing w:line="576" w:lineRule="exact"/>
        <w:ind w:firstLineChars="600" w:firstLine="1920"/>
        <w:rPr>
          <w:rFonts w:ascii="仿宋" w:eastAsia="仿宋" w:cs="仿宋" w:hint="eastAsia"/>
          <w:sz w:val="32"/>
          <w:szCs w:val="32"/>
        </w:rPr>
      </w:pPr>
      <w:bookmarkStart w:id="69" w:name="_Toc15396606"/>
      <w:bookmarkStart w:id="70" w:name="_Toc15377208"/>
      <w:r>
        <w:rPr>
          <w:rFonts w:ascii="仿宋" w:eastAsia="仿宋" w:cs="仿宋" w:hint="eastAsia"/>
          <w:sz w:val="32"/>
          <w:szCs w:val="32"/>
        </w:rPr>
        <w:t>（图3：支出决算结构图）（饼状图）</w:t>
      </w:r>
    </w:p>
    <w:p>
      <w:pPr>
        <w:spacing w:line="576" w:lineRule="exact"/>
        <w:ind w:firstLineChars="200" w:firstLine="640"/>
        <w:outlineLvl w:val="1"/>
        <w:rPr>
          <w:rStyle w:val="2Char"/>
          <w:rFonts w:ascii="黑体" w:eastAsia="黑体" w:cs="黑体" w:hint="eastAsia"/>
          <w:b w:val="0"/>
          <w:bCs w:val="0"/>
        </w:rPr>
      </w:pPr>
      <w:bookmarkStart w:id="71" w:name="_Toc15048"/>
      <w:bookmarkStart w:id="72" w:name="_Toc25957"/>
      <w:bookmarkStart w:id="73" w:name="_Toc29891"/>
      <w:bookmarkStart w:id="74" w:name="_Toc21253"/>
      <w:r>
        <w:rPr>
          <w:rStyle w:val="2Char"/>
          <w:rFonts w:ascii="黑体" w:eastAsia="黑体" w:cs="黑体" w:hint="eastAsia"/>
          <w:b w:val="0"/>
          <w:bCs w:val="0"/>
        </w:rPr>
        <w:t>四、财政拨款收入支出决算总体情况说明</w:t>
      </w:r>
      <w:bookmarkEnd w:id="69"/>
      <w:bookmarkEnd w:id="70"/>
      <w:bookmarkEnd w:id="71"/>
      <w:bookmarkEnd w:id="72"/>
      <w:bookmarkEnd w:id="73"/>
      <w:bookmarkEnd w:id="74"/>
    </w:p>
    <w:p>
      <w:pPr>
        <w:spacing w:line="600" w:lineRule="exact"/>
        <w:ind w:firstLineChars="200" w:firstLine="640"/>
        <w:rPr>
          <w:rFonts w:ascii="仿宋" w:eastAsia="仿宋" w:cs="仿宋" w:hint="eastAsia"/>
          <w:color w:val="000000"/>
          <w:sz w:val="32"/>
          <w:szCs w:val="32"/>
        </w:rPr>
      </w:pPr>
      <w:r>
        <w:rPr>
          <w:rFonts w:ascii="仿宋" w:eastAsia="仿宋" w:cs="仿宋" w:hint="eastAsia"/>
          <w:color w:val="000000"/>
          <w:sz w:val="32"/>
          <w:szCs w:val="32"/>
        </w:rPr>
        <w:t>2025年财政拨款收入总计</w:t>
      </w:r>
      <w:r>
        <w:rPr>
          <w:rFonts w:ascii="仿宋" w:eastAsia="仿宋" w:cs="仿宋"/>
          <w:color w:val="000000"/>
          <w:sz w:val="32"/>
          <w:szCs w:val="32"/>
        </w:rPr>
        <w:t>1909.97</w:t>
      </w:r>
      <w:r>
        <w:rPr>
          <w:rFonts w:ascii="仿宋" w:eastAsia="仿宋" w:cs="仿宋" w:hint="eastAsia"/>
          <w:color w:val="000000"/>
          <w:sz w:val="32"/>
          <w:szCs w:val="32"/>
        </w:rPr>
        <w:t>万元、支出总计</w:t>
      </w:r>
      <w:r>
        <w:rPr>
          <w:rFonts w:ascii="仿宋" w:eastAsia="仿宋" w:cs="仿宋"/>
          <w:b/>
          <w:bCs/>
          <w:color w:val="000000"/>
          <w:sz w:val="32"/>
          <w:szCs w:val="32"/>
        </w:rPr>
        <w:t>1909.97</w:t>
      </w:r>
      <w:r>
        <w:rPr>
          <w:rFonts w:ascii="仿宋" w:eastAsia="仿宋" w:cs="仿宋" w:hint="eastAsia"/>
          <w:color w:val="000000"/>
          <w:sz w:val="32"/>
          <w:szCs w:val="32"/>
        </w:rPr>
        <w:t>万元。与2024年收入总计1897.64万元，支出总计1845.65万元相比，2025年财政拨款收入增加</w:t>
      </w:r>
      <w:bookmarkStart w:id="75" w:name="OLE_LINK11"/>
      <w:r>
        <w:rPr>
          <w:rFonts w:ascii="仿宋" w:eastAsia="仿宋" w:cs="仿宋" w:hint="eastAsia"/>
          <w:color w:val="000000"/>
          <w:sz w:val="32"/>
          <w:szCs w:val="32"/>
        </w:rPr>
        <w:t>12.33</w:t>
      </w:r>
      <w:bookmarkEnd w:id="75"/>
      <w:r>
        <w:rPr>
          <w:rFonts w:ascii="仿宋" w:eastAsia="仿宋" w:cs="仿宋" w:hint="eastAsia"/>
          <w:color w:val="000000"/>
          <w:sz w:val="32"/>
          <w:szCs w:val="32"/>
        </w:rPr>
        <w:t>万元，增长</w:t>
      </w:r>
      <w:bookmarkStart w:id="76" w:name="OLE_LINK12"/>
      <w:r>
        <w:rPr>
          <w:rFonts w:ascii="仿宋" w:eastAsia="仿宋" w:cs="仿宋" w:hint="eastAsia"/>
          <w:color w:val="000000"/>
          <w:sz w:val="32"/>
          <w:szCs w:val="32"/>
        </w:rPr>
        <w:t>0.65</w:t>
      </w:r>
      <w:bookmarkEnd w:id="76"/>
      <w:r>
        <w:rPr>
          <w:rFonts w:ascii="仿宋" w:eastAsia="仿宋" w:cs="仿宋" w:hint="eastAsia"/>
          <w:color w:val="000000"/>
          <w:sz w:val="32"/>
          <w:szCs w:val="32"/>
        </w:rPr>
        <w:t>%；支出总计增加12.33万元，增长0.65%。主要变动原因是：1、2025年度人员工资、保险等待遇调整，相应收支发生变化；2、2025年度学生补助项目资金较上年度有所调整；3、</w:t>
      </w:r>
      <w:r>
        <w:rPr>
          <w:rFonts w:ascii="仿宋" w:eastAsia="仿宋" w:hint="eastAsia"/>
          <w:sz w:val="32"/>
          <w:szCs w:val="32"/>
        </w:rPr>
        <w:t>其他收入中增加课后服务费</w:t>
      </w:r>
      <w:r>
        <w:rPr>
          <w:rFonts w:ascii="仿宋" w:eastAsia="仿宋" w:cs="仿宋" w:hint="eastAsia"/>
          <w:color w:val="000000"/>
          <w:sz w:val="32"/>
          <w:szCs w:val="32"/>
        </w:rPr>
        <w:t>。</w:t>
      </w:r>
    </w:p>
    <w:p>
      <w:r>
        <w:drawing>
          <wp:inline distT="0" distB="0" distL="0" distR="0">
            <wp:extent cx="5460365" cy="3195320"/>
            <wp:effectExtent l="0" t="0" r="0" b="0"/>
            <wp:docPr id="13" name="图表 1"/>
            <wp:cNvGraphicFramePr>
              <a:graphicFrameLocks noChangeAspect="0"/>
            </wp:cNvGraphicFramePr>
            <a:graphic>
              <a:graphicData uri="http://schemas.openxmlformats.org/drawingml/2006/chart">
                <c:chart xmlns:c="http://schemas.openxmlformats.org/drawingml/2006/chart" r:id="rId12"/>
              </a:graphicData>
            </a:graphic>
          </wp:inline>
        </w:drawing>
      </w:r>
    </w:p>
    <w:p>
      <w:pPr>
        <w:spacing w:line="576" w:lineRule="exact"/>
        <w:rPr>
          <w:rFonts w:ascii="仿宋" w:eastAsia="仿宋" w:cs="仿宋" w:hint="eastAsia"/>
          <w:sz w:val="32"/>
          <w:szCs w:val="32"/>
        </w:rPr>
      </w:pPr>
      <w:bookmarkStart w:id="77" w:name="_Toc15377209"/>
      <w:bookmarkStart w:id="78" w:name="_Toc15396607"/>
      <w:r>
        <w:rPr>
          <w:rFonts w:ascii="仿宋" w:eastAsia="仿宋" w:cs="仿宋" w:hint="eastAsia"/>
          <w:sz w:val="32"/>
          <w:szCs w:val="32"/>
        </w:rPr>
        <w:t>（图4：</w:t>
      </w:r>
      <w:bookmarkStart w:id="79" w:name="OLE_LINK14"/>
      <w:r>
        <w:rPr>
          <w:rFonts w:ascii="仿宋" w:eastAsia="仿宋" w:cs="仿宋" w:hint="eastAsia"/>
          <w:sz w:val="32"/>
          <w:szCs w:val="32"/>
        </w:rPr>
        <w:t>财政拨款收、支决算总计变动情况</w:t>
      </w:r>
      <w:bookmarkEnd w:id="79"/>
      <w:r>
        <w:rPr>
          <w:rFonts w:ascii="仿宋" w:eastAsia="仿宋" w:cs="仿宋" w:hint="eastAsia"/>
          <w:sz w:val="32"/>
          <w:szCs w:val="32"/>
        </w:rPr>
        <w:t>）（柱状图）</w:t>
      </w:r>
    </w:p>
    <w:p>
      <w:pPr>
        <w:spacing w:line="576" w:lineRule="exact"/>
        <w:ind w:firstLineChars="200" w:firstLine="640"/>
        <w:outlineLvl w:val="1"/>
        <w:rPr>
          <w:rStyle w:val="2Char"/>
          <w:rFonts w:ascii="黑体" w:eastAsia="黑体" w:cs="黑体" w:hint="eastAsia"/>
          <w:b w:val="0"/>
          <w:bCs w:val="0"/>
        </w:rPr>
      </w:pPr>
      <w:bookmarkStart w:id="80" w:name="_Toc30240"/>
      <w:bookmarkStart w:id="81" w:name="_Toc28180"/>
      <w:bookmarkStart w:id="82" w:name="_Toc1429"/>
      <w:bookmarkStart w:id="83" w:name="_Toc30481"/>
      <w:r>
        <w:rPr>
          <w:rStyle w:val="2Char"/>
          <w:rFonts w:ascii="黑体" w:eastAsia="黑体" w:cs="黑体" w:hint="eastAsia"/>
          <w:b w:val="0"/>
          <w:bCs w:val="0"/>
        </w:rPr>
        <w:t>五、一般公共预算财政拨款支出决算情况说明</w:t>
      </w:r>
      <w:bookmarkEnd w:id="77"/>
      <w:bookmarkEnd w:id="78"/>
      <w:bookmarkEnd w:id="80"/>
      <w:bookmarkEnd w:id="81"/>
      <w:bookmarkEnd w:id="82"/>
      <w:bookmarkEnd w:id="83"/>
    </w:p>
    <w:p>
      <w:pPr>
        <w:ind w:firstLineChars="200" w:firstLine="640"/>
        <w:outlineLvl w:val="2"/>
        <w:rPr>
          <w:rFonts w:ascii="楷体_GB2312" w:eastAsia="楷体_GB2312" w:cs="楷体_GB2312" w:hint="eastAsia"/>
          <w:b/>
          <w:kern w:val="0"/>
          <w:sz w:val="32"/>
          <w:szCs w:val="32"/>
        </w:rPr>
      </w:pPr>
      <w:bookmarkStart w:id="84" w:name="_Toc29242"/>
      <w:bookmarkStart w:id="85" w:name="_Toc9177"/>
      <w:bookmarkStart w:id="86" w:name="_Toc15377210"/>
      <w:bookmarkStart w:id="87" w:name="_Toc21569"/>
      <w:bookmarkStart w:id="88" w:name="_Toc32381"/>
      <w:r>
        <w:rPr>
          <w:rFonts w:ascii="楷体_GB2312" w:eastAsia="楷体_GB2312" w:cs="楷体_GB2312" w:hint="eastAsia"/>
          <w:b/>
          <w:kern w:val="0"/>
          <w:sz w:val="32"/>
          <w:szCs w:val="32"/>
        </w:rPr>
        <w:t>（一）一般公共预算财政拨款支出决算总体情况</w:t>
      </w:r>
      <w:bookmarkEnd w:id="84"/>
      <w:bookmarkEnd w:id="85"/>
      <w:bookmarkEnd w:id="86"/>
      <w:bookmarkEnd w:id="87"/>
      <w:bookmarkEnd w:id="88"/>
    </w:p>
    <w:p>
      <w:pPr>
        <w:spacing w:line="600" w:lineRule="exact"/>
        <w:ind w:firstLineChars="200" w:firstLine="640"/>
        <w:rPr>
          <w:rFonts w:ascii="仿宋" w:eastAsia="仿宋" w:cs="仿宋" w:hint="eastAsia"/>
          <w:sz w:val="32"/>
          <w:szCs w:val="32"/>
        </w:rPr>
      </w:pPr>
      <w:r>
        <w:rPr>
          <w:rFonts w:ascii="仿宋" w:eastAsia="仿宋" w:cs="仿宋" w:hint="eastAsia"/>
          <w:sz w:val="32"/>
          <w:szCs w:val="32"/>
        </w:rPr>
        <w:t>2025年一般公共预算财政拨款支出</w:t>
      </w:r>
      <w:r>
        <w:rPr>
          <w:rFonts w:ascii="仿宋" w:eastAsia="仿宋" w:cs="仿宋"/>
          <w:sz w:val="32"/>
          <w:szCs w:val="32"/>
        </w:rPr>
        <w:t>1908.97</w:t>
      </w:r>
      <w:r>
        <w:rPr>
          <w:rFonts w:ascii="仿宋" w:eastAsia="仿宋" w:cs="仿宋" w:hint="eastAsia"/>
          <w:sz w:val="32"/>
          <w:szCs w:val="32"/>
        </w:rPr>
        <w:t>万元，占本年支出合计的98.79%。与2024年一般公共预算财政拨款支出1896.14万元相比，2025年一般公共预算财政拨款支出增加12.83万元，增长0.68%。主要变动原因是：1、2025年度人员工资、保险等待遇调整；2、2025年度学生补助项目资金较上年度有所调整；</w:t>
      </w:r>
      <w:r>
        <w:rPr>
          <w:rFonts w:ascii="仿宋" w:eastAsia="仿宋" w:cs="仿宋" w:hint="eastAsia"/>
          <w:color w:val="000000"/>
          <w:sz w:val="32"/>
          <w:szCs w:val="32"/>
        </w:rPr>
        <w:t>3、</w:t>
      </w:r>
      <w:r>
        <w:rPr>
          <w:rFonts w:ascii="仿宋" w:eastAsia="仿宋" w:hint="eastAsia"/>
          <w:sz w:val="32"/>
          <w:szCs w:val="32"/>
        </w:rPr>
        <w:t>其他收入中增加课后服务费</w:t>
      </w:r>
      <w:r>
        <w:rPr>
          <w:rFonts w:ascii="仿宋" w:eastAsia="仿宋" w:cs="仿宋" w:hint="eastAsia"/>
          <w:sz w:val="32"/>
          <w:szCs w:val="32"/>
        </w:rPr>
        <w:t>。</w:t>
      </w:r>
    </w:p>
    <w:p>
      <w:pPr>
        <w:rPr>
          <w:rFonts w:ascii="仿宋" w:eastAsia="仿宋" w:cs="仿宋" w:hint="eastAsia"/>
          <w:sz w:val="32"/>
          <w:szCs w:val="32"/>
        </w:rPr>
      </w:pPr>
      <w:r>
        <w:drawing>
          <wp:inline distT="0" distB="0" distL="0" distR="0">
            <wp:extent cx="5467985" cy="3016250"/>
            <wp:effectExtent l="0" t="0" r="0" b="0"/>
            <wp:docPr id="14" name="图表 1"/>
            <wp:cNvGraphicFramePr>
              <a:graphicFrameLocks noChangeAspect="0"/>
            </wp:cNvGraphicFramePr>
            <a:graphic>
              <a:graphicData uri="http://schemas.openxmlformats.org/drawingml/2006/chart">
                <c:chart xmlns:c="http://schemas.openxmlformats.org/drawingml/2006/chart" r:id="rId13"/>
              </a:graphicData>
            </a:graphic>
          </wp:inline>
        </w:drawing>
      </w:r>
    </w:p>
    <w:p>
      <w:pPr>
        <w:spacing w:line="576" w:lineRule="exact"/>
        <w:rPr>
          <w:rFonts w:ascii="仿宋" w:eastAsia="仿宋" w:cs="仿宋" w:hint="eastAsia"/>
          <w:b/>
          <w:sz w:val="32"/>
          <w:szCs w:val="32"/>
        </w:rPr>
      </w:pPr>
      <w:bookmarkStart w:id="89" w:name="_Toc28158"/>
      <w:bookmarkStart w:id="90" w:name="_Toc23361"/>
      <w:bookmarkStart w:id="91" w:name="_Toc15377211"/>
      <w:r>
        <w:rPr>
          <w:rFonts w:ascii="仿宋" w:eastAsia="仿宋" w:cs="仿宋" w:hint="eastAsia"/>
          <w:sz w:val="32"/>
          <w:szCs w:val="32"/>
        </w:rPr>
        <w:t>（图5：</w:t>
      </w:r>
      <w:bookmarkStart w:id="92" w:name="OLE_LINK17"/>
      <w:r>
        <w:rPr>
          <w:rFonts w:ascii="仿宋" w:eastAsia="仿宋" w:cs="仿宋" w:hint="eastAsia"/>
          <w:sz w:val="32"/>
          <w:szCs w:val="32"/>
        </w:rPr>
        <w:t>一般公共预算财政拨款支出决算变动情况</w:t>
      </w:r>
      <w:bookmarkEnd w:id="92"/>
      <w:r>
        <w:rPr>
          <w:rFonts w:ascii="仿宋" w:eastAsia="仿宋" w:cs="仿宋" w:hint="eastAsia"/>
          <w:sz w:val="32"/>
          <w:szCs w:val="32"/>
        </w:rPr>
        <w:t>)(柱状图）</w:t>
      </w:r>
      <w:bookmarkEnd w:id="89"/>
      <w:bookmarkEnd w:id="90"/>
    </w:p>
    <w:p>
      <w:pPr>
        <w:ind w:firstLineChars="200" w:firstLine="640"/>
        <w:outlineLvl w:val="2"/>
        <w:rPr>
          <w:rFonts w:ascii="楷体_GB2312" w:eastAsia="楷体_GB2312" w:cs="楷体_GB2312" w:hint="eastAsia"/>
          <w:b/>
          <w:kern w:val="0"/>
          <w:sz w:val="32"/>
          <w:szCs w:val="32"/>
        </w:rPr>
      </w:pPr>
      <w:bookmarkStart w:id="93" w:name="_Toc24490"/>
      <w:bookmarkStart w:id="94" w:name="_Toc21271"/>
      <w:bookmarkStart w:id="95" w:name="_Toc4701"/>
      <w:bookmarkStart w:id="96" w:name="_Toc15330"/>
      <w:r>
        <w:rPr>
          <w:rFonts w:ascii="楷体_GB2312" w:eastAsia="楷体_GB2312" w:cs="楷体_GB2312" w:hint="eastAsia"/>
          <w:b/>
          <w:kern w:val="0"/>
          <w:sz w:val="32"/>
          <w:szCs w:val="32"/>
        </w:rPr>
        <w:t>（二）一般公共预算财政拨款支出决算结构情况</w:t>
      </w:r>
      <w:bookmarkEnd w:id="91"/>
      <w:bookmarkEnd w:id="93"/>
      <w:bookmarkEnd w:id="94"/>
      <w:bookmarkEnd w:id="95"/>
      <w:bookmarkEnd w:id="96"/>
    </w:p>
    <w:p>
      <w:pPr>
        <w:spacing w:line="576" w:lineRule="exact"/>
        <w:ind w:firstLine="640"/>
        <w:rPr>
          <w:rFonts w:ascii="仿宋" w:eastAsia="仿宋" w:cs="仿宋" w:hint="eastAsia"/>
        </w:rPr>
      </w:pPr>
      <w:r>
        <w:rPr>
          <w:rFonts w:ascii="仿宋" w:eastAsia="仿宋" w:cs="仿宋" w:hint="eastAsia"/>
          <w:sz w:val="32"/>
          <w:szCs w:val="32"/>
        </w:rPr>
        <w:t>2025年一般公共预算财政拨款支出</w:t>
      </w:r>
      <w:r>
        <w:rPr>
          <w:rFonts w:ascii="仿宋" w:eastAsia="仿宋" w:cs="仿宋"/>
          <w:sz w:val="32"/>
          <w:szCs w:val="32"/>
        </w:rPr>
        <w:t>1908.97</w:t>
      </w:r>
      <w:r>
        <w:rPr>
          <w:rFonts w:ascii="仿宋" w:eastAsia="仿宋" w:cs="仿宋" w:hint="eastAsia"/>
          <w:sz w:val="32"/>
          <w:szCs w:val="32"/>
        </w:rPr>
        <w:t>万元，主要用于以下方面:教育支出（类）支出</w:t>
      </w:r>
      <w:r>
        <w:rPr>
          <w:rFonts w:ascii="仿宋" w:eastAsia="仿宋" w:cs="仿宋"/>
          <w:sz w:val="32"/>
          <w:szCs w:val="32"/>
        </w:rPr>
        <w:t>1484.53</w:t>
      </w:r>
      <w:r>
        <w:rPr>
          <w:rFonts w:ascii="仿宋" w:eastAsia="仿宋" w:cs="仿宋" w:hint="eastAsia"/>
          <w:sz w:val="32"/>
          <w:szCs w:val="32"/>
        </w:rPr>
        <w:t>万元，占77.77%；社会保障和就业（类）支出</w:t>
      </w:r>
      <w:r>
        <w:rPr>
          <w:rFonts w:ascii="仿宋" w:eastAsia="仿宋" w:cs="仿宋"/>
          <w:sz w:val="32"/>
          <w:szCs w:val="32"/>
        </w:rPr>
        <w:t>211.34</w:t>
      </w:r>
      <w:r>
        <w:rPr>
          <w:rFonts w:ascii="仿宋" w:eastAsia="仿宋" w:cs="仿宋" w:hint="eastAsia"/>
          <w:sz w:val="32"/>
          <w:szCs w:val="32"/>
        </w:rPr>
        <w:t>万元，占11.07%；卫生健康（类）支出</w:t>
      </w:r>
      <w:r>
        <w:rPr>
          <w:rFonts w:ascii="仿宋" w:eastAsia="仿宋" w:cs="仿宋"/>
          <w:sz w:val="32"/>
          <w:szCs w:val="32"/>
        </w:rPr>
        <w:t>96.03</w:t>
      </w:r>
      <w:r>
        <w:rPr>
          <w:rFonts w:ascii="仿宋" w:eastAsia="仿宋" w:cs="仿宋" w:hint="eastAsia"/>
          <w:sz w:val="32"/>
          <w:szCs w:val="32"/>
        </w:rPr>
        <w:t>万元，占5.03%；住房保障（类）支出</w:t>
      </w:r>
      <w:r>
        <w:rPr>
          <w:rFonts w:ascii="仿宋" w:eastAsia="仿宋" w:cs="仿宋"/>
          <w:sz w:val="32"/>
          <w:szCs w:val="32"/>
        </w:rPr>
        <w:t>117.07</w:t>
      </w:r>
      <w:r>
        <w:rPr>
          <w:rFonts w:ascii="仿宋" w:eastAsia="仿宋" w:cs="仿宋" w:hint="eastAsia"/>
          <w:sz w:val="32"/>
          <w:szCs w:val="32"/>
        </w:rPr>
        <w:t>万元，占6.13%。</w:t>
      </w:r>
    </w:p>
    <w:p>
      <w:pPr>
        <w:pStyle w:val="31"/>
        <w:tabs>
          <w:tab w:val="left" w:pos="960"/>
        </w:tabs>
        <w:spacing w:line="240" w:lineRule="auto"/>
        <w:ind w:firstLineChars="0" w:firstLine="0"/>
        <w:rPr>
          <w:rFonts w:ascii="仿宋" w:eastAsia="仿宋" w:cs="仿宋" w:hint="eastAsia"/>
        </w:rPr>
      </w:pPr>
      <w:r>
        <w:drawing>
          <wp:inline distT="0" distB="0" distL="0" distR="0">
            <wp:extent cx="5354320" cy="3877945"/>
            <wp:effectExtent l="0" t="0" r="0" b="0"/>
            <wp:docPr id="15" name="图表 1"/>
            <wp:cNvGraphicFramePr>
              <a:graphicFrameLocks noChangeAspect="0"/>
            </wp:cNvGraphicFramePr>
            <a:graphic>
              <a:graphicData uri="http://schemas.openxmlformats.org/drawingml/2006/chart">
                <c:chart xmlns:c="http://schemas.openxmlformats.org/drawingml/2006/chart" r:id="rId14"/>
              </a:graphicData>
            </a:graphic>
          </wp:inline>
        </w:drawing>
      </w:r>
    </w:p>
    <w:p>
      <w:pPr>
        <w:pStyle w:val="31"/>
        <w:tabs>
          <w:tab w:val="left" w:pos="960"/>
        </w:tabs>
        <w:spacing w:line="240" w:lineRule="auto"/>
        <w:ind w:leftChars="153" w:left="641" w:hangingChars="100" w:hanging="320"/>
        <w:rPr>
          <w:rFonts w:ascii="仿宋" w:eastAsia="仿宋" w:cs="仿宋" w:hint="eastAsia"/>
        </w:rPr>
      </w:pPr>
      <w:r>
        <w:rPr>
          <w:rFonts w:ascii="仿宋" w:eastAsia="仿宋" w:cs="仿宋" w:hint="eastAsia"/>
        </w:rPr>
        <w:t>（图6：一般公共预算财政拨款支出</w:t>
      </w:r>
      <w:bookmarkStart w:id="97" w:name="OLE_LINK18"/>
      <w:r>
        <w:rPr>
          <w:rFonts w:ascii="仿宋" w:eastAsia="仿宋" w:cs="仿宋" w:hint="eastAsia"/>
        </w:rPr>
        <w:t>决算结构</w:t>
      </w:r>
      <w:bookmarkEnd w:id="97"/>
      <w:r>
        <w:rPr>
          <w:rFonts w:ascii="仿宋" w:eastAsia="仿宋" w:cs="仿宋" w:hint="eastAsia"/>
        </w:rPr>
        <w:t>）（饼状图）</w:t>
      </w:r>
      <w:bookmarkStart w:id="98" w:name="_Toc15377212"/>
      <w:bookmarkStart w:id="99" w:name="_Toc21059"/>
      <w:bookmarkStart w:id="100" w:name="_Toc6073"/>
    </w:p>
    <w:p>
      <w:pPr>
        <w:pStyle w:val="31"/>
        <w:tabs>
          <w:tab w:val="left" w:pos="960"/>
        </w:tabs>
        <w:spacing w:line="240" w:lineRule="auto"/>
        <w:ind w:left="640" w:hangingChars="200" w:hanging="640"/>
        <w:rPr>
          <w:rFonts w:ascii="楷体_GB2312" w:eastAsia="楷体_GB2312" w:cs="楷体_GB2312" w:hint="eastAsia"/>
          <w:b/>
          <w:kern w:val="0"/>
        </w:rPr>
      </w:pPr>
      <w:r>
        <w:rPr>
          <w:rFonts w:ascii="楷体_GB2312" w:eastAsia="楷体_GB2312" w:cs="楷体_GB2312" w:hint="eastAsia"/>
          <w:b/>
          <w:kern w:val="0"/>
        </w:rPr>
        <w:t>（三）一般公共预算财政拨款支出决算具体情况</w:t>
      </w:r>
      <w:bookmarkEnd w:id="98"/>
      <w:bookmarkEnd w:id="99"/>
      <w:bookmarkEnd w:id="100"/>
    </w:p>
    <w:p>
      <w:pPr>
        <w:spacing w:line="576" w:lineRule="exact"/>
        <w:ind w:firstLineChars="200" w:firstLine="640"/>
        <w:rPr>
          <w:rFonts w:ascii="仿宋" w:eastAsia="仿宋" w:cs="仿宋" w:hint="eastAsia"/>
          <w:sz w:val="32"/>
          <w:szCs w:val="32"/>
        </w:rPr>
      </w:pPr>
      <w:bookmarkStart w:id="101" w:name="_Toc6763"/>
      <w:bookmarkStart w:id="102" w:name="_Toc15377213"/>
      <w:bookmarkStart w:id="103" w:name="_Toc15377444"/>
      <w:bookmarkStart w:id="104" w:name="_Toc15378460"/>
      <w:bookmarkStart w:id="105" w:name="_Toc22847"/>
      <w:r>
        <w:rPr>
          <w:rFonts w:ascii="仿宋" w:eastAsia="仿宋" w:cs="仿宋" w:hint="eastAsia"/>
          <w:b/>
          <w:sz w:val="32"/>
          <w:szCs w:val="32"/>
        </w:rPr>
        <w:t>2025年一般公共预算支出决算数为</w:t>
      </w:r>
      <w:r>
        <w:rPr>
          <w:rFonts w:ascii="仿宋" w:eastAsia="仿宋" w:cs="仿宋"/>
          <w:b/>
          <w:sz w:val="32"/>
          <w:szCs w:val="32"/>
        </w:rPr>
        <w:t>1908.97</w:t>
      </w:r>
      <w:r>
        <w:rPr>
          <w:rFonts w:ascii="仿宋" w:eastAsia="仿宋" w:cs="仿宋" w:hint="eastAsia"/>
          <w:b/>
          <w:sz w:val="32"/>
          <w:szCs w:val="32"/>
        </w:rPr>
        <w:t>万元，完成预算100%。其中：</w:t>
      </w:r>
      <w:bookmarkEnd w:id="101"/>
      <w:bookmarkEnd w:id="102"/>
      <w:bookmarkEnd w:id="103"/>
      <w:bookmarkEnd w:id="104"/>
      <w:bookmarkEnd w:id="105"/>
    </w:p>
    <w:p>
      <w:pPr>
        <w:spacing w:line="600" w:lineRule="exact"/>
        <w:ind w:firstLineChars="200" w:firstLine="640"/>
        <w:rPr>
          <w:rStyle w:val="32"/>
          <w:rFonts w:ascii="仿宋" w:eastAsia="仿宋" w:cs="仿宋" w:hint="eastAsia"/>
          <w:b w:val="0"/>
          <w:bCs/>
          <w:sz w:val="32"/>
          <w:szCs w:val="32"/>
        </w:rPr>
      </w:pPr>
      <w:r>
        <w:rPr>
          <w:rStyle w:val="32"/>
          <w:rFonts w:ascii="仿宋" w:eastAsia="仿宋" w:cs="仿宋" w:hint="eastAsia"/>
          <w:bCs/>
          <w:sz w:val="32"/>
          <w:szCs w:val="32"/>
        </w:rPr>
        <w:t>1.教育支出（类）普通教育（款）学前教育（项）: 支出决算为</w:t>
      </w:r>
      <w:r>
        <w:rPr>
          <w:rStyle w:val="32"/>
          <w:rFonts w:ascii="仿宋" w:eastAsia="仿宋" w:cs="仿宋"/>
          <w:bCs/>
          <w:sz w:val="32"/>
          <w:szCs w:val="32"/>
        </w:rPr>
        <w:t>72.11</w:t>
      </w:r>
      <w:r>
        <w:rPr>
          <w:rStyle w:val="32"/>
          <w:rFonts w:ascii="仿宋" w:eastAsia="仿宋" w:cs="仿宋" w:hint="eastAsia"/>
          <w:bCs/>
          <w:sz w:val="32"/>
          <w:szCs w:val="32"/>
        </w:rPr>
        <w:t>万元，完成预算100%，决算数等于预算数。原因：本单位严格执行预算。</w:t>
      </w:r>
    </w:p>
    <w:p>
      <w:pPr>
        <w:spacing w:line="600" w:lineRule="exact"/>
        <w:ind w:firstLineChars="200" w:firstLine="640"/>
        <w:rPr>
          <w:rStyle w:val="32"/>
          <w:rFonts w:ascii="仿宋" w:eastAsia="仿宋" w:cs="仿宋" w:hint="eastAsia"/>
          <w:b w:val="0"/>
          <w:bCs/>
          <w:sz w:val="32"/>
          <w:szCs w:val="32"/>
        </w:rPr>
      </w:pPr>
      <w:r>
        <w:rPr>
          <w:rStyle w:val="32"/>
          <w:rFonts w:ascii="仿宋" w:eastAsia="仿宋" w:cs="仿宋" w:hint="eastAsia"/>
          <w:bCs/>
          <w:color w:val="000000"/>
          <w:sz w:val="32"/>
          <w:szCs w:val="32"/>
        </w:rPr>
        <w:t>教育支出（</w:t>
      </w:r>
      <w:r>
        <w:rPr>
          <w:rStyle w:val="32"/>
          <w:rFonts w:ascii="仿宋" w:eastAsia="仿宋" w:cs="仿宋" w:hint="eastAsia"/>
          <w:bCs/>
          <w:sz w:val="32"/>
          <w:szCs w:val="32"/>
        </w:rPr>
        <w:t>类</w:t>
      </w:r>
      <w:r>
        <w:rPr>
          <w:rStyle w:val="32"/>
          <w:rFonts w:ascii="仿宋" w:eastAsia="仿宋" w:cs="仿宋" w:hint="eastAsia"/>
          <w:bCs/>
          <w:color w:val="000000"/>
          <w:sz w:val="32"/>
          <w:szCs w:val="32"/>
        </w:rPr>
        <w:t>）普通教育（</w:t>
      </w:r>
      <w:r>
        <w:rPr>
          <w:rStyle w:val="32"/>
          <w:rFonts w:ascii="仿宋" w:eastAsia="仿宋" w:cs="仿宋" w:hint="eastAsia"/>
          <w:bCs/>
          <w:sz w:val="32"/>
          <w:szCs w:val="32"/>
        </w:rPr>
        <w:t>款</w:t>
      </w:r>
      <w:r>
        <w:rPr>
          <w:rStyle w:val="32"/>
          <w:rFonts w:ascii="仿宋" w:eastAsia="仿宋" w:cs="仿宋" w:hint="eastAsia"/>
          <w:bCs/>
          <w:color w:val="000000"/>
          <w:sz w:val="32"/>
          <w:szCs w:val="32"/>
        </w:rPr>
        <w:t>）小学教育（</w:t>
      </w:r>
      <w:r>
        <w:rPr>
          <w:rStyle w:val="32"/>
          <w:rFonts w:ascii="仿宋" w:eastAsia="仿宋" w:cs="仿宋" w:hint="eastAsia"/>
          <w:bCs/>
          <w:sz w:val="32"/>
          <w:szCs w:val="32"/>
        </w:rPr>
        <w:t>项</w:t>
      </w:r>
      <w:r>
        <w:rPr>
          <w:rStyle w:val="32"/>
          <w:rFonts w:ascii="仿宋" w:eastAsia="仿宋" w:cs="仿宋" w:hint="eastAsia"/>
          <w:bCs/>
          <w:color w:val="000000"/>
          <w:sz w:val="32"/>
          <w:szCs w:val="32"/>
        </w:rPr>
        <w:t>）: 支出决算为</w:t>
      </w:r>
      <w:r>
        <w:rPr>
          <w:rStyle w:val="32"/>
          <w:rFonts w:ascii="仿宋" w:eastAsia="仿宋" w:cs="仿宋"/>
          <w:bCs/>
          <w:color w:val="000000"/>
          <w:sz w:val="32"/>
          <w:szCs w:val="32"/>
        </w:rPr>
        <w:t>1363.02</w:t>
      </w:r>
      <w:r>
        <w:rPr>
          <w:rStyle w:val="32"/>
          <w:rFonts w:ascii="仿宋" w:eastAsia="仿宋" w:cs="仿宋" w:hint="eastAsia"/>
          <w:bCs/>
          <w:color w:val="000000"/>
          <w:sz w:val="32"/>
          <w:szCs w:val="32"/>
        </w:rPr>
        <w:t>万元，完成预算100%，决算数等于预算数。原因：本单位严格执行预算。</w:t>
      </w:r>
    </w:p>
    <w:p>
      <w:pPr>
        <w:spacing w:line="600" w:lineRule="exact"/>
        <w:ind w:firstLineChars="200" w:firstLine="640"/>
        <w:rPr>
          <w:rStyle w:val="32"/>
          <w:rFonts w:ascii="仿宋" w:eastAsia="仿宋" w:cs="仿宋" w:hint="eastAsia"/>
          <w:b w:val="0"/>
          <w:bCs/>
          <w:sz w:val="32"/>
          <w:szCs w:val="32"/>
        </w:rPr>
      </w:pPr>
      <w:r>
        <w:rPr>
          <w:rStyle w:val="32"/>
          <w:rFonts w:ascii="仿宋" w:eastAsia="仿宋" w:cs="仿宋" w:hint="eastAsia"/>
          <w:bCs/>
          <w:color w:val="000000"/>
          <w:sz w:val="32"/>
          <w:szCs w:val="32"/>
        </w:rPr>
        <w:t>教育支出（</w:t>
      </w:r>
      <w:r>
        <w:rPr>
          <w:rStyle w:val="32"/>
          <w:rFonts w:ascii="仿宋" w:eastAsia="仿宋" w:cs="仿宋" w:hint="eastAsia"/>
          <w:bCs/>
          <w:sz w:val="32"/>
          <w:szCs w:val="32"/>
        </w:rPr>
        <w:t>类</w:t>
      </w:r>
      <w:r>
        <w:rPr>
          <w:rStyle w:val="32"/>
          <w:rFonts w:ascii="仿宋" w:eastAsia="仿宋" w:cs="仿宋" w:hint="eastAsia"/>
          <w:bCs/>
          <w:color w:val="000000"/>
          <w:sz w:val="32"/>
          <w:szCs w:val="32"/>
        </w:rPr>
        <w:t>）教育费附加安排的支出（</w:t>
      </w:r>
      <w:r>
        <w:rPr>
          <w:rStyle w:val="32"/>
          <w:rFonts w:ascii="仿宋" w:eastAsia="仿宋" w:cs="仿宋" w:hint="eastAsia"/>
          <w:bCs/>
          <w:sz w:val="32"/>
          <w:szCs w:val="32"/>
        </w:rPr>
        <w:t>款</w:t>
      </w:r>
      <w:r>
        <w:rPr>
          <w:rStyle w:val="32"/>
          <w:rFonts w:ascii="仿宋" w:eastAsia="仿宋" w:cs="仿宋" w:hint="eastAsia"/>
          <w:bCs/>
          <w:color w:val="000000"/>
          <w:sz w:val="32"/>
          <w:szCs w:val="32"/>
        </w:rPr>
        <w:t>）其他教育费附加安排的支出（</w:t>
      </w:r>
      <w:r>
        <w:rPr>
          <w:rStyle w:val="32"/>
          <w:rFonts w:ascii="仿宋" w:eastAsia="仿宋" w:cs="仿宋" w:hint="eastAsia"/>
          <w:bCs/>
          <w:sz w:val="32"/>
          <w:szCs w:val="32"/>
        </w:rPr>
        <w:t>项</w:t>
      </w:r>
      <w:r>
        <w:rPr>
          <w:rStyle w:val="32"/>
          <w:rFonts w:ascii="仿宋" w:eastAsia="仿宋" w:cs="仿宋" w:hint="eastAsia"/>
          <w:bCs/>
          <w:color w:val="000000"/>
          <w:sz w:val="32"/>
          <w:szCs w:val="32"/>
        </w:rPr>
        <w:t>）: 支出决算为</w:t>
      </w:r>
      <w:r>
        <w:rPr>
          <w:rStyle w:val="32"/>
          <w:rFonts w:ascii="仿宋" w:eastAsia="仿宋" w:cs="仿宋"/>
          <w:bCs/>
          <w:color w:val="000000"/>
          <w:sz w:val="32"/>
          <w:szCs w:val="32"/>
        </w:rPr>
        <w:t>41.82</w:t>
      </w:r>
      <w:r>
        <w:rPr>
          <w:rStyle w:val="32"/>
          <w:rFonts w:ascii="仿宋" w:eastAsia="仿宋" w:cs="仿宋" w:hint="eastAsia"/>
          <w:bCs/>
          <w:color w:val="000000"/>
          <w:sz w:val="32"/>
          <w:szCs w:val="32"/>
        </w:rPr>
        <w:t>万元，完成预算100%，决算数等于预算数。原因：本单位严格执行预算。</w:t>
      </w:r>
    </w:p>
    <w:p>
      <w:pPr>
        <w:spacing w:line="576" w:lineRule="exact"/>
        <w:ind w:firstLineChars="200" w:firstLine="640"/>
        <w:rPr>
          <w:rStyle w:val="32"/>
          <w:rFonts w:ascii="仿宋" w:eastAsia="仿宋" w:cs="仿宋" w:hint="eastAsia"/>
          <w:b w:val="0"/>
          <w:bCs/>
          <w:sz w:val="32"/>
          <w:szCs w:val="32"/>
        </w:rPr>
      </w:pPr>
      <w:r>
        <w:rPr>
          <w:rStyle w:val="32"/>
          <w:rFonts w:ascii="仿宋" w:eastAsia="仿宋" w:cs="仿宋" w:hint="eastAsia"/>
          <w:bCs/>
          <w:sz w:val="32"/>
          <w:szCs w:val="32"/>
        </w:rPr>
        <w:t>2.社会保障和就业（类）行政事业单位养老支出（款）机关事业单位基本养老保险缴费（项）: 支出决算为</w:t>
      </w:r>
      <w:r>
        <w:rPr>
          <w:rStyle w:val="32"/>
          <w:rFonts w:ascii="仿宋" w:eastAsia="仿宋" w:cs="仿宋"/>
          <w:bCs/>
          <w:sz w:val="32"/>
          <w:szCs w:val="32"/>
        </w:rPr>
        <w:t>140.89</w:t>
      </w:r>
      <w:r>
        <w:rPr>
          <w:rStyle w:val="32"/>
          <w:rFonts w:ascii="仿宋" w:eastAsia="仿宋" w:cs="仿宋" w:hint="eastAsia"/>
          <w:bCs/>
          <w:sz w:val="32"/>
          <w:szCs w:val="32"/>
        </w:rPr>
        <w:t>万元，完成预算100%，决算数等于预算数。原因：本单位严格执行预算。</w:t>
      </w:r>
    </w:p>
    <w:p>
      <w:pPr>
        <w:spacing w:line="600" w:lineRule="exact"/>
        <w:ind w:firstLineChars="200" w:firstLine="640"/>
        <w:rPr>
          <w:rStyle w:val="32"/>
          <w:rFonts w:ascii="仿宋" w:eastAsia="仿宋" w:cs="仿宋" w:hint="eastAsia"/>
          <w:b w:val="0"/>
          <w:bCs/>
          <w:sz w:val="32"/>
          <w:szCs w:val="32"/>
        </w:rPr>
      </w:pPr>
      <w:r>
        <w:rPr>
          <w:rStyle w:val="32"/>
          <w:rFonts w:ascii="仿宋" w:eastAsia="仿宋" w:cs="仿宋" w:hint="eastAsia"/>
          <w:bCs/>
          <w:color w:val="000000"/>
          <w:sz w:val="32"/>
          <w:szCs w:val="32"/>
        </w:rPr>
        <w:t>社会保障和就业（</w:t>
      </w:r>
      <w:r>
        <w:rPr>
          <w:rStyle w:val="32"/>
          <w:rFonts w:ascii="仿宋" w:eastAsia="仿宋" w:cs="仿宋" w:hint="eastAsia"/>
          <w:bCs/>
          <w:sz w:val="32"/>
          <w:szCs w:val="32"/>
        </w:rPr>
        <w:t>类</w:t>
      </w:r>
      <w:r>
        <w:rPr>
          <w:rStyle w:val="32"/>
          <w:rFonts w:ascii="仿宋" w:eastAsia="仿宋" w:cs="仿宋" w:hint="eastAsia"/>
          <w:bCs/>
          <w:color w:val="000000"/>
          <w:sz w:val="32"/>
          <w:szCs w:val="32"/>
        </w:rPr>
        <w:t>）行政事业单位养老支出（</w:t>
      </w:r>
      <w:r>
        <w:rPr>
          <w:rStyle w:val="32"/>
          <w:rFonts w:ascii="仿宋" w:eastAsia="仿宋" w:cs="仿宋" w:hint="eastAsia"/>
          <w:bCs/>
          <w:sz w:val="32"/>
          <w:szCs w:val="32"/>
        </w:rPr>
        <w:t>款</w:t>
      </w:r>
      <w:r>
        <w:rPr>
          <w:rStyle w:val="32"/>
          <w:rFonts w:ascii="仿宋" w:eastAsia="仿宋" w:cs="仿宋" w:hint="eastAsia"/>
          <w:bCs/>
          <w:color w:val="000000"/>
          <w:sz w:val="32"/>
          <w:szCs w:val="32"/>
        </w:rPr>
        <w:t>）机关事业单位职业年金缴费（</w:t>
      </w:r>
      <w:r>
        <w:rPr>
          <w:rStyle w:val="32"/>
          <w:rFonts w:ascii="仿宋" w:eastAsia="仿宋" w:cs="仿宋" w:hint="eastAsia"/>
          <w:bCs/>
          <w:sz w:val="32"/>
          <w:szCs w:val="32"/>
        </w:rPr>
        <w:t>项</w:t>
      </w:r>
      <w:r>
        <w:rPr>
          <w:rStyle w:val="32"/>
          <w:rFonts w:ascii="仿宋" w:eastAsia="仿宋" w:cs="仿宋" w:hint="eastAsia"/>
          <w:bCs/>
          <w:color w:val="000000"/>
          <w:sz w:val="32"/>
          <w:szCs w:val="32"/>
        </w:rPr>
        <w:t>）: 支出决算为</w:t>
      </w:r>
      <w:r>
        <w:rPr>
          <w:rStyle w:val="32"/>
          <w:rFonts w:ascii="仿宋" w:eastAsia="仿宋" w:cs="仿宋"/>
          <w:bCs/>
          <w:color w:val="000000"/>
          <w:sz w:val="32"/>
          <w:szCs w:val="32"/>
        </w:rPr>
        <w:t>70.45</w:t>
      </w:r>
      <w:r>
        <w:rPr>
          <w:rStyle w:val="32"/>
          <w:rFonts w:ascii="仿宋" w:eastAsia="仿宋" w:cs="仿宋" w:hint="eastAsia"/>
          <w:bCs/>
          <w:color w:val="000000"/>
          <w:sz w:val="32"/>
          <w:szCs w:val="32"/>
        </w:rPr>
        <w:t>万元，完成预算100%，决算数等于预算数。</w:t>
      </w:r>
      <w:r>
        <w:rPr>
          <w:rStyle w:val="32"/>
          <w:rFonts w:ascii="仿宋" w:eastAsia="仿宋" w:cs="仿宋" w:hint="eastAsia"/>
          <w:bCs/>
          <w:sz w:val="32"/>
          <w:szCs w:val="32"/>
        </w:rPr>
        <w:t>原因：本单位严格执行预算。</w:t>
      </w:r>
    </w:p>
    <w:p>
      <w:pPr>
        <w:spacing w:line="600" w:lineRule="exact"/>
        <w:ind w:firstLineChars="200" w:firstLine="640"/>
        <w:rPr>
          <w:rStyle w:val="32"/>
          <w:rFonts w:ascii="仿宋" w:eastAsia="仿宋" w:cs="仿宋" w:hint="eastAsia"/>
          <w:b w:val="0"/>
          <w:bCs/>
          <w:color w:val="000000"/>
          <w:sz w:val="32"/>
          <w:szCs w:val="32"/>
        </w:rPr>
      </w:pPr>
      <w:r>
        <w:rPr>
          <w:rFonts w:ascii="仿宋" w:eastAsia="仿宋" w:cs="仿宋" w:hint="eastAsia"/>
          <w:b/>
          <w:bCs/>
          <w:sz w:val="32"/>
          <w:szCs w:val="32"/>
        </w:rPr>
        <w:t>3.卫生健康（</w:t>
      </w:r>
      <w:r>
        <w:rPr>
          <w:rStyle w:val="32"/>
          <w:rFonts w:ascii="仿宋" w:eastAsia="仿宋" w:cs="仿宋" w:hint="eastAsia"/>
          <w:bCs/>
          <w:sz w:val="32"/>
          <w:szCs w:val="32"/>
        </w:rPr>
        <w:t>类</w:t>
      </w:r>
      <w:r>
        <w:rPr>
          <w:rFonts w:ascii="仿宋" w:eastAsia="仿宋" w:cs="仿宋" w:hint="eastAsia"/>
          <w:b/>
          <w:bCs/>
          <w:sz w:val="32"/>
          <w:szCs w:val="32"/>
        </w:rPr>
        <w:t>）行政事业单位医疗（</w:t>
      </w:r>
      <w:r>
        <w:rPr>
          <w:rStyle w:val="32"/>
          <w:rFonts w:ascii="仿宋" w:eastAsia="仿宋" w:cs="仿宋" w:hint="eastAsia"/>
          <w:bCs/>
          <w:sz w:val="32"/>
          <w:szCs w:val="32"/>
        </w:rPr>
        <w:t>款</w:t>
      </w:r>
      <w:r>
        <w:rPr>
          <w:rFonts w:ascii="仿宋" w:eastAsia="仿宋" w:cs="仿宋" w:hint="eastAsia"/>
          <w:b/>
          <w:bCs/>
          <w:sz w:val="32"/>
          <w:szCs w:val="32"/>
        </w:rPr>
        <w:t>）事业单位医疗（</w:t>
      </w:r>
      <w:r>
        <w:rPr>
          <w:rStyle w:val="32"/>
          <w:rFonts w:ascii="仿宋" w:eastAsia="仿宋" w:cs="仿宋" w:hint="eastAsia"/>
          <w:bCs/>
          <w:sz w:val="32"/>
          <w:szCs w:val="32"/>
        </w:rPr>
        <w:t>项</w:t>
      </w:r>
      <w:r>
        <w:rPr>
          <w:rFonts w:ascii="仿宋" w:eastAsia="仿宋" w:cs="仿宋" w:hint="eastAsia"/>
          <w:b/>
          <w:bCs/>
          <w:sz w:val="32"/>
          <w:szCs w:val="32"/>
        </w:rPr>
        <w:t>）:支出决算为</w:t>
      </w:r>
      <w:r>
        <w:rPr>
          <w:rFonts w:ascii="仿宋" w:eastAsia="仿宋" w:cs="仿宋"/>
          <w:b/>
          <w:bCs/>
          <w:sz w:val="32"/>
          <w:szCs w:val="32"/>
        </w:rPr>
        <w:t>69.33</w:t>
      </w:r>
      <w:r>
        <w:rPr>
          <w:rFonts w:ascii="仿宋" w:eastAsia="仿宋" w:cs="仿宋" w:hint="eastAsia"/>
          <w:b/>
          <w:bCs/>
          <w:sz w:val="32"/>
          <w:szCs w:val="32"/>
        </w:rPr>
        <w:t>万元，完成预算100%，决算数等于预算数。</w:t>
      </w:r>
      <w:r>
        <w:rPr>
          <w:rStyle w:val="32"/>
          <w:rFonts w:ascii="仿宋" w:eastAsia="仿宋" w:cs="仿宋" w:hint="eastAsia"/>
          <w:bCs/>
          <w:sz w:val="32"/>
          <w:szCs w:val="32"/>
        </w:rPr>
        <w:t>原因：本单位严格执行预算。</w:t>
      </w:r>
    </w:p>
    <w:p>
      <w:pPr>
        <w:spacing w:line="600" w:lineRule="exact"/>
        <w:ind w:firstLineChars="200" w:firstLine="640"/>
        <w:rPr>
          <w:rStyle w:val="32"/>
          <w:rFonts w:ascii="仿宋" w:eastAsia="仿宋" w:cs="仿宋" w:hint="eastAsia"/>
          <w:b w:val="0"/>
          <w:bCs/>
          <w:color w:val="000000"/>
          <w:sz w:val="32"/>
          <w:szCs w:val="32"/>
        </w:rPr>
      </w:pPr>
      <w:r>
        <w:rPr>
          <w:rStyle w:val="32"/>
          <w:rFonts w:ascii="仿宋" w:eastAsia="仿宋" w:cs="仿宋" w:hint="eastAsia"/>
          <w:bCs/>
          <w:color w:val="000000"/>
          <w:sz w:val="32"/>
          <w:szCs w:val="32"/>
        </w:rPr>
        <w:t>卫生健康（</w:t>
      </w:r>
      <w:r>
        <w:rPr>
          <w:rStyle w:val="32"/>
          <w:rFonts w:ascii="仿宋" w:eastAsia="仿宋" w:cs="仿宋" w:hint="eastAsia"/>
          <w:bCs/>
          <w:sz w:val="32"/>
          <w:szCs w:val="32"/>
        </w:rPr>
        <w:t>类</w:t>
      </w:r>
      <w:r>
        <w:rPr>
          <w:rStyle w:val="32"/>
          <w:rFonts w:ascii="仿宋" w:eastAsia="仿宋" w:cs="仿宋" w:hint="eastAsia"/>
          <w:bCs/>
          <w:color w:val="000000"/>
          <w:sz w:val="32"/>
          <w:szCs w:val="32"/>
        </w:rPr>
        <w:t>）行政事业单位医疗（</w:t>
      </w:r>
      <w:r>
        <w:rPr>
          <w:rStyle w:val="32"/>
          <w:rFonts w:ascii="仿宋" w:eastAsia="仿宋" w:cs="仿宋" w:hint="eastAsia"/>
          <w:bCs/>
          <w:sz w:val="32"/>
          <w:szCs w:val="32"/>
        </w:rPr>
        <w:t>款</w:t>
      </w:r>
      <w:r>
        <w:rPr>
          <w:rStyle w:val="32"/>
          <w:rFonts w:ascii="仿宋" w:eastAsia="仿宋" w:cs="仿宋" w:hint="eastAsia"/>
          <w:bCs/>
          <w:color w:val="000000"/>
          <w:sz w:val="32"/>
          <w:szCs w:val="32"/>
        </w:rPr>
        <w:t>）其他行政事业单位医疗支出（</w:t>
      </w:r>
      <w:r>
        <w:rPr>
          <w:rStyle w:val="32"/>
          <w:rFonts w:ascii="仿宋" w:eastAsia="仿宋" w:cs="仿宋" w:hint="eastAsia"/>
          <w:bCs/>
          <w:sz w:val="32"/>
          <w:szCs w:val="32"/>
        </w:rPr>
        <w:t>项</w:t>
      </w:r>
      <w:r>
        <w:rPr>
          <w:rStyle w:val="32"/>
          <w:rFonts w:ascii="仿宋" w:eastAsia="仿宋" w:cs="仿宋" w:hint="eastAsia"/>
          <w:bCs/>
          <w:color w:val="000000"/>
          <w:sz w:val="32"/>
          <w:szCs w:val="32"/>
        </w:rPr>
        <w:t>）:支出决算为</w:t>
      </w:r>
      <w:r>
        <w:rPr>
          <w:rStyle w:val="32"/>
          <w:rFonts w:ascii="仿宋" w:eastAsia="仿宋" w:cs="仿宋"/>
          <w:bCs/>
          <w:color w:val="000000"/>
          <w:sz w:val="32"/>
          <w:szCs w:val="32"/>
        </w:rPr>
        <w:t>26.69</w:t>
      </w:r>
      <w:r>
        <w:rPr>
          <w:rStyle w:val="32"/>
          <w:rFonts w:ascii="仿宋" w:eastAsia="仿宋" w:cs="仿宋" w:hint="eastAsia"/>
          <w:bCs/>
          <w:color w:val="000000"/>
          <w:sz w:val="32"/>
          <w:szCs w:val="32"/>
        </w:rPr>
        <w:t>万元，完成预算100%，决算数等于预算数。</w:t>
      </w:r>
      <w:r>
        <w:rPr>
          <w:rStyle w:val="32"/>
          <w:rFonts w:ascii="仿宋" w:eastAsia="仿宋" w:cs="仿宋" w:hint="eastAsia"/>
          <w:bCs/>
          <w:sz w:val="32"/>
          <w:szCs w:val="32"/>
        </w:rPr>
        <w:t>原因：本单位严格执行预算。</w:t>
      </w:r>
    </w:p>
    <w:p>
      <w:pPr>
        <w:spacing w:line="600" w:lineRule="exact"/>
        <w:rPr>
          <w:rStyle w:val="32"/>
          <w:rFonts w:ascii="仿宋" w:eastAsia="仿宋" w:cs="仿宋" w:hint="eastAsia"/>
          <w:b w:val="0"/>
          <w:bCs/>
          <w:sz w:val="32"/>
          <w:szCs w:val="32"/>
        </w:rPr>
      </w:pPr>
      <w:r>
        <w:rPr>
          <w:rStyle w:val="32"/>
          <w:rFonts w:ascii="仿宋" w:eastAsia="仿宋" w:cs="仿宋" w:hint="eastAsia"/>
          <w:bCs/>
          <w:color w:val="000000"/>
          <w:sz w:val="32"/>
          <w:szCs w:val="32"/>
        </w:rPr>
        <w:t xml:space="preserve">    4.住房保障支出（</w:t>
      </w:r>
      <w:r>
        <w:rPr>
          <w:rStyle w:val="32"/>
          <w:rFonts w:ascii="仿宋" w:eastAsia="仿宋" w:cs="仿宋" w:hint="eastAsia"/>
          <w:bCs/>
          <w:sz w:val="32"/>
          <w:szCs w:val="32"/>
        </w:rPr>
        <w:t>类</w:t>
      </w:r>
      <w:r>
        <w:rPr>
          <w:rStyle w:val="32"/>
          <w:rFonts w:ascii="仿宋" w:eastAsia="仿宋" w:cs="仿宋" w:hint="eastAsia"/>
          <w:bCs/>
          <w:color w:val="000000"/>
          <w:sz w:val="32"/>
          <w:szCs w:val="32"/>
        </w:rPr>
        <w:t>）住房改革支出（</w:t>
      </w:r>
      <w:r>
        <w:rPr>
          <w:rStyle w:val="32"/>
          <w:rFonts w:ascii="仿宋" w:eastAsia="仿宋" w:cs="仿宋" w:hint="eastAsia"/>
          <w:bCs/>
          <w:sz w:val="32"/>
          <w:szCs w:val="32"/>
        </w:rPr>
        <w:t>款</w:t>
      </w:r>
      <w:r>
        <w:rPr>
          <w:rStyle w:val="32"/>
          <w:rFonts w:ascii="仿宋" w:eastAsia="仿宋" w:cs="仿宋" w:hint="eastAsia"/>
          <w:bCs/>
          <w:color w:val="000000"/>
          <w:sz w:val="32"/>
          <w:szCs w:val="32"/>
        </w:rPr>
        <w:t>）住房公积金（</w:t>
      </w:r>
      <w:r>
        <w:rPr>
          <w:rStyle w:val="32"/>
          <w:rFonts w:ascii="仿宋" w:eastAsia="仿宋" w:cs="仿宋" w:hint="eastAsia"/>
          <w:bCs/>
          <w:sz w:val="32"/>
          <w:szCs w:val="32"/>
        </w:rPr>
        <w:t>项</w:t>
      </w:r>
      <w:r>
        <w:rPr>
          <w:rStyle w:val="32"/>
          <w:rFonts w:ascii="仿宋" w:eastAsia="仿宋" w:cs="仿宋" w:hint="eastAsia"/>
          <w:bCs/>
          <w:color w:val="000000"/>
          <w:sz w:val="32"/>
          <w:szCs w:val="32"/>
        </w:rPr>
        <w:t>）：支出决算为</w:t>
      </w:r>
      <w:r>
        <w:rPr>
          <w:rStyle w:val="32"/>
          <w:rFonts w:ascii="仿宋" w:eastAsia="仿宋" w:cs="仿宋"/>
          <w:bCs/>
          <w:color w:val="000000"/>
          <w:sz w:val="32"/>
          <w:szCs w:val="32"/>
        </w:rPr>
        <w:t>117.07</w:t>
      </w:r>
      <w:r>
        <w:rPr>
          <w:rStyle w:val="32"/>
          <w:rFonts w:ascii="仿宋" w:eastAsia="仿宋" w:cs="仿宋" w:hint="eastAsia"/>
          <w:bCs/>
          <w:color w:val="000000"/>
          <w:sz w:val="32"/>
          <w:szCs w:val="32"/>
        </w:rPr>
        <w:t>万元，完成预算100%，决算数等于预算数。</w:t>
      </w:r>
      <w:r>
        <w:rPr>
          <w:rStyle w:val="32"/>
          <w:rFonts w:ascii="仿宋" w:eastAsia="仿宋" w:cs="仿宋" w:hint="eastAsia"/>
          <w:bCs/>
          <w:sz w:val="32"/>
          <w:szCs w:val="32"/>
        </w:rPr>
        <w:t>原因：本单位严格执行预算。</w:t>
      </w:r>
    </w:p>
    <w:p>
      <w:pPr>
        <w:tabs>
          <w:tab w:val="right" w:pos="8306"/>
        </w:tabs>
        <w:spacing w:line="576" w:lineRule="exact"/>
        <w:ind w:firstLineChars="200" w:firstLine="640"/>
        <w:outlineLvl w:val="1"/>
        <w:rPr>
          <w:rStyle w:val="2Char"/>
          <w:rFonts w:ascii="黑体" w:eastAsia="黑体" w:cs="黑体" w:hint="eastAsia"/>
        </w:rPr>
      </w:pPr>
      <w:bookmarkStart w:id="106" w:name="_Toc3550"/>
      <w:bookmarkStart w:id="107" w:name="_Toc22297"/>
      <w:bookmarkStart w:id="108" w:name="_Toc29542"/>
      <w:bookmarkStart w:id="109" w:name="_Toc15377214"/>
      <w:bookmarkStart w:id="110" w:name="_Toc29283"/>
      <w:bookmarkStart w:id="111" w:name="_Toc15396608"/>
      <w:r>
        <w:rPr>
          <w:rFonts w:ascii="黑体" w:eastAsia="黑体" w:cs="黑体" w:hint="eastAsia"/>
          <w:sz w:val="32"/>
          <w:szCs w:val="32"/>
        </w:rPr>
        <w:t>六</w:t>
      </w:r>
      <w:r>
        <w:rPr>
          <w:rFonts w:ascii="黑体" w:eastAsia="黑体" w:cs="黑体" w:hint="eastAsia"/>
          <w:b/>
          <w:sz w:val="32"/>
          <w:szCs w:val="32"/>
        </w:rPr>
        <w:t>、一</w:t>
      </w:r>
      <w:r>
        <w:rPr>
          <w:rStyle w:val="2Char"/>
          <w:rFonts w:ascii="黑体" w:eastAsia="黑体" w:cs="黑体" w:hint="eastAsia"/>
          <w:b w:val="0"/>
        </w:rPr>
        <w:t>般公共预算财政拨款基本支出决算情况说明</w:t>
      </w:r>
      <w:bookmarkEnd w:id="106"/>
      <w:bookmarkEnd w:id="107"/>
      <w:bookmarkEnd w:id="108"/>
      <w:bookmarkEnd w:id="109"/>
      <w:bookmarkEnd w:id="110"/>
      <w:bookmarkEnd w:id="111"/>
      <w:r>
        <w:rPr>
          <w:rStyle w:val="2Char"/>
          <w:rFonts w:ascii="黑体" w:eastAsia="黑体" w:cs="黑体" w:hint="eastAsia"/>
          <w:b w:val="0"/>
        </w:rPr>
        <w:tab/>
      </w:r>
    </w:p>
    <w:p>
      <w:pPr>
        <w:spacing w:line="600" w:lineRule="exact"/>
        <w:ind w:firstLine="645"/>
        <w:rPr>
          <w:rFonts w:ascii="仿宋" w:eastAsia="仿宋" w:cs="仿宋" w:hint="eastAsia"/>
          <w:color w:val="000000"/>
          <w:sz w:val="32"/>
          <w:szCs w:val="32"/>
        </w:rPr>
      </w:pPr>
      <w:r>
        <w:rPr>
          <w:rFonts w:ascii="仿宋" w:eastAsia="仿宋" w:cs="仿宋" w:hint="eastAsia"/>
          <w:color w:val="000000"/>
          <w:sz w:val="32"/>
          <w:szCs w:val="32"/>
        </w:rPr>
        <w:t>2025年一般公共预算财政拨款基本支出1709.16万元，其中：</w:t>
      </w:r>
    </w:p>
    <w:p>
      <w:pPr>
        <w:spacing w:line="600" w:lineRule="exact"/>
        <w:ind w:firstLine="645"/>
        <w:rPr>
          <w:rFonts w:ascii="仿宋" w:eastAsia="仿宋" w:cs="仿宋" w:hint="eastAsia"/>
          <w:color w:val="000000"/>
          <w:sz w:val="32"/>
          <w:szCs w:val="32"/>
        </w:rPr>
      </w:pPr>
      <w:r>
        <w:rPr>
          <w:rFonts w:ascii="仿宋" w:eastAsia="仿宋" w:cs="仿宋" w:hint="eastAsia"/>
          <w:color w:val="000000"/>
          <w:sz w:val="32"/>
          <w:szCs w:val="32"/>
        </w:rPr>
        <w:t>人员经费</w:t>
      </w:r>
      <w:r>
        <w:rPr>
          <w:rFonts w:ascii="仿宋" w:eastAsia="仿宋" w:cs="仿宋"/>
          <w:color w:val="000000"/>
          <w:sz w:val="32"/>
          <w:szCs w:val="32"/>
        </w:rPr>
        <w:t>1530.22</w:t>
      </w:r>
      <w:r>
        <w:rPr>
          <w:rFonts w:ascii="仿宋" w:eastAsia="仿宋" w:cs="仿宋" w:hint="eastAsia"/>
          <w:color w:val="000000"/>
          <w:sz w:val="32"/>
          <w:szCs w:val="32"/>
        </w:rPr>
        <w:t>万元，主要包括：基本工资</w:t>
      </w:r>
      <w:r>
        <w:rPr>
          <w:rFonts w:ascii="仿宋" w:eastAsia="仿宋" w:cs="仿宋"/>
          <w:color w:val="000000"/>
          <w:sz w:val="32"/>
          <w:szCs w:val="32"/>
        </w:rPr>
        <w:t>411.41</w:t>
      </w:r>
      <w:r>
        <w:rPr>
          <w:rFonts w:ascii="仿宋" w:eastAsia="仿宋" w:cs="仿宋" w:hint="eastAsia"/>
          <w:color w:val="000000"/>
          <w:sz w:val="32"/>
          <w:szCs w:val="32"/>
        </w:rPr>
        <w:t>万元、津贴补贴</w:t>
      </w:r>
      <w:r>
        <w:rPr>
          <w:rFonts w:ascii="仿宋" w:eastAsia="仿宋" w:cs="仿宋"/>
          <w:color w:val="000000"/>
          <w:sz w:val="32"/>
          <w:szCs w:val="32"/>
        </w:rPr>
        <w:t>97.44</w:t>
      </w:r>
      <w:r>
        <w:rPr>
          <w:rFonts w:ascii="仿宋" w:eastAsia="仿宋" w:cs="仿宋" w:hint="eastAsia"/>
          <w:color w:val="000000"/>
          <w:sz w:val="32"/>
          <w:szCs w:val="32"/>
        </w:rPr>
        <w:t>万元、绩效工资</w:t>
      </w:r>
      <w:r>
        <w:rPr>
          <w:rFonts w:ascii="仿宋" w:eastAsia="仿宋" w:cs="仿宋"/>
          <w:color w:val="000000"/>
          <w:sz w:val="32"/>
          <w:szCs w:val="32"/>
        </w:rPr>
        <w:t>589.76</w:t>
      </w:r>
      <w:r>
        <w:rPr>
          <w:rFonts w:ascii="仿宋" w:eastAsia="仿宋" w:cs="仿宋" w:hint="eastAsia"/>
          <w:color w:val="000000"/>
          <w:sz w:val="32"/>
          <w:szCs w:val="32"/>
        </w:rPr>
        <w:t>万元、机关事业单位基本养老保险缴费</w:t>
      </w:r>
      <w:r>
        <w:rPr>
          <w:rFonts w:ascii="仿宋" w:eastAsia="仿宋" w:cs="仿宋"/>
          <w:color w:val="000000"/>
          <w:sz w:val="32"/>
          <w:szCs w:val="32"/>
        </w:rPr>
        <w:t>140.89</w:t>
      </w:r>
      <w:r>
        <w:rPr>
          <w:rFonts w:ascii="仿宋" w:eastAsia="仿宋" w:cs="仿宋" w:hint="eastAsia"/>
          <w:color w:val="000000"/>
          <w:sz w:val="32"/>
          <w:szCs w:val="32"/>
        </w:rPr>
        <w:t>万元、职业年金缴费</w:t>
      </w:r>
      <w:r>
        <w:rPr>
          <w:rFonts w:ascii="仿宋" w:eastAsia="仿宋" w:cs="仿宋"/>
          <w:color w:val="000000"/>
          <w:sz w:val="32"/>
          <w:szCs w:val="32"/>
        </w:rPr>
        <w:t>70.45</w:t>
      </w:r>
      <w:r>
        <w:rPr>
          <w:rFonts w:ascii="仿宋" w:eastAsia="仿宋" w:cs="仿宋" w:hint="eastAsia"/>
          <w:color w:val="000000"/>
          <w:sz w:val="32"/>
          <w:szCs w:val="32"/>
        </w:rPr>
        <w:t>万元、职工基本医疗保险缴费</w:t>
      </w:r>
      <w:r>
        <w:rPr>
          <w:rFonts w:ascii="仿宋" w:eastAsia="仿宋" w:cs="仿宋"/>
          <w:color w:val="000000"/>
          <w:sz w:val="32"/>
          <w:szCs w:val="32"/>
        </w:rPr>
        <w:t>69.33</w:t>
      </w:r>
      <w:r>
        <w:rPr>
          <w:rFonts w:ascii="仿宋" w:eastAsia="仿宋" w:cs="仿宋" w:hint="eastAsia"/>
          <w:color w:val="000000"/>
          <w:sz w:val="32"/>
          <w:szCs w:val="32"/>
        </w:rPr>
        <w:t>万元、公务员医疗补助缴费</w:t>
      </w:r>
      <w:r>
        <w:rPr>
          <w:rFonts w:ascii="仿宋" w:eastAsia="仿宋" w:cs="仿宋"/>
          <w:color w:val="000000"/>
          <w:sz w:val="32"/>
          <w:szCs w:val="32"/>
        </w:rPr>
        <w:t>26.69</w:t>
      </w:r>
      <w:r>
        <w:rPr>
          <w:rFonts w:ascii="仿宋" w:eastAsia="仿宋" w:cs="仿宋" w:hint="eastAsia"/>
          <w:color w:val="000000"/>
          <w:sz w:val="32"/>
          <w:szCs w:val="32"/>
        </w:rPr>
        <w:t>万元、其他社会保障缴费</w:t>
      </w:r>
      <w:r>
        <w:rPr>
          <w:rFonts w:ascii="仿宋" w:eastAsia="仿宋" w:cs="仿宋"/>
          <w:color w:val="000000"/>
          <w:sz w:val="32"/>
          <w:szCs w:val="32"/>
        </w:rPr>
        <w:t>7.16</w:t>
      </w:r>
      <w:r>
        <w:rPr>
          <w:rFonts w:ascii="仿宋" w:eastAsia="仿宋" w:cs="仿宋" w:hint="eastAsia"/>
          <w:color w:val="000000"/>
          <w:sz w:val="32"/>
          <w:szCs w:val="32"/>
        </w:rPr>
        <w:t>万元、住房公积金</w:t>
      </w:r>
      <w:r>
        <w:rPr>
          <w:rFonts w:ascii="仿宋" w:eastAsia="仿宋" w:cs="仿宋"/>
          <w:color w:val="000000"/>
          <w:sz w:val="32"/>
          <w:szCs w:val="32"/>
        </w:rPr>
        <w:t>117.07</w:t>
      </w:r>
      <w:r>
        <w:rPr>
          <w:rFonts w:ascii="仿宋" w:eastAsia="仿宋" w:cs="仿宋" w:hint="eastAsia"/>
          <w:color w:val="000000"/>
          <w:sz w:val="32"/>
          <w:szCs w:val="32"/>
        </w:rPr>
        <w:t>万元、抚恤金</w:t>
      </w:r>
      <w:r>
        <w:rPr>
          <w:rFonts w:ascii="仿宋" w:eastAsia="仿宋" w:cs="仿宋"/>
          <w:color w:val="000000"/>
          <w:sz w:val="32"/>
          <w:szCs w:val="32"/>
        </w:rPr>
        <w:t>16.22</w:t>
      </w:r>
      <w:r>
        <w:rPr>
          <w:rFonts w:ascii="仿宋" w:eastAsia="仿宋" w:cs="仿宋" w:hint="eastAsia"/>
          <w:color w:val="000000"/>
          <w:sz w:val="32"/>
          <w:szCs w:val="32"/>
        </w:rPr>
        <w:t>万元、生活补助</w:t>
      </w:r>
      <w:r>
        <w:rPr>
          <w:rFonts w:ascii="仿宋" w:eastAsia="仿宋" w:cs="仿宋"/>
          <w:color w:val="000000"/>
          <w:sz w:val="32"/>
          <w:szCs w:val="32"/>
        </w:rPr>
        <w:t>63.15</w:t>
      </w:r>
      <w:r>
        <w:rPr>
          <w:rFonts w:ascii="仿宋" w:eastAsia="仿宋" w:cs="仿宋" w:hint="eastAsia"/>
          <w:color w:val="000000"/>
          <w:sz w:val="32"/>
          <w:szCs w:val="32"/>
        </w:rPr>
        <w:t>万元、医疗费补助</w:t>
      </w:r>
      <w:r>
        <w:rPr>
          <w:rFonts w:ascii="仿宋" w:eastAsia="仿宋" w:cs="仿宋"/>
          <w:color w:val="000000"/>
          <w:sz w:val="32"/>
          <w:szCs w:val="32"/>
        </w:rPr>
        <w:t>3.27</w:t>
      </w:r>
      <w:r>
        <w:rPr>
          <w:rFonts w:ascii="仿宋" w:eastAsia="仿宋" w:cs="仿宋" w:hint="eastAsia"/>
          <w:color w:val="000000"/>
          <w:sz w:val="32"/>
          <w:szCs w:val="32"/>
        </w:rPr>
        <w:t>万元。</w:t>
      </w:r>
    </w:p>
    <w:p>
      <w:pPr>
        <w:spacing w:line="600" w:lineRule="exact"/>
        <w:ind w:firstLineChars="200" w:firstLine="640"/>
        <w:rPr>
          <w:rFonts w:ascii="仿宋" w:eastAsia="仿宋" w:cs="仿宋" w:hint="eastAsia"/>
          <w:color w:val="000000"/>
          <w:sz w:val="32"/>
          <w:szCs w:val="32"/>
        </w:rPr>
      </w:pPr>
      <w:r>
        <w:rPr>
          <w:rFonts w:ascii="仿宋" w:eastAsia="仿宋" w:cs="仿宋" w:hint="eastAsia"/>
          <w:color w:val="000000"/>
          <w:sz w:val="32"/>
          <w:szCs w:val="32"/>
        </w:rPr>
        <w:t>日常公用经费</w:t>
      </w:r>
      <w:r>
        <w:rPr>
          <w:rFonts w:ascii="仿宋" w:eastAsia="仿宋" w:cs="仿宋"/>
          <w:color w:val="000000"/>
          <w:sz w:val="32"/>
          <w:szCs w:val="32"/>
        </w:rPr>
        <w:t xml:space="preserve">43.11 </w:t>
      </w:r>
      <w:r>
        <w:rPr>
          <w:rFonts w:ascii="仿宋" w:eastAsia="仿宋" w:cs="仿宋" w:hint="eastAsia"/>
          <w:color w:val="000000"/>
          <w:sz w:val="32"/>
          <w:szCs w:val="32"/>
        </w:rPr>
        <w:t>8万元，主要包括：办公费</w:t>
      </w:r>
      <w:r>
        <w:rPr>
          <w:rFonts w:ascii="仿宋" w:eastAsia="仿宋" w:cs="仿宋"/>
          <w:color w:val="000000"/>
          <w:sz w:val="32"/>
          <w:szCs w:val="32"/>
        </w:rPr>
        <w:t>6.72</w:t>
      </w:r>
      <w:r>
        <w:rPr>
          <w:rFonts w:ascii="仿宋" w:eastAsia="仿宋" w:cs="仿宋" w:hint="eastAsia"/>
          <w:color w:val="000000"/>
          <w:sz w:val="32"/>
          <w:szCs w:val="32"/>
        </w:rPr>
        <w:t>万元、电费</w:t>
      </w:r>
      <w:r>
        <w:rPr>
          <w:rFonts w:ascii="仿宋" w:eastAsia="仿宋" w:cs="仿宋"/>
          <w:color w:val="000000"/>
          <w:sz w:val="32"/>
          <w:szCs w:val="32"/>
        </w:rPr>
        <w:t>2.66</w:t>
      </w:r>
      <w:r>
        <w:rPr>
          <w:rFonts w:ascii="仿宋" w:eastAsia="仿宋" w:cs="仿宋" w:hint="eastAsia"/>
          <w:color w:val="000000"/>
          <w:sz w:val="32"/>
          <w:szCs w:val="32"/>
        </w:rPr>
        <w:t>万元、差旅费</w:t>
      </w:r>
      <w:r>
        <w:rPr>
          <w:rFonts w:ascii="仿宋" w:eastAsia="仿宋" w:cs="仿宋"/>
          <w:color w:val="000000"/>
          <w:sz w:val="32"/>
          <w:szCs w:val="32"/>
        </w:rPr>
        <w:t>2.78</w:t>
      </w:r>
      <w:r>
        <w:rPr>
          <w:rFonts w:ascii="仿宋" w:eastAsia="仿宋" w:cs="仿宋" w:hint="eastAsia"/>
          <w:color w:val="000000"/>
          <w:sz w:val="32"/>
          <w:szCs w:val="32"/>
        </w:rPr>
        <w:t>万元、维修（护）费</w:t>
      </w:r>
      <w:r>
        <w:rPr>
          <w:rFonts w:ascii="仿宋" w:eastAsia="仿宋" w:cs="仿宋"/>
          <w:color w:val="000000"/>
          <w:sz w:val="32"/>
          <w:szCs w:val="32"/>
        </w:rPr>
        <w:t>4.68</w:t>
      </w:r>
      <w:r>
        <w:rPr>
          <w:rFonts w:ascii="仿宋" w:eastAsia="仿宋" w:cs="仿宋" w:hint="eastAsia"/>
          <w:color w:val="000000"/>
          <w:sz w:val="32"/>
          <w:szCs w:val="32"/>
        </w:rPr>
        <w:t>万元、培训费</w:t>
      </w:r>
      <w:r>
        <w:rPr>
          <w:rFonts w:ascii="仿宋" w:eastAsia="仿宋" w:cs="仿宋"/>
          <w:color w:val="000000"/>
          <w:sz w:val="32"/>
          <w:szCs w:val="32"/>
        </w:rPr>
        <w:t>2.26</w:t>
      </w:r>
      <w:r>
        <w:rPr>
          <w:rFonts w:ascii="仿宋" w:eastAsia="仿宋" w:cs="仿宋" w:hint="eastAsia"/>
          <w:color w:val="000000"/>
          <w:sz w:val="32"/>
          <w:szCs w:val="32"/>
        </w:rPr>
        <w:t>万元、劳务费</w:t>
      </w:r>
      <w:r>
        <w:rPr>
          <w:rFonts w:ascii="仿宋" w:eastAsia="仿宋" w:cs="仿宋"/>
          <w:color w:val="000000"/>
          <w:sz w:val="32"/>
          <w:szCs w:val="32"/>
        </w:rPr>
        <w:t>1.24</w:t>
      </w:r>
      <w:r>
        <w:rPr>
          <w:rFonts w:ascii="仿宋" w:eastAsia="仿宋" w:cs="仿宋" w:hint="eastAsia"/>
          <w:color w:val="000000"/>
          <w:sz w:val="32"/>
          <w:szCs w:val="32"/>
        </w:rPr>
        <w:t>万元、福利费</w:t>
      </w:r>
      <w:r>
        <w:rPr>
          <w:rFonts w:ascii="仿宋" w:eastAsia="仿宋" w:cs="仿宋"/>
          <w:color w:val="000000"/>
          <w:sz w:val="32"/>
          <w:szCs w:val="32"/>
        </w:rPr>
        <w:t>13.02</w:t>
      </w:r>
      <w:r>
        <w:rPr>
          <w:rFonts w:ascii="仿宋" w:eastAsia="仿宋" w:cs="仿宋" w:hint="eastAsia"/>
          <w:color w:val="000000"/>
          <w:sz w:val="32"/>
          <w:szCs w:val="32"/>
        </w:rPr>
        <w:t>万元、其他商品和服务支出</w:t>
      </w:r>
      <w:r>
        <w:rPr>
          <w:rFonts w:ascii="仿宋" w:eastAsia="仿宋" w:cs="仿宋"/>
          <w:color w:val="000000"/>
          <w:sz w:val="32"/>
          <w:szCs w:val="32"/>
        </w:rPr>
        <w:t>9.75</w:t>
      </w:r>
      <w:r>
        <w:rPr>
          <w:rFonts w:ascii="仿宋" w:eastAsia="仿宋" w:cs="仿宋" w:hint="eastAsia"/>
          <w:color w:val="000000"/>
          <w:sz w:val="32"/>
          <w:szCs w:val="32"/>
        </w:rPr>
        <w:t>万元。</w:t>
      </w:r>
    </w:p>
    <w:p>
      <w:pPr>
        <w:spacing w:line="576" w:lineRule="exact"/>
        <w:ind w:firstLineChars="200" w:firstLine="640"/>
        <w:outlineLvl w:val="1"/>
        <w:rPr>
          <w:rStyle w:val="2Char"/>
          <w:rFonts w:ascii="黑体" w:eastAsia="黑体" w:cs="黑体" w:hint="eastAsia"/>
          <w:b w:val="0"/>
        </w:rPr>
      </w:pPr>
      <w:bookmarkStart w:id="112" w:name="_Toc32312"/>
      <w:bookmarkStart w:id="113" w:name="_Toc3918"/>
      <w:bookmarkStart w:id="114" w:name="_Toc15396609"/>
      <w:bookmarkStart w:id="115" w:name="_Toc28744"/>
      <w:bookmarkStart w:id="116" w:name="_Toc15377215"/>
      <w:bookmarkStart w:id="117" w:name="_Toc16124"/>
      <w:r>
        <w:rPr>
          <w:rFonts w:ascii="黑体" w:eastAsia="黑体" w:cs="黑体" w:hint="eastAsia"/>
          <w:sz w:val="32"/>
          <w:szCs w:val="32"/>
        </w:rPr>
        <w:t>七、</w:t>
      </w:r>
      <w:r>
        <w:rPr>
          <w:rStyle w:val="2Char"/>
          <w:rFonts w:ascii="黑体" w:eastAsia="黑体" w:cs="黑体" w:hint="eastAsia"/>
          <w:b w:val="0"/>
        </w:rPr>
        <w:t>财政拨款</w:t>
      </w:r>
      <w:r>
        <w:rPr>
          <w:rStyle w:val="2Char"/>
          <w:rFonts w:ascii="黑体" w:eastAsia="黑体" w:cs="黑体" w:hint="eastAsia"/>
        </w:rPr>
        <w:t>“</w:t>
      </w:r>
      <w:r>
        <w:rPr>
          <w:rStyle w:val="2Char"/>
          <w:rFonts w:ascii="黑体" w:eastAsia="黑体" w:cs="黑体" w:hint="eastAsia"/>
          <w:b w:val="0"/>
        </w:rPr>
        <w:t>三公”经费支出决算情况说明</w:t>
      </w:r>
      <w:bookmarkEnd w:id="112"/>
      <w:bookmarkEnd w:id="113"/>
      <w:bookmarkEnd w:id="114"/>
      <w:bookmarkEnd w:id="115"/>
      <w:bookmarkEnd w:id="116"/>
      <w:bookmarkEnd w:id="117"/>
    </w:p>
    <w:p>
      <w:pPr>
        <w:spacing w:line="576" w:lineRule="exact"/>
        <w:ind w:firstLineChars="200" w:firstLine="640"/>
        <w:outlineLvl w:val="2"/>
        <w:rPr>
          <w:rFonts w:ascii="仿宋" w:eastAsia="仿宋" w:cs="仿宋" w:hint="eastAsia"/>
          <w:b/>
          <w:sz w:val="32"/>
          <w:szCs w:val="32"/>
        </w:rPr>
      </w:pPr>
      <w:bookmarkStart w:id="118" w:name="_Toc7382"/>
      <w:bookmarkStart w:id="119" w:name="_Toc15377216"/>
      <w:bookmarkStart w:id="120" w:name="_Toc16191"/>
      <w:bookmarkStart w:id="121" w:name="_Toc30270"/>
      <w:bookmarkStart w:id="122" w:name="_Toc8415"/>
      <w:r>
        <w:rPr>
          <w:rFonts w:ascii="楷体_GB2312" w:eastAsia="楷体_GB2312" w:cs="楷体_GB2312" w:hint="eastAsia"/>
          <w:b/>
          <w:kern w:val="0"/>
          <w:sz w:val="32"/>
          <w:szCs w:val="32"/>
        </w:rPr>
        <w:t>（一）“三公”经费财政拨款支出决算总体情况说明</w:t>
      </w:r>
      <w:bookmarkEnd w:id="118"/>
      <w:bookmarkEnd w:id="119"/>
      <w:bookmarkEnd w:id="120"/>
      <w:bookmarkEnd w:id="121"/>
      <w:bookmarkEnd w:id="122"/>
    </w:p>
    <w:p>
      <w:pPr>
        <w:spacing w:line="576" w:lineRule="exact"/>
        <w:ind w:firstLine="640"/>
        <w:rPr>
          <w:rFonts w:ascii="仿宋" w:eastAsia="仿宋" w:cs="仿宋" w:hint="eastAsia"/>
          <w:sz w:val="32"/>
          <w:szCs w:val="32"/>
        </w:rPr>
      </w:pPr>
      <w:r>
        <w:rPr>
          <w:rFonts w:ascii="仿宋" w:eastAsia="仿宋" w:cs="仿宋" w:hint="eastAsia"/>
          <w:sz w:val="32"/>
          <w:szCs w:val="32"/>
        </w:rPr>
        <w:t>2025年“三公”经费财政拨款支出决算为0万元，完成预算0%，决算数与预算数都为0万元，主要原因是：2024年和2025年无“三公”经费财政拨款支出。</w:t>
      </w:r>
    </w:p>
    <w:p>
      <w:pPr>
        <w:ind w:firstLineChars="200" w:firstLine="640"/>
        <w:outlineLvl w:val="2"/>
        <w:rPr>
          <w:rFonts w:ascii="楷体_GB2312" w:eastAsia="楷体_GB2312" w:cs="楷体_GB2312" w:hint="eastAsia"/>
          <w:b/>
          <w:kern w:val="0"/>
          <w:sz w:val="32"/>
          <w:szCs w:val="32"/>
        </w:rPr>
      </w:pPr>
      <w:bookmarkStart w:id="123" w:name="_Toc15377217"/>
      <w:bookmarkStart w:id="124" w:name="_Toc22757"/>
      <w:bookmarkStart w:id="125" w:name="_Toc22047"/>
      <w:bookmarkStart w:id="126" w:name="_Toc3875"/>
      <w:bookmarkStart w:id="127" w:name="_Toc17095"/>
      <w:r>
        <w:rPr>
          <w:rFonts w:ascii="楷体_GB2312" w:eastAsia="楷体_GB2312" w:cs="楷体_GB2312" w:hint="eastAsia"/>
          <w:b/>
          <w:kern w:val="0"/>
          <w:sz w:val="32"/>
          <w:szCs w:val="32"/>
        </w:rPr>
        <w:t>（二）“三公”经费财政拨款支出决算具体情况说明</w:t>
      </w:r>
      <w:bookmarkEnd w:id="123"/>
      <w:bookmarkEnd w:id="124"/>
      <w:bookmarkEnd w:id="125"/>
      <w:bookmarkEnd w:id="126"/>
      <w:bookmarkEnd w:id="127"/>
    </w:p>
    <w:p>
      <w:pPr>
        <w:spacing w:line="576" w:lineRule="exact"/>
        <w:ind w:firstLine="640"/>
        <w:rPr>
          <w:rFonts w:ascii="仿宋" w:eastAsia="仿宋" w:cs="仿宋" w:hint="eastAsia"/>
          <w:sz w:val="32"/>
          <w:szCs w:val="32"/>
        </w:rPr>
      </w:pPr>
      <w:r>
        <w:rPr>
          <w:rFonts w:ascii="仿宋" w:eastAsia="仿宋" w:cs="仿宋" w:hint="eastAsia"/>
          <w:sz w:val="32"/>
          <w:szCs w:val="32"/>
        </w:rPr>
        <w:t>2025年“三公”经费财政拨款支出决算中，因公出国（境）费支出决算0万元，占0%；公务用车购置及运行维护费支出决算0万元，占0%；公务接待费支出决算0万元，占0%。具体情况如下：</w:t>
      </w:r>
    </w:p>
    <w:p>
      <w:pPr>
        <w:spacing w:line="576" w:lineRule="exact"/>
        <w:ind w:firstLineChars="200" w:firstLine="640"/>
        <w:rPr>
          <w:rFonts w:ascii="仿宋" w:eastAsia="仿宋" w:cs="仿宋" w:hint="eastAsia"/>
          <w:sz w:val="32"/>
          <w:szCs w:val="32"/>
        </w:rPr>
      </w:pPr>
      <w:r>
        <w:rPr>
          <w:rFonts w:ascii="仿宋" w:eastAsia="仿宋" w:cs="仿宋" w:hint="eastAsia"/>
          <w:b/>
          <w:sz w:val="32"/>
          <w:szCs w:val="32"/>
        </w:rPr>
        <w:t>1.因公出国（境）经费支出0万元，完成预算0%。全年安排因公出国（境）团组0次，出国（境）0人。因公出国（境）支出决算比2024年增加0万元，增长0%。主要原因是：2025年和2024年无因公出国（境）经费支出。</w:t>
      </w:r>
      <w:bookmarkStart w:id="128" w:name="_Toc15396610"/>
      <w:bookmarkStart w:id="129" w:name="_Toc15377218"/>
    </w:p>
    <w:p>
      <w:pPr>
        <w:tabs>
          <w:tab w:val="left" w:pos="1017"/>
        </w:tabs>
        <w:spacing w:line="576" w:lineRule="exact"/>
        <w:rPr>
          <w:rStyle w:val="32"/>
          <w:rFonts w:ascii="仿宋" w:eastAsia="仿宋" w:cs="仿宋" w:hint="eastAsia"/>
          <w:b w:val="0"/>
          <w:bCs/>
          <w:color w:val="000000"/>
          <w:sz w:val="32"/>
          <w:szCs w:val="32"/>
        </w:rPr>
      </w:pPr>
      <w:r>
        <w:rPr>
          <w:rFonts w:ascii="仿宋" w:eastAsia="仿宋" w:cs="仿宋" w:hint="eastAsia"/>
          <w:sz w:val="32"/>
          <w:szCs w:val="32"/>
        </w:rPr>
        <w:tab/>
      </w:r>
      <w:r>
        <w:rPr>
          <w:rStyle w:val="32"/>
          <w:rFonts w:ascii="仿宋" w:eastAsia="仿宋" w:cs="仿宋" w:hint="eastAsia"/>
          <w:b w:val="0"/>
          <w:bCs/>
          <w:color w:val="000000"/>
          <w:sz w:val="32"/>
          <w:szCs w:val="32"/>
        </w:rPr>
        <w:t>开支内容包括：无。</w:t>
      </w:r>
    </w:p>
    <w:p>
      <w:pPr>
        <w:spacing w:line="576" w:lineRule="exact"/>
        <w:ind w:firstLineChars="200" w:firstLine="640"/>
        <w:rPr>
          <w:rFonts w:ascii="仿宋" w:eastAsia="仿宋" w:cs="仿宋" w:hint="eastAsia"/>
          <w:b/>
          <w:sz w:val="32"/>
          <w:szCs w:val="32"/>
        </w:rPr>
      </w:pPr>
      <w:r>
        <w:rPr>
          <w:rFonts w:ascii="仿宋" w:eastAsia="仿宋" w:cs="仿宋" w:hint="eastAsia"/>
          <w:b/>
          <w:sz w:val="32"/>
          <w:szCs w:val="32"/>
        </w:rPr>
        <w:t>2.公务用车购置及运行维护费支出0万元,完成预算0%。公务用车购置及运行维护费支出决算比2024年增加0万元，增长0%。主要原因是：2025年和2024年无公务用车购置及运行维护费支出。</w:t>
      </w:r>
    </w:p>
    <w:p>
      <w:pPr>
        <w:pStyle w:val="30"/>
        <w:widowControl w:val="0"/>
        <w:shd w:val="clear" w:color="auto" w:fill="FFFFFF"/>
        <w:spacing w:before="0" w:beforeAutospacing="0" w:after="0" w:afterAutospacing="0" w:line="576" w:lineRule="exact"/>
        <w:ind w:firstLineChars="200" w:firstLine="640"/>
        <w:jc w:val="both"/>
        <w:rPr>
          <w:rStyle w:val="32"/>
          <w:rFonts w:ascii="仿宋" w:eastAsia="仿宋" w:cs="仿宋" w:hint="eastAsia"/>
          <w:b w:val="0"/>
          <w:bCs/>
          <w:color w:val="000000"/>
          <w:kern w:val="2"/>
          <w:sz w:val="32"/>
          <w:szCs w:val="32"/>
        </w:rPr>
      </w:pPr>
      <w:r>
        <w:rPr>
          <w:rStyle w:val="32"/>
          <w:rFonts w:ascii="仿宋" w:eastAsia="仿宋" w:cs="仿宋" w:hint="eastAsia"/>
          <w:b w:val="0"/>
          <w:bCs/>
          <w:color w:val="000000"/>
          <w:kern w:val="2"/>
          <w:sz w:val="32"/>
          <w:szCs w:val="32"/>
        </w:rPr>
        <w:t>其中：公务用车购置支出0万元。全年按规定更新购置公务用车0辆，其中：轿车0辆、金额0万元，越野车0辆、金额0万元，载客汽车0辆、金额0万元。截至2025年12月底，单位共有公务用车0辆，其中：轿车0辆、越野车0辆、载客汽车0辆。</w:t>
      </w:r>
    </w:p>
    <w:p>
      <w:pPr>
        <w:pStyle w:val="30"/>
        <w:widowControl w:val="0"/>
        <w:shd w:val="clear" w:color="auto" w:fill="FFFFFF"/>
        <w:spacing w:before="0" w:beforeAutospacing="0" w:after="0" w:afterAutospacing="0" w:line="576" w:lineRule="exact"/>
        <w:ind w:firstLineChars="200" w:firstLine="640"/>
        <w:jc w:val="both"/>
        <w:rPr>
          <w:rStyle w:val="32"/>
          <w:rFonts w:ascii="仿宋" w:eastAsia="仿宋" w:cs="仿宋" w:hint="eastAsia"/>
          <w:b w:val="0"/>
          <w:bCs/>
          <w:color w:val="000000"/>
          <w:kern w:val="2"/>
          <w:sz w:val="32"/>
          <w:szCs w:val="32"/>
        </w:rPr>
      </w:pPr>
      <w:r>
        <w:rPr>
          <w:rFonts w:ascii="仿宋" w:eastAsia="仿宋" w:cs="仿宋" w:hint="eastAsia"/>
          <w:b/>
          <w:sz w:val="32"/>
          <w:szCs w:val="32"/>
        </w:rPr>
        <w:t>公务用车运行维护费支出</w:t>
      </w:r>
      <w:r>
        <w:rPr>
          <w:rStyle w:val="32"/>
          <w:rFonts w:ascii="仿宋" w:eastAsia="仿宋" w:cs="仿宋" w:hint="eastAsia"/>
          <w:b w:val="0"/>
          <w:bCs/>
          <w:color w:val="000000"/>
          <w:kern w:val="2"/>
          <w:sz w:val="32"/>
          <w:szCs w:val="32"/>
        </w:rPr>
        <w:t>0万元。</w:t>
      </w:r>
      <w:r>
        <w:rPr>
          <w:rFonts w:ascii="仿宋" w:eastAsia="仿宋" w:cs="仿宋" w:hint="eastAsia"/>
          <w:bCs/>
          <w:sz w:val="32"/>
          <w:szCs w:val="32"/>
        </w:rPr>
        <w:t>主要用于：无。</w:t>
      </w:r>
    </w:p>
    <w:p>
      <w:pPr>
        <w:spacing w:line="576" w:lineRule="exact"/>
        <w:ind w:firstLine="640"/>
        <w:rPr>
          <w:rFonts w:ascii="仿宋" w:eastAsia="仿宋" w:cs="仿宋" w:hint="eastAsia"/>
          <w:sz w:val="32"/>
          <w:szCs w:val="32"/>
        </w:rPr>
      </w:pPr>
      <w:r>
        <w:rPr>
          <w:rFonts w:ascii="仿宋" w:eastAsia="仿宋" w:cs="仿宋" w:hint="eastAsia"/>
          <w:b/>
          <w:sz w:val="32"/>
          <w:szCs w:val="32"/>
        </w:rPr>
        <w:t>3.公务接待费支出0万元，完成预算0%。公务接待费支出决算比2024年增加0万元，增长0%。主要原因是：2025年和2024年无公务接待费支出。其中：</w:t>
      </w:r>
    </w:p>
    <w:p>
      <w:pPr>
        <w:spacing w:line="576" w:lineRule="exact"/>
        <w:ind w:firstLineChars="200" w:firstLine="640"/>
        <w:rPr>
          <w:rFonts w:ascii="仿宋" w:eastAsia="仿宋" w:cs="仿宋" w:hint="eastAsia"/>
          <w:sz w:val="32"/>
          <w:szCs w:val="32"/>
        </w:rPr>
      </w:pPr>
      <w:r>
        <w:rPr>
          <w:rFonts w:ascii="仿宋" w:eastAsia="仿宋" w:cs="仿宋" w:hint="eastAsia"/>
          <w:b/>
          <w:sz w:val="32"/>
          <w:szCs w:val="32"/>
        </w:rPr>
        <w:t>国内公务接待支出</w:t>
      </w:r>
      <w:r>
        <w:rPr>
          <w:rFonts w:ascii="仿宋" w:eastAsia="仿宋" w:cs="仿宋" w:hint="eastAsia"/>
          <w:bCs/>
          <w:sz w:val="32"/>
          <w:szCs w:val="32"/>
        </w:rPr>
        <w:t>0万元。主要用于：无。</w:t>
      </w:r>
      <w:r>
        <w:rPr>
          <w:rFonts w:ascii="仿宋" w:eastAsia="仿宋" w:cs="仿宋" w:hint="eastAsia"/>
          <w:sz w:val="32"/>
          <w:szCs w:val="32"/>
        </w:rPr>
        <w:t>国内公务接待0批次，0人次（不包括陪同人员），共计支出0万元。</w:t>
      </w:r>
    </w:p>
    <w:p>
      <w:pPr>
        <w:pStyle w:val="30"/>
        <w:widowControl w:val="0"/>
        <w:shd w:val="clear" w:color="auto" w:fill="FFFFFF"/>
        <w:spacing w:before="0" w:beforeAutospacing="0" w:after="0" w:afterAutospacing="0" w:line="576" w:lineRule="exact"/>
        <w:ind w:firstLineChars="200" w:firstLine="640"/>
        <w:jc w:val="both"/>
        <w:rPr>
          <w:rFonts w:ascii="仿宋" w:eastAsia="仿宋" w:cs="仿宋" w:hint="eastAsia"/>
          <w:sz w:val="32"/>
          <w:szCs w:val="32"/>
        </w:rPr>
      </w:pPr>
      <w:r>
        <w:rPr>
          <w:rFonts w:ascii="仿宋" w:eastAsia="仿宋" w:cs="仿宋" w:hint="eastAsia"/>
          <w:b/>
          <w:sz w:val="32"/>
          <w:szCs w:val="32"/>
        </w:rPr>
        <w:t>外事接待支出</w:t>
      </w:r>
      <w:r>
        <w:rPr>
          <w:rFonts w:ascii="仿宋" w:eastAsia="仿宋" w:cs="仿宋" w:hint="eastAsia"/>
          <w:bCs/>
          <w:sz w:val="32"/>
          <w:szCs w:val="32"/>
        </w:rPr>
        <w:t>0万元，主要用于接待：无。外事接待0批次，0人，共计支出0万元。</w:t>
      </w:r>
    </w:p>
    <w:p>
      <w:pPr>
        <w:spacing w:line="576" w:lineRule="exact"/>
        <w:ind w:firstLineChars="200" w:firstLine="640"/>
        <w:outlineLvl w:val="1"/>
        <w:rPr>
          <w:rStyle w:val="2Char"/>
          <w:rFonts w:ascii="黑体" w:eastAsia="黑体" w:cs="黑体" w:hint="eastAsia"/>
        </w:rPr>
      </w:pPr>
      <w:bookmarkStart w:id="130" w:name="_Toc1508"/>
      <w:bookmarkStart w:id="131" w:name="_Toc13844"/>
      <w:bookmarkStart w:id="132" w:name="_Toc13888"/>
      <w:bookmarkStart w:id="133" w:name="_Toc20258"/>
      <w:r>
        <w:rPr>
          <w:rFonts w:ascii="黑体" w:eastAsia="黑体" w:cs="黑体" w:hint="eastAsia"/>
          <w:sz w:val="32"/>
          <w:szCs w:val="32"/>
        </w:rPr>
        <w:t>八、</w:t>
      </w:r>
      <w:r>
        <w:rPr>
          <w:rStyle w:val="2Char"/>
          <w:rFonts w:ascii="黑体" w:eastAsia="黑体" w:cs="黑体" w:hint="eastAsia"/>
          <w:b w:val="0"/>
        </w:rPr>
        <w:t>政府性基金预算支出决算情况说明</w:t>
      </w:r>
      <w:bookmarkEnd w:id="128"/>
      <w:bookmarkEnd w:id="129"/>
      <w:bookmarkEnd w:id="130"/>
      <w:bookmarkEnd w:id="131"/>
      <w:bookmarkEnd w:id="132"/>
      <w:bookmarkEnd w:id="133"/>
    </w:p>
    <w:p>
      <w:pPr>
        <w:pStyle w:val="30"/>
        <w:widowControl w:val="0"/>
        <w:shd w:val="clear" w:color="auto" w:fill="FFFFFF"/>
        <w:spacing w:before="0" w:beforeAutospacing="0" w:after="0" w:afterAutospacing="0" w:line="576" w:lineRule="exact"/>
        <w:ind w:firstLineChars="200" w:firstLine="640"/>
        <w:jc w:val="both"/>
        <w:rPr>
          <w:rFonts w:ascii="仿宋" w:eastAsia="仿宋" w:cs="仿宋" w:hint="eastAsia"/>
          <w:sz w:val="32"/>
          <w:szCs w:val="32"/>
        </w:rPr>
      </w:pPr>
      <w:r>
        <w:rPr>
          <w:rFonts w:ascii="仿宋" w:eastAsia="仿宋" w:cs="仿宋" w:hint="eastAsia"/>
          <w:sz w:val="32"/>
          <w:szCs w:val="32"/>
        </w:rPr>
        <w:t>2025年政府性基金预算财政拨款1.00万元，支出1.00万元。具体情况为：2025年用于教育事业的彩票公益金1.00万元，支出1.00万元。</w:t>
      </w:r>
    </w:p>
    <w:p>
      <w:pPr>
        <w:spacing w:line="576" w:lineRule="exact"/>
        <w:ind w:firstLineChars="200" w:firstLine="640"/>
        <w:outlineLvl w:val="1"/>
        <w:rPr>
          <w:rFonts w:ascii="黑体" w:eastAsia="黑体" w:cs="黑体" w:hint="eastAsia"/>
          <w:sz w:val="32"/>
          <w:szCs w:val="32"/>
        </w:rPr>
      </w:pPr>
      <w:bookmarkStart w:id="134" w:name="_Toc15377219"/>
      <w:bookmarkStart w:id="135" w:name="_Toc15396611"/>
      <w:bookmarkStart w:id="136" w:name="_Toc11970"/>
      <w:bookmarkStart w:id="137" w:name="_Toc29650"/>
      <w:bookmarkStart w:id="138" w:name="_Toc6859"/>
      <w:bookmarkStart w:id="139" w:name="_Toc4178"/>
      <w:r>
        <w:rPr>
          <w:rFonts w:ascii="黑体" w:eastAsia="黑体" w:cs="黑体" w:hint="eastAsia"/>
          <w:sz w:val="32"/>
          <w:szCs w:val="32"/>
        </w:rPr>
        <w:t>九、国有资本经营预算支出决算情况说明</w:t>
      </w:r>
      <w:bookmarkEnd w:id="134"/>
      <w:bookmarkEnd w:id="135"/>
      <w:bookmarkEnd w:id="136"/>
      <w:bookmarkEnd w:id="137"/>
      <w:bookmarkEnd w:id="138"/>
      <w:bookmarkEnd w:id="139"/>
    </w:p>
    <w:p>
      <w:pPr>
        <w:spacing w:line="576" w:lineRule="exact"/>
        <w:ind w:firstLine="640"/>
        <w:rPr>
          <w:rFonts w:ascii="仿宋" w:eastAsia="仿宋" w:cs="仿宋" w:hint="eastAsia"/>
          <w:sz w:val="32"/>
          <w:szCs w:val="32"/>
        </w:rPr>
      </w:pPr>
      <w:r>
        <w:rPr>
          <w:rFonts w:ascii="仿宋" w:eastAsia="仿宋" w:cs="仿宋" w:hint="eastAsia"/>
          <w:sz w:val="32"/>
          <w:szCs w:val="32"/>
        </w:rPr>
        <w:t>2025年国有资本经营预算财政拨款支出0万元。主要原因是年初未安排国有资本经营预算财政拨款预算。</w:t>
      </w:r>
    </w:p>
    <w:p>
      <w:pPr>
        <w:spacing w:line="576" w:lineRule="exact"/>
        <w:ind w:firstLineChars="200" w:firstLine="640"/>
        <w:outlineLvl w:val="1"/>
        <w:rPr>
          <w:rFonts w:ascii="黑体" w:eastAsia="黑体" w:cs="黑体" w:hint="eastAsia"/>
          <w:sz w:val="32"/>
          <w:szCs w:val="32"/>
        </w:rPr>
      </w:pPr>
      <w:bookmarkStart w:id="140" w:name="_Toc9138"/>
      <w:bookmarkStart w:id="141" w:name="_Toc32675"/>
      <w:bookmarkStart w:id="142" w:name="_Toc22391"/>
      <w:bookmarkStart w:id="143" w:name="_Toc9610"/>
      <w:bookmarkStart w:id="144" w:name="_Toc15377221"/>
      <w:bookmarkStart w:id="145" w:name="_Toc15396612"/>
      <w:r>
        <w:rPr>
          <w:rFonts w:ascii="黑体" w:eastAsia="黑体" w:cs="黑体" w:hint="eastAsia"/>
          <w:sz w:val="32"/>
          <w:szCs w:val="32"/>
        </w:rPr>
        <w:t>十、其他重要事项的情况说明</w:t>
      </w:r>
      <w:bookmarkEnd w:id="140"/>
      <w:bookmarkEnd w:id="141"/>
      <w:bookmarkEnd w:id="142"/>
      <w:bookmarkEnd w:id="143"/>
      <w:bookmarkEnd w:id="144"/>
      <w:bookmarkEnd w:id="145"/>
    </w:p>
    <w:p>
      <w:pPr>
        <w:ind w:firstLineChars="200" w:firstLine="640"/>
        <w:outlineLvl w:val="2"/>
        <w:rPr>
          <w:rFonts w:ascii="楷体_GB2312" w:eastAsia="楷体_GB2312" w:cs="楷体_GB2312" w:hint="eastAsia"/>
          <w:b/>
          <w:kern w:val="0"/>
          <w:sz w:val="32"/>
          <w:szCs w:val="32"/>
        </w:rPr>
      </w:pPr>
      <w:bookmarkStart w:id="146" w:name="_Toc17820"/>
      <w:bookmarkStart w:id="147" w:name="_Toc15377222"/>
      <w:bookmarkStart w:id="148" w:name="_Toc830"/>
      <w:bookmarkStart w:id="149" w:name="_Toc22746"/>
      <w:bookmarkStart w:id="150" w:name="_Toc32320"/>
      <w:r>
        <w:rPr>
          <w:rFonts w:ascii="楷体_GB2312" w:eastAsia="楷体_GB2312" w:cs="楷体_GB2312" w:hint="eastAsia"/>
          <w:b/>
          <w:kern w:val="0"/>
          <w:sz w:val="32"/>
          <w:szCs w:val="32"/>
        </w:rPr>
        <w:t>（一）机关运行经费支出情况</w:t>
      </w:r>
      <w:bookmarkEnd w:id="146"/>
      <w:bookmarkEnd w:id="147"/>
      <w:bookmarkEnd w:id="148"/>
      <w:bookmarkEnd w:id="149"/>
      <w:bookmarkEnd w:id="150"/>
    </w:p>
    <w:p>
      <w:pPr>
        <w:spacing w:line="576" w:lineRule="exact"/>
        <w:ind w:firstLineChars="200" w:firstLine="640"/>
        <w:rPr>
          <w:rFonts w:ascii="仿宋" w:eastAsia="仿宋" w:cs="仿宋" w:hint="eastAsia"/>
          <w:sz w:val="32"/>
          <w:szCs w:val="32"/>
        </w:rPr>
      </w:pPr>
      <w:r>
        <w:rPr>
          <w:rFonts w:ascii="仿宋" w:eastAsia="仿宋" w:cs="仿宋" w:hint="eastAsia"/>
          <w:sz w:val="32"/>
          <w:szCs w:val="32"/>
        </w:rPr>
        <w:t>2025年，机关运行经费支出0万元，比2024年增加0万元，增长0%。主要原因是年初未安排机关运行经费。</w:t>
      </w:r>
    </w:p>
    <w:p>
      <w:pPr>
        <w:ind w:firstLineChars="200" w:firstLine="640"/>
        <w:outlineLvl w:val="2"/>
        <w:rPr>
          <w:rFonts w:ascii="楷体_GB2312" w:eastAsia="楷体_GB2312" w:cs="楷体_GB2312" w:hint="eastAsia"/>
          <w:b/>
          <w:kern w:val="0"/>
          <w:sz w:val="32"/>
          <w:szCs w:val="32"/>
        </w:rPr>
      </w:pPr>
      <w:bookmarkStart w:id="151" w:name="_Toc23289"/>
      <w:bookmarkStart w:id="152" w:name="_Toc2217"/>
      <w:bookmarkStart w:id="153" w:name="_Toc3025"/>
      <w:bookmarkStart w:id="154" w:name="_Toc15377223"/>
      <w:bookmarkStart w:id="155" w:name="_Toc12152"/>
      <w:r>
        <w:rPr>
          <w:rFonts w:ascii="楷体_GB2312" w:eastAsia="楷体_GB2312" w:cs="楷体_GB2312" w:hint="eastAsia"/>
          <w:b/>
          <w:kern w:val="0"/>
          <w:sz w:val="32"/>
          <w:szCs w:val="32"/>
        </w:rPr>
        <w:t>（二）政府采购支出情况</w:t>
      </w:r>
      <w:bookmarkEnd w:id="151"/>
      <w:bookmarkEnd w:id="152"/>
      <w:bookmarkEnd w:id="153"/>
      <w:bookmarkEnd w:id="154"/>
      <w:bookmarkEnd w:id="155"/>
    </w:p>
    <w:p>
      <w:pPr>
        <w:pStyle w:val="30"/>
        <w:widowControl w:val="0"/>
        <w:shd w:val="clear" w:color="auto" w:fill="FFFFFF"/>
        <w:spacing w:before="0" w:beforeAutospacing="0" w:after="0" w:afterAutospacing="0" w:line="576" w:lineRule="exact"/>
        <w:ind w:firstLineChars="200" w:firstLine="640"/>
        <w:jc w:val="both"/>
        <w:rPr>
          <w:rFonts w:ascii="仿宋" w:eastAsia="仿宋" w:cs="仿宋" w:hint="eastAsia"/>
          <w:bCs/>
          <w:sz w:val="32"/>
          <w:szCs w:val="32"/>
        </w:rPr>
      </w:pPr>
      <w:bookmarkStart w:id="156" w:name="_Toc15377224"/>
      <w:r>
        <w:rPr>
          <w:rFonts w:ascii="仿宋" w:eastAsia="仿宋" w:cs="仿宋" w:hint="eastAsia"/>
          <w:bCs/>
          <w:sz w:val="32"/>
          <w:szCs w:val="32"/>
        </w:rPr>
        <w:t>2025年，汶川县漩口小学校政府采购支出总额0万元，其中：政府采购货物支出0万元、政府采购工程支出0万元、政府采购服务支出0万元。授予中小企业合同金额0万元，占政府采购支出总额的0%，其中：授予小微企业合同金额0万元，占政府采购支出总额的0%。</w:t>
      </w:r>
    </w:p>
    <w:p>
      <w:pPr>
        <w:ind w:firstLineChars="200" w:firstLine="640"/>
        <w:outlineLvl w:val="2"/>
        <w:rPr>
          <w:rFonts w:ascii="楷体_GB2312" w:eastAsia="楷体_GB2312" w:cs="楷体_GB2312" w:hint="eastAsia"/>
          <w:b/>
          <w:kern w:val="0"/>
          <w:sz w:val="32"/>
          <w:szCs w:val="32"/>
        </w:rPr>
      </w:pPr>
      <w:bookmarkStart w:id="157" w:name="_Toc26227"/>
      <w:bookmarkStart w:id="158" w:name="_Toc27381"/>
      <w:bookmarkStart w:id="159" w:name="_Toc22601"/>
      <w:bookmarkStart w:id="160" w:name="_Toc20834"/>
      <w:r>
        <w:rPr>
          <w:rFonts w:ascii="楷体_GB2312" w:eastAsia="楷体_GB2312" w:cs="楷体_GB2312" w:hint="eastAsia"/>
          <w:b/>
          <w:kern w:val="0"/>
          <w:sz w:val="32"/>
          <w:szCs w:val="32"/>
        </w:rPr>
        <w:t>（三）国有资产占有使用情况</w:t>
      </w:r>
      <w:bookmarkEnd w:id="156"/>
      <w:bookmarkEnd w:id="157"/>
      <w:bookmarkEnd w:id="158"/>
      <w:bookmarkEnd w:id="159"/>
      <w:bookmarkEnd w:id="160"/>
    </w:p>
    <w:p>
      <w:pPr>
        <w:pStyle w:val="30"/>
        <w:widowControl w:val="0"/>
        <w:shd w:val="clear" w:color="auto" w:fill="FFFFFF"/>
        <w:spacing w:before="0" w:beforeAutospacing="0" w:after="0" w:afterAutospacing="0" w:line="576" w:lineRule="exact"/>
        <w:ind w:firstLineChars="200" w:firstLine="640"/>
        <w:jc w:val="both"/>
        <w:rPr>
          <w:rFonts w:ascii="仿宋" w:eastAsia="仿宋" w:cs="仿宋" w:hint="eastAsia"/>
          <w:bCs/>
          <w:sz w:val="32"/>
          <w:szCs w:val="32"/>
        </w:rPr>
      </w:pPr>
      <w:r>
        <w:rPr>
          <w:rFonts w:ascii="仿宋" w:eastAsia="仿宋" w:cs="仿宋" w:hint="eastAsia"/>
          <w:bCs/>
          <w:sz w:val="32"/>
          <w:szCs w:val="32"/>
        </w:rPr>
        <w:t>截至2025年12月31日，汶川县漩口小学校共有车辆0辆，其中：主要领导干部用车0辆、机要通信用车0辆、应急保障用车0辆、其他用车0辆。单价100万元（含）以上设备（不含车辆）0台（套）。</w:t>
      </w:r>
    </w:p>
    <w:p>
      <w:pPr>
        <w:ind w:firstLineChars="200" w:firstLine="640"/>
        <w:outlineLvl w:val="2"/>
        <w:rPr>
          <w:rFonts w:ascii="楷体_GB2312" w:eastAsia="楷体_GB2312" w:cs="楷体_GB2312" w:hint="eastAsia"/>
          <w:b/>
          <w:kern w:val="0"/>
          <w:sz w:val="32"/>
          <w:szCs w:val="32"/>
        </w:rPr>
      </w:pPr>
      <w:bookmarkStart w:id="161" w:name="_Toc3916"/>
      <w:bookmarkStart w:id="162" w:name="_Toc27398"/>
      <w:bookmarkStart w:id="163" w:name="_Toc19767"/>
      <w:bookmarkStart w:id="164" w:name="_Toc7289"/>
      <w:r>
        <w:rPr>
          <w:rFonts w:ascii="楷体_GB2312" w:eastAsia="楷体_GB2312" w:cs="楷体_GB2312" w:hint="eastAsia"/>
          <w:b/>
          <w:kern w:val="0"/>
          <w:sz w:val="32"/>
          <w:szCs w:val="32"/>
        </w:rPr>
        <w:t>（四）预算绩效管理情况</w:t>
      </w:r>
      <w:bookmarkEnd w:id="161"/>
      <w:bookmarkEnd w:id="162"/>
      <w:bookmarkEnd w:id="163"/>
      <w:bookmarkEnd w:id="164"/>
    </w:p>
    <w:p>
      <w:pPr>
        <w:pStyle w:val="17"/>
        <w:spacing w:beforeLines="0" w:before="93"/>
        <w:ind w:firstLineChars="200" w:firstLine="640"/>
        <w:rPr>
          <w:color w:val="000000"/>
          <w:sz w:val="32"/>
          <w:szCs w:val="32"/>
        </w:rPr>
      </w:pPr>
      <w:r>
        <w:rPr>
          <w:rFonts w:cs="仿宋" w:hint="eastAsia"/>
          <w:sz w:val="32"/>
          <w:szCs w:val="32"/>
        </w:rPr>
        <w:t>根据绩效管理要求，我单位对2025年部门整体支出进行了自评及评分。2025年我单位整体支出合计</w:t>
      </w:r>
      <w:r>
        <w:rPr>
          <w:rFonts w:cs="仿宋"/>
          <w:sz w:val="32"/>
          <w:szCs w:val="32"/>
        </w:rPr>
        <w:t>1937.32</w:t>
      </w:r>
      <w:r>
        <w:rPr>
          <w:rFonts w:cs="仿宋" w:hint="eastAsia"/>
          <w:sz w:val="32"/>
          <w:szCs w:val="32"/>
        </w:rPr>
        <w:t>万元，支出与预算申报一致。</w:t>
      </w:r>
    </w:p>
    <w:p>
      <w:pPr>
        <w:pStyle w:val="17"/>
        <w:spacing w:beforeLines="0" w:before="93" w:after="156"/>
        <w:ind w:firstLineChars="200" w:firstLine="640"/>
        <w:rPr>
          <w:rFonts w:hint="eastAsia"/>
          <w:kern w:val="2"/>
          <w:sz w:val="32"/>
          <w:szCs w:val="32"/>
        </w:rPr>
      </w:pPr>
      <w:r>
        <w:rPr>
          <w:rFonts w:hint="eastAsia"/>
          <w:kern w:val="2"/>
          <w:sz w:val="32"/>
          <w:szCs w:val="32"/>
        </w:rPr>
        <w:t>2025年我单位完成</w:t>
      </w:r>
      <w:r>
        <w:rPr>
          <w:rFonts w:hint="eastAsia"/>
          <w:kern w:val="2"/>
          <w:sz w:val="32"/>
          <w:szCs w:val="32"/>
          <w:lang w:val="en-US" w:eastAsia="zh-CN"/>
        </w:rPr>
        <w:t>29</w:t>
      </w:r>
      <w:r>
        <w:rPr>
          <w:rFonts w:hint="eastAsia"/>
          <w:kern w:val="2"/>
          <w:sz w:val="32"/>
          <w:szCs w:val="32"/>
        </w:rPr>
        <w:t>个项目，项目支出共计</w:t>
      </w:r>
      <w:r>
        <w:rPr>
          <w:kern w:val="2"/>
          <w:sz w:val="32"/>
          <w:szCs w:val="32"/>
        </w:rPr>
        <w:t>253.01</w:t>
      </w:r>
      <w:r>
        <w:rPr>
          <w:rFonts w:hint="eastAsia"/>
          <w:kern w:val="2"/>
          <w:sz w:val="32"/>
          <w:szCs w:val="32"/>
        </w:rPr>
        <w:t>万元，项目支出与申报目标一致。根据绩效管理要求，2025年度预算编制阶段，组织对学校食堂从业人员劳务费、学前教育辅导员专项资金、学期保教费等7个项目开展了预算事前绩效评估，对7个项目编制了绩效目标，预算执行过程中，选取</w:t>
      </w:r>
      <w:r>
        <w:rPr>
          <w:rFonts w:hint="eastAsia"/>
          <w:kern w:val="2"/>
          <w:sz w:val="32"/>
          <w:szCs w:val="32"/>
          <w:lang w:val="en-US" w:eastAsia="zh-CN"/>
        </w:rPr>
        <w:t>29</w:t>
      </w:r>
      <w:r>
        <w:rPr>
          <w:rFonts w:hint="eastAsia"/>
          <w:kern w:val="2"/>
          <w:sz w:val="32"/>
          <w:szCs w:val="32"/>
        </w:rPr>
        <w:t>个项目开展了绩效监控，组织对</w:t>
      </w:r>
      <w:r>
        <w:rPr>
          <w:rFonts w:hint="eastAsia"/>
          <w:kern w:val="2"/>
          <w:sz w:val="32"/>
          <w:szCs w:val="32"/>
          <w:lang w:val="en-US" w:eastAsia="zh-CN"/>
        </w:rPr>
        <w:t>29</w:t>
      </w:r>
      <w:r>
        <w:rPr>
          <w:rFonts w:hint="eastAsia"/>
          <w:kern w:val="2"/>
          <w:sz w:val="32"/>
          <w:szCs w:val="32"/>
        </w:rPr>
        <w:t>个项目开展绩效自评，其中</w:t>
      </w:r>
      <w:r>
        <w:rPr>
          <w:rFonts w:hint="eastAsia"/>
          <w:bCs/>
          <w:sz w:val="32"/>
          <w:szCs w:val="32"/>
        </w:rPr>
        <w:t>3</w:t>
      </w:r>
      <w:r>
        <w:rPr>
          <w:rFonts w:hint="eastAsia"/>
          <w:kern w:val="2"/>
          <w:sz w:val="32"/>
          <w:szCs w:val="32"/>
        </w:rPr>
        <w:t>个项目绩效报告及自评表详见第四部分附件。</w:t>
      </w:r>
    </w:p>
    <w:p>
      <w:pPr>
        <w:spacing w:line="600" w:lineRule="exact"/>
        <w:jc w:val="center"/>
        <w:outlineLvl w:val="0"/>
        <w:rPr>
          <w:rFonts w:ascii="黑体" w:eastAsia="黑体" w:cs="黑体" w:hint="eastAsia"/>
          <w:sz w:val="44"/>
          <w:szCs w:val="44"/>
        </w:rPr>
      </w:pPr>
      <w:bookmarkStart w:id="165" w:name="_Toc15396613"/>
      <w:bookmarkStart w:id="166" w:name="_Toc11703"/>
      <w:bookmarkStart w:id="167" w:name="_Toc15377225"/>
      <w:bookmarkStart w:id="168" w:name="_Toc10899"/>
      <w:bookmarkStart w:id="169" w:name="_Toc23018"/>
      <w:bookmarkStart w:id="170" w:name="_Toc19582"/>
      <w:r>
        <w:rPr>
          <w:rFonts w:ascii="黑体" w:eastAsia="黑体" w:cs="黑体" w:hint="eastAsia"/>
          <w:sz w:val="44"/>
          <w:szCs w:val="44"/>
        </w:rPr>
        <w:t>第三部分 名词解释</w:t>
      </w:r>
      <w:bookmarkEnd w:id="165"/>
      <w:bookmarkEnd w:id="166"/>
      <w:bookmarkEnd w:id="167"/>
      <w:bookmarkEnd w:id="168"/>
      <w:bookmarkEnd w:id="169"/>
      <w:bookmarkEnd w:id="170"/>
    </w:p>
    <w:p>
      <w:pPr>
        <w:spacing w:line="600" w:lineRule="exact"/>
        <w:jc w:val="left"/>
        <w:rPr>
          <w:rFonts w:ascii="仿宋" w:eastAsia="仿宋" w:cs="仿宋" w:hint="eastAsia"/>
          <w:b/>
          <w:sz w:val="32"/>
          <w:szCs w:val="32"/>
        </w:rPr>
      </w:pPr>
    </w:p>
    <w:p>
      <w:pPr>
        <w:pStyle w:val="38"/>
        <w:spacing w:line="560" w:lineRule="exact"/>
        <w:ind w:firstLineChars="200" w:firstLine="640"/>
        <w:outlineLvl w:val="2"/>
        <w:rPr>
          <w:rFonts w:hint="eastAsia"/>
          <w:sz w:val="32"/>
          <w:szCs w:val="32"/>
        </w:rPr>
      </w:pPr>
      <w:bookmarkStart w:id="171" w:name="_Toc28165"/>
      <w:bookmarkStart w:id="172" w:name="_Toc17327"/>
      <w:bookmarkStart w:id="173" w:name="_Toc25475"/>
      <w:bookmarkStart w:id="174" w:name="_Toc18794"/>
      <w:r>
        <w:rPr>
          <w:rFonts w:hint="eastAsia"/>
          <w:sz w:val="32"/>
          <w:szCs w:val="32"/>
        </w:rPr>
        <w:t>1.财政拨款收入：指单位从同级财政部门取得的财政预算资金。</w:t>
      </w:r>
      <w:bookmarkEnd w:id="171"/>
      <w:bookmarkEnd w:id="172"/>
      <w:bookmarkEnd w:id="173"/>
      <w:bookmarkEnd w:id="174"/>
    </w:p>
    <w:p>
      <w:pPr>
        <w:pStyle w:val="38"/>
        <w:spacing w:line="560" w:lineRule="exact"/>
        <w:ind w:firstLineChars="200" w:firstLine="640"/>
        <w:outlineLvl w:val="2"/>
        <w:rPr>
          <w:rFonts w:hint="eastAsia"/>
          <w:sz w:val="32"/>
          <w:szCs w:val="32"/>
        </w:rPr>
      </w:pPr>
      <w:r>
        <w:rPr>
          <w:rFonts w:hint="eastAsia"/>
          <w:sz w:val="32"/>
          <w:szCs w:val="32"/>
        </w:rPr>
        <w:t>2.事业收入：指事业单位开展专业业务活动及辅助活动取得的收入。</w:t>
      </w:r>
    </w:p>
    <w:p>
      <w:pPr>
        <w:pStyle w:val="38"/>
        <w:spacing w:line="560" w:lineRule="exact"/>
        <w:ind w:firstLineChars="200" w:firstLine="640"/>
        <w:outlineLvl w:val="2"/>
        <w:rPr>
          <w:rFonts w:hint="eastAsia"/>
          <w:sz w:val="32"/>
          <w:szCs w:val="32"/>
        </w:rPr>
      </w:pPr>
      <w:r>
        <w:rPr>
          <w:rFonts w:hint="eastAsia"/>
          <w:sz w:val="32"/>
          <w:szCs w:val="32"/>
        </w:rPr>
        <w:t>3.经营收入：指事业单位在专业业务活动及其辅助活动之外开展非独立核算经营活动取得的收入。</w:t>
      </w:r>
    </w:p>
    <w:p>
      <w:pPr>
        <w:pStyle w:val="38"/>
        <w:spacing w:line="560" w:lineRule="exact"/>
        <w:ind w:leftChars="304" w:left="638"/>
        <w:outlineLvl w:val="2"/>
        <w:rPr>
          <w:rFonts w:hint="eastAsia"/>
          <w:sz w:val="32"/>
          <w:szCs w:val="32"/>
        </w:rPr>
      </w:pPr>
      <w:bookmarkStart w:id="175" w:name="_Toc20687"/>
      <w:bookmarkStart w:id="176" w:name="_Toc14004"/>
      <w:bookmarkStart w:id="177" w:name="_Toc28286"/>
      <w:bookmarkStart w:id="178" w:name="_Toc14497"/>
      <w:r>
        <w:rPr>
          <w:rFonts w:hint="eastAsia"/>
          <w:sz w:val="32"/>
          <w:szCs w:val="32"/>
        </w:rPr>
        <w:t>4.其他收入：指单位取得的除上述收入以外的各项收</w:t>
      </w:r>
      <w:bookmarkEnd w:id="175"/>
      <w:bookmarkEnd w:id="176"/>
      <w:bookmarkEnd w:id="177"/>
      <w:bookmarkEnd w:id="178"/>
    </w:p>
    <w:p>
      <w:pPr>
        <w:pStyle w:val="38"/>
        <w:spacing w:line="560" w:lineRule="exact"/>
        <w:ind w:firstLineChars="200" w:firstLine="640"/>
        <w:outlineLvl w:val="2"/>
        <w:rPr>
          <w:rFonts w:hint="eastAsia"/>
          <w:sz w:val="32"/>
          <w:szCs w:val="32"/>
        </w:rPr>
      </w:pPr>
      <w:r>
        <w:rPr>
          <w:rFonts w:hint="eastAsia"/>
          <w:sz w:val="32"/>
          <w:szCs w:val="32"/>
        </w:rPr>
        <w:t>5.使用非财政拨款结余：指事业单位使用以前年度积累的非财政拨款结余弥补当年收支差额的金额。</w:t>
      </w:r>
    </w:p>
    <w:p>
      <w:pPr>
        <w:pStyle w:val="38"/>
        <w:spacing w:line="560" w:lineRule="exact"/>
        <w:ind w:firstLineChars="200" w:firstLine="640"/>
        <w:outlineLvl w:val="2"/>
        <w:rPr>
          <w:rFonts w:hint="eastAsia"/>
          <w:sz w:val="32"/>
          <w:szCs w:val="32"/>
        </w:rPr>
      </w:pPr>
      <w:r>
        <w:rPr>
          <w:rFonts w:hint="eastAsia"/>
          <w:sz w:val="32"/>
          <w:szCs w:val="32"/>
        </w:rPr>
        <w:t xml:space="preserve">6.年初结转和结余：指以前年度尚未完成、结转到本年按有关规定继续使用的资金。 </w:t>
      </w:r>
    </w:p>
    <w:p>
      <w:pPr>
        <w:pStyle w:val="38"/>
        <w:spacing w:line="560" w:lineRule="exact"/>
        <w:ind w:firstLineChars="200" w:firstLine="640"/>
        <w:outlineLvl w:val="2"/>
        <w:rPr>
          <w:rFonts w:hint="eastAsia"/>
          <w:sz w:val="32"/>
          <w:szCs w:val="32"/>
        </w:rPr>
      </w:pPr>
      <w:r>
        <w:rPr>
          <w:rFonts w:hint="eastAsia"/>
          <w:sz w:val="32"/>
          <w:szCs w:val="32"/>
        </w:rPr>
        <w:t>7.结余分配：指事业单位按照会计制度规定缴纳的所得税、提取的专用结余以及转入非财政拨款结余的金额等。</w:t>
      </w:r>
    </w:p>
    <w:p>
      <w:pPr>
        <w:pStyle w:val="38"/>
        <w:spacing w:line="560" w:lineRule="exact"/>
        <w:ind w:firstLineChars="200" w:firstLine="640"/>
        <w:outlineLvl w:val="2"/>
        <w:rPr>
          <w:rFonts w:hint="eastAsia"/>
          <w:sz w:val="32"/>
          <w:szCs w:val="32"/>
        </w:rPr>
      </w:pPr>
      <w:r>
        <w:rPr>
          <w:rFonts w:hint="eastAsia"/>
          <w:sz w:val="32"/>
          <w:szCs w:val="32"/>
        </w:rPr>
        <w:t>8、年末结转和结余：指单位按有关规定结转到下年或以后年度继续使用的资金。</w:t>
      </w:r>
    </w:p>
    <w:p>
      <w:pPr>
        <w:ind w:firstLineChars="200" w:firstLine="640"/>
        <w:outlineLvl w:val="2"/>
        <w:rPr>
          <w:rFonts w:ascii="仿宋" w:eastAsia="仿宋" w:cs="仿宋" w:hint="eastAsia"/>
          <w:sz w:val="32"/>
          <w:szCs w:val="32"/>
        </w:rPr>
      </w:pPr>
      <w:bookmarkStart w:id="179" w:name="_Toc27607"/>
      <w:bookmarkStart w:id="180" w:name="_Toc26838"/>
      <w:bookmarkStart w:id="181" w:name="_Toc28630"/>
      <w:bookmarkStart w:id="182" w:name="_Toc6461"/>
      <w:r>
        <w:rPr>
          <w:rFonts w:ascii="仿宋" w:eastAsia="仿宋" w:cs="仿宋" w:hint="eastAsia"/>
          <w:color w:val="000000"/>
          <w:sz w:val="32"/>
          <w:szCs w:val="32"/>
        </w:rPr>
        <w:t>9.</w:t>
      </w:r>
      <w:r>
        <w:rPr>
          <w:rStyle w:val="32"/>
          <w:rFonts w:ascii="仿宋" w:eastAsia="仿宋" w:cs="Arial" w:hint="eastAsia"/>
          <w:b w:val="0"/>
          <w:bCs/>
          <w:sz w:val="32"/>
          <w:szCs w:val="32"/>
        </w:rPr>
        <w:t>教育支出（类）普通教育（款）学前教育（项）</w:t>
      </w:r>
      <w:r>
        <w:rPr>
          <w:rFonts w:ascii="仿宋" w:eastAsia="仿宋" w:cs="仿宋" w:hint="eastAsia"/>
          <w:sz w:val="32"/>
          <w:szCs w:val="32"/>
        </w:rPr>
        <w:t>：指各部门举办的学前教育支出。</w:t>
      </w:r>
      <w:bookmarkEnd w:id="179"/>
      <w:bookmarkEnd w:id="180"/>
      <w:bookmarkEnd w:id="181"/>
      <w:bookmarkEnd w:id="182"/>
    </w:p>
    <w:p>
      <w:pPr>
        <w:ind w:firstLineChars="200" w:firstLine="640"/>
        <w:outlineLvl w:val="2"/>
        <w:rPr>
          <w:rFonts w:ascii="仿宋" w:eastAsia="仿宋" w:cs="仿宋" w:hint="eastAsia"/>
          <w:sz w:val="32"/>
          <w:szCs w:val="32"/>
        </w:rPr>
      </w:pPr>
      <w:r>
        <w:rPr>
          <w:rFonts w:ascii="仿宋" w:eastAsia="仿宋" w:cs="仿宋" w:hint="eastAsia"/>
          <w:sz w:val="32"/>
          <w:szCs w:val="32"/>
        </w:rPr>
        <w:t>10.</w:t>
      </w:r>
      <w:r>
        <w:rPr>
          <w:rStyle w:val="32"/>
          <w:rFonts w:ascii="仿宋" w:eastAsia="仿宋" w:cs="Arial" w:hint="eastAsia"/>
          <w:b w:val="0"/>
          <w:bCs/>
          <w:sz w:val="32"/>
          <w:szCs w:val="32"/>
        </w:rPr>
        <w:t>教育支出（类）普通教育（款）小学教育（项）</w:t>
      </w:r>
      <w:r>
        <w:rPr>
          <w:rFonts w:ascii="仿宋" w:eastAsia="仿宋" w:cs="仿宋" w:hint="eastAsia"/>
          <w:sz w:val="32"/>
          <w:szCs w:val="32"/>
        </w:rPr>
        <w:t>：指各部门举办的小学教育支出。</w:t>
      </w:r>
    </w:p>
    <w:p>
      <w:pPr>
        <w:ind w:firstLineChars="200" w:firstLine="640"/>
        <w:outlineLvl w:val="2"/>
        <w:rPr>
          <w:rFonts w:ascii="仿宋" w:eastAsia="仿宋" w:cs="仿宋" w:hint="eastAsia"/>
          <w:sz w:val="32"/>
          <w:szCs w:val="32"/>
        </w:rPr>
      </w:pPr>
      <w:r>
        <w:rPr>
          <w:rFonts w:ascii="仿宋" w:eastAsia="仿宋" w:cs="仿宋" w:hint="eastAsia"/>
          <w:sz w:val="32"/>
          <w:szCs w:val="32"/>
        </w:rPr>
        <w:t>11.</w:t>
      </w:r>
      <w:r>
        <w:rPr>
          <w:rStyle w:val="32"/>
          <w:rFonts w:ascii="仿宋" w:eastAsia="仿宋" w:cs="Arial" w:hint="eastAsia"/>
          <w:b w:val="0"/>
          <w:bCs/>
          <w:sz w:val="32"/>
          <w:szCs w:val="32"/>
        </w:rPr>
        <w:t>教育支出（类）教育费附加安排的支出（款）其他教育费附加安排的支出（项）</w:t>
      </w:r>
      <w:r>
        <w:rPr>
          <w:rFonts w:ascii="仿宋" w:eastAsia="仿宋" w:cs="仿宋" w:hint="eastAsia"/>
          <w:sz w:val="32"/>
          <w:szCs w:val="32"/>
        </w:rPr>
        <w:t>：指其他教育费附加安排的支出。</w:t>
      </w:r>
    </w:p>
    <w:p>
      <w:pPr>
        <w:ind w:firstLineChars="200" w:firstLine="640"/>
        <w:outlineLvl w:val="2"/>
        <w:rPr>
          <w:rFonts w:ascii="仿宋" w:eastAsia="仿宋" w:cs="仿宋" w:hint="eastAsia"/>
          <w:sz w:val="32"/>
          <w:szCs w:val="32"/>
        </w:rPr>
      </w:pPr>
      <w:r>
        <w:rPr>
          <w:rFonts w:ascii="仿宋" w:eastAsia="仿宋" w:cs="仿宋" w:hint="eastAsia"/>
          <w:color w:val="000000"/>
          <w:sz w:val="32"/>
          <w:szCs w:val="32"/>
        </w:rPr>
        <w:t>12.</w:t>
      </w:r>
      <w:r>
        <w:rPr>
          <w:rStyle w:val="32"/>
          <w:rFonts w:ascii="仿宋" w:eastAsia="仿宋" w:cs="Arial" w:hint="eastAsia"/>
          <w:b w:val="0"/>
          <w:bCs/>
          <w:sz w:val="32"/>
          <w:szCs w:val="32"/>
        </w:rPr>
        <w:t>社会保障和就业支出（类）行政事业单位养老支出（款）教育费附加安排的支出（项）</w:t>
      </w:r>
      <w:r>
        <w:rPr>
          <w:rFonts w:ascii="仿宋" w:eastAsia="仿宋" w:cs="仿宋" w:hint="eastAsia"/>
          <w:sz w:val="32"/>
          <w:szCs w:val="32"/>
        </w:rPr>
        <w:t>：指机关事业单位实施养老保险制度由单位缴纳的基本养老保险费支出。</w:t>
      </w:r>
    </w:p>
    <w:p>
      <w:pPr>
        <w:ind w:firstLineChars="200" w:firstLine="640"/>
        <w:outlineLvl w:val="2"/>
        <w:rPr>
          <w:rFonts w:ascii="仿宋" w:eastAsia="仿宋" w:cs="仿宋" w:hint="eastAsia"/>
          <w:sz w:val="32"/>
          <w:szCs w:val="32"/>
        </w:rPr>
      </w:pPr>
      <w:r>
        <w:rPr>
          <w:rFonts w:ascii="仿宋" w:eastAsia="仿宋" w:cs="仿宋" w:hint="eastAsia"/>
          <w:sz w:val="32"/>
          <w:szCs w:val="32"/>
        </w:rPr>
        <w:t>13.</w:t>
      </w:r>
      <w:r>
        <w:rPr>
          <w:rStyle w:val="32"/>
          <w:rFonts w:ascii="仿宋" w:eastAsia="仿宋" w:cs="Arial" w:hint="eastAsia"/>
          <w:b w:val="0"/>
          <w:bCs/>
          <w:sz w:val="32"/>
          <w:szCs w:val="32"/>
        </w:rPr>
        <w:t>社会保障和就业支出（类）行政事业单位养老支出（款）机关事业单位职业年金缴费支出（项）</w:t>
      </w:r>
      <w:r>
        <w:rPr>
          <w:rFonts w:ascii="仿宋" w:eastAsia="仿宋" w:cs="仿宋" w:hint="eastAsia"/>
          <w:sz w:val="32"/>
          <w:szCs w:val="32"/>
        </w:rPr>
        <w:t>：指机关事业单位实施养老保险制度由单位实际缴纳的职业年金支出。</w:t>
      </w:r>
    </w:p>
    <w:p>
      <w:pPr>
        <w:ind w:firstLineChars="200" w:firstLine="640"/>
        <w:outlineLvl w:val="2"/>
        <w:rPr>
          <w:rFonts w:ascii="仿宋" w:eastAsia="仿宋" w:cs="仿宋" w:hint="eastAsia"/>
          <w:sz w:val="32"/>
          <w:szCs w:val="32"/>
        </w:rPr>
      </w:pPr>
      <w:r>
        <w:rPr>
          <w:rFonts w:ascii="仿宋" w:eastAsia="仿宋" w:cs="仿宋" w:hint="eastAsia"/>
          <w:color w:val="000000"/>
          <w:sz w:val="32"/>
          <w:szCs w:val="32"/>
        </w:rPr>
        <w:t>14.</w:t>
      </w:r>
      <w:r>
        <w:rPr>
          <w:rStyle w:val="32"/>
          <w:rFonts w:ascii="仿宋" w:eastAsia="仿宋" w:cs="Arial" w:hint="eastAsia"/>
          <w:b w:val="0"/>
          <w:bCs/>
          <w:sz w:val="32"/>
          <w:szCs w:val="32"/>
        </w:rPr>
        <w:t>卫生健康支出（类）行政事业单位医疗（款）事业单位医疗（项）</w:t>
      </w:r>
      <w:r>
        <w:rPr>
          <w:rFonts w:ascii="仿宋" w:eastAsia="仿宋" w:cs="仿宋" w:hint="eastAsia"/>
          <w:sz w:val="32"/>
          <w:szCs w:val="32"/>
        </w:rPr>
        <w:t>：指财政部门集中安排的公务员医疗补助经费和城镇医疗保险缴费。</w:t>
      </w:r>
    </w:p>
    <w:p>
      <w:pPr>
        <w:ind w:firstLineChars="200" w:firstLine="640"/>
      </w:pPr>
      <w:r>
        <w:rPr>
          <w:rFonts w:ascii="仿宋" w:eastAsia="仿宋" w:cs="仿宋" w:hint="eastAsia"/>
          <w:sz w:val="32"/>
          <w:szCs w:val="32"/>
        </w:rPr>
        <w:t>15.</w:t>
      </w:r>
      <w:r>
        <w:rPr>
          <w:rStyle w:val="32"/>
          <w:rFonts w:ascii="仿宋" w:eastAsia="仿宋" w:cs="Arial" w:hint="eastAsia"/>
          <w:b w:val="0"/>
          <w:bCs/>
          <w:sz w:val="32"/>
          <w:szCs w:val="32"/>
        </w:rPr>
        <w:t>卫生健康支出（类）行政事业单位医疗（款）其他行政事业单位医疗（项）：</w:t>
      </w:r>
      <w:r>
        <w:rPr>
          <w:rFonts w:ascii="仿宋_GB2312" w:eastAsia="仿宋_GB2312" w:hint="eastAsia"/>
          <w:color w:val="000000"/>
          <w:sz w:val="32"/>
          <w:szCs w:val="32"/>
        </w:rPr>
        <w:t>指的是其他事业单位医疗支出；</w:t>
      </w:r>
    </w:p>
    <w:p>
      <w:pPr>
        <w:ind w:firstLineChars="200" w:firstLine="640"/>
        <w:outlineLvl w:val="2"/>
        <w:rPr>
          <w:rFonts w:ascii="仿宋" w:eastAsia="仿宋" w:cs="仿宋" w:hint="eastAsia"/>
          <w:sz w:val="32"/>
          <w:szCs w:val="32"/>
        </w:rPr>
      </w:pPr>
      <w:r>
        <w:rPr>
          <w:rFonts w:ascii="仿宋" w:eastAsia="仿宋" w:cs="仿宋" w:hint="eastAsia"/>
          <w:sz w:val="32"/>
          <w:szCs w:val="32"/>
        </w:rPr>
        <w:t>16.基本支出：指为保障机构正常运转、完成日常工作任务而发生的人员支出和公用支出。</w:t>
      </w:r>
    </w:p>
    <w:p>
      <w:pPr>
        <w:spacing w:line="576" w:lineRule="exact"/>
        <w:ind w:firstLineChars="200" w:firstLine="640"/>
        <w:outlineLvl w:val="2"/>
        <w:rPr>
          <w:rFonts w:ascii="仿宋" w:eastAsia="仿宋" w:cs="仿宋" w:hint="eastAsia"/>
          <w:sz w:val="32"/>
          <w:szCs w:val="32"/>
        </w:rPr>
      </w:pPr>
      <w:r>
        <w:rPr>
          <w:rFonts w:ascii="仿宋" w:eastAsia="仿宋" w:cs="仿宋" w:hint="eastAsia"/>
          <w:sz w:val="32"/>
          <w:szCs w:val="32"/>
        </w:rPr>
        <w:t>17.项目支出：指在基本支出之外为完成特定行政任务和事业发展目标所发生的支出。</w:t>
      </w:r>
      <w:bookmarkStart w:id="183" w:name="_Toc3709"/>
      <w:bookmarkStart w:id="184" w:name="_Toc3093"/>
      <w:bookmarkStart w:id="185" w:name="_Toc29441"/>
      <w:bookmarkStart w:id="186" w:name="_Toc6636"/>
    </w:p>
    <w:p>
      <w:pPr>
        <w:spacing w:line="576" w:lineRule="exact"/>
        <w:ind w:firstLineChars="200" w:firstLine="640"/>
        <w:outlineLvl w:val="2"/>
        <w:rPr>
          <w:rFonts w:ascii="仿宋" w:eastAsia="仿宋" w:cs="仿宋" w:hint="eastAsia"/>
          <w:sz w:val="32"/>
          <w:szCs w:val="32"/>
        </w:rPr>
      </w:pPr>
    </w:p>
    <w:p>
      <w:pPr>
        <w:spacing w:line="576" w:lineRule="exact"/>
        <w:ind w:firstLineChars="200" w:firstLine="640"/>
        <w:outlineLvl w:val="2"/>
        <w:rPr>
          <w:rFonts w:ascii="仿宋" w:eastAsia="仿宋" w:cs="仿宋" w:hint="eastAsia"/>
          <w:sz w:val="32"/>
          <w:szCs w:val="32"/>
        </w:rPr>
      </w:pPr>
    </w:p>
    <w:p>
      <w:pPr>
        <w:spacing w:line="576" w:lineRule="exact"/>
        <w:ind w:firstLineChars="200" w:firstLine="640"/>
        <w:outlineLvl w:val="2"/>
        <w:rPr>
          <w:rFonts w:ascii="仿宋" w:eastAsia="仿宋" w:cs="仿宋" w:hint="eastAsia"/>
          <w:sz w:val="32"/>
          <w:szCs w:val="32"/>
        </w:rPr>
      </w:pPr>
    </w:p>
    <w:p>
      <w:pPr>
        <w:spacing w:line="576" w:lineRule="exact"/>
        <w:ind w:firstLineChars="200" w:firstLine="640"/>
        <w:outlineLvl w:val="2"/>
        <w:rPr>
          <w:rFonts w:ascii="仿宋" w:eastAsia="仿宋" w:cs="仿宋" w:hint="eastAsia"/>
          <w:sz w:val="32"/>
          <w:szCs w:val="32"/>
        </w:rPr>
      </w:pPr>
    </w:p>
    <w:p>
      <w:pPr>
        <w:spacing w:line="576" w:lineRule="exact"/>
        <w:ind w:firstLineChars="200" w:firstLine="640"/>
        <w:outlineLvl w:val="2"/>
        <w:rPr>
          <w:rFonts w:ascii="仿宋" w:eastAsia="仿宋" w:cs="仿宋" w:hint="eastAsia"/>
          <w:sz w:val="32"/>
          <w:szCs w:val="32"/>
        </w:rPr>
      </w:pPr>
    </w:p>
    <w:p>
      <w:pPr>
        <w:spacing w:line="576" w:lineRule="exact"/>
        <w:ind w:firstLineChars="200" w:firstLine="640"/>
        <w:outlineLvl w:val="2"/>
        <w:rPr>
          <w:rFonts w:ascii="仿宋" w:eastAsia="仿宋" w:cs="仿宋" w:hint="eastAsia"/>
          <w:sz w:val="32"/>
          <w:szCs w:val="32"/>
        </w:rPr>
      </w:pPr>
    </w:p>
    <w:p>
      <w:pPr>
        <w:spacing w:line="576" w:lineRule="exact"/>
        <w:ind w:firstLineChars="200" w:firstLine="640"/>
        <w:outlineLvl w:val="2"/>
        <w:rPr>
          <w:rFonts w:ascii="仿宋" w:eastAsia="仿宋" w:cs="仿宋" w:hint="eastAsia"/>
          <w:sz w:val="32"/>
          <w:szCs w:val="32"/>
        </w:rPr>
      </w:pPr>
    </w:p>
    <w:p>
      <w:pPr>
        <w:spacing w:line="576" w:lineRule="exact"/>
        <w:ind w:firstLineChars="200" w:firstLine="640"/>
        <w:outlineLvl w:val="2"/>
        <w:rPr>
          <w:rFonts w:ascii="仿宋" w:eastAsia="仿宋" w:cs="仿宋" w:hint="eastAsia"/>
          <w:sz w:val="32"/>
          <w:szCs w:val="32"/>
        </w:rPr>
      </w:pPr>
    </w:p>
    <w:p>
      <w:pPr>
        <w:spacing w:line="600" w:lineRule="exact"/>
        <w:jc w:val="center"/>
        <w:outlineLvl w:val="0"/>
        <w:rPr>
          <w:rStyle w:val="1Char"/>
          <w:rFonts w:ascii="黑体" w:eastAsia="黑体"/>
          <w:b w:val="0"/>
        </w:rPr>
      </w:pPr>
      <w:bookmarkEnd w:id="183"/>
      <w:bookmarkEnd w:id="184"/>
      <w:bookmarkEnd w:id="185"/>
      <w:bookmarkEnd w:id="186"/>
      <w:r>
        <w:rPr>
          <w:rFonts w:ascii="黑体" w:eastAsia="黑体" w:hint="eastAsia"/>
          <w:sz w:val="44"/>
          <w:szCs w:val="44"/>
        </w:rPr>
        <w:t>第</w:t>
      </w:r>
      <w:r>
        <w:rPr>
          <w:rStyle w:val="1Char"/>
          <w:rFonts w:ascii="黑体" w:eastAsia="黑体" w:hint="eastAsia"/>
          <w:b w:val="0"/>
        </w:rPr>
        <w:t>四部分 附件</w:t>
      </w:r>
    </w:p>
    <w:p>
      <w:pPr>
        <w:spacing w:line="572" w:lineRule="exact"/>
        <w:jc w:val="left"/>
        <w:outlineLvl w:val="0"/>
        <w:rPr>
          <w:rFonts w:ascii="仿宋_GB2312" w:eastAsia="仿宋_GB2312" w:cs="仿宋_GB2312"/>
          <w:sz w:val="32"/>
          <w:szCs w:val="32"/>
        </w:rPr>
      </w:pPr>
    </w:p>
    <w:p>
      <w:pPr>
        <w:pStyle w:val="31"/>
        <w:tabs>
          <w:tab w:val="left" w:pos="960"/>
        </w:tabs>
        <w:ind w:left="960" w:hangingChars="300" w:hanging="960"/>
        <w:rPr>
          <w:rFonts w:ascii="黑体" w:eastAsia="黑体"/>
        </w:rPr>
      </w:pPr>
      <w:r>
        <w:rPr>
          <w:rFonts w:ascii="黑体" w:eastAsia="黑体" w:hint="eastAsia"/>
        </w:rPr>
        <w:t>附件1:2025年汶川县漩口小学校单位整体绩效评价报告和2025年汶川县漩口小学校整体支出绩效目标完成情况自评表</w:t>
      </w:r>
    </w:p>
    <w:p>
      <w:pPr>
        <w:pStyle w:val="31"/>
        <w:tabs>
          <w:tab w:val="left" w:pos="960"/>
        </w:tabs>
        <w:ind w:left="960" w:hangingChars="300" w:hanging="960"/>
        <w:rPr>
          <w:rFonts w:ascii="黑体" w:eastAsia="黑体"/>
        </w:rPr>
      </w:pPr>
      <w:r>
        <w:rPr>
          <w:rFonts w:ascii="黑体" w:eastAsia="黑体" w:hint="eastAsia"/>
        </w:rPr>
        <w:t>附件2:2025年汶川县漩口小学校专项项目支出绩效自评报告和2025年专项项目支出绩效自评表</w:t>
      </w:r>
    </w:p>
    <w:p/>
    <w:p/>
    <w:p/>
    <w:p/>
    <w:p/>
    <w:p/>
    <w:p/>
    <w:p>
      <w:pPr>
        <w:pStyle w:val="31"/>
        <w:tabs>
          <w:tab w:val="left" w:pos="960"/>
        </w:tabs>
        <w:ind w:firstLineChars="0" w:firstLine="0"/>
      </w:pPr>
    </w:p>
    <w:p>
      <w:pPr>
        <w:pStyle w:val="31"/>
        <w:tabs>
          <w:tab w:val="left" w:pos="960"/>
        </w:tabs>
        <w:ind w:firstLineChars="0" w:firstLine="0"/>
      </w:pPr>
    </w:p>
    <w:p>
      <w:pPr>
        <w:pStyle w:val="31"/>
        <w:tabs>
          <w:tab w:val="left" w:pos="960"/>
        </w:tabs>
        <w:ind w:firstLineChars="0" w:firstLine="0"/>
      </w:pPr>
    </w:p>
    <w:p>
      <w:pPr>
        <w:pStyle w:val="31"/>
        <w:tabs>
          <w:tab w:val="left" w:pos="960"/>
        </w:tabs>
        <w:ind w:firstLineChars="0" w:firstLine="0"/>
      </w:pPr>
    </w:p>
    <w:p>
      <w:pPr>
        <w:pStyle w:val="31"/>
        <w:tabs>
          <w:tab w:val="left" w:pos="960"/>
        </w:tabs>
        <w:ind w:firstLineChars="0" w:firstLine="0"/>
      </w:pPr>
    </w:p>
    <w:p>
      <w:pPr>
        <w:pStyle w:val="31"/>
        <w:tabs>
          <w:tab w:val="left" w:pos="960"/>
        </w:tabs>
        <w:ind w:firstLineChars="0" w:firstLine="0"/>
      </w:pPr>
    </w:p>
    <w:p>
      <w:pPr>
        <w:pStyle w:val="31"/>
        <w:tabs>
          <w:tab w:val="left" w:pos="960"/>
        </w:tabs>
        <w:ind w:firstLineChars="0" w:firstLine="0"/>
      </w:pPr>
    </w:p>
    <w:p>
      <w:pPr>
        <w:pStyle w:val="31"/>
        <w:tabs>
          <w:tab w:val="left" w:pos="960"/>
        </w:tabs>
        <w:ind w:firstLineChars="0" w:firstLine="0"/>
      </w:pPr>
    </w:p>
    <w:p>
      <w:pPr>
        <w:pStyle w:val="31"/>
        <w:tabs>
          <w:tab w:val="left" w:pos="960"/>
        </w:tabs>
        <w:ind w:firstLineChars="0" w:firstLine="0"/>
      </w:pPr>
    </w:p>
    <w:p>
      <w:pPr>
        <w:pStyle w:val="31"/>
        <w:tabs>
          <w:tab w:val="left" w:pos="960"/>
        </w:tabs>
        <w:ind w:firstLineChars="0" w:firstLine="0"/>
      </w:pPr>
    </w:p>
    <w:p>
      <w:pPr>
        <w:pStyle w:val="31"/>
        <w:tabs>
          <w:tab w:val="left" w:pos="960"/>
        </w:tabs>
        <w:ind w:firstLineChars="0" w:firstLine="0"/>
      </w:pPr>
    </w:p>
    <w:p>
      <w:pPr>
        <w:pStyle w:val="31"/>
        <w:tabs>
          <w:tab w:val="left" w:pos="960"/>
        </w:tabs>
        <w:ind w:firstLineChars="0" w:firstLine="0"/>
      </w:pPr>
    </w:p>
    <w:p>
      <w:pPr>
        <w:pStyle w:val="31"/>
        <w:tabs>
          <w:tab w:val="left" w:pos="960"/>
        </w:tabs>
        <w:ind w:firstLineChars="0" w:firstLine="0"/>
      </w:pPr>
    </w:p>
    <w:p>
      <w:pPr>
        <w:pStyle w:val="31"/>
        <w:tabs>
          <w:tab w:val="left" w:pos="960"/>
        </w:tabs>
        <w:ind w:firstLineChars="0" w:firstLine="0"/>
      </w:pPr>
    </w:p>
    <w:p>
      <w:pPr>
        <w:pStyle w:val="31"/>
        <w:tabs>
          <w:tab w:val="left" w:pos="960"/>
        </w:tabs>
        <w:ind w:firstLineChars="0" w:firstLine="0"/>
        <w:rPr>
          <w:rFonts w:ascii="黑体" w:eastAsia="黑体"/>
        </w:rPr>
      </w:pPr>
      <w:r>
        <w:rPr>
          <w:rFonts w:ascii="黑体" w:eastAsia="黑体" w:hint="eastAsia"/>
        </w:rPr>
        <w:t xml:space="preserve">附件1      </w:t>
      </w:r>
    </w:p>
    <w:p>
      <w:pPr>
        <w:pStyle w:val="31"/>
        <w:tabs>
          <w:tab w:val="left" w:pos="960"/>
        </w:tabs>
        <w:ind w:firstLineChars="600" w:firstLine="1920"/>
        <w:rPr>
          <w:rFonts w:ascii="黑体" w:eastAsia="黑体"/>
        </w:rPr>
      </w:pPr>
      <w:r>
        <w:rPr>
          <w:rFonts w:ascii="黑体" w:eastAsia="黑体" w:hint="eastAsia"/>
        </w:rPr>
        <w:t>2025年汶川县漩口小学校</w:t>
      </w:r>
    </w:p>
    <w:p>
      <w:pPr>
        <w:pStyle w:val="31"/>
        <w:tabs>
          <w:tab w:val="left" w:pos="960"/>
        </w:tabs>
        <w:ind w:firstLineChars="0" w:firstLine="0"/>
        <w:jc w:val="center"/>
        <w:rPr>
          <w:rFonts w:ascii="黑体" w:eastAsia="黑体"/>
        </w:rPr>
      </w:pPr>
      <w:r>
        <w:rPr>
          <w:rFonts w:ascii="黑体" w:eastAsia="黑体" w:hint="eastAsia"/>
        </w:rPr>
        <w:t>部门整体绩效评价报告</w:t>
      </w:r>
    </w:p>
    <w:p>
      <w:pPr>
        <w:pStyle w:val="31"/>
        <w:tabs>
          <w:tab w:val="left" w:pos="960"/>
        </w:tabs>
        <w:ind w:firstLineChars="0" w:firstLine="0"/>
        <w:rPr>
          <w:rFonts w:ascii="黑体" w:eastAsia="黑体"/>
        </w:rPr>
      </w:pPr>
    </w:p>
    <w:p>
      <w:pPr>
        <w:widowControl/>
        <w:adjustRightInd w:val="0"/>
        <w:snapToGrid w:val="0"/>
        <w:spacing w:line="578" w:lineRule="exact"/>
        <w:ind w:firstLineChars="200" w:firstLine="640"/>
        <w:contextualSpacing/>
        <w:jc w:val="left"/>
        <w:outlineLvl w:val="0"/>
        <w:rPr>
          <w:rStyle w:val="2Char"/>
          <w:rFonts w:ascii="黑体" w:eastAsia="黑体" w:hint="eastAsia"/>
          <w:b w:val="0"/>
          <w:lang w:val="zh-CN"/>
        </w:rPr>
      </w:pPr>
      <w:r>
        <w:rPr>
          <w:rStyle w:val="2Char"/>
          <w:rFonts w:ascii="黑体" w:eastAsia="黑体" w:hint="eastAsia"/>
          <w:b w:val="0"/>
          <w:lang w:val="zh-CN"/>
        </w:rPr>
        <w:t>一、</w:t>
      </w:r>
      <w:r>
        <w:rPr>
          <w:rStyle w:val="2Char"/>
          <w:rFonts w:ascii="黑体" w:eastAsia="黑体"/>
          <w:b w:val="0"/>
          <w:lang w:val="zh-CN"/>
        </w:rPr>
        <w:t>部门（单位）基本情况</w:t>
      </w:r>
    </w:p>
    <w:p>
      <w:pPr>
        <w:autoSpaceDE w:val="0"/>
        <w:autoSpaceDN w:val="0"/>
        <w:adjustRightInd w:val="0"/>
        <w:spacing w:line="576" w:lineRule="exact"/>
        <w:ind w:firstLineChars="200" w:firstLine="640"/>
        <w:outlineLvl w:val="2"/>
        <w:rPr>
          <w:rFonts w:ascii="楷体" w:eastAsia="楷体" w:cs="楷体" w:hint="eastAsia"/>
          <w:b/>
          <w:sz w:val="32"/>
          <w:szCs w:val="32"/>
        </w:rPr>
      </w:pPr>
      <w:r>
        <w:rPr>
          <w:rFonts w:ascii="楷体" w:eastAsia="楷体" w:cs="楷体" w:hint="eastAsia"/>
          <w:b/>
          <w:sz w:val="32"/>
          <w:szCs w:val="32"/>
          <w:lang w:val="zh-CN"/>
        </w:rPr>
        <w:t>（一）</w:t>
      </w:r>
      <w:r>
        <w:rPr>
          <w:rFonts w:ascii="楷体" w:eastAsia="楷体" w:cs="楷体"/>
          <w:b/>
          <w:sz w:val="32"/>
          <w:szCs w:val="32"/>
          <w:lang w:val="zh-CN"/>
        </w:rPr>
        <w:t>机构组成</w:t>
      </w:r>
    </w:p>
    <w:p>
      <w:pPr>
        <w:widowControl/>
        <w:adjustRightInd w:val="0"/>
        <w:snapToGrid w:val="0"/>
        <w:spacing w:line="560" w:lineRule="exact"/>
        <w:ind w:firstLine="720"/>
        <w:rPr>
          <w:rFonts w:ascii="仿宋" w:eastAsia="仿宋" w:cs="仿宋" w:hint="eastAsia"/>
          <w:sz w:val="32"/>
          <w:szCs w:val="32"/>
        </w:rPr>
      </w:pPr>
      <w:r>
        <w:rPr>
          <w:rFonts w:ascii="仿宋" w:eastAsia="仿宋" w:cs="仿宋" w:hint="eastAsia"/>
          <w:sz w:val="32"/>
          <w:szCs w:val="32"/>
        </w:rPr>
        <w:t>汶川县漩口小学校属一级预算单位，下属二级预算单位0个，其中：行政单位0个；参照公务员法管理的事业单位0个；其他事业单位0个。</w:t>
      </w:r>
    </w:p>
    <w:p>
      <w:pPr>
        <w:autoSpaceDE w:val="0"/>
        <w:autoSpaceDN w:val="0"/>
        <w:adjustRightInd w:val="0"/>
        <w:spacing w:line="576" w:lineRule="exact"/>
        <w:ind w:firstLineChars="200" w:firstLine="640"/>
        <w:outlineLvl w:val="2"/>
        <w:rPr>
          <w:rFonts w:ascii="楷体" w:eastAsia="楷体" w:cs="楷体" w:hint="eastAsia"/>
          <w:b/>
          <w:sz w:val="32"/>
          <w:szCs w:val="32"/>
          <w:lang w:val="zh-CN"/>
        </w:rPr>
      </w:pPr>
      <w:r>
        <w:rPr>
          <w:rFonts w:ascii="楷体" w:eastAsia="楷体" w:cs="楷体"/>
          <w:b/>
          <w:sz w:val="32"/>
          <w:szCs w:val="32"/>
          <w:lang w:val="zh-CN"/>
        </w:rPr>
        <w:t>（二）机构职能</w:t>
      </w:r>
    </w:p>
    <w:p>
      <w:pPr>
        <w:widowControl/>
        <w:adjustRightInd w:val="0"/>
        <w:snapToGrid w:val="0"/>
        <w:spacing w:line="560" w:lineRule="exact"/>
        <w:ind w:firstLine="720"/>
        <w:rPr>
          <w:rFonts w:ascii="仿宋" w:eastAsia="仿宋" w:cs="仿宋" w:hint="eastAsia"/>
          <w:sz w:val="32"/>
          <w:szCs w:val="32"/>
        </w:rPr>
      </w:pPr>
      <w:r>
        <w:rPr>
          <w:rFonts w:ascii="仿宋" w:eastAsia="仿宋" w:cs="仿宋" w:hint="eastAsia"/>
          <w:sz w:val="32"/>
          <w:szCs w:val="32"/>
        </w:rPr>
        <w:t>汶川县漩口小学校实施小学义务教育，促进基础教育发展。在汶川县教育局的领导下履行如下职能：</w:t>
      </w:r>
    </w:p>
    <w:p>
      <w:pPr>
        <w:widowControl/>
        <w:adjustRightInd w:val="0"/>
        <w:snapToGrid w:val="0"/>
        <w:spacing w:line="560" w:lineRule="exact"/>
        <w:ind w:firstLine="720"/>
        <w:rPr>
          <w:rFonts w:ascii="仿宋" w:eastAsia="仿宋" w:cs="仿宋" w:hint="eastAsia"/>
          <w:sz w:val="32"/>
          <w:szCs w:val="32"/>
        </w:rPr>
      </w:pPr>
      <w:r>
        <w:rPr>
          <w:rFonts w:ascii="仿宋" w:eastAsia="仿宋" w:cs="仿宋" w:hint="eastAsia"/>
          <w:sz w:val="32"/>
          <w:szCs w:val="32"/>
        </w:rPr>
        <w:t>1、认真贯彻落实党的教育方针，积极配合</w:t>
      </w:r>
      <w:r>
        <w:rPr>
          <w:rFonts w:ascii="仿宋" w:eastAsia="仿宋" w:cs="仿宋" w:hint="eastAsia"/>
          <w:sz w:val="32"/>
          <w:szCs w:val="32"/>
        </w:rPr>
        <w:fldChar w:fldCharType="begin"/>
      </w:r>
      <w:r>
        <w:instrText>HYPERLINK "https://www.baidu.com/s?wd=%E6%95%99%E8%82%B2%E8%A1%8C%E6%94%BF%E9%83%A8%E9%97%A8&amp;tn=44039180_cpr&amp;fenlei=mv6quAkxTZn0IZRqIHckPjm4nH00T1d9PWcdPWRknH-BmW03Pjm10ZwV5Hcvrjm3rH6sPfKWUMw85HfYnjn4nH6sgvPsT6KdThsqpZwYTjCEQLGCpyw9Uz4Bmy-bIi4WUvYETgN-TLwGUv3En1RzPWnzPW0d"</w:instrText>
      </w:r>
      <w:r>
        <w:rPr>
          <w:rFonts w:ascii="仿宋" w:eastAsia="仿宋" w:cs="仿宋" w:hint="eastAsia"/>
          <w:sz w:val="32"/>
          <w:szCs w:val="32"/>
        </w:rPr>
        <w:fldChar w:fldCharType="separate"/>
      </w:r>
      <w:r>
        <w:rPr>
          <w:rFonts w:ascii="仿宋" w:eastAsia="仿宋" w:cs="仿宋" w:hint="eastAsia"/>
          <w:sz w:val="32"/>
          <w:szCs w:val="32"/>
        </w:rPr>
        <w:t>教育行政部门</w:t>
      </w:r>
      <w:r>
        <w:rPr>
          <w:rFonts w:ascii="仿宋" w:eastAsia="仿宋" w:cs="仿宋" w:hint="eastAsia"/>
          <w:sz w:val="32"/>
          <w:szCs w:val="32"/>
        </w:rPr>
        <w:fldChar w:fldCharType="end"/>
      </w:r>
      <w:r>
        <w:rPr>
          <w:rFonts w:ascii="仿宋" w:eastAsia="仿宋" w:cs="仿宋" w:hint="eastAsia"/>
          <w:sz w:val="32"/>
          <w:szCs w:val="32"/>
        </w:rPr>
        <w:t>做好教育教学指导工作。</w:t>
      </w:r>
    </w:p>
    <w:p>
      <w:pPr>
        <w:widowControl/>
        <w:adjustRightInd w:val="0"/>
        <w:snapToGrid w:val="0"/>
        <w:spacing w:line="560" w:lineRule="exact"/>
        <w:ind w:firstLine="720"/>
        <w:rPr>
          <w:rFonts w:ascii="仿宋" w:eastAsia="仿宋" w:cs="仿宋" w:hint="eastAsia"/>
          <w:sz w:val="32"/>
          <w:szCs w:val="32"/>
        </w:rPr>
      </w:pPr>
      <w:r>
        <w:rPr>
          <w:rFonts w:ascii="仿宋" w:eastAsia="仿宋" w:cs="仿宋" w:hint="eastAsia"/>
          <w:sz w:val="32"/>
          <w:szCs w:val="32"/>
        </w:rPr>
        <w:t>2、主要任务是负责实施对全校教师、校长的</w:t>
      </w:r>
      <w:r>
        <w:rPr>
          <w:rFonts w:ascii="仿宋" w:eastAsia="仿宋" w:cs="仿宋" w:hint="eastAsia"/>
          <w:sz w:val="32"/>
          <w:szCs w:val="32"/>
        </w:rPr>
        <w:fldChar w:fldCharType="begin"/>
      </w:r>
      <w:r>
        <w:instrText>HYPERLINK "https://www.baidu.com/s?wd=%E7%BB%A7%E7%BB%AD%E6%95%99%E8%82%B2&amp;tn=44039180_cpr&amp;fenlei=mv6quAkxTZn0IZRqIHckPjm4nH00T1d9PWcdPWRknH-BmW03Pjm10ZwV5Hcvrjm3rH6sPfKWUMw85HfYnjn4nH6sgvPsT6KdThsqpZwYTjCEQLGCpyw9Uz4Bmy-bIi4WUvYETgN-TLwGUv3En1RzPWnzPW0d"</w:instrText>
      </w:r>
      <w:r>
        <w:rPr>
          <w:rFonts w:ascii="仿宋" w:eastAsia="仿宋" w:cs="仿宋" w:hint="eastAsia"/>
          <w:sz w:val="32"/>
          <w:szCs w:val="32"/>
        </w:rPr>
        <w:fldChar w:fldCharType="separate"/>
      </w:r>
      <w:r>
        <w:rPr>
          <w:rFonts w:ascii="仿宋" w:eastAsia="仿宋" w:cs="仿宋" w:hint="eastAsia"/>
          <w:sz w:val="32"/>
          <w:szCs w:val="32"/>
        </w:rPr>
        <w:t>继续教育</w:t>
      </w:r>
      <w:r>
        <w:rPr>
          <w:rFonts w:ascii="仿宋" w:eastAsia="仿宋" w:cs="仿宋" w:hint="eastAsia"/>
          <w:sz w:val="32"/>
          <w:szCs w:val="32"/>
        </w:rPr>
        <w:fldChar w:fldCharType="end"/>
      </w:r>
      <w:r>
        <w:rPr>
          <w:rFonts w:ascii="仿宋" w:eastAsia="仿宋" w:cs="仿宋" w:hint="eastAsia"/>
          <w:sz w:val="32"/>
          <w:szCs w:val="32"/>
        </w:rPr>
        <w:t>。</w:t>
      </w:r>
    </w:p>
    <w:p>
      <w:pPr>
        <w:widowControl/>
        <w:adjustRightInd w:val="0"/>
        <w:snapToGrid w:val="0"/>
        <w:spacing w:line="560" w:lineRule="exact"/>
        <w:ind w:firstLine="720"/>
        <w:rPr>
          <w:rFonts w:ascii="仿宋" w:eastAsia="仿宋" w:cs="仿宋" w:hint="eastAsia"/>
          <w:sz w:val="32"/>
          <w:szCs w:val="32"/>
        </w:rPr>
      </w:pPr>
      <w:r>
        <w:rPr>
          <w:rFonts w:ascii="仿宋" w:eastAsia="仿宋" w:cs="仿宋" w:hint="eastAsia"/>
          <w:sz w:val="32"/>
          <w:szCs w:val="32"/>
        </w:rPr>
        <w:t>3、承担基础教育新课程、教材和教法培训等，成为教师教育工作的培训、研究和服务中心。</w:t>
      </w:r>
    </w:p>
    <w:p>
      <w:pPr>
        <w:widowControl/>
        <w:adjustRightInd w:val="0"/>
        <w:snapToGrid w:val="0"/>
        <w:spacing w:line="560" w:lineRule="exact"/>
        <w:ind w:firstLine="720"/>
        <w:rPr>
          <w:rFonts w:ascii="仿宋" w:eastAsia="仿宋" w:cs="仿宋" w:hint="eastAsia"/>
          <w:sz w:val="32"/>
          <w:szCs w:val="32"/>
        </w:rPr>
      </w:pPr>
      <w:r>
        <w:rPr>
          <w:rFonts w:ascii="仿宋" w:eastAsia="仿宋" w:cs="仿宋" w:hint="eastAsia"/>
          <w:sz w:val="32"/>
          <w:szCs w:val="32"/>
        </w:rPr>
        <w:t>4、配合教育行政部门做好有关学校教师继续教育和实施教师资格制度的组织、协调、评价和服务工作，成为全校小学教师教育政策咨询和指导中心。</w:t>
      </w:r>
    </w:p>
    <w:p>
      <w:pPr>
        <w:widowControl/>
        <w:adjustRightInd w:val="0"/>
        <w:snapToGrid w:val="0"/>
        <w:spacing w:line="560" w:lineRule="exact"/>
        <w:ind w:firstLine="720"/>
        <w:rPr>
          <w:rFonts w:ascii="仿宋" w:eastAsia="仿宋" w:cs="仿宋" w:hint="eastAsia"/>
          <w:sz w:val="32"/>
          <w:szCs w:val="32"/>
        </w:rPr>
      </w:pPr>
      <w:r>
        <w:rPr>
          <w:rFonts w:ascii="仿宋" w:eastAsia="仿宋" w:cs="仿宋" w:hint="eastAsia"/>
          <w:sz w:val="32"/>
          <w:szCs w:val="32"/>
        </w:rPr>
        <w:t>5、指导学校教师在教学实践中学习和研究，推动教师开展教改实验，不断提高教师的专业化水平。</w:t>
      </w:r>
    </w:p>
    <w:p>
      <w:pPr>
        <w:widowControl/>
        <w:adjustRightInd w:val="0"/>
        <w:snapToGrid w:val="0"/>
        <w:spacing w:line="560" w:lineRule="exact"/>
        <w:ind w:firstLine="720"/>
        <w:rPr>
          <w:rFonts w:ascii="仿宋" w:eastAsia="仿宋" w:cs="仿宋" w:hint="eastAsia"/>
          <w:sz w:val="32"/>
          <w:szCs w:val="32"/>
        </w:rPr>
      </w:pPr>
      <w:r>
        <w:rPr>
          <w:rFonts w:ascii="仿宋" w:eastAsia="仿宋" w:cs="仿宋" w:hint="eastAsia"/>
          <w:sz w:val="32"/>
          <w:szCs w:val="32"/>
        </w:rPr>
        <w:t>6、开展校本培训和日常教学提供信息技术和现代教育技术服务，通过现代远程教育手段开展教师继续教育，为广大教师研修学习提供必要的场所、设施、设备和资源等良好环境，辅导和帮助教师充分利用各种信息资源开展自主学习。</w:t>
      </w:r>
    </w:p>
    <w:p>
      <w:pPr>
        <w:widowControl/>
        <w:adjustRightInd w:val="0"/>
        <w:snapToGrid w:val="0"/>
        <w:spacing w:line="560" w:lineRule="exact"/>
        <w:ind w:firstLine="720"/>
        <w:rPr>
          <w:rFonts w:ascii="仿宋" w:eastAsia="仿宋" w:cs="仿宋" w:hint="eastAsia"/>
          <w:sz w:val="32"/>
          <w:szCs w:val="32"/>
        </w:rPr>
      </w:pPr>
      <w:r>
        <w:rPr>
          <w:rFonts w:ascii="仿宋" w:eastAsia="仿宋" w:cs="仿宋" w:hint="eastAsia"/>
          <w:sz w:val="32"/>
          <w:szCs w:val="32"/>
        </w:rPr>
        <w:t>7、负责本校财务和基础建设管理改善办学条件等工作，为师生提供优美和谐的学习和工作环境。核算和发放教职工工资,维护教职工利益，保障教职工合法权益。</w:t>
      </w:r>
    </w:p>
    <w:p>
      <w:pPr>
        <w:widowControl/>
        <w:adjustRightInd w:val="0"/>
        <w:snapToGrid w:val="0"/>
        <w:spacing w:line="560" w:lineRule="exact"/>
        <w:ind w:firstLine="720"/>
        <w:rPr>
          <w:rFonts w:ascii="仿宋" w:eastAsia="仿宋" w:cs="仿宋" w:hint="eastAsia"/>
          <w:sz w:val="32"/>
          <w:szCs w:val="32"/>
        </w:rPr>
      </w:pPr>
      <w:r>
        <w:rPr>
          <w:rFonts w:ascii="仿宋" w:eastAsia="仿宋" w:cs="仿宋" w:hint="eastAsia"/>
          <w:sz w:val="32"/>
          <w:szCs w:val="32"/>
        </w:rPr>
        <w:t>8、指导、管理、检查、评价本校的教育教学工作，提高办学质量和办学效益。按照义务教育课程计划，开齐课程，开足课时，认真实施教育教学管理，全面推进素质教育，全面提高教育教学质量。</w:t>
      </w:r>
    </w:p>
    <w:p>
      <w:pPr>
        <w:widowControl/>
        <w:adjustRightInd w:val="0"/>
        <w:snapToGrid w:val="0"/>
        <w:spacing w:line="560" w:lineRule="exact"/>
        <w:ind w:firstLine="720"/>
        <w:rPr>
          <w:rFonts w:ascii="仿宋" w:eastAsia="仿宋" w:cs="仿宋" w:hint="eastAsia"/>
          <w:sz w:val="32"/>
          <w:szCs w:val="32"/>
        </w:rPr>
      </w:pPr>
      <w:r>
        <w:rPr>
          <w:rFonts w:ascii="仿宋" w:eastAsia="仿宋" w:cs="仿宋" w:hint="eastAsia"/>
          <w:sz w:val="32"/>
          <w:szCs w:val="32"/>
        </w:rPr>
        <w:t>9、建立健全学生学籍管理制度，按教育部颁布的规定管理学生学籍，建立学生档案。</w:t>
      </w:r>
    </w:p>
    <w:p>
      <w:pPr>
        <w:widowControl/>
        <w:adjustRightInd w:val="0"/>
        <w:snapToGrid w:val="0"/>
        <w:spacing w:line="560" w:lineRule="exact"/>
        <w:ind w:firstLine="720"/>
        <w:rPr>
          <w:rFonts w:ascii="仿宋" w:eastAsia="仿宋" w:cs="仿宋" w:hint="eastAsia"/>
          <w:sz w:val="32"/>
          <w:szCs w:val="32"/>
        </w:rPr>
      </w:pPr>
      <w:r>
        <w:rPr>
          <w:rFonts w:ascii="仿宋" w:eastAsia="仿宋" w:cs="仿宋" w:hint="eastAsia"/>
          <w:sz w:val="32"/>
          <w:szCs w:val="32"/>
        </w:rPr>
        <w:t>10、在上级党委、政府和教育行政部门的领导下，认真按要求组织实施学生营养改善计划及寄宿制生活补助和国家贫困补助，让广大学生享受到国家的惠民政策。</w:t>
      </w:r>
    </w:p>
    <w:p>
      <w:pPr>
        <w:widowControl/>
        <w:adjustRightInd w:val="0"/>
        <w:snapToGrid w:val="0"/>
        <w:spacing w:line="560" w:lineRule="exact"/>
        <w:ind w:firstLine="720"/>
        <w:rPr>
          <w:rFonts w:ascii="仿宋" w:eastAsia="仿宋" w:cs="仿宋" w:hint="eastAsia"/>
          <w:sz w:val="32"/>
          <w:szCs w:val="32"/>
          <w:lang w:val="zh-CN"/>
        </w:rPr>
      </w:pPr>
      <w:r>
        <w:rPr>
          <w:rFonts w:ascii="仿宋" w:eastAsia="仿宋" w:cs="仿宋" w:hint="eastAsia"/>
          <w:sz w:val="32"/>
          <w:szCs w:val="32"/>
        </w:rPr>
        <w:t>11、在县教育局和镇党委、政府的领导下，积极开展学校的安全管理，不断提高安全管理水平，努力营造安全和谐的校园环境、全面推进义务教育均衡发展。</w:t>
      </w:r>
    </w:p>
    <w:p>
      <w:pPr>
        <w:widowControl/>
        <w:adjustRightInd w:val="0"/>
        <w:snapToGrid w:val="0"/>
        <w:spacing w:line="560" w:lineRule="exact"/>
        <w:ind w:firstLine="720"/>
        <w:rPr>
          <w:rFonts w:ascii="仿宋" w:eastAsia="仿宋" w:cs="仿宋" w:hint="eastAsia"/>
          <w:sz w:val="32"/>
          <w:szCs w:val="32"/>
          <w:lang w:val="zh-CN"/>
        </w:rPr>
      </w:pPr>
      <w:r>
        <w:rPr>
          <w:rFonts w:ascii="楷体" w:eastAsia="楷体" w:cs="楷体"/>
          <w:b/>
          <w:sz w:val="32"/>
          <w:szCs w:val="32"/>
          <w:lang w:val="zh-CN"/>
        </w:rPr>
        <w:t>（</w:t>
      </w:r>
      <w:r>
        <w:rPr>
          <w:rFonts w:ascii="楷体" w:eastAsia="楷体" w:cs="楷体" w:hint="eastAsia"/>
          <w:b/>
          <w:sz w:val="32"/>
          <w:szCs w:val="32"/>
          <w:lang w:val="zh-CN"/>
        </w:rPr>
        <w:t>三</w:t>
      </w:r>
      <w:r>
        <w:rPr>
          <w:rFonts w:ascii="楷体" w:eastAsia="楷体" w:cs="楷体"/>
          <w:b/>
          <w:sz w:val="32"/>
          <w:szCs w:val="32"/>
          <w:lang w:val="zh-CN"/>
        </w:rPr>
        <w:t>）人员概况</w:t>
      </w:r>
    </w:p>
    <w:p>
      <w:pPr>
        <w:widowControl/>
        <w:adjustRightInd w:val="0"/>
        <w:snapToGrid w:val="0"/>
        <w:spacing w:line="560" w:lineRule="exact"/>
        <w:ind w:firstLine="720"/>
        <w:rPr>
          <w:rFonts w:ascii="仿宋" w:eastAsia="仿宋" w:cs="仿宋" w:hint="eastAsia"/>
          <w:sz w:val="32"/>
          <w:szCs w:val="32"/>
        </w:rPr>
      </w:pPr>
      <w:r>
        <w:rPr>
          <w:rFonts w:ascii="仿宋" w:eastAsia="仿宋" w:cs="仿宋" w:hint="eastAsia"/>
          <w:sz w:val="32"/>
          <w:szCs w:val="32"/>
        </w:rPr>
        <w:t>汶川县漩口小学校总编制72名，其中：事业编制72名。学校在职人员为63人。</w:t>
      </w:r>
    </w:p>
    <w:p>
      <w:pPr>
        <w:widowControl/>
        <w:adjustRightInd w:val="0"/>
        <w:snapToGrid w:val="0"/>
        <w:spacing w:line="560" w:lineRule="exact"/>
        <w:ind w:firstLine="720"/>
        <w:rPr>
          <w:rFonts w:ascii="黑体" w:eastAsia="黑体" w:cs="黑体" w:hint="eastAsia"/>
          <w:sz w:val="32"/>
          <w:szCs w:val="32"/>
        </w:rPr>
      </w:pPr>
      <w:r>
        <w:rPr>
          <w:rFonts w:ascii="黑体" w:eastAsia="黑体" w:cs="黑体" w:hint="eastAsia"/>
          <w:sz w:val="32"/>
          <w:szCs w:val="32"/>
        </w:rPr>
        <w:t>二、部门资金收支情况</w:t>
      </w:r>
    </w:p>
    <w:p>
      <w:pPr>
        <w:widowControl/>
        <w:adjustRightInd w:val="0"/>
        <w:snapToGrid w:val="0"/>
        <w:spacing w:line="560" w:lineRule="exact"/>
        <w:ind w:firstLine="720"/>
        <w:rPr>
          <w:rFonts w:ascii="楷体" w:eastAsia="楷体" w:cs="楷体" w:hint="eastAsia"/>
          <w:b/>
          <w:sz w:val="32"/>
          <w:szCs w:val="32"/>
        </w:rPr>
      </w:pPr>
      <w:r>
        <w:rPr>
          <w:rFonts w:ascii="楷体" w:eastAsia="楷体" w:cs="楷体"/>
          <w:b/>
          <w:sz w:val="32"/>
          <w:szCs w:val="32"/>
          <w:lang w:val="zh-CN"/>
        </w:rPr>
        <w:t>（一）</w:t>
      </w:r>
      <w:r>
        <w:rPr>
          <w:rFonts w:ascii="楷体" w:eastAsia="楷体" w:cs="楷体" w:hint="eastAsia"/>
          <w:b/>
          <w:sz w:val="32"/>
          <w:szCs w:val="32"/>
          <w:lang w:val="zh-CN"/>
        </w:rPr>
        <w:t>收入情况</w:t>
      </w:r>
    </w:p>
    <w:p>
      <w:pPr>
        <w:widowControl/>
        <w:adjustRightInd w:val="0"/>
        <w:snapToGrid w:val="0"/>
        <w:spacing w:line="578" w:lineRule="exact"/>
        <w:ind w:firstLineChars="200" w:firstLine="640"/>
        <w:contextualSpacing/>
        <w:jc w:val="left"/>
        <w:rPr>
          <w:rFonts w:ascii="仿宋" w:eastAsia="仿宋" w:cs="仿宋" w:hint="eastAsia"/>
          <w:sz w:val="32"/>
          <w:szCs w:val="32"/>
        </w:rPr>
      </w:pPr>
      <w:r>
        <w:rPr>
          <w:rFonts w:ascii="仿宋" w:eastAsia="仿宋" w:cs="仿宋" w:hint="eastAsia"/>
          <w:sz w:val="32"/>
          <w:szCs w:val="32"/>
        </w:rPr>
        <w:t>2025年汶川县漩口小学校年初收入预算1575.24万元，调整预算数为1943.37万元。其中：收入来源为一般公共预算财政拨款收入1908.97万元，政府性基金预算财政拨款收入1.00万元，非同级财政拨款收入年初结转11.00万元</w:t>
      </w:r>
      <w:r>
        <w:rPr>
          <w:rFonts w:ascii="仿宋" w:eastAsia="仿宋" w:cs="仿宋" w:hint="eastAsia"/>
          <w:sz w:val="32"/>
          <w:szCs w:val="32"/>
          <w:lang w:eastAsia="zh-CN"/>
        </w:rPr>
        <w:t>，</w:t>
      </w:r>
      <w:r>
        <w:rPr>
          <w:rFonts w:ascii="仿宋" w:eastAsia="仿宋" w:cs="仿宋" w:hint="eastAsia"/>
          <w:sz w:val="32"/>
          <w:szCs w:val="32"/>
          <w:lang w:val="en-US" w:eastAsia="zh-CN"/>
        </w:rPr>
        <w:t>其他收入22.40万元</w:t>
      </w:r>
      <w:r>
        <w:rPr>
          <w:rFonts w:ascii="仿宋" w:eastAsia="仿宋" w:cs="仿宋" w:hint="eastAsia"/>
          <w:sz w:val="32"/>
          <w:szCs w:val="32"/>
        </w:rPr>
        <w:t>。</w:t>
      </w:r>
    </w:p>
    <w:p>
      <w:pPr>
        <w:widowControl/>
        <w:adjustRightInd w:val="0"/>
        <w:snapToGrid w:val="0"/>
        <w:spacing w:line="560" w:lineRule="exact"/>
        <w:ind w:firstLine="720"/>
        <w:rPr>
          <w:rFonts w:ascii="楷体" w:eastAsia="楷体" w:cs="楷体" w:hint="eastAsia"/>
          <w:b/>
          <w:sz w:val="32"/>
          <w:szCs w:val="32"/>
          <w:lang w:val="zh-CN"/>
        </w:rPr>
      </w:pPr>
      <w:r>
        <w:rPr>
          <w:rFonts w:ascii="楷体" w:eastAsia="楷体" w:cs="楷体"/>
          <w:b/>
          <w:sz w:val="32"/>
          <w:szCs w:val="32"/>
          <w:lang w:val="zh-CN"/>
        </w:rPr>
        <w:t>（</w:t>
      </w:r>
      <w:r>
        <w:rPr>
          <w:rFonts w:ascii="楷体" w:eastAsia="楷体" w:cs="楷体" w:hint="eastAsia"/>
          <w:b/>
          <w:sz w:val="32"/>
          <w:szCs w:val="32"/>
          <w:lang w:val="zh-CN"/>
        </w:rPr>
        <w:t>二</w:t>
      </w:r>
      <w:r>
        <w:rPr>
          <w:rFonts w:ascii="楷体" w:eastAsia="楷体" w:cs="楷体"/>
          <w:b/>
          <w:sz w:val="32"/>
          <w:szCs w:val="32"/>
          <w:lang w:val="zh-CN"/>
        </w:rPr>
        <w:t>）</w:t>
      </w:r>
      <w:r>
        <w:rPr>
          <w:rFonts w:ascii="楷体" w:eastAsia="楷体" w:cs="楷体" w:hint="eastAsia"/>
          <w:b/>
          <w:sz w:val="32"/>
          <w:szCs w:val="32"/>
          <w:lang w:val="zh-CN"/>
        </w:rPr>
        <w:t>支出情况</w:t>
      </w:r>
    </w:p>
    <w:p>
      <w:pPr>
        <w:widowControl/>
        <w:adjustRightInd w:val="0"/>
        <w:snapToGrid w:val="0"/>
        <w:spacing w:line="578" w:lineRule="exact"/>
        <w:ind w:firstLineChars="200" w:firstLine="640"/>
        <w:contextualSpacing/>
        <w:jc w:val="left"/>
        <w:rPr>
          <w:rFonts w:ascii="仿宋" w:eastAsia="仿宋" w:cs="仿宋" w:hint="eastAsia"/>
          <w:sz w:val="32"/>
          <w:szCs w:val="32"/>
        </w:rPr>
      </w:pPr>
      <w:r>
        <w:rPr>
          <w:rFonts w:ascii="仿宋" w:eastAsia="仿宋" w:cs="仿宋" w:hint="eastAsia"/>
          <w:sz w:val="32"/>
          <w:szCs w:val="32"/>
        </w:rPr>
        <w:t>2025年汶川县漩口小学校支出合计1937.32万元，其中：教育支出1511.88万元；社会保障和就业支出211.34万元；卫生健康支出</w:t>
      </w:r>
      <w:r>
        <w:rPr>
          <w:rFonts w:ascii="仿宋" w:eastAsia="仿宋" w:cs="仿宋" w:hint="eastAsia"/>
          <w:sz w:val="32"/>
          <w:szCs w:val="32"/>
          <w:lang w:val="en-US" w:eastAsia="zh-CN"/>
        </w:rPr>
        <w:t>96.03</w:t>
      </w:r>
      <w:r>
        <w:rPr>
          <w:rFonts w:ascii="仿宋" w:eastAsia="仿宋" w:cs="仿宋" w:hint="eastAsia"/>
          <w:sz w:val="32"/>
          <w:szCs w:val="32"/>
        </w:rPr>
        <w:t>万元；住房保障支出117.07万元；其他支出1.00万元。</w:t>
        <w:tab/>
      </w:r>
    </w:p>
    <w:p>
      <w:pPr>
        <w:widowControl/>
        <w:adjustRightInd w:val="0"/>
        <w:snapToGrid w:val="0"/>
        <w:spacing w:line="578" w:lineRule="exact"/>
        <w:ind w:firstLineChars="200" w:firstLine="640"/>
        <w:contextualSpacing/>
        <w:jc w:val="left"/>
        <w:rPr>
          <w:rFonts w:eastAsia="楷体_GB2312"/>
          <w:b/>
          <w:bCs/>
          <w:color w:val="000000"/>
          <w:kern w:val="0"/>
          <w:sz w:val="32"/>
          <w:szCs w:val="32"/>
          <w:shd w:val="clear" w:color="auto" w:fill="FFFFFF"/>
          <w:lang w:val="zh-CN"/>
        </w:rPr>
      </w:pPr>
      <w:r>
        <w:rPr>
          <w:rFonts w:eastAsia="楷体_GB2312" w:hint="eastAsia"/>
          <w:b/>
          <w:bCs/>
          <w:color w:val="000000"/>
          <w:kern w:val="0"/>
          <w:sz w:val="32"/>
          <w:szCs w:val="32"/>
          <w:shd w:val="clear" w:color="auto" w:fill="FFFFFF"/>
          <w:lang w:val="zh-CN"/>
        </w:rPr>
        <w:t>（</w:t>
      </w:r>
      <w:r>
        <w:rPr>
          <w:rFonts w:eastAsia="楷体_GB2312" w:hint="eastAsia"/>
          <w:b/>
          <w:bCs/>
          <w:color w:val="000000"/>
          <w:kern w:val="0"/>
          <w:sz w:val="32"/>
          <w:szCs w:val="32"/>
          <w:shd w:val="clear" w:color="auto" w:fill="FFFFFF"/>
        </w:rPr>
        <w:t>三</w:t>
      </w:r>
      <w:r>
        <w:rPr>
          <w:rFonts w:eastAsia="楷体_GB2312" w:hint="eastAsia"/>
          <w:b/>
          <w:bCs/>
          <w:color w:val="000000"/>
          <w:kern w:val="0"/>
          <w:sz w:val="32"/>
          <w:szCs w:val="32"/>
          <w:shd w:val="clear" w:color="auto" w:fill="FFFFFF"/>
          <w:lang w:val="zh-CN"/>
        </w:rPr>
        <w:t>）</w:t>
      </w:r>
      <w:r>
        <w:rPr>
          <w:rFonts w:eastAsia="楷体_GB2312"/>
          <w:b/>
          <w:bCs/>
          <w:color w:val="000000"/>
          <w:kern w:val="0"/>
          <w:sz w:val="32"/>
          <w:szCs w:val="32"/>
          <w:shd w:val="clear" w:color="auto" w:fill="FFFFFF"/>
          <w:lang w:val="zh-CN"/>
        </w:rPr>
        <w:t>结余分配和结转结余情况</w:t>
      </w:r>
    </w:p>
    <w:p>
      <w:pPr>
        <w:widowControl/>
        <w:adjustRightInd w:val="0"/>
        <w:snapToGrid w:val="0"/>
        <w:spacing w:line="578" w:lineRule="exact"/>
        <w:ind w:firstLineChars="200" w:firstLine="640"/>
        <w:contextualSpacing/>
        <w:jc w:val="left"/>
        <w:rPr>
          <w:rFonts w:ascii="仿宋" w:eastAsia="仿宋" w:cs="仿宋" w:hint="eastAsia"/>
          <w:sz w:val="32"/>
          <w:szCs w:val="32"/>
        </w:rPr>
      </w:pPr>
      <w:r>
        <w:rPr>
          <w:rFonts w:ascii="仿宋" w:eastAsia="仿宋" w:cs="仿宋" w:hint="eastAsia"/>
          <w:sz w:val="32"/>
          <w:szCs w:val="32"/>
        </w:rPr>
        <w:t>根据汶川县漩口小学校2025年决算报表反映，年末结转结余资金为6.05万元。</w:t>
      </w:r>
    </w:p>
    <w:p>
      <w:pPr>
        <w:widowControl/>
        <w:adjustRightInd w:val="0"/>
        <w:snapToGrid w:val="0"/>
        <w:spacing w:line="560" w:lineRule="exact"/>
        <w:ind w:firstLine="720"/>
        <w:rPr>
          <w:rFonts w:ascii="黑体" w:eastAsia="黑体" w:cs="黑体" w:hint="eastAsia"/>
          <w:sz w:val="32"/>
          <w:szCs w:val="32"/>
        </w:rPr>
      </w:pPr>
      <w:r>
        <w:rPr>
          <w:rFonts w:ascii="黑体" w:eastAsia="黑体" w:cs="黑体" w:hint="eastAsia"/>
          <w:sz w:val="32"/>
          <w:szCs w:val="32"/>
        </w:rPr>
        <w:t>三、部门预算绩效分析</w:t>
      </w:r>
    </w:p>
    <w:p>
      <w:pPr>
        <w:widowControl/>
        <w:adjustRightInd w:val="0"/>
        <w:snapToGrid w:val="0"/>
        <w:spacing w:line="560" w:lineRule="exact"/>
        <w:ind w:firstLine="720"/>
        <w:rPr>
          <w:rFonts w:ascii="楷体" w:eastAsia="楷体" w:cs="楷体" w:hint="eastAsia"/>
          <w:b/>
          <w:sz w:val="32"/>
          <w:szCs w:val="32"/>
          <w:lang w:val="zh-CN"/>
        </w:rPr>
      </w:pPr>
      <w:r>
        <w:rPr>
          <w:rFonts w:ascii="楷体" w:eastAsia="楷体" w:cs="楷体"/>
          <w:b/>
          <w:sz w:val="32"/>
          <w:szCs w:val="32"/>
          <w:lang w:val="zh-CN"/>
        </w:rPr>
        <w:t>（一）</w:t>
      </w:r>
      <w:r>
        <w:rPr>
          <w:rFonts w:ascii="楷体" w:eastAsia="楷体" w:cs="楷体" w:hint="eastAsia"/>
          <w:b/>
          <w:sz w:val="32"/>
          <w:szCs w:val="32"/>
          <w:lang w:val="zh-CN"/>
        </w:rPr>
        <w:t>部门预算</w:t>
      </w:r>
      <w:r>
        <w:rPr>
          <w:rFonts w:ascii="楷体" w:eastAsia="楷体" w:cs="楷体"/>
          <w:b/>
          <w:sz w:val="32"/>
          <w:szCs w:val="32"/>
          <w:lang w:val="zh-CN"/>
        </w:rPr>
        <w:t>总体绩效分析</w:t>
      </w:r>
    </w:p>
    <w:p>
      <w:pPr>
        <w:adjustRightInd w:val="0"/>
        <w:snapToGrid w:val="0"/>
        <w:spacing w:line="578" w:lineRule="exact"/>
        <w:ind w:firstLineChars="200" w:firstLine="640"/>
        <w:contextualSpacing/>
        <w:jc w:val="left"/>
        <w:outlineLvl w:val="2"/>
        <w:rPr>
          <w:rFonts w:ascii="楷体" w:eastAsia="楷体" w:cs="仿宋" w:hint="eastAsia"/>
          <w:sz w:val="32"/>
          <w:szCs w:val="32"/>
        </w:rPr>
      </w:pPr>
      <w:r>
        <w:rPr>
          <w:rFonts w:ascii="楷体" w:eastAsia="楷体" w:cs="仿宋" w:hint="eastAsia"/>
          <w:sz w:val="32"/>
          <w:szCs w:val="32"/>
        </w:rPr>
        <w:t>1.履职效能</w:t>
      </w:r>
    </w:p>
    <w:p>
      <w:pPr>
        <w:adjustRightInd w:val="0"/>
        <w:snapToGrid w:val="0"/>
        <w:spacing w:line="578" w:lineRule="exact"/>
        <w:ind w:firstLineChars="200" w:firstLine="640"/>
        <w:contextualSpacing/>
        <w:jc w:val="left"/>
        <w:rPr>
          <w:rFonts w:ascii="仿宋" w:eastAsia="仿宋" w:cs="仿宋" w:hint="eastAsia"/>
          <w:sz w:val="32"/>
          <w:szCs w:val="32"/>
        </w:rPr>
      </w:pPr>
      <w:r>
        <w:rPr>
          <w:rFonts w:ascii="仿宋" w:eastAsia="仿宋" w:cs="仿宋" w:hint="eastAsia"/>
          <w:sz w:val="32"/>
          <w:szCs w:val="32"/>
        </w:rPr>
        <w:t>部门整体绩效目标中选定3个核心职能目标，对职能目标完成效果情况绩效分析情况如下：</w:t>
      </w:r>
    </w:p>
    <w:p>
      <w:pPr>
        <w:adjustRightInd w:val="0"/>
        <w:snapToGrid w:val="0"/>
        <w:spacing w:line="578" w:lineRule="exact"/>
        <w:ind w:firstLineChars="200" w:firstLine="640"/>
        <w:contextualSpacing/>
        <w:jc w:val="left"/>
        <w:rPr>
          <w:rFonts w:ascii="仿宋" w:eastAsia="仿宋" w:cs="仿宋" w:hint="eastAsia"/>
          <w:sz w:val="32"/>
          <w:szCs w:val="32"/>
        </w:rPr>
      </w:pPr>
      <w:r>
        <w:rPr>
          <w:rFonts w:ascii="仿宋" w:eastAsia="仿宋" w:cs="仿宋" w:hint="eastAsia"/>
          <w:sz w:val="32"/>
          <w:szCs w:val="32"/>
        </w:rPr>
        <w:t>（1）教职工工资等人员项目经费履职效果</w:t>
      </w:r>
    </w:p>
    <w:p>
      <w:pPr>
        <w:adjustRightInd w:val="0"/>
        <w:snapToGrid w:val="0"/>
        <w:spacing w:line="578" w:lineRule="exact"/>
        <w:ind w:firstLineChars="200" w:firstLine="640"/>
        <w:contextualSpacing/>
        <w:jc w:val="left"/>
        <w:rPr>
          <w:rFonts w:ascii="仿宋" w:eastAsia="仿宋" w:cs="仿宋" w:hint="eastAsia"/>
          <w:sz w:val="32"/>
          <w:szCs w:val="32"/>
        </w:rPr>
      </w:pPr>
      <w:r>
        <w:rPr>
          <w:rFonts w:ascii="仿宋" w:eastAsia="仿宋" w:cs="仿宋" w:hint="eastAsia"/>
          <w:sz w:val="32"/>
          <w:szCs w:val="32"/>
        </w:rPr>
        <w:t>根据2025年教职工工资等人员项目经费使用资金1530.22万元，该项指标得分=年终完成履职效果目标数量÷年初目标设置总数×100%×指标分值=1530.22÷1530.22×100%×5=5。综上，根据评分标准，该项指标得5分。</w:t>
      </w:r>
    </w:p>
    <w:p>
      <w:pPr>
        <w:adjustRightInd w:val="0"/>
        <w:snapToGrid w:val="0"/>
        <w:spacing w:line="578" w:lineRule="exact"/>
        <w:ind w:firstLineChars="200" w:firstLine="640"/>
        <w:contextualSpacing/>
        <w:jc w:val="left"/>
        <w:rPr>
          <w:rFonts w:ascii="仿宋" w:eastAsia="仿宋" w:cs="仿宋" w:hint="eastAsia"/>
          <w:sz w:val="32"/>
          <w:szCs w:val="32"/>
        </w:rPr>
      </w:pPr>
      <w:r>
        <w:rPr>
          <w:rFonts w:ascii="仿宋" w:eastAsia="仿宋" w:cs="仿宋" w:hint="eastAsia"/>
          <w:sz w:val="32"/>
          <w:szCs w:val="32"/>
        </w:rPr>
        <w:t>（2）十五年免费教育履职效果</w:t>
      </w:r>
    </w:p>
    <w:p>
      <w:pPr>
        <w:adjustRightInd w:val="0"/>
        <w:snapToGrid w:val="0"/>
        <w:spacing w:line="578" w:lineRule="exact"/>
        <w:ind w:firstLineChars="200" w:firstLine="640"/>
        <w:contextualSpacing/>
        <w:jc w:val="left"/>
        <w:rPr>
          <w:rFonts w:ascii="仿宋" w:eastAsia="仿宋" w:cs="仿宋" w:hint="eastAsia"/>
          <w:sz w:val="32"/>
          <w:szCs w:val="32"/>
        </w:rPr>
      </w:pPr>
      <w:r>
        <w:rPr>
          <w:rFonts w:ascii="仿宋" w:eastAsia="仿宋" w:cs="仿宋" w:hint="eastAsia"/>
          <w:sz w:val="32"/>
          <w:szCs w:val="32"/>
        </w:rPr>
        <w:t>《2025年城乡义务教育补助经费》下达资金111.79万元，《2025年城乡义务教育补助经费》下达生均公用经费中央资金23.21万元县级生均公用经费23.47万元，《2025年（保教费）》下达资金12.66万元，《2025年作业本费》下达资金0.82万元，《学前教育午餐费》下达资金5.86元，《2025年城乡义务教育补助经费》下达营养餐中央资金26.08万元，《2025年城乡义务教育补助经费》下达家庭经济困难学生生活补助资金23.01万元该项指标得分=年终完成履职效果目标数量÷年初目标设置总数×100%×指标分值=111.79÷111.79×100%×5=5。综上，根据评分标准，该项指标得5分。</w:t>
      </w:r>
    </w:p>
    <w:p>
      <w:pPr>
        <w:adjustRightInd w:val="0"/>
        <w:snapToGrid w:val="0"/>
        <w:spacing w:line="578" w:lineRule="exact"/>
        <w:ind w:firstLineChars="200" w:firstLine="640"/>
        <w:contextualSpacing/>
        <w:jc w:val="left"/>
        <w:rPr>
          <w:rFonts w:ascii="仿宋" w:eastAsia="仿宋" w:cs="仿宋" w:hint="eastAsia"/>
          <w:sz w:val="32"/>
          <w:szCs w:val="32"/>
        </w:rPr>
      </w:pPr>
      <w:r>
        <w:rPr>
          <w:rFonts w:ascii="仿宋" w:eastAsia="仿宋" w:cs="仿宋" w:hint="eastAsia"/>
          <w:sz w:val="32"/>
          <w:szCs w:val="32"/>
        </w:rPr>
        <w:t>（3）乡村生活补助奖励金履职效果</w:t>
      </w:r>
    </w:p>
    <w:p>
      <w:pPr>
        <w:adjustRightInd w:val="0"/>
        <w:snapToGrid w:val="0"/>
        <w:spacing w:line="578" w:lineRule="exact"/>
        <w:ind w:firstLineChars="200" w:firstLine="640"/>
        <w:contextualSpacing/>
        <w:jc w:val="left"/>
        <w:outlineLvl w:val="2"/>
        <w:rPr>
          <w:rFonts w:ascii="仿宋" w:eastAsia="仿宋" w:cs="仿宋" w:hint="eastAsia"/>
          <w:sz w:val="32"/>
          <w:szCs w:val="32"/>
        </w:rPr>
      </w:pPr>
      <w:r>
        <w:rPr>
          <w:rFonts w:ascii="仿宋" w:eastAsia="仿宋" w:cs="仿宋" w:hint="eastAsia"/>
          <w:sz w:val="32"/>
          <w:szCs w:val="32"/>
        </w:rPr>
        <w:t>根据《2025 年乡村教师生活补助及县城学校工作奖励金》下达资金28.92万元，该项指标得分=年终完成履职效果目标数量÷年初目标设置总数×100%×指标分值=28.92÷28.92×100%×5=5。综上，根据评分标准，该项指标得5分。</w:t>
      </w:r>
    </w:p>
    <w:p>
      <w:pPr>
        <w:adjustRightInd w:val="0"/>
        <w:snapToGrid w:val="0"/>
        <w:spacing w:line="578" w:lineRule="exact"/>
        <w:ind w:firstLineChars="200" w:firstLine="640"/>
        <w:contextualSpacing/>
        <w:jc w:val="left"/>
        <w:outlineLvl w:val="2"/>
        <w:rPr>
          <w:rFonts w:ascii="楷体" w:eastAsia="楷体" w:cs="仿宋" w:hint="eastAsia"/>
          <w:sz w:val="32"/>
          <w:szCs w:val="32"/>
        </w:rPr>
      </w:pPr>
      <w:r>
        <w:rPr>
          <w:rFonts w:ascii="楷体" w:eastAsia="楷体" w:cs="仿宋" w:hint="eastAsia"/>
          <w:sz w:val="32"/>
          <w:szCs w:val="32"/>
        </w:rPr>
        <w:t>2.</w:t>
      </w:r>
      <w:r>
        <w:rPr>
          <w:rFonts w:ascii="楷体" w:eastAsia="楷体" w:cs="仿宋"/>
          <w:sz w:val="32"/>
          <w:szCs w:val="32"/>
        </w:rPr>
        <w:t>预算管理</w:t>
      </w:r>
    </w:p>
    <w:p>
      <w:pPr>
        <w:adjustRightInd w:val="0"/>
        <w:snapToGrid w:val="0"/>
        <w:spacing w:line="578" w:lineRule="exact"/>
        <w:ind w:firstLineChars="200" w:firstLine="640"/>
        <w:contextualSpacing/>
        <w:jc w:val="left"/>
        <w:outlineLvl w:val="2"/>
        <w:rPr>
          <w:rFonts w:ascii="仿宋" w:eastAsia="仿宋" w:cs="仿宋" w:hint="eastAsia"/>
          <w:sz w:val="32"/>
          <w:szCs w:val="32"/>
        </w:rPr>
      </w:pPr>
      <w:r>
        <w:rPr>
          <w:rFonts w:ascii="仿宋" w:eastAsia="仿宋" w:cs="仿宋" w:hint="eastAsia"/>
          <w:sz w:val="32"/>
          <w:szCs w:val="32"/>
        </w:rPr>
        <w:t>（1）预算编制质量</w:t>
      </w:r>
    </w:p>
    <w:p>
      <w:pPr>
        <w:adjustRightInd w:val="0"/>
        <w:snapToGrid w:val="0"/>
        <w:spacing w:line="578" w:lineRule="exact"/>
        <w:ind w:firstLineChars="200" w:firstLine="640"/>
        <w:contextualSpacing/>
        <w:jc w:val="left"/>
        <w:rPr>
          <w:rFonts w:ascii="仿宋" w:eastAsia="仿宋" w:cs="仿宋" w:hint="eastAsia"/>
          <w:sz w:val="32"/>
          <w:szCs w:val="32"/>
        </w:rPr>
      </w:pPr>
      <w:r>
        <w:rPr>
          <w:rFonts w:ascii="仿宋" w:eastAsia="仿宋" w:cs="仿宋" w:hint="eastAsia"/>
          <w:sz w:val="32"/>
          <w:szCs w:val="32"/>
        </w:rPr>
        <w:t>财政拨款预算偏离度：（财政拨款预算执行数-财政拨款年初预算数）÷财政拨款年初预算数=（1937.32 -1575.24）÷1575.24=0.22</w:t>
      </w:r>
    </w:p>
    <w:p>
      <w:pPr>
        <w:adjustRightInd w:val="0"/>
        <w:snapToGrid w:val="0"/>
        <w:spacing w:line="578" w:lineRule="exact"/>
        <w:ind w:firstLineChars="200" w:firstLine="640"/>
        <w:contextualSpacing/>
        <w:jc w:val="left"/>
        <w:rPr>
          <w:rFonts w:ascii="仿宋" w:eastAsia="仿宋" w:cs="仿宋" w:hint="eastAsia"/>
          <w:sz w:val="32"/>
          <w:szCs w:val="32"/>
        </w:rPr>
      </w:pPr>
      <w:r>
        <w:rPr>
          <w:rFonts w:ascii="仿宋" w:eastAsia="仿宋" w:cs="仿宋" w:hint="eastAsia"/>
          <w:sz w:val="32"/>
          <w:szCs w:val="32"/>
        </w:rPr>
        <w:t>资产配置预算偏离度：（资产配置预算执行数-资产配置年初预算数）÷资产配置年初预算数=（0-0）/0=0</w:t>
      </w:r>
    </w:p>
    <w:p>
      <w:pPr>
        <w:adjustRightInd w:val="0"/>
        <w:snapToGrid w:val="0"/>
        <w:spacing w:line="578" w:lineRule="exact"/>
        <w:ind w:firstLineChars="200" w:firstLine="640"/>
        <w:contextualSpacing/>
        <w:jc w:val="left"/>
        <w:rPr>
          <w:rFonts w:ascii="仿宋" w:eastAsia="仿宋" w:cs="仿宋" w:hint="eastAsia"/>
          <w:sz w:val="32"/>
          <w:szCs w:val="32"/>
        </w:rPr>
      </w:pPr>
      <w:r>
        <w:rPr>
          <w:rFonts w:ascii="仿宋" w:eastAsia="仿宋" w:cs="仿宋" w:hint="eastAsia"/>
          <w:sz w:val="32"/>
          <w:szCs w:val="32"/>
        </w:rPr>
        <w:t>政府采购预算偏离度：（政府采购预算执行数-政府采购年初预算数）÷政府采购年初预算数=（0-0）/0=0</w:t>
      </w:r>
    </w:p>
    <w:p>
      <w:pPr>
        <w:adjustRightInd w:val="0"/>
        <w:snapToGrid w:val="0"/>
        <w:spacing w:line="578" w:lineRule="exact"/>
        <w:ind w:firstLineChars="200" w:firstLine="640"/>
        <w:contextualSpacing/>
        <w:jc w:val="left"/>
        <w:rPr>
          <w:rFonts w:ascii="仿宋" w:eastAsia="仿宋" w:cs="仿宋" w:hint="eastAsia"/>
          <w:sz w:val="32"/>
          <w:szCs w:val="32"/>
        </w:rPr>
      </w:pPr>
      <w:r>
        <w:rPr>
          <w:rFonts w:ascii="仿宋" w:eastAsia="仿宋" w:cs="仿宋" w:hint="eastAsia"/>
          <w:sz w:val="32"/>
          <w:szCs w:val="32"/>
        </w:rPr>
        <w:t>该项指标得分=（1-0.23）×100%×4+（1-0）×100%×2+（1-0）×100%×2=7.08</w:t>
      </w:r>
    </w:p>
    <w:p>
      <w:pPr>
        <w:adjustRightInd w:val="0"/>
        <w:snapToGrid w:val="0"/>
        <w:spacing w:line="578" w:lineRule="exact"/>
        <w:ind w:firstLineChars="200" w:firstLine="640"/>
        <w:contextualSpacing/>
        <w:jc w:val="left"/>
        <w:rPr>
          <w:rFonts w:ascii="仿宋" w:eastAsia="仿宋" w:cs="仿宋" w:hint="eastAsia"/>
          <w:sz w:val="32"/>
          <w:szCs w:val="32"/>
        </w:rPr>
      </w:pPr>
      <w:r>
        <w:rPr>
          <w:rFonts w:ascii="仿宋" w:eastAsia="仿宋" w:cs="仿宋" w:hint="eastAsia"/>
          <w:sz w:val="32"/>
          <w:szCs w:val="32"/>
        </w:rPr>
        <w:t>综上，根据评分标准，该项指标得7.08分。</w:t>
      </w:r>
    </w:p>
    <w:p>
      <w:pPr>
        <w:adjustRightInd w:val="0"/>
        <w:snapToGrid w:val="0"/>
        <w:spacing w:line="578" w:lineRule="exact"/>
        <w:ind w:firstLineChars="200" w:firstLine="640"/>
        <w:contextualSpacing/>
        <w:jc w:val="left"/>
        <w:outlineLvl w:val="2"/>
        <w:rPr>
          <w:rFonts w:ascii="仿宋" w:eastAsia="仿宋" w:cs="仿宋" w:hint="eastAsia"/>
          <w:sz w:val="32"/>
          <w:szCs w:val="32"/>
        </w:rPr>
      </w:pPr>
      <w:r>
        <w:rPr>
          <w:rFonts w:ascii="仿宋" w:eastAsia="仿宋" w:cs="仿宋" w:hint="eastAsia"/>
          <w:sz w:val="32"/>
          <w:szCs w:val="32"/>
        </w:rPr>
        <w:t>（2）单位收入统筹</w:t>
      </w:r>
    </w:p>
    <w:p>
      <w:pPr>
        <w:adjustRightInd w:val="0"/>
        <w:snapToGrid w:val="0"/>
        <w:spacing w:line="578" w:lineRule="exact"/>
        <w:ind w:firstLineChars="200" w:firstLine="640"/>
        <w:contextualSpacing/>
        <w:jc w:val="left"/>
        <w:rPr>
          <w:rFonts w:ascii="仿宋" w:eastAsia="仿宋" w:cs="仿宋" w:hint="eastAsia"/>
          <w:sz w:val="32"/>
          <w:szCs w:val="32"/>
        </w:rPr>
      </w:pPr>
      <w:r>
        <w:rPr>
          <w:rFonts w:ascii="仿宋" w:eastAsia="仿宋" w:cs="仿宋" w:hint="eastAsia"/>
          <w:sz w:val="32"/>
          <w:szCs w:val="32"/>
        </w:rPr>
        <w:t>部门自有收入全年执行数为1937.32万元，部门自有收入年初预算数为1575.24万元，财政核定的综合补助比例为0万元。</w:t>
      </w:r>
    </w:p>
    <w:p>
      <w:pPr>
        <w:adjustRightInd w:val="0"/>
        <w:snapToGrid w:val="0"/>
        <w:spacing w:line="578" w:lineRule="exact"/>
        <w:ind w:firstLineChars="200" w:firstLine="640"/>
        <w:contextualSpacing/>
        <w:jc w:val="left"/>
        <w:rPr>
          <w:rFonts w:ascii="仿宋" w:eastAsia="仿宋" w:cs="仿宋" w:hint="eastAsia"/>
          <w:sz w:val="32"/>
          <w:szCs w:val="32"/>
        </w:rPr>
      </w:pPr>
      <w:r>
        <w:rPr>
          <w:rFonts w:ascii="仿宋" w:eastAsia="仿宋" w:cs="仿宋" w:hint="eastAsia"/>
          <w:sz w:val="32"/>
          <w:szCs w:val="32"/>
        </w:rPr>
        <w:t>该项指标得分=（部门自有收入全年执行数÷部门自有收入年初预算数）×100%×2+（财政核定的综合补助比例÷按实际执行测算的综合补助比例）×100%×2=（1937.32÷1575.24）×100%×2+（0-0）×100%×2=2.45</w:t>
      </w:r>
    </w:p>
    <w:p>
      <w:pPr>
        <w:adjustRightInd w:val="0"/>
        <w:snapToGrid w:val="0"/>
        <w:spacing w:line="578" w:lineRule="exact"/>
        <w:ind w:firstLineChars="200" w:firstLine="640"/>
        <w:contextualSpacing/>
        <w:jc w:val="left"/>
        <w:rPr>
          <w:rFonts w:ascii="仿宋" w:eastAsia="仿宋" w:cs="仿宋" w:hint="eastAsia"/>
          <w:sz w:val="32"/>
          <w:szCs w:val="32"/>
        </w:rPr>
      </w:pPr>
      <w:r>
        <w:rPr>
          <w:rFonts w:ascii="仿宋" w:eastAsia="仿宋" w:cs="仿宋" w:hint="eastAsia"/>
          <w:sz w:val="32"/>
          <w:szCs w:val="32"/>
        </w:rPr>
        <w:t>综上，根据评分标准，该项指标得2.45分。</w:t>
      </w:r>
    </w:p>
    <w:p>
      <w:pPr>
        <w:adjustRightInd w:val="0"/>
        <w:snapToGrid w:val="0"/>
        <w:spacing w:line="578" w:lineRule="exact"/>
        <w:ind w:firstLineChars="200" w:firstLine="640"/>
        <w:contextualSpacing/>
        <w:jc w:val="left"/>
        <w:outlineLvl w:val="2"/>
        <w:rPr>
          <w:rFonts w:ascii="仿宋" w:eastAsia="仿宋" w:cs="仿宋" w:hint="eastAsia"/>
          <w:sz w:val="32"/>
          <w:szCs w:val="32"/>
        </w:rPr>
      </w:pPr>
      <w:r>
        <w:rPr>
          <w:rFonts w:ascii="仿宋" w:eastAsia="仿宋" w:cs="仿宋" w:hint="eastAsia"/>
          <w:sz w:val="32"/>
          <w:szCs w:val="32"/>
        </w:rPr>
        <w:t>（3）支出执行进度</w:t>
      </w:r>
    </w:p>
    <w:p>
      <w:pPr>
        <w:adjustRightInd w:val="0"/>
        <w:snapToGrid w:val="0"/>
        <w:spacing w:line="578" w:lineRule="exact"/>
        <w:ind w:firstLineChars="200" w:firstLine="640"/>
        <w:contextualSpacing/>
        <w:jc w:val="left"/>
        <w:outlineLvl w:val="2"/>
        <w:rPr>
          <w:rFonts w:ascii="仿宋" w:eastAsia="仿宋" w:cs="仿宋" w:hint="eastAsia"/>
          <w:sz w:val="32"/>
          <w:szCs w:val="32"/>
        </w:rPr>
      </w:pPr>
      <w:r>
        <w:rPr>
          <w:rFonts w:ascii="仿宋" w:eastAsia="仿宋" w:cs="仿宋" w:hint="eastAsia"/>
          <w:sz w:val="32"/>
          <w:szCs w:val="32"/>
        </w:rPr>
        <w:t>2025年度收入1937.32万元，在6、10月实际支出进度分别为56%、88%。</w:t>
      </w:r>
    </w:p>
    <w:p>
      <w:pPr>
        <w:adjustRightInd w:val="0"/>
        <w:snapToGrid w:val="0"/>
        <w:spacing w:line="578" w:lineRule="exact"/>
        <w:ind w:firstLineChars="200" w:firstLine="640"/>
        <w:contextualSpacing/>
        <w:jc w:val="left"/>
        <w:outlineLvl w:val="2"/>
        <w:rPr>
          <w:rFonts w:ascii="仿宋" w:eastAsia="仿宋" w:cs="仿宋" w:hint="eastAsia"/>
          <w:sz w:val="32"/>
          <w:szCs w:val="32"/>
        </w:rPr>
      </w:pPr>
      <w:r>
        <w:rPr>
          <w:rFonts w:ascii="仿宋" w:eastAsia="仿宋" w:cs="仿宋" w:hint="eastAsia"/>
          <w:sz w:val="32"/>
          <w:szCs w:val="32"/>
        </w:rPr>
        <w:t>6月执行进度：支出1042.27万， 1042.27/1937.32*100%=54%</w:t>
      </w:r>
    </w:p>
    <w:p>
      <w:pPr>
        <w:adjustRightInd w:val="0"/>
        <w:snapToGrid w:val="0"/>
        <w:spacing w:line="578" w:lineRule="exact"/>
        <w:ind w:firstLineChars="200" w:firstLine="640"/>
        <w:contextualSpacing/>
        <w:jc w:val="left"/>
        <w:outlineLvl w:val="2"/>
        <w:rPr>
          <w:rFonts w:ascii="仿宋" w:eastAsia="仿宋" w:cs="仿宋" w:hint="eastAsia"/>
          <w:sz w:val="32"/>
          <w:szCs w:val="32"/>
        </w:rPr>
      </w:pPr>
      <w:r>
        <w:rPr>
          <w:rFonts w:ascii="仿宋" w:eastAsia="仿宋" w:cs="仿宋" w:hint="eastAsia"/>
          <w:sz w:val="32"/>
          <w:szCs w:val="32"/>
        </w:rPr>
        <w:t>10月执行进度：支出1610.56万，1610.56/1937.32*100%=83%，根据评分标准，达到实际支出进度分别达到54%、83%，该项指标得6分。</w:t>
      </w:r>
    </w:p>
    <w:p>
      <w:pPr>
        <w:adjustRightInd w:val="0"/>
        <w:snapToGrid w:val="0"/>
        <w:spacing w:line="578" w:lineRule="exact"/>
        <w:ind w:firstLineChars="200" w:firstLine="640"/>
        <w:contextualSpacing/>
        <w:jc w:val="left"/>
        <w:outlineLvl w:val="2"/>
        <w:rPr>
          <w:rFonts w:ascii="仿宋" w:eastAsia="仿宋" w:cs="仿宋" w:hint="eastAsia"/>
          <w:sz w:val="32"/>
          <w:szCs w:val="32"/>
        </w:rPr>
      </w:pPr>
      <w:r>
        <w:rPr>
          <w:rFonts w:ascii="仿宋" w:eastAsia="仿宋" w:cs="仿宋" w:hint="eastAsia"/>
          <w:sz w:val="32"/>
          <w:szCs w:val="32"/>
        </w:rPr>
        <w:t>（4）预算年终结余</w:t>
      </w:r>
    </w:p>
    <w:p>
      <w:pPr>
        <w:adjustRightInd w:val="0"/>
        <w:snapToGrid w:val="0"/>
        <w:spacing w:line="578" w:lineRule="exact"/>
        <w:ind w:firstLineChars="200" w:firstLine="640"/>
        <w:contextualSpacing/>
        <w:jc w:val="left"/>
        <w:rPr>
          <w:rFonts w:ascii="仿宋" w:eastAsia="仿宋" w:cs="仿宋" w:hint="eastAsia"/>
          <w:sz w:val="32"/>
          <w:szCs w:val="32"/>
        </w:rPr>
      </w:pPr>
      <w:r>
        <w:rPr>
          <w:rFonts w:ascii="仿宋" w:eastAsia="仿宋" w:cs="仿宋" w:hint="eastAsia"/>
          <w:sz w:val="32"/>
          <w:szCs w:val="32"/>
        </w:rPr>
        <w:t>根据2025年决算报表反映，年末结转结余资金为6.05万元。     预算结余率（=11+6.05）/1937.32=0.009</w:t>
      </w:r>
    </w:p>
    <w:p>
      <w:pPr>
        <w:adjustRightInd w:val="0"/>
        <w:snapToGrid w:val="0"/>
        <w:spacing w:line="578" w:lineRule="exact"/>
        <w:ind w:firstLineChars="200" w:firstLine="640"/>
        <w:contextualSpacing/>
        <w:jc w:val="left"/>
        <w:rPr>
          <w:rFonts w:ascii="仿宋" w:eastAsia="仿宋" w:cs="仿宋" w:hint="eastAsia"/>
          <w:sz w:val="32"/>
          <w:szCs w:val="32"/>
        </w:rPr>
      </w:pPr>
      <w:r>
        <w:rPr>
          <w:rFonts w:ascii="仿宋" w:eastAsia="仿宋" w:cs="仿宋" w:hint="eastAsia"/>
          <w:sz w:val="32"/>
          <w:szCs w:val="32"/>
        </w:rPr>
        <w:t>该项指标得分=（1-0.009）×100%×2=1.98。综上，根据评分标准，该项指标得1.98分。</w:t>
      </w:r>
    </w:p>
    <w:p>
      <w:pPr>
        <w:adjustRightInd w:val="0"/>
        <w:snapToGrid w:val="0"/>
        <w:spacing w:line="578" w:lineRule="exact"/>
        <w:ind w:firstLineChars="200" w:firstLine="640"/>
        <w:contextualSpacing/>
        <w:jc w:val="left"/>
        <w:outlineLvl w:val="2"/>
        <w:rPr>
          <w:rFonts w:ascii="仿宋" w:eastAsia="仿宋" w:cs="仿宋" w:hint="eastAsia"/>
          <w:sz w:val="32"/>
          <w:szCs w:val="32"/>
        </w:rPr>
      </w:pPr>
      <w:r>
        <w:rPr>
          <w:rFonts w:ascii="仿宋" w:eastAsia="仿宋" w:cs="仿宋" w:hint="eastAsia"/>
          <w:sz w:val="32"/>
          <w:szCs w:val="32"/>
        </w:rPr>
        <w:t>（5）严控一般性支出</w:t>
      </w:r>
    </w:p>
    <w:p>
      <w:pPr>
        <w:adjustRightInd w:val="0"/>
        <w:snapToGrid w:val="0"/>
        <w:spacing w:line="578" w:lineRule="exact"/>
        <w:ind w:firstLineChars="200" w:firstLine="640"/>
        <w:contextualSpacing/>
        <w:jc w:val="left"/>
        <w:outlineLvl w:val="2"/>
        <w:rPr>
          <w:rFonts w:ascii="仿宋" w:eastAsia="仿宋" w:cs="仿宋" w:hint="eastAsia"/>
          <w:sz w:val="32"/>
          <w:szCs w:val="32"/>
        </w:rPr>
      </w:pPr>
      <w:r>
        <w:rPr>
          <w:rFonts w:ascii="仿宋" w:eastAsia="仿宋" w:cs="仿宋" w:hint="eastAsia"/>
          <w:sz w:val="32"/>
          <w:szCs w:val="32"/>
        </w:rPr>
        <w:t>2025年“三公”经费支出0元，上年度未发生费用；会议费0元，上年度未发生费用；培训费9.27万元，上年度发生12.68万元，较上年减少3.41万元。</w:t>
      </w:r>
    </w:p>
    <w:p>
      <w:pPr>
        <w:adjustRightInd w:val="0"/>
        <w:snapToGrid w:val="0"/>
        <w:spacing w:line="578" w:lineRule="exact"/>
        <w:ind w:firstLineChars="200" w:firstLine="640"/>
        <w:contextualSpacing/>
        <w:jc w:val="left"/>
        <w:outlineLvl w:val="2"/>
        <w:rPr>
          <w:rFonts w:ascii="仿宋" w:eastAsia="仿宋" w:cs="仿宋" w:hint="eastAsia"/>
          <w:sz w:val="32"/>
          <w:szCs w:val="32"/>
        </w:rPr>
      </w:pPr>
      <w:r>
        <w:rPr>
          <w:rFonts w:ascii="仿宋" w:eastAsia="仿宋" w:cs="仿宋" w:hint="eastAsia"/>
          <w:sz w:val="32"/>
          <w:szCs w:val="32"/>
        </w:rPr>
        <w:t>综上，根据评分标准，该项指标得5分。</w:t>
      </w:r>
    </w:p>
    <w:p>
      <w:pPr>
        <w:widowControl/>
        <w:adjustRightInd w:val="0"/>
        <w:snapToGrid w:val="0"/>
        <w:spacing w:line="560" w:lineRule="exact"/>
        <w:ind w:firstLine="720"/>
        <w:rPr>
          <w:rFonts w:ascii="仿宋" w:eastAsia="仿宋" w:cs="仿宋" w:hint="eastAsia"/>
          <w:b/>
          <w:bCs/>
          <w:sz w:val="32"/>
          <w:szCs w:val="32"/>
          <w:lang w:val="zh-CN"/>
        </w:rPr>
      </w:pPr>
      <w:r>
        <w:rPr>
          <w:rFonts w:ascii="楷体" w:eastAsia="楷体" w:cs="仿宋" w:hint="eastAsia"/>
          <w:sz w:val="32"/>
          <w:szCs w:val="32"/>
        </w:rPr>
        <w:t>3.</w:t>
      </w:r>
      <w:r>
        <w:rPr>
          <w:rFonts w:ascii="楷体" w:eastAsia="楷体" w:cs="仿宋"/>
          <w:sz w:val="32"/>
          <w:szCs w:val="32"/>
        </w:rPr>
        <w:t>财务管理</w:t>
      </w:r>
    </w:p>
    <w:p>
      <w:pPr>
        <w:spacing w:line="590" w:lineRule="exact"/>
        <w:ind w:firstLineChars="200" w:firstLine="640"/>
        <w:contextualSpacing/>
        <w:rPr>
          <w:rFonts w:ascii="仿宋" w:eastAsia="仿宋" w:cs="仿宋" w:hint="eastAsia"/>
          <w:color w:val="000000"/>
          <w:kern w:val="0"/>
          <w:sz w:val="32"/>
          <w:szCs w:val="32"/>
          <w:shd w:val="clear" w:color="auto" w:fill="FFFFFF"/>
          <w:lang w:val="zh-CN"/>
        </w:rPr>
      </w:pPr>
      <w:r>
        <w:rPr>
          <w:rFonts w:ascii="仿宋" w:eastAsia="仿宋" w:cs="仿宋" w:hint="eastAsia"/>
          <w:color w:val="000000"/>
          <w:kern w:val="0"/>
          <w:sz w:val="32"/>
          <w:szCs w:val="32"/>
          <w:shd w:val="clear" w:color="auto" w:fill="FFFFFF"/>
        </w:rPr>
        <w:t>贯彻执行国家有关法律、法规和财务规章制度，坚持勤俭办学的方针，正确处理好事业发展需要和教育经费供给的关系、社会效益和经济效益的关系，国家、集体和个人三者利益的关系。</w:t>
      </w:r>
    </w:p>
    <w:p>
      <w:pPr>
        <w:widowControl/>
        <w:adjustRightInd w:val="0"/>
        <w:snapToGrid w:val="0"/>
        <w:spacing w:line="560" w:lineRule="exact"/>
        <w:ind w:firstLine="720"/>
        <w:rPr>
          <w:rFonts w:ascii="楷体" w:eastAsia="楷体" w:cs="仿宋" w:hint="eastAsia"/>
          <w:sz w:val="32"/>
          <w:szCs w:val="32"/>
        </w:rPr>
      </w:pPr>
      <w:r>
        <w:rPr>
          <w:rFonts w:ascii="楷体" w:eastAsia="楷体" w:cs="仿宋" w:hint="eastAsia"/>
          <w:sz w:val="32"/>
          <w:szCs w:val="32"/>
        </w:rPr>
        <w:t>4.</w:t>
      </w:r>
      <w:r>
        <w:rPr>
          <w:rFonts w:ascii="楷体" w:eastAsia="楷体" w:cs="仿宋"/>
          <w:sz w:val="32"/>
          <w:szCs w:val="32"/>
        </w:rPr>
        <w:t>资产管理</w:t>
      </w:r>
    </w:p>
    <w:p>
      <w:pPr>
        <w:adjustRightInd w:val="0"/>
        <w:snapToGrid w:val="0"/>
        <w:spacing w:line="578" w:lineRule="exact"/>
        <w:ind w:firstLineChars="200" w:firstLine="640"/>
        <w:contextualSpacing/>
        <w:jc w:val="left"/>
        <w:outlineLvl w:val="2"/>
        <w:rPr>
          <w:rFonts w:ascii="仿宋" w:eastAsia="仿宋" w:cs="仿宋" w:hint="eastAsia"/>
          <w:color w:val="000000"/>
          <w:kern w:val="0"/>
          <w:sz w:val="32"/>
          <w:szCs w:val="32"/>
          <w:shd w:val="clear" w:color="auto" w:fill="FFFFFF"/>
        </w:rPr>
      </w:pPr>
      <w:r>
        <w:rPr>
          <w:rFonts w:ascii="仿宋" w:eastAsia="仿宋" w:cs="仿宋" w:hint="eastAsia"/>
          <w:color w:val="000000"/>
          <w:kern w:val="0"/>
          <w:sz w:val="32"/>
          <w:szCs w:val="32"/>
          <w:shd w:val="clear" w:color="auto" w:fill="FFFFFF"/>
        </w:rPr>
        <w:t>（1）人均资产变化率</w:t>
      </w:r>
    </w:p>
    <w:p>
      <w:pPr>
        <w:adjustRightInd w:val="0"/>
        <w:snapToGrid w:val="0"/>
        <w:spacing w:line="578" w:lineRule="exact"/>
        <w:ind w:firstLineChars="200" w:firstLine="640"/>
        <w:contextualSpacing/>
        <w:jc w:val="left"/>
        <w:rPr>
          <w:rFonts w:ascii="仿宋" w:eastAsia="仿宋" w:cs="仿宋" w:hint="eastAsia"/>
          <w:color w:val="000000"/>
          <w:kern w:val="0"/>
          <w:sz w:val="32"/>
          <w:szCs w:val="32"/>
          <w:shd w:val="clear" w:color="auto" w:fill="FFFFFF"/>
        </w:rPr>
      </w:pPr>
      <w:r>
        <w:rPr>
          <w:rFonts w:ascii="仿宋" w:eastAsia="仿宋" w:cs="仿宋" w:hint="eastAsia"/>
          <w:color w:val="000000"/>
          <w:kern w:val="0"/>
          <w:sz w:val="32"/>
          <w:szCs w:val="32"/>
          <w:shd w:val="clear" w:color="auto" w:fill="FFFFFF"/>
        </w:rPr>
        <w:t>县直行政事业单位人均资产变化率N：2025年为 33.79%。综上，根据评分标准，该项指标得3分。</w:t>
      </w:r>
    </w:p>
    <w:p>
      <w:pPr>
        <w:adjustRightInd w:val="0"/>
        <w:snapToGrid w:val="0"/>
        <w:spacing w:line="578" w:lineRule="exact"/>
        <w:ind w:firstLineChars="200" w:firstLine="640"/>
        <w:contextualSpacing/>
        <w:jc w:val="left"/>
        <w:outlineLvl w:val="2"/>
        <w:rPr>
          <w:rFonts w:ascii="仿宋" w:eastAsia="仿宋" w:cs="仿宋" w:hint="eastAsia"/>
          <w:color w:val="000000"/>
          <w:kern w:val="0"/>
          <w:sz w:val="32"/>
          <w:szCs w:val="32"/>
          <w:shd w:val="clear" w:color="auto" w:fill="FFFFFF"/>
        </w:rPr>
      </w:pPr>
      <w:r>
        <w:rPr>
          <w:rFonts w:ascii="仿宋" w:eastAsia="仿宋" w:cs="仿宋" w:hint="eastAsia"/>
          <w:color w:val="000000"/>
          <w:kern w:val="0"/>
          <w:sz w:val="32"/>
          <w:szCs w:val="32"/>
          <w:shd w:val="clear" w:color="auto" w:fill="FFFFFF"/>
        </w:rPr>
        <w:t>（2）资产利用率</w:t>
      </w:r>
    </w:p>
    <w:p>
      <w:pPr>
        <w:adjustRightInd w:val="0"/>
        <w:snapToGrid w:val="0"/>
        <w:spacing w:line="578" w:lineRule="exact"/>
        <w:ind w:firstLineChars="200" w:firstLine="640"/>
        <w:contextualSpacing/>
        <w:jc w:val="left"/>
        <w:rPr>
          <w:rFonts w:ascii="仿宋" w:eastAsia="仿宋" w:cs="仿宋" w:hint="eastAsia"/>
          <w:color w:val="000000"/>
          <w:kern w:val="0"/>
          <w:sz w:val="32"/>
          <w:szCs w:val="32"/>
          <w:shd w:val="clear" w:color="auto" w:fill="FFFFFF"/>
        </w:rPr>
      </w:pPr>
      <w:r>
        <w:rPr>
          <w:rFonts w:ascii="仿宋" w:eastAsia="仿宋" w:cs="仿宋" w:hint="eastAsia"/>
          <w:color w:val="000000"/>
          <w:kern w:val="0"/>
          <w:sz w:val="32"/>
          <w:szCs w:val="32"/>
          <w:shd w:val="clear" w:color="auto" w:fill="FFFFFF"/>
        </w:rPr>
        <w:t>部门资产未超最低使用年限。综上，根据评分标准，该项指标得3分。</w:t>
      </w:r>
    </w:p>
    <w:p>
      <w:pPr>
        <w:adjustRightInd w:val="0"/>
        <w:snapToGrid w:val="0"/>
        <w:spacing w:line="578" w:lineRule="exact"/>
        <w:ind w:firstLineChars="200" w:firstLine="640"/>
        <w:contextualSpacing/>
        <w:jc w:val="left"/>
        <w:outlineLvl w:val="2"/>
        <w:rPr>
          <w:rFonts w:ascii="仿宋" w:eastAsia="仿宋" w:cs="仿宋" w:hint="eastAsia"/>
          <w:color w:val="000000"/>
          <w:kern w:val="0"/>
          <w:sz w:val="32"/>
          <w:szCs w:val="32"/>
          <w:shd w:val="clear" w:color="auto" w:fill="FFFFFF"/>
        </w:rPr>
      </w:pPr>
      <w:r>
        <w:rPr>
          <w:rFonts w:ascii="仿宋" w:eastAsia="仿宋" w:cs="仿宋" w:hint="eastAsia"/>
          <w:color w:val="000000"/>
          <w:kern w:val="0"/>
          <w:sz w:val="32"/>
          <w:szCs w:val="32"/>
          <w:shd w:val="clear" w:color="auto" w:fill="FFFFFF"/>
        </w:rPr>
        <w:t>（3）资产盘活率</w:t>
      </w:r>
    </w:p>
    <w:p>
      <w:pPr>
        <w:adjustRightInd w:val="0"/>
        <w:snapToGrid w:val="0"/>
        <w:spacing w:line="578" w:lineRule="exact"/>
        <w:ind w:firstLineChars="200" w:firstLine="640"/>
        <w:contextualSpacing/>
        <w:jc w:val="left"/>
        <w:rPr>
          <w:rFonts w:ascii="仿宋" w:eastAsia="仿宋" w:cs="仿宋" w:hint="eastAsia"/>
          <w:color w:val="000000"/>
          <w:kern w:val="0"/>
          <w:sz w:val="32"/>
          <w:szCs w:val="32"/>
          <w:shd w:val="clear" w:color="auto" w:fill="FFFFFF"/>
        </w:rPr>
      </w:pPr>
      <w:r>
        <w:rPr>
          <w:rFonts w:ascii="仿宋" w:eastAsia="仿宋" w:cs="仿宋" w:hint="eastAsia"/>
          <w:color w:val="000000"/>
          <w:kern w:val="0"/>
          <w:sz w:val="32"/>
          <w:szCs w:val="32"/>
          <w:shd w:val="clear" w:color="auto" w:fill="FFFFFF"/>
        </w:rPr>
        <w:t>部门不涉及闲置一年以上的资产。综上，根据评分标准，该项指标得3分。</w:t>
      </w:r>
    </w:p>
    <w:p>
      <w:pPr>
        <w:widowControl/>
        <w:adjustRightInd w:val="0"/>
        <w:snapToGrid w:val="0"/>
        <w:spacing w:line="560" w:lineRule="exact"/>
        <w:ind w:firstLine="720"/>
        <w:rPr>
          <w:rFonts w:ascii="楷体" w:eastAsia="楷体" w:cs="仿宋" w:hint="eastAsia"/>
          <w:sz w:val="32"/>
          <w:szCs w:val="32"/>
        </w:rPr>
      </w:pPr>
      <w:r>
        <w:rPr>
          <w:rFonts w:ascii="楷体" w:eastAsia="楷体" w:cs="仿宋" w:hint="eastAsia"/>
          <w:sz w:val="32"/>
          <w:szCs w:val="32"/>
        </w:rPr>
        <w:t>5.</w:t>
      </w:r>
      <w:r>
        <w:rPr>
          <w:rFonts w:ascii="楷体" w:eastAsia="楷体" w:cs="仿宋"/>
          <w:sz w:val="32"/>
          <w:szCs w:val="32"/>
        </w:rPr>
        <w:t>采购管理</w:t>
      </w:r>
    </w:p>
    <w:p>
      <w:pPr>
        <w:adjustRightInd w:val="0"/>
        <w:snapToGrid w:val="0"/>
        <w:spacing w:line="578" w:lineRule="exact"/>
        <w:ind w:firstLineChars="200" w:firstLine="640"/>
        <w:contextualSpacing/>
        <w:jc w:val="left"/>
        <w:outlineLvl w:val="2"/>
        <w:rPr>
          <w:rFonts w:ascii="仿宋" w:eastAsia="仿宋" w:cs="仿宋" w:hint="eastAsia"/>
          <w:color w:val="000000"/>
          <w:kern w:val="0"/>
          <w:sz w:val="32"/>
          <w:szCs w:val="32"/>
          <w:shd w:val="clear" w:color="auto" w:fill="FFFFFF"/>
        </w:rPr>
      </w:pPr>
      <w:r>
        <w:rPr>
          <w:rFonts w:ascii="仿宋" w:eastAsia="仿宋" w:cs="仿宋" w:hint="eastAsia"/>
          <w:color w:val="000000"/>
          <w:kern w:val="0"/>
          <w:sz w:val="32"/>
          <w:szCs w:val="32"/>
          <w:shd w:val="clear" w:color="auto" w:fill="FFFFFF"/>
        </w:rPr>
        <w:t>（1）支持中小企业发展</w:t>
      </w:r>
    </w:p>
    <w:p>
      <w:pPr>
        <w:adjustRightInd w:val="0"/>
        <w:snapToGrid w:val="0"/>
        <w:spacing w:line="578" w:lineRule="exact"/>
        <w:ind w:firstLineChars="200" w:firstLine="640"/>
        <w:contextualSpacing/>
        <w:jc w:val="left"/>
        <w:rPr>
          <w:rFonts w:ascii="仿宋" w:eastAsia="仿宋" w:cs="仿宋" w:hint="eastAsia"/>
          <w:color w:val="000000"/>
          <w:kern w:val="0"/>
          <w:sz w:val="32"/>
          <w:szCs w:val="32"/>
          <w:shd w:val="clear" w:color="auto" w:fill="FFFFFF"/>
        </w:rPr>
      </w:pPr>
      <w:r>
        <w:rPr>
          <w:rFonts w:ascii="仿宋" w:eastAsia="仿宋" w:cs="仿宋" w:hint="eastAsia"/>
          <w:color w:val="000000"/>
          <w:kern w:val="0"/>
          <w:sz w:val="32"/>
          <w:szCs w:val="32"/>
          <w:shd w:val="clear" w:color="auto" w:fill="FFFFFF"/>
        </w:rPr>
        <w:t>部门严格执行政府采购促进中小企业发展相关管理办法。综上，根据评分标准，该项指标得3分。</w:t>
      </w:r>
    </w:p>
    <w:p>
      <w:pPr>
        <w:adjustRightInd w:val="0"/>
        <w:snapToGrid w:val="0"/>
        <w:spacing w:line="578" w:lineRule="exact"/>
        <w:ind w:firstLineChars="200" w:firstLine="640"/>
        <w:contextualSpacing/>
        <w:jc w:val="left"/>
        <w:outlineLvl w:val="2"/>
        <w:rPr>
          <w:rFonts w:ascii="仿宋" w:eastAsia="仿宋" w:cs="仿宋" w:hint="eastAsia"/>
          <w:color w:val="000000"/>
          <w:kern w:val="0"/>
          <w:sz w:val="32"/>
          <w:szCs w:val="32"/>
          <w:shd w:val="clear" w:color="auto" w:fill="FFFFFF"/>
        </w:rPr>
      </w:pPr>
      <w:r>
        <w:rPr>
          <w:rFonts w:ascii="仿宋" w:eastAsia="仿宋" w:cs="仿宋" w:hint="eastAsia"/>
          <w:color w:val="000000"/>
          <w:kern w:val="0"/>
          <w:sz w:val="32"/>
          <w:szCs w:val="32"/>
          <w:shd w:val="clear" w:color="auto" w:fill="FFFFFF"/>
        </w:rPr>
        <w:t>（2）采购执行率</w:t>
      </w:r>
    </w:p>
    <w:p>
      <w:pPr>
        <w:adjustRightInd w:val="0"/>
        <w:snapToGrid w:val="0"/>
        <w:spacing w:line="578" w:lineRule="exact"/>
        <w:ind w:firstLineChars="200" w:firstLine="640"/>
        <w:contextualSpacing/>
        <w:jc w:val="left"/>
        <w:rPr>
          <w:rFonts w:ascii="仿宋" w:eastAsia="仿宋" w:cs="仿宋" w:hint="eastAsia"/>
          <w:color w:val="000000"/>
          <w:kern w:val="0"/>
          <w:sz w:val="32"/>
          <w:szCs w:val="32"/>
          <w:shd w:val="clear" w:color="auto" w:fill="FFFFFF"/>
        </w:rPr>
      </w:pPr>
      <w:r>
        <w:rPr>
          <w:rFonts w:ascii="仿宋" w:eastAsia="仿宋" w:cs="仿宋" w:hint="eastAsia"/>
          <w:color w:val="000000"/>
          <w:kern w:val="0"/>
          <w:sz w:val="32"/>
          <w:szCs w:val="32"/>
          <w:shd w:val="clear" w:color="auto" w:fill="FFFFFF"/>
        </w:rPr>
        <w:t>部门不涉及采购项目，综上，根据评分标准，该项指标得3分。</w:t>
      </w:r>
    </w:p>
    <w:p>
      <w:pPr>
        <w:autoSpaceDE w:val="0"/>
        <w:autoSpaceDN w:val="0"/>
        <w:adjustRightInd w:val="0"/>
        <w:spacing w:line="576" w:lineRule="exact"/>
        <w:ind w:firstLineChars="200" w:firstLine="640"/>
        <w:outlineLvl w:val="2"/>
        <w:rPr>
          <w:rFonts w:ascii="楷体" w:eastAsia="楷体" w:cs="楷体" w:hint="eastAsia"/>
          <w:b/>
          <w:sz w:val="32"/>
          <w:szCs w:val="32"/>
        </w:rPr>
      </w:pPr>
      <w:r>
        <w:rPr>
          <w:rFonts w:ascii="楷体" w:eastAsia="楷体" w:cs="楷体"/>
          <w:b/>
          <w:sz w:val="32"/>
          <w:szCs w:val="32"/>
          <w:lang w:val="zh-CN"/>
        </w:rPr>
        <w:t>（二）部门预算项目绩效分析</w:t>
      </w:r>
    </w:p>
    <w:p>
      <w:pPr>
        <w:adjustRightInd w:val="0"/>
        <w:snapToGrid w:val="0"/>
        <w:spacing w:line="578" w:lineRule="exact"/>
        <w:ind w:firstLineChars="200" w:firstLine="640"/>
        <w:contextualSpacing/>
        <w:jc w:val="left"/>
        <w:rPr>
          <w:rFonts w:ascii="仿宋" w:eastAsia="仿宋" w:cs="仿宋" w:hint="eastAsia"/>
          <w:color w:val="000000"/>
          <w:kern w:val="0"/>
          <w:sz w:val="32"/>
          <w:szCs w:val="32"/>
          <w:shd w:val="clear" w:color="auto" w:fill="FFFFFF"/>
        </w:rPr>
      </w:pPr>
      <w:r>
        <w:rPr>
          <w:rFonts w:ascii="仿宋" w:eastAsia="仿宋" w:cs="仿宋" w:hint="eastAsia"/>
          <w:color w:val="000000"/>
          <w:kern w:val="0"/>
          <w:sz w:val="32"/>
          <w:szCs w:val="32"/>
          <w:shd w:val="clear" w:color="auto" w:fill="FFFFFF"/>
        </w:rPr>
        <w:t>常年项目绩效分析。该类项目总数8</w:t>
      </w:r>
      <w:r>
        <w:rPr>
          <w:rFonts w:ascii="仿宋" w:eastAsia="仿宋" w:cs="仿宋"/>
          <w:color w:val="000000"/>
          <w:kern w:val="0"/>
          <w:sz w:val="32"/>
          <w:szCs w:val="32"/>
          <w:shd w:val="clear" w:color="auto" w:fill="FFFFFF"/>
        </w:rPr>
        <w:t>个</w:t>
      </w:r>
      <w:r>
        <w:rPr>
          <w:rFonts w:ascii="仿宋" w:eastAsia="仿宋" w:cs="仿宋" w:hint="eastAsia"/>
          <w:color w:val="000000"/>
          <w:kern w:val="0"/>
          <w:sz w:val="32"/>
          <w:szCs w:val="32"/>
          <w:shd w:val="clear" w:color="auto" w:fill="FFFFFF"/>
        </w:rPr>
        <w:t>包括</w:t>
      </w:r>
      <w:r>
        <w:rPr>
          <w:rFonts w:ascii="Calibri" w:eastAsia="仿宋" w:cs="Calibri" w:hAnsi="Calibri"/>
          <w:color w:val="000000"/>
          <w:kern w:val="0"/>
          <w:sz w:val="32"/>
          <w:szCs w:val="32"/>
          <w:shd w:val="clear" w:color="auto" w:fill="FFFFFF"/>
        </w:rPr>
        <w:t> </w:t>
      </w:r>
      <w:r>
        <w:rPr>
          <w:rFonts w:ascii="仿宋" w:eastAsia="仿宋" w:cs="仿宋" w:hint="eastAsia"/>
          <w:color w:val="000000"/>
          <w:kern w:val="0"/>
          <w:sz w:val="32"/>
          <w:szCs w:val="32"/>
          <w:shd w:val="clear" w:color="auto" w:fill="FFFFFF"/>
        </w:rPr>
        <w:t>学前教育保教费、</w:t>
      </w:r>
      <w:r>
        <w:rPr>
          <w:rFonts w:ascii="Calibri" w:eastAsia="仿宋" w:cs="Calibri" w:hAnsi="Calibri"/>
          <w:color w:val="000000"/>
          <w:kern w:val="0"/>
          <w:sz w:val="32"/>
          <w:szCs w:val="32"/>
          <w:shd w:val="clear" w:color="auto" w:fill="FFFFFF"/>
        </w:rPr>
        <w:t> </w:t>
      </w:r>
      <w:r>
        <w:rPr>
          <w:rFonts w:ascii="仿宋" w:eastAsia="仿宋" w:cs="仿宋" w:hint="eastAsia"/>
          <w:color w:val="000000"/>
          <w:kern w:val="0"/>
          <w:sz w:val="32"/>
          <w:szCs w:val="32"/>
          <w:shd w:val="clear" w:color="auto" w:fill="FFFFFF"/>
        </w:rPr>
        <w:t>学前教育午餐费、义教营养餐、家庭经济困难学生生活补助、作业本费、汶川县义务教育阶段食堂从业人员劳务费、生均公用经费、购买劳务服务项目</w:t>
      </w:r>
      <w:r>
        <w:rPr>
          <w:rFonts w:ascii="仿宋" w:eastAsia="仿宋" w:cs="仿宋"/>
          <w:color w:val="000000"/>
          <w:kern w:val="0"/>
          <w:sz w:val="32"/>
          <w:szCs w:val="32"/>
          <w:shd w:val="clear" w:color="auto" w:fill="FFFFFF"/>
        </w:rPr>
        <w:t>，涉及预算总金额</w:t>
      </w:r>
      <w:r>
        <w:rPr>
          <w:rFonts w:ascii="仿宋" w:eastAsia="仿宋" w:cs="仿宋" w:hint="eastAsia"/>
          <w:color w:val="000000"/>
          <w:kern w:val="0"/>
          <w:sz w:val="32"/>
          <w:szCs w:val="32"/>
          <w:shd w:val="clear" w:color="auto" w:fill="FFFFFF"/>
        </w:rPr>
        <w:t>165.01</w:t>
      </w:r>
      <w:r>
        <w:rPr>
          <w:rFonts w:ascii="仿宋" w:eastAsia="仿宋" w:cs="仿宋"/>
          <w:color w:val="000000"/>
          <w:kern w:val="0"/>
          <w:sz w:val="32"/>
          <w:szCs w:val="32"/>
          <w:shd w:val="clear" w:color="auto" w:fill="FFFFFF"/>
        </w:rPr>
        <w:t>万元，1</w:t>
      </w:r>
      <w:r>
        <w:rPr>
          <w:rFonts w:ascii="仿宋" w:eastAsia="仿宋" w:cs="仿宋" w:hint="eastAsia"/>
          <w:color w:val="000000"/>
          <w:kern w:val="0"/>
          <w:sz w:val="32"/>
          <w:szCs w:val="32"/>
          <w:shd w:val="clear" w:color="auto" w:fill="FFFFFF"/>
        </w:rPr>
        <w:t>—</w:t>
      </w:r>
      <w:r>
        <w:rPr>
          <w:rFonts w:ascii="仿宋" w:eastAsia="仿宋" w:cs="仿宋"/>
          <w:color w:val="000000"/>
          <w:kern w:val="0"/>
          <w:sz w:val="32"/>
          <w:szCs w:val="32"/>
          <w:shd w:val="clear" w:color="auto" w:fill="FFFFFF"/>
        </w:rPr>
        <w:t>12月预算执行总体进度为</w:t>
      </w:r>
      <w:r>
        <w:rPr>
          <w:rFonts w:ascii="仿宋" w:eastAsia="仿宋" w:cs="仿宋" w:hint="eastAsia"/>
          <w:color w:val="000000"/>
          <w:kern w:val="0"/>
          <w:sz w:val="32"/>
          <w:szCs w:val="32"/>
          <w:shd w:val="clear" w:color="auto" w:fill="FFFFFF"/>
        </w:rPr>
        <w:t>100</w:t>
      </w:r>
      <w:r>
        <w:rPr>
          <w:rFonts w:ascii="仿宋" w:eastAsia="仿宋" w:cs="仿宋"/>
          <w:color w:val="000000"/>
          <w:kern w:val="0"/>
          <w:sz w:val="32"/>
          <w:szCs w:val="32"/>
          <w:shd w:val="clear" w:color="auto" w:fill="FFFFFF"/>
        </w:rPr>
        <w:t>%。</w:t>
      </w:r>
    </w:p>
    <w:p>
      <w:pPr>
        <w:widowControl/>
        <w:adjustRightInd w:val="0"/>
        <w:snapToGrid w:val="0"/>
        <w:spacing w:line="560" w:lineRule="exact"/>
        <w:ind w:firstLine="720"/>
        <w:rPr>
          <w:rFonts w:ascii="楷体" w:eastAsia="楷体" w:cs="仿宋" w:hint="eastAsia"/>
          <w:sz w:val="32"/>
          <w:szCs w:val="32"/>
        </w:rPr>
      </w:pPr>
      <w:r>
        <w:rPr>
          <w:rFonts w:ascii="楷体" w:eastAsia="楷体" w:cs="仿宋" w:hint="eastAsia"/>
          <w:sz w:val="32"/>
          <w:szCs w:val="32"/>
        </w:rPr>
        <w:t>1.项目决策</w:t>
      </w:r>
    </w:p>
    <w:p>
      <w:pPr>
        <w:adjustRightInd w:val="0"/>
        <w:snapToGrid w:val="0"/>
        <w:spacing w:line="578" w:lineRule="exact"/>
        <w:ind w:firstLineChars="200" w:firstLine="640"/>
        <w:contextualSpacing/>
        <w:jc w:val="left"/>
        <w:rPr>
          <w:rFonts w:ascii="仿宋" w:eastAsia="仿宋" w:cs="仿宋" w:hint="eastAsia"/>
          <w:color w:val="000000"/>
          <w:kern w:val="0"/>
          <w:sz w:val="32"/>
          <w:szCs w:val="32"/>
          <w:shd w:val="clear" w:color="auto" w:fill="FFFFFF"/>
        </w:rPr>
      </w:pPr>
      <w:r>
        <w:rPr>
          <w:rFonts w:ascii="仿宋" w:eastAsia="仿宋" w:cs="仿宋" w:hint="eastAsia"/>
          <w:color w:val="000000"/>
          <w:kern w:val="0"/>
          <w:sz w:val="32"/>
          <w:szCs w:val="32"/>
          <w:shd w:val="clear" w:color="auto" w:fill="FFFFFF"/>
        </w:rPr>
        <w:t>（1）决策程序</w:t>
      </w:r>
    </w:p>
    <w:p>
      <w:pPr>
        <w:adjustRightInd w:val="0"/>
        <w:snapToGrid w:val="0"/>
        <w:spacing w:line="578" w:lineRule="exact"/>
        <w:ind w:firstLineChars="200" w:firstLine="640"/>
        <w:contextualSpacing/>
        <w:jc w:val="left"/>
        <w:rPr>
          <w:rFonts w:ascii="仿宋" w:eastAsia="仿宋" w:cs="仿宋" w:hint="eastAsia"/>
          <w:color w:val="000000"/>
          <w:kern w:val="0"/>
          <w:sz w:val="32"/>
          <w:szCs w:val="32"/>
          <w:shd w:val="clear" w:color="auto" w:fill="FFFFFF"/>
        </w:rPr>
      </w:pPr>
      <w:r>
        <w:rPr>
          <w:rFonts w:ascii="仿宋" w:eastAsia="仿宋" w:cs="仿宋" w:hint="eastAsia"/>
          <w:color w:val="000000"/>
          <w:kern w:val="0"/>
          <w:sz w:val="32"/>
          <w:szCs w:val="32"/>
          <w:shd w:val="clear" w:color="auto" w:fill="FFFFFF"/>
        </w:rPr>
        <w:t>部门预算项目设立按规定履行评估论证、申报程序，项目符合专项设立的基本规范和程序要求，属于部门职责相符，属于公共财政支持范围。综上，根据评分标准，该项指标得4分。</w:t>
      </w:r>
    </w:p>
    <w:p>
      <w:pPr>
        <w:adjustRightInd w:val="0"/>
        <w:snapToGrid w:val="0"/>
        <w:spacing w:line="578" w:lineRule="exact"/>
        <w:ind w:firstLineChars="200" w:firstLine="640"/>
        <w:contextualSpacing/>
        <w:jc w:val="left"/>
        <w:rPr>
          <w:rFonts w:ascii="仿宋" w:eastAsia="仿宋" w:cs="仿宋" w:hint="eastAsia"/>
          <w:color w:val="000000"/>
          <w:kern w:val="0"/>
          <w:sz w:val="32"/>
          <w:szCs w:val="32"/>
          <w:shd w:val="clear" w:color="auto" w:fill="FFFFFF"/>
        </w:rPr>
      </w:pPr>
      <w:r>
        <w:rPr>
          <w:rFonts w:ascii="仿宋" w:eastAsia="仿宋" w:cs="仿宋" w:hint="eastAsia"/>
          <w:color w:val="000000"/>
          <w:kern w:val="0"/>
          <w:sz w:val="32"/>
          <w:szCs w:val="32"/>
          <w:shd w:val="clear" w:color="auto" w:fill="FFFFFF"/>
        </w:rPr>
        <w:t>（2）目标设置</w:t>
      </w:r>
    </w:p>
    <w:p>
      <w:pPr>
        <w:adjustRightInd w:val="0"/>
        <w:snapToGrid w:val="0"/>
        <w:spacing w:line="578" w:lineRule="exact"/>
        <w:ind w:firstLineChars="200" w:firstLine="640"/>
        <w:contextualSpacing/>
        <w:jc w:val="left"/>
        <w:rPr>
          <w:rFonts w:ascii="仿宋" w:eastAsia="仿宋" w:cs="仿宋" w:hint="eastAsia"/>
          <w:color w:val="000000"/>
          <w:kern w:val="0"/>
          <w:sz w:val="32"/>
          <w:szCs w:val="32"/>
          <w:shd w:val="clear" w:color="auto" w:fill="FFFFFF"/>
        </w:rPr>
      </w:pPr>
      <w:r>
        <w:rPr>
          <w:rFonts w:ascii="仿宋" w:eastAsia="仿宋" w:cs="仿宋" w:hint="eastAsia"/>
          <w:color w:val="000000"/>
          <w:kern w:val="0"/>
          <w:sz w:val="32"/>
          <w:szCs w:val="32"/>
          <w:shd w:val="clear" w:color="auto" w:fill="FFFFFF"/>
        </w:rPr>
        <w:t>部门预算项目绩效目标与计划期内的任务量、预算安排的资金量匹配情况，绩效目标设置科学合理、规范完整、量化细化、预算匹配。综上，根据评分标准，该项指标得4分。</w:t>
      </w:r>
    </w:p>
    <w:p>
      <w:pPr>
        <w:adjustRightInd w:val="0"/>
        <w:snapToGrid w:val="0"/>
        <w:spacing w:line="578" w:lineRule="exact"/>
        <w:ind w:firstLineChars="200" w:firstLine="640"/>
        <w:contextualSpacing/>
        <w:jc w:val="left"/>
        <w:rPr>
          <w:rFonts w:ascii="仿宋" w:eastAsia="仿宋" w:cs="仿宋" w:hint="eastAsia"/>
          <w:color w:val="000000"/>
          <w:kern w:val="0"/>
          <w:sz w:val="32"/>
          <w:szCs w:val="32"/>
          <w:shd w:val="clear" w:color="auto" w:fill="FFFFFF"/>
        </w:rPr>
      </w:pPr>
      <w:r>
        <w:rPr>
          <w:rFonts w:ascii="仿宋" w:eastAsia="仿宋" w:cs="仿宋" w:hint="eastAsia"/>
          <w:color w:val="000000"/>
          <w:kern w:val="0"/>
          <w:sz w:val="32"/>
          <w:szCs w:val="32"/>
          <w:shd w:val="clear" w:color="auto" w:fill="FFFFFF"/>
        </w:rPr>
        <w:t>（3）项目入库</w:t>
      </w:r>
    </w:p>
    <w:p>
      <w:pPr>
        <w:adjustRightInd w:val="0"/>
        <w:snapToGrid w:val="0"/>
        <w:spacing w:line="578" w:lineRule="exact"/>
        <w:ind w:firstLineChars="200" w:firstLine="640"/>
        <w:contextualSpacing/>
        <w:jc w:val="left"/>
        <w:rPr>
          <w:rFonts w:ascii="仿宋" w:eastAsia="仿宋" w:cs="仿宋" w:hint="eastAsia"/>
          <w:color w:val="000000"/>
          <w:kern w:val="0"/>
          <w:sz w:val="32"/>
          <w:szCs w:val="32"/>
          <w:shd w:val="clear" w:color="auto" w:fill="FFFFFF"/>
        </w:rPr>
      </w:pPr>
      <w:r>
        <w:rPr>
          <w:rFonts w:ascii="仿宋" w:eastAsia="仿宋" w:cs="仿宋" w:hint="eastAsia"/>
          <w:color w:val="000000"/>
          <w:kern w:val="0"/>
          <w:sz w:val="32"/>
          <w:szCs w:val="32"/>
          <w:shd w:val="clear" w:color="auto" w:fill="FFFFFF"/>
        </w:rPr>
        <w:t>部门预算项目在规定时间完成项目入库。综上，根据评分标准，该项指标得4分。</w:t>
      </w:r>
    </w:p>
    <w:p>
      <w:pPr>
        <w:widowControl/>
        <w:adjustRightInd w:val="0"/>
        <w:snapToGrid w:val="0"/>
        <w:spacing w:line="560" w:lineRule="exact"/>
        <w:ind w:firstLine="720"/>
        <w:rPr>
          <w:rFonts w:ascii="楷体" w:eastAsia="楷体" w:cs="仿宋" w:hint="eastAsia"/>
          <w:sz w:val="32"/>
          <w:szCs w:val="32"/>
        </w:rPr>
      </w:pPr>
      <w:r>
        <w:rPr>
          <w:rFonts w:ascii="楷体" w:eastAsia="楷体" w:cs="仿宋" w:hint="eastAsia"/>
          <w:sz w:val="32"/>
          <w:szCs w:val="32"/>
        </w:rPr>
        <w:t>2.项目执行</w:t>
      </w:r>
    </w:p>
    <w:p>
      <w:pPr>
        <w:adjustRightInd w:val="0"/>
        <w:snapToGrid w:val="0"/>
        <w:spacing w:line="578" w:lineRule="exact"/>
        <w:ind w:firstLineChars="200" w:firstLine="640"/>
        <w:contextualSpacing/>
        <w:jc w:val="left"/>
        <w:outlineLvl w:val="2"/>
        <w:rPr>
          <w:rFonts w:ascii="仿宋" w:eastAsia="仿宋" w:cs="仿宋" w:hint="eastAsia"/>
          <w:color w:val="000000"/>
          <w:kern w:val="0"/>
          <w:sz w:val="32"/>
          <w:szCs w:val="32"/>
          <w:shd w:val="clear" w:color="auto" w:fill="FFFFFF"/>
        </w:rPr>
      </w:pPr>
      <w:r>
        <w:rPr>
          <w:rFonts w:ascii="仿宋" w:eastAsia="仿宋" w:cs="仿宋" w:hint="eastAsia"/>
          <w:color w:val="000000"/>
          <w:kern w:val="0"/>
          <w:sz w:val="32"/>
          <w:szCs w:val="32"/>
          <w:shd w:val="clear" w:color="auto" w:fill="FFFFFF"/>
        </w:rPr>
        <w:t>（1）资金执行同向</w:t>
      </w:r>
    </w:p>
    <w:p>
      <w:pPr>
        <w:adjustRightInd w:val="0"/>
        <w:snapToGrid w:val="0"/>
        <w:spacing w:line="578" w:lineRule="exact"/>
        <w:ind w:firstLineChars="200" w:firstLine="640"/>
        <w:contextualSpacing/>
        <w:jc w:val="left"/>
        <w:rPr>
          <w:rFonts w:ascii="仿宋" w:eastAsia="仿宋" w:cs="仿宋" w:hint="eastAsia"/>
          <w:color w:val="000000"/>
          <w:kern w:val="0"/>
          <w:sz w:val="32"/>
          <w:szCs w:val="32"/>
          <w:shd w:val="clear" w:color="auto" w:fill="FFFFFF"/>
        </w:rPr>
      </w:pPr>
      <w:r>
        <w:rPr>
          <w:rFonts w:ascii="仿宋" w:eastAsia="仿宋" w:cs="仿宋" w:hint="eastAsia"/>
          <w:color w:val="000000"/>
          <w:kern w:val="0"/>
          <w:sz w:val="32"/>
          <w:szCs w:val="32"/>
          <w:shd w:val="clear" w:color="auto" w:fill="FFFFFF"/>
        </w:rPr>
        <w:t>部门预算项目实际列支内容与绩效目标设置方向相符。综上，根据评分标准，该项指标得4分。</w:t>
      </w:r>
    </w:p>
    <w:p>
      <w:pPr>
        <w:adjustRightInd w:val="0"/>
        <w:snapToGrid w:val="0"/>
        <w:spacing w:line="578" w:lineRule="exact"/>
        <w:ind w:firstLineChars="200" w:firstLine="640"/>
        <w:contextualSpacing/>
        <w:jc w:val="left"/>
        <w:outlineLvl w:val="2"/>
        <w:rPr>
          <w:rFonts w:ascii="仿宋" w:eastAsia="仿宋" w:cs="仿宋" w:hint="eastAsia"/>
          <w:color w:val="000000"/>
          <w:kern w:val="0"/>
          <w:sz w:val="32"/>
          <w:szCs w:val="32"/>
          <w:shd w:val="clear" w:color="auto" w:fill="FFFFFF"/>
        </w:rPr>
      </w:pPr>
      <w:r>
        <w:rPr>
          <w:rFonts w:ascii="仿宋" w:eastAsia="仿宋" w:cs="仿宋" w:hint="eastAsia"/>
          <w:color w:val="000000"/>
          <w:kern w:val="0"/>
          <w:sz w:val="32"/>
          <w:szCs w:val="32"/>
          <w:shd w:val="clear" w:color="auto" w:fill="FFFFFF"/>
        </w:rPr>
        <w:t>（2）项目调整</w:t>
      </w:r>
    </w:p>
    <w:p>
      <w:pPr>
        <w:adjustRightInd w:val="0"/>
        <w:snapToGrid w:val="0"/>
        <w:spacing w:line="578" w:lineRule="exact"/>
        <w:ind w:firstLineChars="200" w:firstLine="640"/>
        <w:contextualSpacing/>
        <w:jc w:val="left"/>
        <w:rPr>
          <w:rFonts w:ascii="仿宋" w:eastAsia="仿宋" w:cs="仿宋" w:hint="eastAsia"/>
          <w:color w:val="000000"/>
          <w:kern w:val="0"/>
          <w:sz w:val="32"/>
          <w:szCs w:val="32"/>
          <w:shd w:val="clear" w:color="auto" w:fill="FFFFFF"/>
        </w:rPr>
      </w:pPr>
      <w:r>
        <w:rPr>
          <w:rFonts w:ascii="仿宋" w:eastAsia="仿宋" w:cs="仿宋" w:hint="eastAsia"/>
          <w:color w:val="000000"/>
          <w:kern w:val="0"/>
          <w:sz w:val="32"/>
          <w:szCs w:val="32"/>
          <w:shd w:val="clear" w:color="auto" w:fill="FFFFFF"/>
        </w:rPr>
        <w:t>部门预算项目采取对应调整措施。综上，根据评分标准，该项指标得4分。</w:t>
      </w:r>
    </w:p>
    <w:p>
      <w:pPr>
        <w:adjustRightInd w:val="0"/>
        <w:snapToGrid w:val="0"/>
        <w:spacing w:line="578" w:lineRule="exact"/>
        <w:ind w:firstLineChars="200" w:firstLine="640"/>
        <w:contextualSpacing/>
        <w:jc w:val="left"/>
        <w:outlineLvl w:val="2"/>
        <w:rPr>
          <w:rFonts w:ascii="仿宋" w:eastAsia="仿宋" w:cs="仿宋" w:hint="eastAsia"/>
          <w:color w:val="000000"/>
          <w:kern w:val="0"/>
          <w:sz w:val="32"/>
          <w:szCs w:val="32"/>
          <w:shd w:val="clear" w:color="auto" w:fill="FFFFFF"/>
        </w:rPr>
      </w:pPr>
      <w:r>
        <w:rPr>
          <w:rFonts w:ascii="仿宋" w:eastAsia="仿宋" w:cs="仿宋" w:hint="eastAsia"/>
          <w:color w:val="000000"/>
          <w:kern w:val="0"/>
          <w:sz w:val="32"/>
          <w:szCs w:val="32"/>
          <w:shd w:val="clear" w:color="auto" w:fill="FFFFFF"/>
        </w:rPr>
        <w:t>（3）执行结果</w:t>
      </w:r>
    </w:p>
    <w:p>
      <w:pPr>
        <w:adjustRightInd w:val="0"/>
        <w:snapToGrid w:val="0"/>
        <w:spacing w:line="578" w:lineRule="exact"/>
        <w:ind w:firstLineChars="200" w:firstLine="640"/>
        <w:contextualSpacing/>
        <w:jc w:val="left"/>
        <w:rPr>
          <w:rFonts w:ascii="仿宋" w:eastAsia="仿宋" w:cs="仿宋" w:hint="eastAsia"/>
          <w:color w:val="000000"/>
          <w:kern w:val="0"/>
          <w:sz w:val="32"/>
          <w:szCs w:val="32"/>
          <w:shd w:val="clear" w:color="auto" w:fill="FFFFFF"/>
        </w:rPr>
      </w:pPr>
      <w:r>
        <w:rPr>
          <w:rFonts w:ascii="仿宋" w:eastAsia="仿宋" w:cs="仿宋" w:hint="eastAsia"/>
          <w:color w:val="000000"/>
          <w:kern w:val="0"/>
          <w:sz w:val="32"/>
          <w:szCs w:val="32"/>
          <w:shd w:val="clear" w:color="auto" w:fill="FFFFFF"/>
        </w:rPr>
        <w:t>部门预算项目预算执行情况较好，执行进度为100%。综上，根据评分标准，该项指标得4分。</w:t>
      </w:r>
    </w:p>
    <w:p>
      <w:pPr>
        <w:widowControl/>
        <w:adjustRightInd w:val="0"/>
        <w:snapToGrid w:val="0"/>
        <w:spacing w:line="560" w:lineRule="exact"/>
        <w:ind w:firstLine="720"/>
        <w:rPr>
          <w:rFonts w:ascii="楷体" w:eastAsia="楷体" w:cs="仿宋" w:hint="eastAsia"/>
          <w:sz w:val="32"/>
          <w:szCs w:val="32"/>
        </w:rPr>
      </w:pPr>
      <w:r>
        <w:rPr>
          <w:rFonts w:ascii="楷体" w:eastAsia="楷体" w:cs="仿宋" w:hint="eastAsia"/>
          <w:sz w:val="32"/>
          <w:szCs w:val="32"/>
        </w:rPr>
        <w:t>3.目标实现</w:t>
      </w:r>
    </w:p>
    <w:p>
      <w:pPr>
        <w:adjustRightInd w:val="0"/>
        <w:snapToGrid w:val="0"/>
        <w:spacing w:line="578" w:lineRule="exact"/>
        <w:ind w:firstLineChars="200" w:firstLine="640"/>
        <w:contextualSpacing/>
        <w:jc w:val="left"/>
        <w:outlineLvl w:val="2"/>
        <w:rPr>
          <w:rFonts w:ascii="仿宋" w:eastAsia="仿宋" w:cs="仿宋" w:hint="eastAsia"/>
          <w:color w:val="000000"/>
          <w:kern w:val="0"/>
          <w:sz w:val="32"/>
          <w:szCs w:val="32"/>
          <w:shd w:val="clear" w:color="auto" w:fill="FFFFFF"/>
        </w:rPr>
      </w:pPr>
      <w:r>
        <w:rPr>
          <w:rFonts w:ascii="仿宋" w:eastAsia="仿宋" w:cs="仿宋" w:hint="eastAsia"/>
          <w:color w:val="000000"/>
          <w:kern w:val="0"/>
          <w:sz w:val="32"/>
          <w:szCs w:val="32"/>
          <w:shd w:val="clear" w:color="auto" w:fill="FFFFFF"/>
        </w:rPr>
        <w:t>（1）目标完成</w:t>
      </w:r>
    </w:p>
    <w:p>
      <w:pPr>
        <w:adjustRightInd w:val="0"/>
        <w:snapToGrid w:val="0"/>
        <w:spacing w:line="578" w:lineRule="exact"/>
        <w:ind w:firstLineChars="200" w:firstLine="640"/>
        <w:contextualSpacing/>
        <w:jc w:val="left"/>
        <w:rPr>
          <w:rFonts w:ascii="仿宋" w:eastAsia="仿宋" w:cs="仿宋" w:hint="eastAsia"/>
          <w:color w:val="000000"/>
          <w:kern w:val="0"/>
          <w:sz w:val="32"/>
          <w:szCs w:val="32"/>
          <w:shd w:val="clear" w:color="auto" w:fill="FFFFFF"/>
        </w:rPr>
      </w:pPr>
      <w:r>
        <w:rPr>
          <w:rFonts w:ascii="仿宋" w:eastAsia="仿宋" w:cs="仿宋" w:hint="eastAsia"/>
          <w:color w:val="000000"/>
          <w:kern w:val="0"/>
          <w:sz w:val="32"/>
          <w:szCs w:val="32"/>
          <w:shd w:val="clear" w:color="auto" w:fill="FFFFFF"/>
        </w:rPr>
        <w:t>部门预算项目绩效目标数量指标完成情况较好。综上，根据评分标准，该项指标得4分。</w:t>
      </w:r>
    </w:p>
    <w:p>
      <w:pPr>
        <w:adjustRightInd w:val="0"/>
        <w:snapToGrid w:val="0"/>
        <w:spacing w:line="578" w:lineRule="exact"/>
        <w:ind w:firstLineChars="200" w:firstLine="640"/>
        <w:contextualSpacing/>
        <w:jc w:val="left"/>
        <w:outlineLvl w:val="2"/>
        <w:rPr>
          <w:rFonts w:ascii="仿宋" w:eastAsia="仿宋" w:cs="仿宋" w:hint="eastAsia"/>
          <w:color w:val="000000"/>
          <w:kern w:val="0"/>
          <w:sz w:val="32"/>
          <w:szCs w:val="32"/>
          <w:shd w:val="clear" w:color="auto" w:fill="FFFFFF"/>
        </w:rPr>
      </w:pPr>
      <w:r>
        <w:rPr>
          <w:rFonts w:ascii="仿宋" w:eastAsia="仿宋" w:cs="仿宋" w:hint="eastAsia"/>
          <w:color w:val="000000"/>
          <w:kern w:val="0"/>
          <w:sz w:val="32"/>
          <w:szCs w:val="32"/>
          <w:shd w:val="clear" w:color="auto" w:fill="FFFFFF"/>
        </w:rPr>
        <w:t>（2）目标偏离</w:t>
      </w:r>
    </w:p>
    <w:p>
      <w:pPr>
        <w:adjustRightInd w:val="0"/>
        <w:snapToGrid w:val="0"/>
        <w:spacing w:line="578" w:lineRule="exact"/>
        <w:ind w:firstLineChars="200" w:firstLine="640"/>
        <w:contextualSpacing/>
        <w:jc w:val="left"/>
        <w:rPr>
          <w:rFonts w:ascii="仿宋" w:eastAsia="仿宋" w:cs="仿宋" w:hint="eastAsia"/>
          <w:color w:val="000000"/>
          <w:kern w:val="0"/>
          <w:sz w:val="32"/>
          <w:szCs w:val="32"/>
          <w:shd w:val="clear" w:color="auto" w:fill="FFFFFF"/>
        </w:rPr>
      </w:pPr>
      <w:r>
        <w:rPr>
          <w:rFonts w:ascii="仿宋" w:eastAsia="仿宋" w:cs="仿宋" w:hint="eastAsia"/>
          <w:color w:val="000000"/>
          <w:kern w:val="0"/>
          <w:sz w:val="32"/>
          <w:szCs w:val="32"/>
          <w:shd w:val="clear" w:color="auto" w:fill="FFFFFF"/>
        </w:rPr>
        <w:t>部门预算项目绩效目标数量指标实现程度与预期目标值一致。综上，根据评分标准，该项指标得4分。</w:t>
      </w:r>
    </w:p>
    <w:p>
      <w:pPr>
        <w:adjustRightInd w:val="0"/>
        <w:snapToGrid w:val="0"/>
        <w:spacing w:line="578" w:lineRule="exact"/>
        <w:ind w:firstLineChars="200" w:firstLine="640"/>
        <w:contextualSpacing/>
        <w:jc w:val="left"/>
        <w:outlineLvl w:val="2"/>
        <w:rPr>
          <w:rFonts w:ascii="仿宋" w:eastAsia="仿宋" w:cs="仿宋" w:hint="eastAsia"/>
          <w:color w:val="000000"/>
          <w:kern w:val="0"/>
          <w:sz w:val="32"/>
          <w:szCs w:val="32"/>
          <w:shd w:val="clear" w:color="auto" w:fill="FFFFFF"/>
        </w:rPr>
      </w:pPr>
      <w:r>
        <w:rPr>
          <w:rFonts w:ascii="仿宋" w:eastAsia="仿宋" w:cs="仿宋" w:hint="eastAsia"/>
          <w:color w:val="000000"/>
          <w:kern w:val="0"/>
          <w:sz w:val="32"/>
          <w:szCs w:val="32"/>
          <w:shd w:val="clear" w:color="auto" w:fill="FFFFFF"/>
        </w:rPr>
        <w:t>（3）实现效果</w:t>
      </w:r>
    </w:p>
    <w:p>
      <w:pPr>
        <w:adjustRightInd w:val="0"/>
        <w:snapToGrid w:val="0"/>
        <w:spacing w:line="578" w:lineRule="exact"/>
        <w:ind w:firstLineChars="200" w:firstLine="640"/>
        <w:contextualSpacing/>
        <w:jc w:val="left"/>
        <w:rPr>
          <w:rFonts w:ascii="仿宋" w:eastAsia="仿宋" w:cs="仿宋" w:hint="eastAsia"/>
          <w:color w:val="000000"/>
          <w:kern w:val="0"/>
          <w:sz w:val="32"/>
          <w:szCs w:val="32"/>
          <w:shd w:val="clear" w:color="auto" w:fill="FFFFFF"/>
        </w:rPr>
      </w:pPr>
      <w:r>
        <w:rPr>
          <w:rFonts w:ascii="仿宋" w:eastAsia="仿宋" w:cs="仿宋" w:hint="eastAsia"/>
          <w:color w:val="000000"/>
          <w:kern w:val="0"/>
          <w:sz w:val="32"/>
          <w:szCs w:val="32"/>
          <w:shd w:val="clear" w:color="auto" w:fill="FFFFFF"/>
        </w:rPr>
        <w:t>部门预算项目绩效目标效益指标实施效果为促进我校教育教学各项活动的开动，提升质量，学习生活的环境得到极大的改善。综上，根据评分标准，该项指标得3分。</w:t>
      </w:r>
    </w:p>
    <w:p>
      <w:pPr>
        <w:snapToGrid w:val="0"/>
        <w:spacing w:line="600" w:lineRule="exact"/>
        <w:ind w:firstLineChars="200" w:firstLine="640"/>
        <w:outlineLvl w:val="0"/>
        <w:rPr>
          <w:rFonts w:eastAsia="楷体_GB2312"/>
          <w:b/>
          <w:bCs/>
          <w:sz w:val="32"/>
          <w:szCs w:val="32"/>
          <w:lang w:val="zh-CN"/>
        </w:rPr>
      </w:pPr>
      <w:r>
        <w:rPr>
          <w:rFonts w:eastAsia="楷体_GB2312"/>
          <w:b/>
          <w:bCs/>
          <w:sz w:val="32"/>
          <w:szCs w:val="32"/>
          <w:lang w:val="zh-CN"/>
        </w:rPr>
        <w:t>（</w:t>
      </w:r>
      <w:r>
        <w:rPr>
          <w:rFonts w:eastAsia="楷体_GB2312" w:hint="eastAsia"/>
          <w:b/>
          <w:bCs/>
          <w:sz w:val="32"/>
          <w:szCs w:val="32"/>
          <w:lang w:val="zh-CN"/>
        </w:rPr>
        <w:t>三</w:t>
      </w:r>
      <w:r>
        <w:rPr>
          <w:rFonts w:eastAsia="楷体_GB2312"/>
          <w:b/>
          <w:bCs/>
          <w:sz w:val="32"/>
          <w:szCs w:val="32"/>
          <w:lang w:val="zh-CN"/>
        </w:rPr>
        <w:t>）绩效结果应用情况</w:t>
      </w:r>
    </w:p>
    <w:p>
      <w:pPr>
        <w:adjustRightInd w:val="0"/>
        <w:snapToGrid w:val="0"/>
        <w:spacing w:line="578" w:lineRule="exact"/>
        <w:ind w:firstLineChars="200" w:firstLine="640"/>
        <w:contextualSpacing/>
        <w:jc w:val="left"/>
        <w:outlineLvl w:val="2"/>
        <w:rPr>
          <w:rFonts w:ascii="楷体_GB2312" w:eastAsia="楷体_GB2312" w:cs="楷体_GB2312" w:hint="eastAsia"/>
          <w:color w:val="000000"/>
          <w:kern w:val="0"/>
          <w:sz w:val="32"/>
          <w:szCs w:val="32"/>
          <w:shd w:val="clear" w:color="auto" w:fill="FFFFFF"/>
          <w:lang w:val="zh-CN"/>
        </w:rPr>
      </w:pPr>
      <w:r>
        <w:rPr>
          <w:rFonts w:ascii="楷体_GB2312" w:eastAsia="楷体_GB2312" w:cs="楷体_GB2312" w:hint="eastAsia"/>
          <w:color w:val="000000"/>
          <w:kern w:val="0"/>
          <w:sz w:val="32"/>
          <w:szCs w:val="32"/>
          <w:shd w:val="clear" w:color="auto" w:fill="FFFFFF"/>
          <w:lang w:val="zh-CN"/>
        </w:rPr>
        <w:t>1.内部应用情况</w:t>
      </w:r>
    </w:p>
    <w:p>
      <w:pPr>
        <w:snapToGrid w:val="0"/>
        <w:spacing w:line="600" w:lineRule="exact"/>
        <w:ind w:firstLineChars="200" w:firstLine="640"/>
        <w:rPr>
          <w:rFonts w:ascii="仿宋" w:eastAsia="仿宋" w:cs="仿宋" w:hint="eastAsia"/>
          <w:color w:val="000000"/>
          <w:kern w:val="0"/>
          <w:sz w:val="32"/>
          <w:szCs w:val="32"/>
          <w:shd w:val="clear" w:color="auto" w:fill="FFFFFF"/>
        </w:rPr>
      </w:pPr>
      <w:r>
        <w:rPr>
          <w:rFonts w:ascii="仿宋" w:eastAsia="仿宋" w:cs="仿宋" w:hint="eastAsia"/>
          <w:color w:val="000000"/>
          <w:kern w:val="0"/>
          <w:sz w:val="32"/>
          <w:szCs w:val="32"/>
          <w:shd w:val="clear" w:color="auto" w:fill="FFFFFF"/>
        </w:rPr>
        <w:t>2025年我校所有财政性资金、专项资金都纳入绩效管理的范围并进行了自评公开。我校各项开支严格执行预算，控制成本，开源节流，每一分钱的使用都有它的经济性、效率性、有效性和可持续性，促进我校教育教学各项活动的开动，提升质量，学习生活的环境得到极大的改善。对各项资金均进行制度化管理，按规划组织实施，保证了各项资金使用的真实、合法、有效，提高了资金的使用率。对每个项目都进行了充分的论证，编制明确了项目资金绩效目标，保证了学校的高效运转，保证了各项决策部署得到有效落实产生了良好的社会效应，也取得了发展的可持续性、长效性。</w:t>
      </w:r>
    </w:p>
    <w:p>
      <w:pPr>
        <w:adjustRightInd w:val="0"/>
        <w:snapToGrid w:val="0"/>
        <w:spacing w:line="578" w:lineRule="exact"/>
        <w:ind w:firstLineChars="200" w:firstLine="640"/>
        <w:contextualSpacing/>
        <w:jc w:val="left"/>
        <w:outlineLvl w:val="2"/>
        <w:rPr>
          <w:rFonts w:ascii="楷体_GB2312" w:eastAsia="楷体_GB2312" w:cs="楷体_GB2312" w:hint="eastAsia"/>
          <w:color w:val="000000"/>
          <w:kern w:val="0"/>
          <w:sz w:val="32"/>
          <w:szCs w:val="32"/>
          <w:shd w:val="clear" w:color="auto" w:fill="FFFFFF"/>
          <w:lang w:val="zh-CN"/>
        </w:rPr>
      </w:pPr>
      <w:r>
        <w:rPr>
          <w:rFonts w:ascii="楷体_GB2312" w:eastAsia="楷体_GB2312" w:cs="楷体_GB2312" w:hint="eastAsia"/>
          <w:color w:val="000000"/>
          <w:kern w:val="0"/>
          <w:sz w:val="32"/>
          <w:szCs w:val="32"/>
          <w:shd w:val="clear" w:color="auto" w:fill="FFFFFF"/>
          <w:lang w:val="zh-CN"/>
        </w:rPr>
        <w:t>2.</w:t>
      </w:r>
      <w:r>
        <w:rPr>
          <w:rFonts w:ascii="楷体_GB2312" w:eastAsia="楷体_GB2312" w:cs="楷体_GB2312"/>
          <w:color w:val="000000"/>
          <w:kern w:val="0"/>
          <w:sz w:val="32"/>
          <w:szCs w:val="32"/>
          <w:shd w:val="clear" w:color="auto" w:fill="FFFFFF"/>
          <w:lang w:val="zh-CN"/>
        </w:rPr>
        <w:t>信息公开情况</w:t>
      </w:r>
    </w:p>
    <w:p>
      <w:pPr>
        <w:snapToGrid w:val="0"/>
        <w:spacing w:line="600" w:lineRule="exact"/>
        <w:ind w:firstLineChars="200" w:firstLine="640"/>
        <w:rPr>
          <w:rFonts w:ascii="仿宋" w:eastAsia="仿宋" w:cs="仿宋" w:hint="eastAsia"/>
          <w:color w:val="000000"/>
          <w:kern w:val="0"/>
          <w:sz w:val="32"/>
          <w:szCs w:val="32"/>
          <w:shd w:val="clear" w:color="auto" w:fill="FFFFFF"/>
        </w:rPr>
      </w:pPr>
      <w:r>
        <w:rPr>
          <w:rFonts w:ascii="仿宋" w:eastAsia="仿宋" w:cs="仿宋" w:hint="eastAsia"/>
          <w:color w:val="000000"/>
          <w:kern w:val="0"/>
          <w:sz w:val="32"/>
          <w:szCs w:val="32"/>
          <w:shd w:val="clear" w:color="auto" w:fill="FFFFFF"/>
        </w:rPr>
        <w:t>单位严格按照汶川县预决算信息公开要求进行了公开，信息真实、完整，符合信息公开相关法律法规规定。</w:t>
      </w:r>
    </w:p>
    <w:p>
      <w:pPr>
        <w:adjustRightInd w:val="0"/>
        <w:snapToGrid w:val="0"/>
        <w:spacing w:line="578" w:lineRule="exact"/>
        <w:ind w:firstLineChars="200" w:firstLine="640"/>
        <w:contextualSpacing/>
        <w:jc w:val="left"/>
        <w:outlineLvl w:val="2"/>
        <w:rPr>
          <w:rFonts w:ascii="楷体_GB2312" w:eastAsia="楷体_GB2312" w:cs="楷体_GB2312" w:hint="eastAsia"/>
          <w:color w:val="000000"/>
          <w:kern w:val="0"/>
          <w:sz w:val="32"/>
          <w:szCs w:val="32"/>
          <w:shd w:val="clear" w:color="auto" w:fill="FFFFFF"/>
          <w:lang w:val="zh-CN"/>
        </w:rPr>
      </w:pPr>
      <w:r>
        <w:rPr>
          <w:rFonts w:ascii="楷体_GB2312" w:eastAsia="楷体_GB2312" w:cs="楷体_GB2312" w:hint="eastAsia"/>
          <w:color w:val="000000"/>
          <w:kern w:val="0"/>
          <w:sz w:val="32"/>
          <w:szCs w:val="32"/>
          <w:shd w:val="clear" w:color="auto" w:fill="FFFFFF"/>
          <w:lang w:val="zh-CN"/>
        </w:rPr>
        <w:t>3.</w:t>
      </w:r>
      <w:r>
        <w:rPr>
          <w:rFonts w:ascii="楷体_GB2312" w:eastAsia="楷体_GB2312" w:cs="楷体_GB2312"/>
          <w:color w:val="000000"/>
          <w:kern w:val="0"/>
          <w:sz w:val="32"/>
          <w:szCs w:val="32"/>
          <w:shd w:val="clear" w:color="auto" w:fill="FFFFFF"/>
          <w:lang w:val="zh-CN"/>
        </w:rPr>
        <w:t>整改反馈情况</w:t>
      </w:r>
    </w:p>
    <w:p>
      <w:pPr>
        <w:snapToGrid w:val="0"/>
        <w:spacing w:line="600" w:lineRule="exact"/>
        <w:ind w:firstLineChars="200" w:firstLine="640"/>
        <w:rPr>
          <w:color w:val="000000"/>
          <w:kern w:val="0"/>
          <w:szCs w:val="32"/>
          <w:shd w:val="clear" w:color="auto" w:fill="FFFFFF"/>
          <w:lang w:val="zh-CN"/>
        </w:rPr>
      </w:pPr>
      <w:r>
        <w:rPr>
          <w:rFonts w:ascii="仿宋" w:eastAsia="仿宋" w:cs="仿宋" w:hint="eastAsia"/>
          <w:color w:val="000000"/>
          <w:kern w:val="0"/>
          <w:sz w:val="32"/>
          <w:szCs w:val="32"/>
          <w:shd w:val="clear" w:color="auto" w:fill="FFFFFF"/>
        </w:rPr>
        <w:t>单位不涉及整改反馈应用绩效结果报告的情形。</w:t>
      </w:r>
    </w:p>
    <w:p>
      <w:pPr>
        <w:snapToGrid w:val="0"/>
        <w:spacing w:line="600" w:lineRule="exact"/>
        <w:ind w:firstLineChars="200" w:firstLine="640"/>
        <w:outlineLvl w:val="0"/>
        <w:rPr>
          <w:rFonts w:eastAsia="楷体_GB2312"/>
          <w:b/>
          <w:bCs/>
          <w:sz w:val="32"/>
          <w:szCs w:val="32"/>
          <w:lang w:val="zh-CN"/>
        </w:rPr>
      </w:pPr>
      <w:r>
        <w:rPr>
          <w:rFonts w:eastAsia="楷体_GB2312"/>
          <w:b/>
          <w:bCs/>
          <w:sz w:val="32"/>
          <w:szCs w:val="32"/>
          <w:lang w:val="zh-CN"/>
        </w:rPr>
        <w:t>四、评价结论及建议</w:t>
      </w:r>
    </w:p>
    <w:p>
      <w:pPr>
        <w:widowControl/>
        <w:adjustRightInd w:val="0"/>
        <w:snapToGrid w:val="0"/>
        <w:spacing w:line="578" w:lineRule="exact"/>
        <w:ind w:firstLineChars="200" w:firstLine="640"/>
        <w:contextualSpacing/>
        <w:jc w:val="left"/>
        <w:outlineLvl w:val="1"/>
        <w:rPr>
          <w:rFonts w:eastAsia="楷体_GB2312"/>
          <w:b/>
          <w:bCs/>
          <w:color w:val="000000"/>
          <w:kern w:val="0"/>
          <w:sz w:val="32"/>
          <w:szCs w:val="32"/>
          <w:shd w:val="clear" w:color="auto" w:fill="FFFFFF"/>
          <w:lang w:val="zh-CN"/>
        </w:rPr>
      </w:pPr>
      <w:r>
        <w:rPr>
          <w:rFonts w:eastAsia="楷体_GB2312"/>
          <w:b/>
          <w:bCs/>
          <w:color w:val="000000"/>
          <w:kern w:val="0"/>
          <w:sz w:val="32"/>
          <w:szCs w:val="32"/>
          <w:shd w:val="clear" w:color="auto" w:fill="FFFFFF"/>
          <w:lang w:val="zh-CN"/>
        </w:rPr>
        <w:t>（一）评价结论</w:t>
      </w:r>
    </w:p>
    <w:p>
      <w:pPr>
        <w:widowControl/>
        <w:adjustRightInd w:val="0"/>
        <w:snapToGrid w:val="0"/>
        <w:spacing w:line="578" w:lineRule="exact"/>
        <w:ind w:firstLineChars="200" w:firstLine="640"/>
        <w:contextualSpacing/>
        <w:jc w:val="left"/>
        <w:rPr>
          <w:rFonts w:ascii="仿宋" w:eastAsia="仿宋" w:cs="仿宋" w:hint="eastAsia"/>
          <w:color w:val="000000"/>
          <w:kern w:val="0"/>
          <w:sz w:val="32"/>
          <w:szCs w:val="32"/>
          <w:shd w:val="clear" w:color="auto" w:fill="FFFFFF"/>
        </w:rPr>
      </w:pPr>
      <w:r>
        <w:rPr>
          <w:rFonts w:ascii="仿宋" w:eastAsia="仿宋" w:cs="仿宋" w:hint="eastAsia"/>
          <w:color w:val="000000"/>
          <w:kern w:val="0"/>
          <w:sz w:val="32"/>
          <w:szCs w:val="32"/>
          <w:shd w:val="clear" w:color="auto" w:fill="FFFFFF"/>
        </w:rPr>
        <w:t>我校严格按照上级部门要求及时、准确、优质地完成预决算编制。我校预算执行情况良好，支出管理规范，未出现支付不及时和不到位的情况，未出现因违规支出受到相关监督部门批评或处理的情况；资金管理制度较为完善，会计核算和账务处理规范，会计资料完整。2025年度汶川县漩口小学部门预算绩效自评得分94.15分。</w:t>
      </w:r>
    </w:p>
    <w:p>
      <w:pPr>
        <w:widowControl/>
        <w:adjustRightInd w:val="0"/>
        <w:snapToGrid w:val="0"/>
        <w:spacing w:line="560" w:lineRule="exact"/>
        <w:ind w:firstLine="720"/>
        <w:rPr>
          <w:rFonts w:ascii="楷体" w:eastAsia="楷体" w:cs="楷体" w:hint="eastAsia"/>
          <w:b/>
          <w:sz w:val="32"/>
          <w:szCs w:val="32"/>
          <w:lang w:val="zh-CN"/>
        </w:rPr>
      </w:pPr>
      <w:r>
        <w:rPr>
          <w:rFonts w:ascii="楷体" w:eastAsia="楷体" w:cs="楷体"/>
          <w:b/>
          <w:sz w:val="32"/>
          <w:szCs w:val="32"/>
          <w:lang w:val="zh-CN"/>
        </w:rPr>
        <w:t>（二）存在问题</w:t>
      </w:r>
    </w:p>
    <w:p>
      <w:pPr>
        <w:widowControl/>
        <w:adjustRightInd w:val="0"/>
        <w:snapToGrid w:val="0"/>
        <w:spacing w:line="578" w:lineRule="exact"/>
        <w:ind w:firstLineChars="200" w:firstLine="640"/>
        <w:contextualSpacing/>
        <w:jc w:val="left"/>
        <w:rPr>
          <w:rFonts w:ascii="仿宋" w:eastAsia="仿宋" w:cs="仿宋" w:hint="eastAsia"/>
          <w:color w:val="000000"/>
          <w:kern w:val="0"/>
          <w:sz w:val="32"/>
          <w:szCs w:val="32"/>
          <w:shd w:val="clear" w:color="auto" w:fill="FFFFFF"/>
        </w:rPr>
      </w:pPr>
      <w:r>
        <w:rPr>
          <w:rFonts w:ascii="仿宋" w:eastAsia="仿宋" w:cs="仿宋" w:hint="eastAsia"/>
          <w:color w:val="000000"/>
          <w:kern w:val="0"/>
          <w:sz w:val="32"/>
          <w:szCs w:val="32"/>
          <w:shd w:val="clear" w:color="auto" w:fill="FFFFFF"/>
        </w:rPr>
        <w:t>一是单位绩效管理意识薄弱，部门绩效目标设置不够清晰明确。</w:t>
      </w:r>
    </w:p>
    <w:p>
      <w:pPr>
        <w:spacing w:line="590" w:lineRule="exact"/>
        <w:ind w:firstLineChars="200" w:firstLine="640"/>
        <w:contextualSpacing/>
        <w:rPr>
          <w:rFonts w:ascii="仿宋" w:eastAsia="仿宋" w:cs="仿宋" w:hint="eastAsia"/>
          <w:color w:val="000000"/>
          <w:kern w:val="0"/>
          <w:sz w:val="32"/>
          <w:szCs w:val="32"/>
          <w:shd w:val="clear" w:color="auto" w:fill="FFFFFF"/>
        </w:rPr>
      </w:pPr>
      <w:r>
        <w:rPr>
          <w:rFonts w:ascii="仿宋" w:eastAsia="仿宋" w:cs="仿宋" w:hint="eastAsia"/>
          <w:color w:val="000000"/>
          <w:kern w:val="0"/>
          <w:sz w:val="32"/>
          <w:szCs w:val="32"/>
          <w:shd w:val="clear" w:color="auto" w:fill="FFFFFF"/>
        </w:rPr>
        <w:t>二是绩效指标制定不严谨。部分项目存在绩效指标制定不严谨的情况，包括指标制定不完整、指标未量化等问题。</w:t>
      </w:r>
    </w:p>
    <w:p>
      <w:pPr>
        <w:widowControl/>
        <w:adjustRightInd w:val="0"/>
        <w:snapToGrid w:val="0"/>
        <w:spacing w:line="560" w:lineRule="exact"/>
        <w:ind w:firstLine="720"/>
        <w:rPr>
          <w:rFonts w:ascii="楷体" w:eastAsia="楷体" w:cs="楷体" w:hint="eastAsia"/>
          <w:b/>
          <w:sz w:val="32"/>
          <w:szCs w:val="32"/>
          <w:lang w:val="zh-CN"/>
        </w:rPr>
      </w:pPr>
      <w:r>
        <w:rPr>
          <w:rFonts w:ascii="楷体" w:eastAsia="楷体" w:cs="楷体"/>
          <w:b/>
          <w:sz w:val="32"/>
          <w:szCs w:val="32"/>
          <w:lang w:val="zh-CN"/>
        </w:rPr>
        <w:t>（三）改进建议</w:t>
      </w:r>
      <w:bookmarkStart w:id="187" w:name="_Hlk110546638"/>
    </w:p>
    <w:p>
      <w:pPr>
        <w:widowControl/>
        <w:adjustRightInd w:val="0"/>
        <w:snapToGrid w:val="0"/>
        <w:spacing w:line="578" w:lineRule="exact"/>
        <w:ind w:firstLineChars="200" w:firstLine="640"/>
        <w:contextualSpacing/>
        <w:jc w:val="left"/>
        <w:outlineLvl w:val="1"/>
        <w:rPr>
          <w:rFonts w:ascii="仿宋" w:eastAsia="仿宋" w:cs="仿宋" w:hint="eastAsia"/>
          <w:color w:val="000000"/>
          <w:kern w:val="0"/>
          <w:sz w:val="32"/>
          <w:szCs w:val="32"/>
          <w:shd w:val="clear" w:color="auto" w:fill="FFFFFF"/>
        </w:rPr>
      </w:pPr>
      <w:bookmarkEnd w:id="187"/>
      <w:r>
        <w:rPr>
          <w:rFonts w:ascii="仿宋" w:eastAsia="仿宋" w:cs="仿宋" w:hint="eastAsia"/>
          <w:color w:val="000000"/>
          <w:kern w:val="0"/>
          <w:sz w:val="32"/>
          <w:szCs w:val="32"/>
          <w:shd w:val="clear" w:color="auto" w:fill="FFFFFF"/>
        </w:rPr>
        <w:t>一是加强绩效管理培训，提升绩效管理意识。一方面要加强对各主管部门尤其是业务部门领导干部的绩效管理培训；另一方面要将支持对象一并纳入绩效管理范畴，对其进行预算绩效管理政策的宣传培训。</w:t>
      </w:r>
    </w:p>
    <w:p>
      <w:pPr>
        <w:widowControl/>
        <w:adjustRightInd w:val="0"/>
        <w:snapToGrid w:val="0"/>
        <w:spacing w:line="578" w:lineRule="exact"/>
        <w:ind w:firstLineChars="200" w:firstLine="640"/>
        <w:contextualSpacing/>
        <w:jc w:val="left"/>
        <w:outlineLvl w:val="1"/>
        <w:rPr>
          <w:rFonts w:ascii="仿宋" w:eastAsia="仿宋" w:cs="仿宋" w:hint="eastAsia"/>
          <w:color w:val="000000"/>
          <w:kern w:val="0"/>
          <w:sz w:val="32"/>
          <w:szCs w:val="32"/>
          <w:shd w:val="clear" w:color="auto" w:fill="FFFFFF"/>
        </w:rPr>
      </w:pPr>
      <w:r>
        <w:rPr>
          <w:rFonts w:ascii="仿宋" w:eastAsia="仿宋" w:cs="仿宋" w:hint="eastAsia"/>
          <w:color w:val="000000"/>
          <w:kern w:val="0"/>
          <w:sz w:val="32"/>
          <w:szCs w:val="32"/>
          <w:shd w:val="clear" w:color="auto" w:fill="FFFFFF"/>
        </w:rPr>
        <w:t>二是科学设置绩效目标，加强绩效跟踪监控。绩效目标是财政预算资金计划在一定期限内达到的产出和效果。绩效目标是建设项目库、编制部门预算、实施绩效监控、开展绩效评价的重要基础和依据。各级主管部门和实施单位应根据项目自身特点，科学合理地设置清晰明确、且可衡量的绩效目标，并多渠道、多方面收集绩效数据信息。同时，加强对过程的绩效跟踪监控，及时纠偏。</w:t>
      </w:r>
    </w:p>
    <w:p>
      <w:pPr>
        <w:pStyle w:val="16"/>
        <w:spacing w:afterLines="0" w:after="156"/>
        <w:rPr>
          <w:rFonts w:ascii="仿宋" w:eastAsia="仿宋" w:cs="仿宋" w:hint="eastAsia"/>
          <w:sz w:val="32"/>
          <w:szCs w:val="32"/>
        </w:rPr>
      </w:pPr>
    </w:p>
    <w:p>
      <w:pPr>
        <w:rPr>
          <w:rFonts w:ascii="仿宋" w:eastAsia="仿宋" w:cs="仿宋" w:hint="eastAsia"/>
          <w:sz w:val="32"/>
          <w:szCs w:val="32"/>
        </w:rPr>
      </w:pPr>
    </w:p>
    <w:p>
      <w:pPr>
        <w:pStyle w:val="16"/>
        <w:spacing w:afterLines="0" w:after="156"/>
        <w:rPr>
          <w:rFonts w:ascii="仿宋" w:eastAsia="仿宋" w:cs="仿宋" w:hint="eastAsia"/>
          <w:sz w:val="32"/>
          <w:szCs w:val="32"/>
        </w:rPr>
      </w:pPr>
    </w:p>
    <w:p>
      <w:pPr>
        <w:rPr>
          <w:rFonts w:ascii="仿宋" w:eastAsia="仿宋" w:cs="仿宋" w:hint="eastAsia"/>
          <w:sz w:val="32"/>
          <w:szCs w:val="32"/>
        </w:rPr>
      </w:pPr>
    </w:p>
    <w:p>
      <w:pPr>
        <w:widowControl/>
        <w:adjustRightInd w:val="0"/>
        <w:snapToGrid w:val="0"/>
        <w:spacing w:line="560" w:lineRule="exact"/>
        <w:ind w:firstLine="720"/>
        <w:rPr>
          <w:rFonts w:ascii="仿宋" w:eastAsia="仿宋" w:cs="仿宋" w:hint="eastAsia"/>
          <w:sz w:val="32"/>
          <w:szCs w:val="32"/>
        </w:rPr>
      </w:pPr>
    </w:p>
    <w:p>
      <w:pPr>
        <w:pStyle w:val="31"/>
        <w:tabs>
          <w:tab w:val="left" w:pos="960"/>
        </w:tabs>
        <w:ind w:firstLineChars="0" w:firstLine="0"/>
        <w:rPr>
          <w:rFonts w:ascii="仿宋" w:eastAsia="仿宋" w:cs="仿宋" w:hint="eastAsia"/>
          <w:b/>
          <w:bCs/>
        </w:rPr>
      </w:pPr>
    </w:p>
    <w:p>
      <w:pPr>
        <w:pStyle w:val="31"/>
        <w:tabs>
          <w:tab w:val="left" w:pos="960"/>
        </w:tabs>
        <w:ind w:firstLineChars="0" w:firstLine="0"/>
        <w:rPr>
          <w:rFonts w:ascii="仿宋" w:eastAsia="仿宋" w:cs="仿宋" w:hint="eastAsia"/>
          <w:b/>
          <w:bCs/>
        </w:rPr>
      </w:pPr>
      <w:r>
        <w:rPr>
          <w:rFonts w:ascii="仿宋" w:eastAsia="仿宋" w:cs="仿宋" w:hint="eastAsia"/>
          <w:b/>
          <w:bCs/>
        </w:rPr>
        <w:t xml:space="preserve">               2025年汶川县漩口小学校</w:t>
      </w:r>
    </w:p>
    <w:p>
      <w:pPr>
        <w:pStyle w:val="31"/>
        <w:tabs>
          <w:tab w:val="left" w:pos="960"/>
        </w:tabs>
        <w:ind w:firstLineChars="700" w:firstLine="2240"/>
        <w:rPr>
          <w:rFonts w:ascii="仿宋" w:eastAsia="仿宋" w:cs="仿宋" w:hint="eastAsia"/>
          <w:b/>
          <w:bCs/>
        </w:rPr>
      </w:pPr>
      <w:r>
        <w:rPr>
          <w:rFonts w:ascii="仿宋" w:eastAsia="仿宋" w:cs="仿宋"/>
          <w:b/>
          <w:bCs/>
        </w:rPr>
        <w:t>整体支出绩效目标完成情况自评表</w:t>
      </w:r>
    </w:p>
    <w:tbl>
      <w:tblPr>
        <w:jc w:val="center"/>
        <w:tblW w:w="10352"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93"/>
        <w:gridCol w:w="238"/>
        <w:gridCol w:w="593"/>
        <w:gridCol w:w="439"/>
        <w:gridCol w:w="364"/>
        <w:gridCol w:w="943"/>
        <w:gridCol w:w="303"/>
        <w:gridCol w:w="803"/>
        <w:gridCol w:w="212"/>
        <w:gridCol w:w="565"/>
        <w:gridCol w:w="1018"/>
        <w:gridCol w:w="402"/>
        <w:gridCol w:w="643"/>
        <w:gridCol w:w="345"/>
        <w:gridCol w:w="766"/>
        <w:gridCol w:w="202"/>
        <w:gridCol w:w="903"/>
        <w:gridCol w:w="661"/>
        <w:gridCol w:w="165"/>
        <w:gridCol w:w="694"/>
      </w:tblGrid>
      <w:tr>
        <w:trPr>
          <w:trHeight w:val="465"/>
          <w:gridAfter w:val="1"/>
          <w:wAfter w:w="694" w:type="dxa"/>
        </w:trPr>
        <w:tc>
          <w:tcPr>
            <w:tcW w:w="1727" w:type="dxa"/>
            <w:gridSpan w:val="5"/>
            <w:tcBorders>
              <w:top w:val="single" w:sz="4" w:space="0" w:color="000000"/>
              <w:left w:val="single" w:sz="4" w:space="0" w:color="000000"/>
              <w:bottom w:val="single" w:sz="4" w:space="0" w:color="auto"/>
              <w:right w:val="single" w:sz="4" w:space="0" w:color="000000"/>
            </w:tcBorders>
            <w:noWrap/>
            <w:vAlign w:val="center"/>
          </w:tcPr>
          <w:p>
            <w:pPr>
              <w:rPr>
                <w:rFonts w:ascii="宋体" w:cs="宋体" w:hint="eastAsia"/>
                <w:color w:val="000000"/>
                <w:kern w:val="0"/>
                <w:sz w:val="24"/>
              </w:rPr>
            </w:pPr>
            <w:r>
              <w:rPr>
                <w:rFonts w:eastAsia="黑体"/>
                <w:sz w:val="24"/>
              </w:rPr>
              <w:br w:type="page"/>
            </w:r>
            <w:r>
              <w:rPr>
                <w:rFonts w:ascii="宋体" w:cs="宋体" w:hint="eastAsia"/>
                <w:color w:val="000000"/>
                <w:kern w:val="0"/>
                <w:sz w:val="24"/>
              </w:rPr>
              <w:t>部门名称</w:t>
            </w:r>
          </w:p>
        </w:tc>
        <w:tc>
          <w:tcPr>
            <w:tcW w:w="7931" w:type="dxa"/>
            <w:gridSpan w:val="14"/>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cs="宋体" w:hint="eastAsia"/>
                <w:color w:val="000000"/>
                <w:kern w:val="0"/>
                <w:sz w:val="24"/>
              </w:rPr>
            </w:pPr>
            <w:r>
              <w:rPr>
                <w:rFonts w:ascii="宋体" w:cs="宋体" w:hint="eastAsia"/>
                <w:color w:val="000000"/>
                <w:kern w:val="0"/>
                <w:sz w:val="24"/>
              </w:rPr>
              <w:t>111011-四川省阿坝州汶川县漩口小学校</w:t>
            </w:r>
          </w:p>
        </w:tc>
      </w:tr>
      <w:tr>
        <w:trPr>
          <w:trHeight w:val="239"/>
          <w:gridAfter w:val="1"/>
          <w:wAfter w:w="694" w:type="dxa"/>
        </w:trPr>
        <w:tc>
          <w:tcPr>
            <w:tcW w:w="1727" w:type="dxa"/>
            <w:gridSpan w:val="5"/>
            <w:tcBorders>
              <w:top w:val="single" w:sz="4" w:space="0" w:color="auto"/>
              <w:left w:val="single" w:sz="4" w:space="0" w:color="auto"/>
              <w:bottom w:val="single" w:sz="4" w:space="0" w:color="auto"/>
              <w:right w:val="single" w:sz="4" w:space="0" w:color="auto"/>
            </w:tcBorders>
            <w:noWrap/>
            <w:vAlign w:val="center"/>
          </w:tcPr>
          <w:p>
            <w:pPr>
              <w:widowControl/>
              <w:spacing w:line="240" w:lineRule="exact"/>
              <w:jc w:val="center"/>
              <w:textAlignment w:val="center"/>
              <w:rPr>
                <w:rFonts w:ascii="宋体" w:cs="宋体" w:hint="eastAsia"/>
                <w:color w:val="000000"/>
                <w:kern w:val="0"/>
                <w:sz w:val="24"/>
              </w:rPr>
            </w:pPr>
            <w:r>
              <w:rPr>
                <w:rFonts w:ascii="宋体" w:cs="宋体" w:hint="eastAsia"/>
                <w:color w:val="000000"/>
                <w:kern w:val="0"/>
                <w:sz w:val="24"/>
              </w:rPr>
              <w:t>年度部门整体预算</w:t>
            </w:r>
          </w:p>
        </w:tc>
        <w:tc>
          <w:tcPr>
            <w:tcW w:w="2049" w:type="dxa"/>
            <w:gridSpan w:val="3"/>
            <w:tcBorders>
              <w:top w:val="single" w:sz="4" w:space="0" w:color="000000"/>
              <w:left w:val="single" w:sz="4" w:space="0" w:color="auto"/>
              <w:bottom w:val="single" w:sz="4" w:space="0" w:color="000000"/>
              <w:right w:val="single" w:sz="4" w:space="0" w:color="auto"/>
            </w:tcBorders>
            <w:noWrap/>
            <w:vAlign w:val="center"/>
          </w:tcPr>
          <w:p>
            <w:pPr>
              <w:widowControl/>
              <w:spacing w:line="240" w:lineRule="exact"/>
              <w:jc w:val="center"/>
              <w:textAlignment w:val="center"/>
              <w:rPr>
                <w:rFonts w:ascii="宋体" w:cs="宋体" w:hint="eastAsia"/>
                <w:color w:val="000000"/>
                <w:kern w:val="0"/>
                <w:sz w:val="24"/>
              </w:rPr>
            </w:pPr>
            <w:r>
              <w:rPr>
                <w:rFonts w:ascii="宋体" w:cs="宋体" w:hint="eastAsia"/>
                <w:color w:val="000000"/>
                <w:kern w:val="0"/>
                <w:sz w:val="24"/>
              </w:rPr>
              <w:t>资金总额（万元）</w:t>
            </w:r>
          </w:p>
        </w:tc>
        <w:tc>
          <w:tcPr>
            <w:tcW w:w="1795" w:type="dxa"/>
            <w:gridSpan w:val="3"/>
            <w:tcBorders>
              <w:top w:val="single" w:sz="4" w:space="0" w:color="auto"/>
              <w:left w:val="single" w:sz="4" w:space="0" w:color="auto"/>
              <w:bottom w:val="single" w:sz="4" w:space="0" w:color="auto"/>
              <w:right w:val="single" w:sz="4" w:space="0" w:color="auto"/>
            </w:tcBorders>
            <w:noWrap/>
            <w:vAlign w:val="center"/>
          </w:tcPr>
          <w:p>
            <w:pPr>
              <w:widowControl/>
              <w:spacing w:line="240" w:lineRule="exact"/>
              <w:jc w:val="center"/>
              <w:textAlignment w:val="center"/>
              <w:rPr>
                <w:rFonts w:ascii="宋体" w:cs="宋体" w:hint="eastAsia"/>
                <w:color w:val="000000"/>
                <w:kern w:val="0"/>
                <w:sz w:val="24"/>
              </w:rPr>
            </w:pPr>
            <w:r>
              <w:rPr>
                <w:rFonts w:ascii="宋体" w:cs="宋体" w:hint="eastAsia"/>
                <w:color w:val="000000"/>
                <w:kern w:val="0"/>
                <w:szCs w:val="21"/>
              </w:rPr>
              <w:t>财政拨款（万元）</w:t>
            </w:r>
          </w:p>
        </w:tc>
        <w:tc>
          <w:tcPr>
            <w:tcW w:w="4087" w:type="dxa"/>
            <w:gridSpan w:val="8"/>
            <w:tcBorders>
              <w:top w:val="single" w:sz="4" w:space="0" w:color="auto"/>
              <w:left w:val="single" w:sz="4" w:space="0" w:color="auto"/>
              <w:bottom w:val="single" w:sz="4" w:space="0" w:color="auto"/>
              <w:right w:val="single" w:sz="4" w:space="0" w:color="auto"/>
            </w:tcBorders>
            <w:noWrap/>
            <w:vAlign w:val="center"/>
          </w:tcPr>
          <w:p>
            <w:pPr>
              <w:widowControl/>
              <w:spacing w:line="240" w:lineRule="exact"/>
              <w:jc w:val="center"/>
              <w:textAlignment w:val="center"/>
              <w:rPr>
                <w:rFonts w:ascii="宋体" w:cs="宋体" w:hint="eastAsia"/>
                <w:color w:val="000000"/>
                <w:kern w:val="0"/>
                <w:sz w:val="24"/>
              </w:rPr>
            </w:pPr>
            <w:r>
              <w:rPr>
                <w:rFonts w:ascii="宋体" w:cs="宋体" w:hint="eastAsia"/>
                <w:color w:val="000000"/>
                <w:kern w:val="0"/>
                <w:sz w:val="24"/>
              </w:rPr>
              <w:t>其他资金（万元）</w:t>
            </w:r>
          </w:p>
        </w:tc>
      </w:tr>
      <w:tr>
        <w:trPr>
          <w:trHeight w:val="211"/>
          <w:gridAfter w:val="1"/>
          <w:wAfter w:w="694" w:type="dxa"/>
        </w:trPr>
        <w:tc>
          <w:tcPr>
            <w:tcW w:w="1727" w:type="dxa"/>
            <w:gridSpan w:val="5"/>
            <w:tcBorders>
              <w:top w:val="single" w:sz="4" w:space="0" w:color="auto"/>
              <w:left w:val="single" w:sz="4" w:space="0" w:color="auto"/>
              <w:bottom w:val="single" w:sz="4" w:space="0" w:color="auto"/>
              <w:right w:val="single" w:sz="4" w:space="0" w:color="auto"/>
            </w:tcBorders>
            <w:noWrap/>
            <w:vAlign w:val="center"/>
          </w:tcPr>
          <w:p>
            <w:pPr>
              <w:widowControl/>
              <w:spacing w:line="240" w:lineRule="exact"/>
              <w:jc w:val="center"/>
              <w:textAlignment w:val="center"/>
              <w:rPr>
                <w:rFonts w:ascii="宋体" w:cs="宋体" w:hint="eastAsia"/>
                <w:color w:val="000000"/>
                <w:kern w:val="0"/>
                <w:sz w:val="24"/>
              </w:rPr>
            </w:pPr>
            <w:r>
              <w:rPr>
                <w:rFonts w:ascii="宋体" w:cs="宋体" w:hint="eastAsia"/>
                <w:color w:val="000000"/>
                <w:kern w:val="0"/>
                <w:sz w:val="24"/>
              </w:rPr>
              <w:t>收入预算</w:t>
            </w:r>
          </w:p>
        </w:tc>
        <w:tc>
          <w:tcPr>
            <w:tcW w:w="2049" w:type="dxa"/>
            <w:gridSpan w:val="3"/>
            <w:tcBorders>
              <w:top w:val="single" w:sz="4" w:space="0" w:color="000000"/>
              <w:left w:val="single" w:sz="4" w:space="0" w:color="auto"/>
              <w:bottom w:val="single" w:sz="4" w:space="0" w:color="000000"/>
              <w:right w:val="single" w:sz="4" w:space="0" w:color="auto"/>
            </w:tcBorders>
            <w:noWrap/>
            <w:vAlign w:val="center"/>
          </w:tcPr>
          <w:p>
            <w:pPr>
              <w:widowControl/>
              <w:spacing w:line="240" w:lineRule="exact"/>
              <w:jc w:val="center"/>
              <w:textAlignment w:val="center"/>
              <w:rPr>
                <w:rFonts w:ascii="宋体" w:cs="宋体" w:hint="eastAsia"/>
                <w:color w:val="000000"/>
                <w:kern w:val="0"/>
                <w:sz w:val="24"/>
              </w:rPr>
            </w:pPr>
            <w:r>
              <w:rPr>
                <w:rFonts w:hint="eastAsia"/>
                <w:color w:val="000000"/>
                <w:kern w:val="0"/>
                <w:sz w:val="24"/>
              </w:rPr>
              <w:t>1943.37</w:t>
            </w:r>
          </w:p>
        </w:tc>
        <w:tc>
          <w:tcPr>
            <w:tcW w:w="1795" w:type="dxa"/>
            <w:gridSpan w:val="3"/>
            <w:tcBorders>
              <w:top w:val="single" w:sz="4" w:space="0" w:color="auto"/>
              <w:left w:val="single" w:sz="4" w:space="0" w:color="auto"/>
              <w:bottom w:val="single" w:sz="4" w:space="0" w:color="auto"/>
              <w:right w:val="single" w:sz="4" w:space="0" w:color="auto"/>
            </w:tcBorders>
            <w:noWrap/>
            <w:vAlign w:val="center"/>
          </w:tcPr>
          <w:p>
            <w:pPr>
              <w:widowControl/>
              <w:spacing w:line="240" w:lineRule="exact"/>
              <w:jc w:val="center"/>
              <w:textAlignment w:val="center"/>
              <w:rPr>
                <w:rFonts w:ascii="宋体" w:cs="宋体" w:hint="eastAsia"/>
                <w:color w:val="000000"/>
                <w:kern w:val="0"/>
                <w:sz w:val="24"/>
              </w:rPr>
            </w:pPr>
            <w:r>
              <w:rPr>
                <w:rFonts w:ascii="宋体" w:cs="宋体" w:hint="eastAsia"/>
                <w:color w:val="000000"/>
                <w:kern w:val="0"/>
                <w:sz w:val="24"/>
              </w:rPr>
              <w:t>1909.97</w:t>
            </w:r>
          </w:p>
        </w:tc>
        <w:tc>
          <w:tcPr>
            <w:tcW w:w="4087" w:type="dxa"/>
            <w:gridSpan w:val="8"/>
            <w:tcBorders>
              <w:top w:val="single" w:sz="4" w:space="0" w:color="auto"/>
              <w:left w:val="single" w:sz="4" w:space="0" w:color="auto"/>
              <w:bottom w:val="single" w:sz="4" w:space="0" w:color="auto"/>
              <w:right w:val="single" w:sz="4" w:space="0" w:color="auto"/>
            </w:tcBorders>
            <w:noWrap/>
            <w:vAlign w:val="center"/>
          </w:tcPr>
          <w:p>
            <w:pPr>
              <w:widowControl/>
              <w:spacing w:line="240" w:lineRule="exact"/>
              <w:jc w:val="center"/>
              <w:textAlignment w:val="center"/>
              <w:rPr>
                <w:rFonts w:ascii="宋体" w:cs="宋体" w:hint="eastAsia"/>
                <w:color w:val="000000"/>
                <w:kern w:val="0"/>
                <w:sz w:val="24"/>
              </w:rPr>
            </w:pPr>
            <w:r>
              <w:rPr>
                <w:rFonts w:ascii="宋体" w:cs="宋体" w:hint="eastAsia"/>
                <w:color w:val="000000"/>
                <w:kern w:val="0"/>
                <w:sz w:val="24"/>
              </w:rPr>
              <w:t>33.40</w:t>
            </w:r>
          </w:p>
        </w:tc>
      </w:tr>
      <w:tr>
        <w:trPr>
          <w:trHeight w:val="296"/>
          <w:gridAfter w:val="1"/>
          <w:wAfter w:w="694" w:type="dxa"/>
        </w:trPr>
        <w:tc>
          <w:tcPr>
            <w:tcW w:w="1727" w:type="dxa"/>
            <w:gridSpan w:val="5"/>
            <w:tcBorders>
              <w:top w:val="single" w:sz="4" w:space="0" w:color="auto"/>
              <w:left w:val="single" w:sz="4" w:space="0" w:color="auto"/>
              <w:bottom w:val="single" w:sz="4" w:space="0" w:color="auto"/>
              <w:right w:val="single" w:sz="4" w:space="0" w:color="auto"/>
            </w:tcBorders>
            <w:noWrap/>
            <w:vAlign w:val="center"/>
          </w:tcPr>
          <w:p>
            <w:pPr>
              <w:widowControl/>
              <w:spacing w:line="240" w:lineRule="exact"/>
              <w:jc w:val="center"/>
              <w:textAlignment w:val="center"/>
              <w:rPr>
                <w:rFonts w:ascii="宋体" w:cs="宋体" w:hint="eastAsia"/>
                <w:color w:val="000000"/>
                <w:kern w:val="0"/>
                <w:sz w:val="24"/>
              </w:rPr>
            </w:pPr>
            <w:r>
              <w:rPr>
                <w:rFonts w:ascii="宋体" w:cs="宋体" w:hint="eastAsia"/>
                <w:color w:val="000000"/>
                <w:kern w:val="0"/>
                <w:sz w:val="24"/>
              </w:rPr>
              <w:t>支出预算</w:t>
            </w:r>
          </w:p>
        </w:tc>
        <w:tc>
          <w:tcPr>
            <w:tcW w:w="2049" w:type="dxa"/>
            <w:gridSpan w:val="3"/>
            <w:tcBorders>
              <w:top w:val="single" w:sz="4" w:space="0" w:color="000000"/>
              <w:left w:val="single" w:sz="4" w:space="0" w:color="auto"/>
              <w:bottom w:val="single" w:sz="4" w:space="0" w:color="000000"/>
              <w:right w:val="single" w:sz="4" w:space="0" w:color="000000"/>
            </w:tcBorders>
            <w:noWrap/>
            <w:vAlign w:val="center"/>
          </w:tcPr>
          <w:p>
            <w:pPr>
              <w:widowControl/>
              <w:spacing w:line="240" w:lineRule="exact"/>
              <w:jc w:val="center"/>
              <w:textAlignment w:val="center"/>
              <w:rPr>
                <w:rFonts w:ascii="宋体" w:cs="宋体" w:hint="eastAsia"/>
                <w:color w:val="000000"/>
                <w:kern w:val="0"/>
                <w:sz w:val="24"/>
              </w:rPr>
            </w:pPr>
            <w:r>
              <w:rPr>
                <w:rFonts w:hint="eastAsia"/>
                <w:color w:val="000000"/>
                <w:kern w:val="0"/>
                <w:sz w:val="24"/>
              </w:rPr>
              <w:t>1937.32</w:t>
            </w:r>
          </w:p>
        </w:tc>
        <w:tc>
          <w:tcPr>
            <w:tcW w:w="1795" w:type="dxa"/>
            <w:gridSpan w:val="3"/>
            <w:tcBorders>
              <w:top w:val="single" w:sz="4" w:space="0" w:color="auto"/>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cs="宋体" w:hint="eastAsia"/>
                <w:color w:val="000000"/>
                <w:kern w:val="0"/>
                <w:sz w:val="24"/>
              </w:rPr>
            </w:pPr>
            <w:r>
              <w:rPr>
                <w:rFonts w:ascii="宋体" w:cs="宋体" w:hint="eastAsia"/>
                <w:color w:val="000000"/>
                <w:kern w:val="0"/>
                <w:sz w:val="24"/>
              </w:rPr>
              <w:t>1909.97</w:t>
            </w:r>
          </w:p>
        </w:tc>
        <w:tc>
          <w:tcPr>
            <w:tcW w:w="4087" w:type="dxa"/>
            <w:gridSpan w:val="8"/>
            <w:tcBorders>
              <w:top w:val="single" w:sz="4" w:space="0" w:color="auto"/>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cs="宋体" w:hint="eastAsia"/>
                <w:color w:val="000000"/>
                <w:kern w:val="0"/>
                <w:sz w:val="24"/>
              </w:rPr>
            </w:pPr>
            <w:r>
              <w:rPr>
                <w:rFonts w:ascii="宋体" w:cs="宋体" w:hint="eastAsia"/>
                <w:color w:val="000000"/>
                <w:kern w:val="0"/>
                <w:sz w:val="24"/>
              </w:rPr>
              <w:t>27.35</w:t>
            </w:r>
          </w:p>
        </w:tc>
      </w:tr>
      <w:tr>
        <w:trPr>
          <w:trHeight w:val="296"/>
          <w:gridAfter w:val="1"/>
          <w:wAfter w:w="694" w:type="dxa"/>
        </w:trPr>
        <w:tc>
          <w:tcPr>
            <w:tcW w:w="1727" w:type="dxa"/>
            <w:gridSpan w:val="5"/>
            <w:tcBorders>
              <w:top w:val="single" w:sz="4" w:space="0" w:color="auto"/>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cs="宋体" w:hint="eastAsia"/>
                <w:color w:val="000000"/>
                <w:kern w:val="0"/>
                <w:sz w:val="24"/>
              </w:rPr>
            </w:pPr>
            <w:r>
              <w:rPr>
                <w:rFonts w:ascii="宋体" w:cs="宋体" w:hint="eastAsia"/>
                <w:color w:val="000000"/>
                <w:kern w:val="0"/>
                <w:sz w:val="24"/>
              </w:rPr>
              <w:t>年度总体目标</w:t>
            </w:r>
          </w:p>
        </w:tc>
        <w:tc>
          <w:tcPr>
            <w:tcW w:w="7931" w:type="dxa"/>
            <w:gridSpan w:val="14"/>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cs="宋体" w:hint="eastAsia"/>
                <w:color w:val="000000"/>
                <w:kern w:val="0"/>
                <w:sz w:val="24"/>
              </w:rPr>
            </w:pPr>
            <w:r>
              <w:rPr>
                <w:rFonts w:ascii="宋体" w:cs="宋体" w:hint="eastAsia"/>
                <w:color w:val="000000"/>
                <w:kern w:val="0"/>
                <w:sz w:val="24"/>
              </w:rPr>
              <w:t>汶川县漩口小学校主要设立小学教育，旨在实施小学义务教育，发展小学教育，贯彻党的教育方针，探索科学教育规律，为义务教育阶段学生提供教育服务。以促进德、智、体、美、劳全面发展为各项工作的目标，不断提高教育质量。</w:t>
            </w:r>
          </w:p>
        </w:tc>
      </w:tr>
      <w:tr>
        <w:trPr>
          <w:trHeight w:val="296"/>
          <w:gridAfter w:val="1"/>
          <w:wAfter w:w="694" w:type="dxa"/>
        </w:trPr>
        <w:tc>
          <w:tcPr>
            <w:tcW w:w="331" w:type="dxa"/>
            <w:gridSpan w:val="2"/>
            <w:vMerge w:val="restart"/>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cs="宋体" w:hint="eastAsia"/>
                <w:color w:val="000000"/>
                <w:kern w:val="0"/>
                <w:sz w:val="24"/>
              </w:rPr>
            </w:pPr>
            <w:r>
              <w:rPr>
                <w:rFonts w:ascii="宋体" w:cs="宋体" w:hint="eastAsia"/>
                <w:color w:val="000000"/>
                <w:kern w:val="0"/>
                <w:sz w:val="24"/>
              </w:rPr>
              <w:t>管理效率</w:t>
            </w:r>
          </w:p>
        </w:tc>
        <w:tc>
          <w:tcPr>
            <w:tcW w:w="593" w:type="dxa"/>
            <w:vMerge w:val="restart"/>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cs="宋体" w:hint="eastAsia"/>
                <w:color w:val="000000"/>
                <w:kern w:val="0"/>
                <w:sz w:val="24"/>
              </w:rPr>
            </w:pPr>
            <w:r>
              <w:rPr>
                <w:rFonts w:ascii="宋体" w:cs="宋体" w:hint="eastAsia"/>
                <w:color w:val="000000"/>
                <w:kern w:val="0"/>
                <w:sz w:val="24"/>
              </w:rPr>
              <w:t>一级指标</w:t>
            </w:r>
          </w:p>
        </w:tc>
        <w:tc>
          <w:tcPr>
            <w:tcW w:w="803" w:type="dxa"/>
            <w:gridSpan w:val="2"/>
            <w:vMerge w:val="restart"/>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cs="宋体" w:hint="eastAsia"/>
                <w:color w:val="000000"/>
                <w:kern w:val="0"/>
                <w:sz w:val="24"/>
              </w:rPr>
            </w:pPr>
            <w:r>
              <w:rPr>
                <w:rFonts w:ascii="宋体" w:cs="宋体" w:hint="eastAsia"/>
                <w:color w:val="000000"/>
                <w:kern w:val="0"/>
                <w:sz w:val="24"/>
              </w:rPr>
              <w:t>二级指标</w:t>
            </w:r>
          </w:p>
        </w:tc>
        <w:tc>
          <w:tcPr>
            <w:tcW w:w="1246" w:type="dxa"/>
            <w:gridSpan w:val="2"/>
            <w:vMerge w:val="restart"/>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cs="宋体" w:hint="eastAsia"/>
                <w:color w:val="000000"/>
                <w:kern w:val="0"/>
                <w:sz w:val="24"/>
              </w:rPr>
            </w:pPr>
            <w:r>
              <w:rPr>
                <w:rFonts w:ascii="宋体" w:cs="宋体" w:hint="eastAsia"/>
                <w:color w:val="000000"/>
                <w:kern w:val="0"/>
                <w:sz w:val="24"/>
              </w:rPr>
              <w:t>三级指标</w:t>
            </w:r>
          </w:p>
        </w:tc>
        <w:tc>
          <w:tcPr>
            <w:tcW w:w="803" w:type="dxa"/>
            <w:vMerge w:val="restart"/>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cs="宋体" w:hint="eastAsia"/>
                <w:color w:val="000000"/>
                <w:kern w:val="0"/>
                <w:sz w:val="24"/>
              </w:rPr>
            </w:pPr>
            <w:r>
              <w:rPr>
                <w:rFonts w:ascii="宋体" w:cs="宋体" w:hint="eastAsia"/>
                <w:color w:val="000000"/>
                <w:kern w:val="0"/>
                <w:sz w:val="24"/>
              </w:rPr>
              <w:t>指标值</w:t>
            </w:r>
          </w:p>
        </w:tc>
        <w:tc>
          <w:tcPr>
            <w:tcW w:w="3951" w:type="dxa"/>
            <w:gridSpan w:val="7"/>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cs="宋体" w:hint="eastAsia"/>
                <w:color w:val="000000"/>
                <w:kern w:val="0"/>
                <w:sz w:val="24"/>
              </w:rPr>
            </w:pPr>
            <w:r>
              <w:rPr>
                <w:rFonts w:ascii="宋体" w:cs="宋体" w:hint="eastAsia"/>
                <w:color w:val="000000"/>
                <w:kern w:val="0"/>
                <w:sz w:val="24"/>
              </w:rPr>
              <w:t>指标设置参考值</w:t>
            </w:r>
          </w:p>
        </w:tc>
        <w:tc>
          <w:tcPr>
            <w:tcW w:w="1931" w:type="dxa"/>
            <w:gridSpan w:val="4"/>
            <w:vMerge w:val="restart"/>
            <w:tcBorders>
              <w:top w:val="single" w:sz="4" w:space="0" w:color="000000"/>
              <w:left w:val="single" w:sz="4" w:space="0" w:color="000000"/>
              <w:right w:val="single" w:sz="4" w:space="0" w:color="000000"/>
            </w:tcBorders>
            <w:noWrap/>
            <w:vAlign w:val="center"/>
          </w:tcPr>
          <w:p>
            <w:pPr>
              <w:widowControl/>
              <w:spacing w:line="240" w:lineRule="exact"/>
              <w:jc w:val="center"/>
              <w:textAlignment w:val="center"/>
              <w:rPr>
                <w:rFonts w:ascii="宋体" w:cs="宋体" w:hint="eastAsia"/>
                <w:color w:val="000000"/>
                <w:kern w:val="0"/>
                <w:sz w:val="24"/>
              </w:rPr>
            </w:pPr>
            <w:r>
              <w:rPr>
                <w:rFonts w:ascii="宋体" w:cs="宋体" w:hint="eastAsia"/>
                <w:color w:val="000000"/>
                <w:kern w:val="0"/>
                <w:sz w:val="24"/>
              </w:rPr>
              <w:t>指标实际完成值</w:t>
            </w:r>
          </w:p>
        </w:tc>
      </w:tr>
      <w:tr>
        <w:trPr>
          <w:trHeight w:val="296"/>
          <w:gridAfter w:val="1"/>
          <w:wAfter w:w="694" w:type="dxa"/>
        </w:trPr>
        <w:tc>
          <w:tcPr>
            <w:tcW w:w="331" w:type="dxa"/>
            <w:gridSpan w:val="2"/>
            <w:vMerge/>
            <w:tcBorders>
              <w:top w:val="single" w:sz="4" w:space="0" w:color="000000"/>
              <w:left w:val="single" w:sz="4" w:space="0" w:color="000000"/>
              <w:bottom w:val="single" w:sz="4" w:space="0" w:color="000000"/>
              <w:right w:val="single" w:sz="4" w:space="0" w:color="000000"/>
            </w:tcBorders>
            <w:noWrap/>
            <w:vAlign w:val="center"/>
          </w:tcPr>
          <w:p/>
        </w:tc>
        <w:tc>
          <w:tcPr>
            <w:tcW w:w="593" w:type="dxa"/>
            <w:vMerge/>
            <w:tcBorders>
              <w:top w:val="single" w:sz="4" w:space="0" w:color="000000"/>
              <w:left w:val="single" w:sz="4" w:space="0" w:color="000000"/>
              <w:bottom w:val="single" w:sz="4" w:space="0" w:color="000000"/>
              <w:right w:val="single" w:sz="4" w:space="0" w:color="000000"/>
            </w:tcBorders>
            <w:noWrap/>
            <w:vAlign w:val="center"/>
          </w:tcPr>
          <w:p/>
        </w:tc>
        <w:tc>
          <w:tcPr>
            <w:tcW w:w="803" w:type="dxa"/>
            <w:gridSpan w:val="2"/>
            <w:vMerge/>
            <w:tcBorders>
              <w:top w:val="single" w:sz="4" w:space="0" w:color="000000"/>
              <w:left w:val="single" w:sz="4" w:space="0" w:color="000000"/>
              <w:bottom w:val="single" w:sz="4" w:space="0" w:color="000000"/>
              <w:right w:val="single" w:sz="4" w:space="0" w:color="000000"/>
            </w:tcBorders>
            <w:noWrap/>
            <w:vAlign w:val="center"/>
          </w:tcPr>
          <w:p/>
        </w:tc>
        <w:tc>
          <w:tcPr>
            <w:tcW w:w="1246" w:type="dxa"/>
            <w:gridSpan w:val="2"/>
            <w:vMerge/>
            <w:tcBorders>
              <w:top w:val="single" w:sz="4" w:space="0" w:color="000000"/>
              <w:left w:val="single" w:sz="4" w:space="0" w:color="000000"/>
              <w:bottom w:val="single" w:sz="4" w:space="0" w:color="000000"/>
              <w:right w:val="single" w:sz="4" w:space="0" w:color="000000"/>
            </w:tcBorders>
            <w:noWrap/>
            <w:vAlign w:val="center"/>
          </w:tcPr>
          <w:p/>
        </w:tc>
        <w:tc>
          <w:tcPr>
            <w:tcW w:w="803" w:type="dxa"/>
            <w:vMerge/>
            <w:tcBorders>
              <w:top w:val="single" w:sz="4" w:space="0" w:color="000000"/>
              <w:left w:val="single" w:sz="4" w:space="0" w:color="000000"/>
              <w:bottom w:val="single" w:sz="4" w:space="0" w:color="000000"/>
              <w:right w:val="single" w:sz="4" w:space="0" w:color="000000"/>
            </w:tcBorders>
            <w:noWrap/>
            <w:vAlign w:val="center"/>
          </w:tcPr>
          <w:p/>
        </w:tc>
        <w:tc>
          <w:tcPr>
            <w:tcW w:w="777" w:type="dxa"/>
            <w:gridSpan w:val="2"/>
            <w:tcBorders>
              <w:top w:val="single" w:sz="4" w:space="0" w:color="000000"/>
              <w:left w:val="single" w:sz="4" w:space="0" w:color="000000"/>
              <w:right w:val="single" w:sz="4" w:space="0" w:color="000000"/>
            </w:tcBorders>
            <w:noWrap/>
            <w:vAlign w:val="center"/>
          </w:tcPr>
          <w:p>
            <w:pPr>
              <w:widowControl/>
              <w:spacing w:line="240" w:lineRule="exact"/>
              <w:jc w:val="center"/>
              <w:textAlignment w:val="center"/>
              <w:rPr>
                <w:rFonts w:ascii="宋体" w:cs="宋体" w:hint="eastAsia"/>
                <w:color w:val="000000"/>
                <w:kern w:val="0"/>
                <w:sz w:val="24"/>
              </w:rPr>
            </w:pPr>
            <w:r>
              <w:rPr>
                <w:rFonts w:ascii="宋体" w:cs="宋体" w:hint="eastAsia"/>
                <w:color w:val="000000"/>
                <w:kern w:val="0"/>
                <w:sz w:val="24"/>
              </w:rPr>
              <w:t>三年</w:t>
            </w:r>
          </w:p>
          <w:p>
            <w:pPr>
              <w:widowControl/>
              <w:spacing w:line="240" w:lineRule="exact"/>
              <w:jc w:val="center"/>
              <w:textAlignment w:val="center"/>
              <w:rPr>
                <w:rFonts w:ascii="宋体" w:cs="宋体" w:hint="eastAsia"/>
                <w:color w:val="000000"/>
                <w:kern w:val="0"/>
                <w:sz w:val="24"/>
              </w:rPr>
            </w:pPr>
            <w:r>
              <w:rPr>
                <w:rFonts w:ascii="宋体" w:cs="宋体" w:hint="eastAsia"/>
                <w:color w:val="000000"/>
                <w:kern w:val="0"/>
                <w:sz w:val="24"/>
              </w:rPr>
              <w:t>均值</w:t>
            </w:r>
          </w:p>
        </w:tc>
        <w:tc>
          <w:tcPr>
            <w:tcW w:w="1018"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cs="宋体" w:hint="eastAsia"/>
                <w:color w:val="000000"/>
                <w:kern w:val="0"/>
                <w:sz w:val="24"/>
              </w:rPr>
            </w:pPr>
            <w:r>
              <w:rPr>
                <w:rFonts w:ascii="宋体" w:cs="宋体" w:hint="eastAsia"/>
                <w:color w:val="000000"/>
                <w:kern w:val="0"/>
                <w:sz w:val="24"/>
              </w:rPr>
              <w:t>2023</w:t>
            </w:r>
            <w:r>
              <w:rPr>
                <w:rFonts w:ascii="宋体" w:cs="宋体"/>
                <w:color w:val="000000"/>
                <w:kern w:val="0"/>
                <w:sz w:val="24"/>
              </w:rPr>
              <w:t>年</w:t>
            </w:r>
          </w:p>
        </w:tc>
        <w:tc>
          <w:tcPr>
            <w:tcW w:w="1045" w:type="dxa"/>
            <w:gridSpan w:val="2"/>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cs="宋体" w:hint="eastAsia"/>
                <w:color w:val="000000"/>
                <w:kern w:val="0"/>
                <w:sz w:val="24"/>
              </w:rPr>
            </w:pPr>
            <w:r>
              <w:rPr>
                <w:rFonts w:ascii="宋体" w:cs="宋体" w:hint="eastAsia"/>
                <w:color w:val="000000"/>
                <w:kern w:val="0"/>
                <w:sz w:val="24"/>
              </w:rPr>
              <w:t>2024</w:t>
            </w:r>
            <w:r>
              <w:rPr>
                <w:rFonts w:ascii="宋体" w:cs="宋体"/>
                <w:color w:val="000000"/>
                <w:kern w:val="0"/>
                <w:sz w:val="24"/>
              </w:rPr>
              <w:t>年</w:t>
            </w:r>
          </w:p>
        </w:tc>
        <w:tc>
          <w:tcPr>
            <w:tcW w:w="1111" w:type="dxa"/>
            <w:gridSpan w:val="2"/>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cs="宋体" w:hint="eastAsia"/>
                <w:color w:val="000000"/>
                <w:kern w:val="0"/>
                <w:sz w:val="24"/>
              </w:rPr>
            </w:pPr>
            <w:r>
              <w:rPr>
                <w:rFonts w:ascii="宋体" w:cs="宋体" w:hint="eastAsia"/>
                <w:color w:val="000000"/>
                <w:kern w:val="0"/>
                <w:sz w:val="24"/>
              </w:rPr>
              <w:t>2025</w:t>
            </w:r>
            <w:r>
              <w:rPr>
                <w:rFonts w:ascii="宋体" w:cs="宋体"/>
                <w:color w:val="000000"/>
                <w:kern w:val="0"/>
                <w:sz w:val="24"/>
              </w:rPr>
              <w:t>年</w:t>
            </w:r>
          </w:p>
        </w:tc>
        <w:tc>
          <w:tcPr>
            <w:tcW w:w="1931" w:type="dxa"/>
            <w:gridSpan w:val="4"/>
            <w:vMerge/>
            <w:tcBorders>
              <w:left w:val="single" w:sz="4" w:space="0" w:color="000000"/>
              <w:right w:val="single" w:sz="4" w:space="0" w:color="000000"/>
            </w:tcBorders>
            <w:noWrap/>
            <w:vAlign w:val="center"/>
          </w:tcPr>
          <w:p/>
        </w:tc>
      </w:tr>
      <w:tr>
        <w:trPr>
          <w:trHeight w:val="90"/>
          <w:gridAfter w:val="1"/>
          <w:wAfter w:w="694" w:type="dxa"/>
        </w:trPr>
        <w:tc>
          <w:tcPr>
            <w:tcW w:w="331" w:type="dxa"/>
            <w:gridSpan w:val="2"/>
            <w:vMerge/>
            <w:tcBorders>
              <w:top w:val="single" w:sz="4" w:space="0" w:color="000000"/>
              <w:left w:val="single" w:sz="4" w:space="0" w:color="000000"/>
              <w:bottom w:val="single" w:sz="4" w:space="0" w:color="000000"/>
              <w:right w:val="single" w:sz="4" w:space="0" w:color="000000"/>
            </w:tcBorders>
            <w:noWrap/>
            <w:vAlign w:val="center"/>
          </w:tcPr>
          <w:p/>
        </w:tc>
        <w:tc>
          <w:tcPr>
            <w:tcW w:w="593" w:type="dxa"/>
            <w:vMerge w:val="restart"/>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cs="宋体" w:hint="eastAsia"/>
                <w:color w:val="000000"/>
                <w:kern w:val="0"/>
                <w:sz w:val="24"/>
              </w:rPr>
            </w:pPr>
            <w:r>
              <w:rPr>
                <w:rFonts w:ascii="宋体" w:cs="宋体" w:hint="eastAsia"/>
                <w:color w:val="000000"/>
                <w:kern w:val="0"/>
                <w:sz w:val="24"/>
              </w:rPr>
              <w:t>成本指标</w:t>
            </w:r>
          </w:p>
        </w:tc>
        <w:tc>
          <w:tcPr>
            <w:tcW w:w="803" w:type="dxa"/>
            <w:gridSpan w:val="2"/>
            <w:vMerge w:val="restart"/>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cs="宋体" w:hint="eastAsia"/>
                <w:color w:val="000000"/>
                <w:kern w:val="0"/>
                <w:sz w:val="24"/>
              </w:rPr>
            </w:pPr>
            <w:r>
              <w:rPr>
                <w:rFonts w:ascii="宋体" w:cs="宋体" w:hint="eastAsia"/>
                <w:color w:val="000000"/>
                <w:kern w:val="0"/>
                <w:sz w:val="24"/>
              </w:rPr>
              <w:t>预算管理</w:t>
            </w:r>
          </w:p>
        </w:tc>
        <w:tc>
          <w:tcPr>
            <w:tcW w:w="1246" w:type="dxa"/>
            <w:gridSpan w:val="2"/>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cs="宋体" w:hint="eastAsia"/>
                <w:color w:val="000000"/>
                <w:kern w:val="0"/>
                <w:sz w:val="24"/>
              </w:rPr>
            </w:pPr>
            <w:r>
              <w:rPr>
                <w:rFonts w:ascii="宋体" w:cs="宋体" w:hint="eastAsia"/>
                <w:color w:val="000000"/>
                <w:kern w:val="0"/>
                <w:sz w:val="24"/>
              </w:rPr>
              <w:t>财政拨款</w:t>
            </w:r>
            <w:r>
              <w:rPr>
                <w:rFonts w:ascii="宋体" w:cs="宋体"/>
                <w:color w:val="000000"/>
                <w:kern w:val="0"/>
                <w:sz w:val="24"/>
              </w:rPr>
              <w:t>预算编制偏离度</w:t>
            </w:r>
          </w:p>
        </w:tc>
        <w:tc>
          <w:tcPr>
            <w:tcW w:w="803"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cs="宋体" w:hint="eastAsia"/>
                <w:color w:val="000000"/>
                <w:kern w:val="0"/>
                <w:sz w:val="24"/>
              </w:rPr>
            </w:pPr>
            <w:r>
              <w:rPr>
                <w:rFonts w:ascii="宋体" w:cs="宋体" w:hint="eastAsia"/>
                <w:color w:val="000000"/>
                <w:kern w:val="0"/>
                <w:sz w:val="24"/>
              </w:rPr>
              <w:t>≤15%</w:t>
            </w:r>
          </w:p>
        </w:tc>
        <w:tc>
          <w:tcPr>
            <w:tcW w:w="777" w:type="dxa"/>
            <w:gridSpan w:val="2"/>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cs="宋体" w:hint="eastAsia"/>
                <w:color w:val="000000"/>
                <w:kern w:val="0"/>
                <w:sz w:val="24"/>
              </w:rPr>
            </w:pPr>
            <w:r>
              <w:rPr>
                <w:rFonts w:ascii="宋体" w:cs="宋体" w:hint="eastAsia"/>
                <w:color w:val="000000"/>
                <w:kern w:val="0"/>
                <w:sz w:val="24"/>
              </w:rPr>
              <w:t>10</w:t>
            </w:r>
            <w:r>
              <w:rPr>
                <w:rFonts w:ascii="宋体" w:cs="宋体"/>
                <w:color w:val="000000"/>
                <w:kern w:val="0"/>
                <w:sz w:val="24"/>
              </w:rPr>
              <w:t>%</w:t>
            </w:r>
          </w:p>
        </w:tc>
        <w:tc>
          <w:tcPr>
            <w:tcW w:w="1018"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cs="宋体" w:hint="eastAsia"/>
                <w:color w:val="000000"/>
                <w:kern w:val="0"/>
                <w:sz w:val="24"/>
              </w:rPr>
            </w:pPr>
            <w:r>
              <w:rPr>
                <w:rFonts w:ascii="宋体" w:cs="宋体" w:hint="eastAsia"/>
                <w:color w:val="000000"/>
                <w:kern w:val="0"/>
                <w:sz w:val="24"/>
              </w:rPr>
              <w:t>11%</w:t>
            </w:r>
          </w:p>
        </w:tc>
        <w:tc>
          <w:tcPr>
            <w:tcW w:w="1045" w:type="dxa"/>
            <w:gridSpan w:val="2"/>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cs="宋体" w:hint="eastAsia"/>
                <w:color w:val="000000"/>
                <w:kern w:val="0"/>
                <w:sz w:val="24"/>
              </w:rPr>
            </w:pPr>
            <w:r>
              <w:rPr>
                <w:rFonts w:ascii="宋体" w:cs="宋体" w:hint="eastAsia"/>
                <w:color w:val="000000"/>
                <w:kern w:val="0"/>
                <w:sz w:val="24"/>
              </w:rPr>
              <w:t>9%</w:t>
            </w:r>
          </w:p>
        </w:tc>
        <w:tc>
          <w:tcPr>
            <w:tcW w:w="1111" w:type="dxa"/>
            <w:gridSpan w:val="2"/>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cs="宋体" w:hint="eastAsia"/>
                <w:color w:val="000000"/>
                <w:kern w:val="0"/>
                <w:sz w:val="24"/>
              </w:rPr>
            </w:pPr>
            <w:r>
              <w:rPr>
                <w:rFonts w:ascii="宋体" w:cs="宋体" w:hint="eastAsia"/>
                <w:color w:val="000000"/>
                <w:kern w:val="0"/>
                <w:sz w:val="24"/>
              </w:rPr>
              <w:t>11%</w:t>
            </w:r>
          </w:p>
        </w:tc>
        <w:tc>
          <w:tcPr>
            <w:tcW w:w="1931" w:type="dxa"/>
            <w:gridSpan w:val="4"/>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cs="宋体" w:hint="eastAsia"/>
                <w:color w:val="000000"/>
                <w:kern w:val="0"/>
                <w:sz w:val="24"/>
              </w:rPr>
            </w:pPr>
            <w:r>
              <w:rPr>
                <w:rFonts w:ascii="宋体" w:cs="宋体" w:hint="eastAsia"/>
                <w:color w:val="000000"/>
                <w:kern w:val="0"/>
                <w:sz w:val="24"/>
              </w:rPr>
              <w:t>10</w:t>
            </w:r>
            <w:r>
              <w:rPr>
                <w:rFonts w:ascii="宋体" w:cs="宋体"/>
                <w:color w:val="000000"/>
                <w:kern w:val="0"/>
                <w:sz w:val="24"/>
              </w:rPr>
              <w:t>%</w:t>
            </w:r>
          </w:p>
        </w:tc>
      </w:tr>
      <w:tr>
        <w:trPr>
          <w:trHeight w:val="90"/>
          <w:gridAfter w:val="1"/>
          <w:wAfter w:w="694" w:type="dxa"/>
        </w:trPr>
        <w:tc>
          <w:tcPr>
            <w:tcW w:w="331" w:type="dxa"/>
            <w:gridSpan w:val="2"/>
            <w:vMerge/>
            <w:tcBorders>
              <w:top w:val="single" w:sz="4" w:space="0" w:color="000000"/>
              <w:left w:val="single" w:sz="4" w:space="0" w:color="000000"/>
              <w:bottom w:val="single" w:sz="4" w:space="0" w:color="000000"/>
              <w:right w:val="single" w:sz="4" w:space="0" w:color="000000"/>
            </w:tcBorders>
            <w:noWrap/>
            <w:vAlign w:val="center"/>
          </w:tcPr>
          <w:p/>
        </w:tc>
        <w:tc>
          <w:tcPr>
            <w:tcW w:w="593" w:type="dxa"/>
            <w:vMerge/>
            <w:tcBorders>
              <w:top w:val="single" w:sz="4" w:space="0" w:color="000000"/>
              <w:left w:val="single" w:sz="4" w:space="0" w:color="000000"/>
              <w:bottom w:val="single" w:sz="4" w:space="0" w:color="000000"/>
              <w:right w:val="single" w:sz="4" w:space="0" w:color="000000"/>
            </w:tcBorders>
            <w:noWrap/>
            <w:vAlign w:val="center"/>
          </w:tcPr>
          <w:p/>
        </w:tc>
        <w:tc>
          <w:tcPr>
            <w:tcW w:w="803" w:type="dxa"/>
            <w:gridSpan w:val="2"/>
            <w:vMerge/>
            <w:tcBorders>
              <w:top w:val="single" w:sz="4" w:space="0" w:color="000000"/>
              <w:left w:val="single" w:sz="4" w:space="0" w:color="000000"/>
              <w:bottom w:val="single" w:sz="4" w:space="0" w:color="000000"/>
              <w:right w:val="single" w:sz="4" w:space="0" w:color="000000"/>
            </w:tcBorders>
            <w:noWrap/>
            <w:vAlign w:val="center"/>
          </w:tcPr>
          <w:p/>
        </w:tc>
        <w:tc>
          <w:tcPr>
            <w:tcW w:w="1246" w:type="dxa"/>
            <w:gridSpan w:val="2"/>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cs="宋体" w:hint="eastAsia"/>
                <w:color w:val="000000"/>
                <w:kern w:val="0"/>
                <w:sz w:val="24"/>
              </w:rPr>
            </w:pPr>
            <w:r>
              <w:rPr>
                <w:rFonts w:ascii="宋体" w:cs="宋体" w:hint="eastAsia"/>
                <w:color w:val="000000"/>
                <w:kern w:val="0"/>
                <w:sz w:val="24"/>
              </w:rPr>
              <w:t>单位收入统筹度</w:t>
            </w:r>
          </w:p>
        </w:tc>
        <w:tc>
          <w:tcPr>
            <w:tcW w:w="803"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cs="宋体" w:hint="eastAsia"/>
                <w:color w:val="000000"/>
                <w:kern w:val="0"/>
                <w:sz w:val="24"/>
              </w:rPr>
            </w:pPr>
            <w:r>
              <w:rPr>
                <w:rFonts w:ascii="宋体" w:cs="宋体" w:hint="eastAsia"/>
                <w:color w:val="000000"/>
                <w:kern w:val="0"/>
                <w:sz w:val="24"/>
              </w:rPr>
              <w:t>≥90%</w:t>
            </w:r>
          </w:p>
        </w:tc>
        <w:tc>
          <w:tcPr>
            <w:tcW w:w="777" w:type="dxa"/>
            <w:gridSpan w:val="2"/>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cs="宋体" w:hint="eastAsia"/>
                <w:color w:val="000000"/>
                <w:kern w:val="0"/>
                <w:sz w:val="24"/>
              </w:rPr>
            </w:pPr>
            <w:r>
              <w:rPr>
                <w:rFonts w:ascii="宋体" w:cs="宋体" w:hint="eastAsia"/>
                <w:color w:val="000000"/>
                <w:kern w:val="0"/>
                <w:sz w:val="24"/>
              </w:rPr>
              <w:t>96</w:t>
            </w:r>
            <w:r>
              <w:rPr>
                <w:rFonts w:ascii="宋体" w:cs="宋体"/>
                <w:color w:val="000000"/>
                <w:kern w:val="0"/>
                <w:sz w:val="24"/>
              </w:rPr>
              <w:t>%</w:t>
            </w:r>
          </w:p>
        </w:tc>
        <w:tc>
          <w:tcPr>
            <w:tcW w:w="1018"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cs="宋体" w:hint="eastAsia"/>
                <w:color w:val="000000"/>
                <w:kern w:val="0"/>
                <w:sz w:val="24"/>
              </w:rPr>
            </w:pPr>
            <w:r>
              <w:rPr>
                <w:rFonts w:ascii="宋体" w:cs="宋体" w:hint="eastAsia"/>
                <w:color w:val="000000"/>
                <w:kern w:val="0"/>
                <w:sz w:val="24"/>
              </w:rPr>
              <w:t>96%</w:t>
            </w:r>
          </w:p>
        </w:tc>
        <w:tc>
          <w:tcPr>
            <w:tcW w:w="1045" w:type="dxa"/>
            <w:gridSpan w:val="2"/>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cs="宋体" w:hint="eastAsia"/>
                <w:color w:val="000000"/>
                <w:kern w:val="0"/>
                <w:sz w:val="24"/>
              </w:rPr>
            </w:pPr>
            <w:r>
              <w:rPr>
                <w:rFonts w:ascii="宋体" w:cs="宋体" w:hint="eastAsia"/>
                <w:color w:val="000000"/>
                <w:kern w:val="0"/>
                <w:sz w:val="24"/>
              </w:rPr>
              <w:t>97%</w:t>
            </w:r>
          </w:p>
        </w:tc>
        <w:tc>
          <w:tcPr>
            <w:tcW w:w="1111" w:type="dxa"/>
            <w:gridSpan w:val="2"/>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cs="宋体" w:hint="eastAsia"/>
                <w:color w:val="000000"/>
                <w:kern w:val="0"/>
                <w:sz w:val="24"/>
              </w:rPr>
            </w:pPr>
            <w:r>
              <w:rPr>
                <w:rFonts w:ascii="宋体" w:cs="宋体" w:hint="eastAsia"/>
                <w:color w:val="000000"/>
                <w:kern w:val="0"/>
                <w:sz w:val="24"/>
              </w:rPr>
              <w:t>95%</w:t>
            </w:r>
          </w:p>
        </w:tc>
        <w:tc>
          <w:tcPr>
            <w:tcW w:w="1931" w:type="dxa"/>
            <w:gridSpan w:val="4"/>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cs="宋体" w:hint="eastAsia"/>
                <w:color w:val="000000"/>
                <w:kern w:val="0"/>
                <w:sz w:val="24"/>
              </w:rPr>
            </w:pPr>
            <w:r>
              <w:rPr>
                <w:rFonts w:ascii="宋体" w:cs="宋体" w:hint="eastAsia"/>
                <w:color w:val="000000"/>
                <w:kern w:val="0"/>
                <w:sz w:val="24"/>
              </w:rPr>
              <w:t>99</w:t>
            </w:r>
            <w:r>
              <w:rPr>
                <w:rFonts w:ascii="宋体" w:cs="宋体"/>
                <w:color w:val="000000"/>
                <w:kern w:val="0"/>
                <w:sz w:val="24"/>
              </w:rPr>
              <w:t>%</w:t>
            </w:r>
          </w:p>
        </w:tc>
      </w:tr>
      <w:tr>
        <w:trPr>
          <w:trHeight w:val="90"/>
          <w:gridAfter w:val="1"/>
          <w:wAfter w:w="694" w:type="dxa"/>
        </w:trPr>
        <w:tc>
          <w:tcPr>
            <w:tcW w:w="331" w:type="dxa"/>
            <w:gridSpan w:val="2"/>
            <w:vMerge/>
            <w:tcBorders>
              <w:top w:val="single" w:sz="4" w:space="0" w:color="000000"/>
              <w:left w:val="single" w:sz="4" w:space="0" w:color="000000"/>
              <w:bottom w:val="single" w:sz="4" w:space="0" w:color="000000"/>
              <w:right w:val="single" w:sz="4" w:space="0" w:color="000000"/>
            </w:tcBorders>
            <w:noWrap/>
            <w:vAlign w:val="center"/>
          </w:tcPr>
          <w:p/>
        </w:tc>
        <w:tc>
          <w:tcPr>
            <w:tcW w:w="593" w:type="dxa"/>
            <w:vMerge/>
            <w:tcBorders>
              <w:top w:val="single" w:sz="4" w:space="0" w:color="000000"/>
              <w:left w:val="single" w:sz="4" w:space="0" w:color="000000"/>
              <w:bottom w:val="single" w:sz="4" w:space="0" w:color="000000"/>
              <w:right w:val="single" w:sz="4" w:space="0" w:color="000000"/>
            </w:tcBorders>
            <w:noWrap/>
            <w:vAlign w:val="center"/>
          </w:tcPr>
          <w:p/>
        </w:tc>
        <w:tc>
          <w:tcPr>
            <w:tcW w:w="803" w:type="dxa"/>
            <w:gridSpan w:val="2"/>
            <w:vMerge/>
            <w:tcBorders>
              <w:top w:val="single" w:sz="4" w:space="0" w:color="000000"/>
              <w:left w:val="single" w:sz="4" w:space="0" w:color="000000"/>
              <w:bottom w:val="single" w:sz="4" w:space="0" w:color="000000"/>
              <w:right w:val="single" w:sz="4" w:space="0" w:color="000000"/>
            </w:tcBorders>
            <w:noWrap/>
            <w:vAlign w:val="center"/>
          </w:tcPr>
          <w:p/>
        </w:tc>
        <w:tc>
          <w:tcPr>
            <w:tcW w:w="1246" w:type="dxa"/>
            <w:gridSpan w:val="2"/>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cs="宋体" w:hint="eastAsia"/>
                <w:color w:val="000000"/>
                <w:kern w:val="0"/>
                <w:sz w:val="24"/>
              </w:rPr>
            </w:pPr>
            <w:r>
              <w:rPr>
                <w:rFonts w:ascii="宋体" w:cs="宋体" w:hint="eastAsia"/>
                <w:color w:val="000000"/>
                <w:kern w:val="0"/>
                <w:sz w:val="24"/>
              </w:rPr>
              <w:t>预算年终结余</w:t>
            </w:r>
            <w:r>
              <w:rPr>
                <w:rFonts w:ascii="宋体" w:cs="宋体"/>
                <w:color w:val="000000"/>
                <w:kern w:val="0"/>
                <w:sz w:val="24"/>
              </w:rPr>
              <w:t>率</w:t>
            </w:r>
          </w:p>
        </w:tc>
        <w:tc>
          <w:tcPr>
            <w:tcW w:w="803"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cs="宋体" w:hint="eastAsia"/>
                <w:color w:val="000000"/>
                <w:kern w:val="0"/>
                <w:sz w:val="24"/>
              </w:rPr>
            </w:pPr>
            <w:r>
              <w:rPr>
                <w:rFonts w:ascii="宋体" w:cs="宋体" w:hint="eastAsia"/>
                <w:color w:val="000000"/>
                <w:kern w:val="0"/>
                <w:sz w:val="24"/>
              </w:rPr>
              <w:t>≤5%</w:t>
            </w:r>
          </w:p>
        </w:tc>
        <w:tc>
          <w:tcPr>
            <w:tcW w:w="777" w:type="dxa"/>
            <w:gridSpan w:val="2"/>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cs="宋体" w:hint="eastAsia"/>
                <w:color w:val="000000"/>
                <w:kern w:val="0"/>
                <w:sz w:val="24"/>
              </w:rPr>
            </w:pPr>
            <w:r>
              <w:rPr>
                <w:rFonts w:ascii="宋体" w:cs="宋体" w:hint="eastAsia"/>
                <w:color w:val="000000"/>
                <w:kern w:val="0"/>
                <w:sz w:val="24"/>
              </w:rPr>
              <w:t>0</w:t>
            </w:r>
            <w:r>
              <w:rPr>
                <w:rFonts w:ascii="宋体" w:cs="宋体"/>
                <w:color w:val="000000"/>
                <w:kern w:val="0"/>
                <w:sz w:val="24"/>
              </w:rPr>
              <w:t>%</w:t>
            </w:r>
          </w:p>
        </w:tc>
        <w:tc>
          <w:tcPr>
            <w:tcW w:w="1018"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cs="宋体" w:hint="eastAsia"/>
                <w:color w:val="000000"/>
                <w:kern w:val="0"/>
                <w:sz w:val="24"/>
              </w:rPr>
            </w:pPr>
            <w:r>
              <w:rPr>
                <w:rFonts w:ascii="宋体" w:cs="宋体" w:hint="eastAsia"/>
                <w:color w:val="000000"/>
                <w:kern w:val="0"/>
                <w:sz w:val="24"/>
              </w:rPr>
              <w:t>0</w:t>
            </w:r>
            <w:r>
              <w:rPr>
                <w:rFonts w:ascii="宋体" w:cs="宋体"/>
                <w:color w:val="000000"/>
                <w:kern w:val="0"/>
                <w:sz w:val="24"/>
              </w:rPr>
              <w:t>%</w:t>
            </w:r>
          </w:p>
        </w:tc>
        <w:tc>
          <w:tcPr>
            <w:tcW w:w="1045" w:type="dxa"/>
            <w:gridSpan w:val="2"/>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cs="宋体" w:hint="eastAsia"/>
                <w:color w:val="000000"/>
                <w:kern w:val="0"/>
                <w:sz w:val="24"/>
              </w:rPr>
            </w:pPr>
            <w:r>
              <w:rPr>
                <w:rFonts w:ascii="宋体" w:cs="宋体" w:hint="eastAsia"/>
                <w:color w:val="000000"/>
                <w:kern w:val="0"/>
                <w:sz w:val="24"/>
              </w:rPr>
              <w:t>0</w:t>
            </w:r>
            <w:r>
              <w:rPr>
                <w:rFonts w:ascii="宋体" w:cs="宋体"/>
                <w:color w:val="000000"/>
                <w:kern w:val="0"/>
                <w:sz w:val="24"/>
              </w:rPr>
              <w:t>%</w:t>
            </w:r>
          </w:p>
        </w:tc>
        <w:tc>
          <w:tcPr>
            <w:tcW w:w="1111" w:type="dxa"/>
            <w:gridSpan w:val="2"/>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cs="宋体" w:hint="eastAsia"/>
                <w:color w:val="000000"/>
                <w:kern w:val="0"/>
                <w:sz w:val="24"/>
              </w:rPr>
            </w:pPr>
            <w:r>
              <w:rPr>
                <w:rFonts w:ascii="宋体" w:cs="宋体" w:hint="eastAsia"/>
                <w:color w:val="000000"/>
                <w:kern w:val="0"/>
                <w:sz w:val="24"/>
              </w:rPr>
              <w:t>0</w:t>
            </w:r>
            <w:r>
              <w:rPr>
                <w:rFonts w:ascii="宋体" w:cs="宋体"/>
                <w:color w:val="000000"/>
                <w:kern w:val="0"/>
                <w:sz w:val="24"/>
              </w:rPr>
              <w:t>%</w:t>
            </w:r>
          </w:p>
        </w:tc>
        <w:tc>
          <w:tcPr>
            <w:tcW w:w="1931" w:type="dxa"/>
            <w:gridSpan w:val="4"/>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cs="宋体" w:hint="eastAsia"/>
                <w:color w:val="000000"/>
                <w:kern w:val="0"/>
                <w:sz w:val="24"/>
              </w:rPr>
            </w:pPr>
            <w:r>
              <w:rPr>
                <w:rFonts w:ascii="宋体" w:cs="宋体" w:hint="eastAsia"/>
                <w:color w:val="000000"/>
                <w:kern w:val="0"/>
                <w:sz w:val="24"/>
              </w:rPr>
              <w:t>0</w:t>
            </w:r>
            <w:r>
              <w:rPr>
                <w:rFonts w:ascii="宋体" w:cs="宋体"/>
                <w:color w:val="000000"/>
                <w:kern w:val="0"/>
                <w:sz w:val="24"/>
              </w:rPr>
              <w:t>%</w:t>
            </w:r>
          </w:p>
        </w:tc>
      </w:tr>
      <w:tr>
        <w:trPr>
          <w:trHeight w:val="90"/>
          <w:gridAfter w:val="1"/>
          <w:wAfter w:w="694" w:type="dxa"/>
        </w:trPr>
        <w:tc>
          <w:tcPr>
            <w:tcW w:w="331" w:type="dxa"/>
            <w:gridSpan w:val="2"/>
            <w:vMerge/>
            <w:tcBorders>
              <w:top w:val="single" w:sz="4" w:space="0" w:color="000000"/>
              <w:left w:val="single" w:sz="4" w:space="0" w:color="000000"/>
              <w:bottom w:val="single" w:sz="4" w:space="0" w:color="000000"/>
              <w:right w:val="single" w:sz="4" w:space="0" w:color="000000"/>
            </w:tcBorders>
            <w:noWrap/>
            <w:vAlign w:val="center"/>
          </w:tcPr>
          <w:p/>
        </w:tc>
        <w:tc>
          <w:tcPr>
            <w:tcW w:w="593" w:type="dxa"/>
            <w:vMerge/>
            <w:tcBorders>
              <w:top w:val="single" w:sz="4" w:space="0" w:color="000000"/>
              <w:left w:val="single" w:sz="4" w:space="0" w:color="000000"/>
              <w:bottom w:val="single" w:sz="4" w:space="0" w:color="000000"/>
              <w:right w:val="single" w:sz="4" w:space="0" w:color="000000"/>
            </w:tcBorders>
            <w:noWrap/>
            <w:vAlign w:val="center"/>
          </w:tcPr>
          <w:p/>
        </w:tc>
        <w:tc>
          <w:tcPr>
            <w:tcW w:w="803" w:type="dxa"/>
            <w:gridSpan w:val="2"/>
            <w:vMerge/>
            <w:tcBorders>
              <w:top w:val="single" w:sz="4" w:space="0" w:color="000000"/>
              <w:left w:val="single" w:sz="4" w:space="0" w:color="000000"/>
              <w:bottom w:val="single" w:sz="4" w:space="0" w:color="000000"/>
              <w:right w:val="single" w:sz="4" w:space="0" w:color="000000"/>
            </w:tcBorders>
            <w:noWrap/>
            <w:vAlign w:val="center"/>
          </w:tcPr>
          <w:p/>
        </w:tc>
        <w:tc>
          <w:tcPr>
            <w:tcW w:w="1246" w:type="dxa"/>
            <w:gridSpan w:val="2"/>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cs="宋体" w:hint="eastAsia"/>
                <w:color w:val="000000"/>
                <w:kern w:val="0"/>
                <w:sz w:val="24"/>
              </w:rPr>
            </w:pPr>
            <w:r>
              <w:rPr>
                <w:rFonts w:ascii="宋体" w:cs="宋体" w:hint="eastAsia"/>
                <w:color w:val="000000"/>
                <w:kern w:val="0"/>
                <w:sz w:val="24"/>
              </w:rPr>
              <w:t>一般性支出</w:t>
            </w:r>
            <w:r>
              <w:rPr>
                <w:rFonts w:ascii="宋体" w:cs="宋体"/>
                <w:color w:val="000000"/>
                <w:kern w:val="0"/>
                <w:sz w:val="24"/>
              </w:rPr>
              <w:t>金额</w:t>
            </w:r>
          </w:p>
        </w:tc>
        <w:tc>
          <w:tcPr>
            <w:tcW w:w="803"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cs="宋体" w:hint="eastAsia"/>
                <w:color w:val="000000"/>
                <w:kern w:val="0"/>
                <w:sz w:val="24"/>
              </w:rPr>
            </w:pPr>
            <w:r>
              <w:rPr>
                <w:rFonts w:ascii="宋体" w:cs="宋体" w:hint="eastAsia"/>
                <w:color w:val="000000"/>
                <w:kern w:val="0"/>
                <w:sz w:val="24"/>
              </w:rPr>
              <w:t>≤1909.97</w:t>
            </w:r>
            <w:r>
              <w:rPr>
                <w:rFonts w:ascii="宋体" w:cs="宋体"/>
                <w:color w:val="000000"/>
                <w:kern w:val="0"/>
                <w:sz w:val="24"/>
              </w:rPr>
              <w:t>万元</w:t>
            </w:r>
          </w:p>
        </w:tc>
        <w:tc>
          <w:tcPr>
            <w:tcW w:w="3951" w:type="dxa"/>
            <w:gridSpan w:val="7"/>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cs="宋体" w:hint="eastAsia"/>
                <w:color w:val="000000"/>
                <w:kern w:val="0"/>
                <w:sz w:val="24"/>
              </w:rPr>
            </w:pPr>
            <w:r>
              <w:rPr>
                <w:rFonts w:ascii="宋体" w:cs="宋体" w:hint="eastAsia"/>
                <w:color w:val="000000"/>
                <w:kern w:val="0"/>
                <w:sz w:val="24"/>
              </w:rPr>
              <w:t>1909.97</w:t>
            </w:r>
            <w:r>
              <w:rPr>
                <w:rFonts w:ascii="宋体" w:cs="宋体"/>
                <w:color w:val="000000"/>
                <w:kern w:val="0"/>
                <w:sz w:val="24"/>
              </w:rPr>
              <w:t>万元为</w:t>
            </w:r>
            <w:r>
              <w:rPr>
                <w:rFonts w:ascii="宋体" w:cs="宋体" w:hint="eastAsia"/>
                <w:color w:val="000000"/>
                <w:kern w:val="0"/>
                <w:sz w:val="24"/>
              </w:rPr>
              <w:t>2025</w:t>
            </w:r>
            <w:r>
              <w:rPr>
                <w:rFonts w:ascii="宋体" w:cs="宋体"/>
                <w:color w:val="000000"/>
                <w:kern w:val="0"/>
                <w:sz w:val="24"/>
              </w:rPr>
              <w:t>年一般性支出金额</w:t>
            </w:r>
          </w:p>
        </w:tc>
        <w:tc>
          <w:tcPr>
            <w:tcW w:w="1931" w:type="dxa"/>
            <w:gridSpan w:val="4"/>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cs="宋体" w:hint="eastAsia"/>
                <w:color w:val="000000"/>
                <w:kern w:val="0"/>
                <w:sz w:val="24"/>
              </w:rPr>
            </w:pPr>
            <w:r>
              <w:rPr>
                <w:rFonts w:ascii="宋体" w:cs="宋体" w:hint="eastAsia"/>
                <w:color w:val="000000"/>
                <w:kern w:val="0"/>
                <w:sz w:val="24"/>
              </w:rPr>
              <w:t>1909.97</w:t>
            </w:r>
            <w:r>
              <w:rPr>
                <w:rFonts w:ascii="宋体" w:cs="宋体"/>
                <w:color w:val="000000"/>
                <w:kern w:val="0"/>
                <w:sz w:val="24"/>
              </w:rPr>
              <w:t>万元</w:t>
            </w:r>
          </w:p>
        </w:tc>
      </w:tr>
      <w:tr>
        <w:trPr>
          <w:trHeight w:val="90"/>
          <w:gridAfter w:val="1"/>
          <w:wAfter w:w="694" w:type="dxa"/>
        </w:trPr>
        <w:tc>
          <w:tcPr>
            <w:tcW w:w="331" w:type="dxa"/>
            <w:gridSpan w:val="2"/>
            <w:vMerge/>
            <w:tcBorders>
              <w:top w:val="single" w:sz="4" w:space="0" w:color="000000"/>
              <w:left w:val="single" w:sz="4" w:space="0" w:color="000000"/>
              <w:bottom w:val="single" w:sz="4" w:space="0" w:color="000000"/>
              <w:right w:val="single" w:sz="4" w:space="0" w:color="000000"/>
            </w:tcBorders>
            <w:noWrap/>
            <w:vAlign w:val="center"/>
          </w:tcPr>
          <w:p/>
        </w:tc>
        <w:tc>
          <w:tcPr>
            <w:tcW w:w="593" w:type="dxa"/>
            <w:vMerge/>
            <w:tcBorders>
              <w:top w:val="single" w:sz="4" w:space="0" w:color="000000"/>
              <w:left w:val="single" w:sz="4" w:space="0" w:color="000000"/>
              <w:bottom w:val="single" w:sz="4" w:space="0" w:color="000000"/>
              <w:right w:val="single" w:sz="4" w:space="0" w:color="000000"/>
            </w:tcBorders>
            <w:noWrap/>
            <w:vAlign w:val="center"/>
          </w:tcPr>
          <w:p/>
        </w:tc>
        <w:tc>
          <w:tcPr>
            <w:tcW w:w="803" w:type="dxa"/>
            <w:gridSpan w:val="2"/>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cs="宋体" w:hint="eastAsia"/>
                <w:color w:val="000000"/>
                <w:kern w:val="0"/>
                <w:sz w:val="24"/>
              </w:rPr>
            </w:pPr>
            <w:r>
              <w:rPr>
                <w:rFonts w:ascii="宋体" w:cs="宋体" w:hint="eastAsia"/>
                <w:color w:val="000000"/>
                <w:kern w:val="0"/>
                <w:sz w:val="24"/>
              </w:rPr>
              <w:t>财务管理</w:t>
            </w:r>
          </w:p>
        </w:tc>
        <w:tc>
          <w:tcPr>
            <w:tcW w:w="1246" w:type="dxa"/>
            <w:gridSpan w:val="2"/>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cs="宋体" w:hint="eastAsia"/>
                <w:color w:val="000000"/>
                <w:kern w:val="0"/>
                <w:sz w:val="24"/>
              </w:rPr>
            </w:pPr>
            <w:r>
              <w:rPr>
                <w:rFonts w:ascii="宋体" w:cs="宋体" w:hint="eastAsia"/>
                <w:color w:val="000000"/>
                <w:kern w:val="0"/>
                <w:sz w:val="24"/>
              </w:rPr>
              <w:t>财务管理规范</w:t>
            </w:r>
          </w:p>
        </w:tc>
        <w:tc>
          <w:tcPr>
            <w:tcW w:w="803"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cs="宋体" w:hint="eastAsia"/>
                <w:color w:val="000000"/>
                <w:kern w:val="0"/>
                <w:sz w:val="24"/>
              </w:rPr>
            </w:pPr>
            <w:r>
              <w:rPr>
                <w:rFonts w:ascii="宋体" w:cs="宋体"/>
                <w:color w:val="000000"/>
                <w:kern w:val="0"/>
                <w:sz w:val="24"/>
              </w:rPr>
              <w:t>良</w:t>
            </w:r>
          </w:p>
        </w:tc>
        <w:tc>
          <w:tcPr>
            <w:tcW w:w="3951" w:type="dxa"/>
            <w:gridSpan w:val="7"/>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cs="宋体" w:hint="eastAsia"/>
                <w:color w:val="000000"/>
                <w:kern w:val="0"/>
                <w:sz w:val="24"/>
              </w:rPr>
            </w:pPr>
            <w:r>
              <w:rPr>
                <w:rFonts w:ascii="宋体" w:cs="宋体"/>
                <w:color w:val="000000"/>
                <w:kern w:val="0"/>
                <w:sz w:val="24"/>
              </w:rPr>
              <w:t>良</w:t>
            </w:r>
          </w:p>
        </w:tc>
        <w:tc>
          <w:tcPr>
            <w:tcW w:w="1931" w:type="dxa"/>
            <w:gridSpan w:val="4"/>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cs="宋体" w:hint="eastAsia"/>
                <w:color w:val="000000"/>
                <w:kern w:val="0"/>
                <w:sz w:val="24"/>
              </w:rPr>
            </w:pPr>
            <w:r>
              <w:rPr>
                <w:rFonts w:ascii="宋体" w:cs="宋体"/>
                <w:color w:val="000000"/>
                <w:kern w:val="0"/>
                <w:sz w:val="24"/>
              </w:rPr>
              <w:t>良</w:t>
            </w:r>
          </w:p>
        </w:tc>
      </w:tr>
      <w:tr>
        <w:trPr>
          <w:trHeight w:val="90"/>
          <w:gridAfter w:val="1"/>
          <w:wAfter w:w="694" w:type="dxa"/>
        </w:trPr>
        <w:tc>
          <w:tcPr>
            <w:tcW w:w="331" w:type="dxa"/>
            <w:gridSpan w:val="2"/>
            <w:vMerge/>
            <w:tcBorders>
              <w:top w:val="single" w:sz="4" w:space="0" w:color="000000"/>
              <w:left w:val="single" w:sz="4" w:space="0" w:color="000000"/>
              <w:bottom w:val="single" w:sz="4" w:space="0" w:color="000000"/>
              <w:right w:val="single" w:sz="4" w:space="0" w:color="000000"/>
            </w:tcBorders>
            <w:noWrap/>
            <w:vAlign w:val="center"/>
          </w:tcPr>
          <w:p/>
        </w:tc>
        <w:tc>
          <w:tcPr>
            <w:tcW w:w="593" w:type="dxa"/>
            <w:vMerge/>
            <w:tcBorders>
              <w:top w:val="single" w:sz="4" w:space="0" w:color="000000"/>
              <w:left w:val="single" w:sz="4" w:space="0" w:color="000000"/>
              <w:bottom w:val="single" w:sz="4" w:space="0" w:color="000000"/>
              <w:right w:val="single" w:sz="4" w:space="0" w:color="000000"/>
            </w:tcBorders>
            <w:noWrap/>
            <w:vAlign w:val="center"/>
          </w:tcPr>
          <w:p/>
        </w:tc>
        <w:tc>
          <w:tcPr>
            <w:tcW w:w="803" w:type="dxa"/>
            <w:gridSpan w:val="2"/>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cs="宋体" w:hint="eastAsia"/>
                <w:color w:val="000000"/>
                <w:kern w:val="0"/>
                <w:sz w:val="24"/>
              </w:rPr>
            </w:pPr>
            <w:r>
              <w:rPr>
                <w:rFonts w:ascii="宋体" w:cs="宋体" w:hint="eastAsia"/>
                <w:color w:val="000000"/>
                <w:kern w:val="0"/>
                <w:sz w:val="24"/>
              </w:rPr>
              <w:t>资产管理</w:t>
            </w:r>
          </w:p>
        </w:tc>
        <w:tc>
          <w:tcPr>
            <w:tcW w:w="1246" w:type="dxa"/>
            <w:gridSpan w:val="2"/>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cs="宋体" w:hint="eastAsia"/>
                <w:color w:val="000000"/>
                <w:kern w:val="0"/>
                <w:sz w:val="24"/>
              </w:rPr>
            </w:pPr>
            <w:r>
              <w:rPr>
                <w:rFonts w:ascii="宋体" w:cs="宋体" w:hint="eastAsia"/>
                <w:color w:val="000000"/>
                <w:kern w:val="0"/>
                <w:sz w:val="24"/>
              </w:rPr>
              <w:t>资产配置预算偏离度</w:t>
            </w:r>
          </w:p>
        </w:tc>
        <w:tc>
          <w:tcPr>
            <w:tcW w:w="803"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cs="宋体" w:hint="eastAsia"/>
                <w:color w:val="000000"/>
                <w:kern w:val="0"/>
                <w:sz w:val="24"/>
              </w:rPr>
            </w:pPr>
            <w:r>
              <w:rPr>
                <w:rFonts w:ascii="宋体" w:cs="宋体" w:hint="eastAsia"/>
                <w:color w:val="000000"/>
                <w:kern w:val="0"/>
                <w:sz w:val="24"/>
              </w:rPr>
              <w:t>≤15%</w:t>
            </w:r>
          </w:p>
        </w:tc>
        <w:tc>
          <w:tcPr>
            <w:tcW w:w="777" w:type="dxa"/>
            <w:gridSpan w:val="2"/>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cs="宋体" w:hint="eastAsia"/>
                <w:color w:val="000000"/>
                <w:kern w:val="0"/>
                <w:sz w:val="24"/>
              </w:rPr>
            </w:pPr>
            <w:r>
              <w:rPr>
                <w:rFonts w:ascii="宋体" w:cs="宋体" w:hint="eastAsia"/>
                <w:color w:val="000000"/>
                <w:kern w:val="0"/>
                <w:sz w:val="24"/>
              </w:rPr>
              <w:t>10</w:t>
            </w:r>
            <w:r>
              <w:rPr>
                <w:rFonts w:ascii="宋体" w:cs="宋体"/>
                <w:color w:val="000000"/>
                <w:kern w:val="0"/>
                <w:sz w:val="24"/>
              </w:rPr>
              <w:t>%</w:t>
            </w:r>
          </w:p>
        </w:tc>
        <w:tc>
          <w:tcPr>
            <w:tcW w:w="1018"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cs="宋体" w:hint="eastAsia"/>
                <w:color w:val="000000"/>
                <w:kern w:val="0"/>
                <w:sz w:val="24"/>
              </w:rPr>
            </w:pPr>
            <w:r>
              <w:rPr>
                <w:rFonts w:ascii="宋体" w:cs="宋体" w:hint="eastAsia"/>
                <w:color w:val="000000"/>
                <w:kern w:val="0"/>
                <w:sz w:val="24"/>
              </w:rPr>
              <w:t>11%</w:t>
            </w:r>
          </w:p>
        </w:tc>
        <w:tc>
          <w:tcPr>
            <w:tcW w:w="1045" w:type="dxa"/>
            <w:gridSpan w:val="2"/>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cs="宋体" w:hint="eastAsia"/>
                <w:color w:val="000000"/>
                <w:kern w:val="0"/>
                <w:sz w:val="24"/>
              </w:rPr>
            </w:pPr>
            <w:r>
              <w:rPr>
                <w:rFonts w:ascii="宋体" w:cs="宋体" w:hint="eastAsia"/>
                <w:color w:val="000000"/>
                <w:kern w:val="0"/>
                <w:sz w:val="24"/>
              </w:rPr>
              <w:t>9%</w:t>
            </w:r>
          </w:p>
        </w:tc>
        <w:tc>
          <w:tcPr>
            <w:tcW w:w="1111" w:type="dxa"/>
            <w:gridSpan w:val="2"/>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cs="宋体" w:hint="eastAsia"/>
                <w:color w:val="000000"/>
                <w:kern w:val="0"/>
                <w:sz w:val="24"/>
              </w:rPr>
            </w:pPr>
            <w:r>
              <w:rPr>
                <w:rFonts w:ascii="宋体" w:cs="宋体" w:hint="eastAsia"/>
                <w:color w:val="000000"/>
                <w:kern w:val="0"/>
                <w:sz w:val="24"/>
              </w:rPr>
              <w:t>11%</w:t>
            </w:r>
          </w:p>
        </w:tc>
        <w:tc>
          <w:tcPr>
            <w:tcW w:w="1931" w:type="dxa"/>
            <w:gridSpan w:val="4"/>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cs="宋体" w:hint="eastAsia"/>
                <w:color w:val="000000"/>
                <w:kern w:val="0"/>
                <w:sz w:val="24"/>
              </w:rPr>
            </w:pPr>
            <w:r>
              <w:rPr>
                <w:rFonts w:ascii="宋体" w:cs="宋体" w:hint="eastAsia"/>
                <w:color w:val="000000"/>
                <w:kern w:val="0"/>
                <w:sz w:val="24"/>
              </w:rPr>
              <w:t>10</w:t>
            </w:r>
            <w:r>
              <w:rPr>
                <w:rFonts w:ascii="宋体" w:cs="宋体"/>
                <w:color w:val="000000"/>
                <w:kern w:val="0"/>
                <w:sz w:val="24"/>
              </w:rPr>
              <w:t>%</w:t>
            </w:r>
          </w:p>
        </w:tc>
      </w:tr>
      <w:tr>
        <w:trPr>
          <w:trHeight w:val="90"/>
          <w:gridAfter w:val="1"/>
          <w:wAfter w:w="694" w:type="dxa"/>
        </w:trPr>
        <w:tc>
          <w:tcPr>
            <w:tcW w:w="331" w:type="dxa"/>
            <w:gridSpan w:val="2"/>
            <w:vMerge/>
            <w:tcBorders>
              <w:top w:val="single" w:sz="4" w:space="0" w:color="000000"/>
              <w:left w:val="single" w:sz="4" w:space="0" w:color="000000"/>
              <w:bottom w:val="single" w:sz="4" w:space="0" w:color="000000"/>
              <w:right w:val="single" w:sz="4" w:space="0" w:color="000000"/>
            </w:tcBorders>
            <w:noWrap/>
            <w:vAlign w:val="center"/>
          </w:tcPr>
          <w:p/>
        </w:tc>
        <w:tc>
          <w:tcPr>
            <w:tcW w:w="593" w:type="dxa"/>
            <w:vMerge/>
            <w:tcBorders>
              <w:top w:val="single" w:sz="4" w:space="0" w:color="000000"/>
              <w:left w:val="single" w:sz="4" w:space="0" w:color="000000"/>
              <w:bottom w:val="single" w:sz="4" w:space="0" w:color="000000"/>
              <w:right w:val="single" w:sz="4" w:space="0" w:color="000000"/>
            </w:tcBorders>
            <w:noWrap/>
            <w:vAlign w:val="center"/>
          </w:tcPr>
          <w:p/>
        </w:tc>
        <w:tc>
          <w:tcPr>
            <w:tcW w:w="803" w:type="dxa"/>
            <w:gridSpan w:val="2"/>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cs="宋体" w:hint="eastAsia"/>
                <w:color w:val="000000"/>
                <w:kern w:val="0"/>
                <w:sz w:val="24"/>
              </w:rPr>
            </w:pPr>
            <w:r>
              <w:rPr>
                <w:rFonts w:ascii="宋体" w:cs="宋体" w:hint="eastAsia"/>
                <w:color w:val="000000"/>
                <w:kern w:val="0"/>
                <w:sz w:val="24"/>
              </w:rPr>
              <w:t>采购管理</w:t>
            </w:r>
          </w:p>
        </w:tc>
        <w:tc>
          <w:tcPr>
            <w:tcW w:w="1246" w:type="dxa"/>
            <w:gridSpan w:val="2"/>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cs="宋体" w:hint="eastAsia"/>
                <w:color w:val="000000"/>
                <w:kern w:val="0"/>
                <w:sz w:val="24"/>
              </w:rPr>
            </w:pPr>
            <w:r>
              <w:rPr>
                <w:rFonts w:ascii="宋体" w:cs="宋体" w:hint="eastAsia"/>
                <w:color w:val="000000"/>
                <w:kern w:val="0"/>
                <w:sz w:val="24"/>
              </w:rPr>
              <w:t>采购执行率</w:t>
            </w:r>
          </w:p>
        </w:tc>
        <w:tc>
          <w:tcPr>
            <w:tcW w:w="803"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cs="宋体" w:hint="eastAsia"/>
                <w:color w:val="000000"/>
                <w:kern w:val="0"/>
                <w:sz w:val="24"/>
              </w:rPr>
            </w:pPr>
            <w:r>
              <w:rPr>
                <w:rFonts w:ascii="宋体" w:cs="宋体" w:hint="eastAsia"/>
                <w:color w:val="000000"/>
                <w:kern w:val="0"/>
                <w:sz w:val="24"/>
              </w:rPr>
              <w:t>≥90%</w:t>
            </w:r>
          </w:p>
        </w:tc>
        <w:tc>
          <w:tcPr>
            <w:tcW w:w="777" w:type="dxa"/>
            <w:gridSpan w:val="2"/>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cs="宋体" w:hint="eastAsia"/>
                <w:color w:val="000000"/>
                <w:kern w:val="0"/>
                <w:sz w:val="24"/>
              </w:rPr>
            </w:pPr>
            <w:r>
              <w:rPr>
                <w:rFonts w:ascii="宋体" w:cs="宋体" w:hint="eastAsia"/>
                <w:color w:val="000000"/>
                <w:kern w:val="0"/>
                <w:sz w:val="24"/>
              </w:rPr>
              <w:t>93</w:t>
            </w:r>
            <w:r>
              <w:rPr>
                <w:rFonts w:ascii="宋体" w:cs="宋体"/>
                <w:color w:val="000000"/>
                <w:kern w:val="0"/>
                <w:sz w:val="24"/>
              </w:rPr>
              <w:t>%</w:t>
            </w:r>
          </w:p>
        </w:tc>
        <w:tc>
          <w:tcPr>
            <w:tcW w:w="1018"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cs="宋体" w:hint="eastAsia"/>
                <w:color w:val="000000"/>
                <w:kern w:val="0"/>
                <w:sz w:val="24"/>
              </w:rPr>
            </w:pPr>
            <w:r>
              <w:rPr>
                <w:rFonts w:ascii="宋体" w:cs="宋体" w:hint="eastAsia"/>
                <w:color w:val="000000"/>
                <w:kern w:val="0"/>
                <w:sz w:val="24"/>
              </w:rPr>
              <w:t>95%</w:t>
            </w:r>
          </w:p>
        </w:tc>
        <w:tc>
          <w:tcPr>
            <w:tcW w:w="1045" w:type="dxa"/>
            <w:gridSpan w:val="2"/>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cs="宋体" w:hint="eastAsia"/>
                <w:color w:val="000000"/>
                <w:kern w:val="0"/>
                <w:sz w:val="24"/>
              </w:rPr>
            </w:pPr>
            <w:r>
              <w:rPr>
                <w:rFonts w:ascii="宋体" w:cs="宋体" w:hint="eastAsia"/>
                <w:color w:val="000000"/>
                <w:kern w:val="0"/>
                <w:sz w:val="24"/>
              </w:rPr>
              <w:t>90%</w:t>
            </w:r>
          </w:p>
        </w:tc>
        <w:tc>
          <w:tcPr>
            <w:tcW w:w="1111" w:type="dxa"/>
            <w:gridSpan w:val="2"/>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cs="宋体" w:hint="eastAsia"/>
                <w:color w:val="000000"/>
                <w:kern w:val="0"/>
                <w:sz w:val="24"/>
              </w:rPr>
            </w:pPr>
            <w:r>
              <w:rPr>
                <w:rFonts w:ascii="宋体" w:cs="宋体" w:hint="eastAsia"/>
                <w:color w:val="000000"/>
                <w:kern w:val="0"/>
                <w:sz w:val="24"/>
              </w:rPr>
              <w:t>94%</w:t>
            </w:r>
          </w:p>
        </w:tc>
        <w:tc>
          <w:tcPr>
            <w:tcW w:w="1931" w:type="dxa"/>
            <w:gridSpan w:val="4"/>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cs="宋体" w:hint="eastAsia"/>
                <w:color w:val="000000"/>
                <w:kern w:val="0"/>
                <w:sz w:val="24"/>
              </w:rPr>
            </w:pPr>
            <w:r>
              <w:rPr>
                <w:rFonts w:ascii="宋体" w:cs="宋体" w:hint="eastAsia"/>
                <w:color w:val="000000"/>
                <w:kern w:val="0"/>
                <w:sz w:val="24"/>
              </w:rPr>
              <w:t>93</w:t>
            </w:r>
            <w:r>
              <w:rPr>
                <w:rFonts w:ascii="宋体" w:cs="宋体"/>
                <w:color w:val="000000"/>
                <w:kern w:val="0"/>
                <w:sz w:val="24"/>
              </w:rPr>
              <w:t>%</w:t>
            </w:r>
          </w:p>
        </w:tc>
      </w:tr>
      <w:tr>
        <w:trPr>
          <w:trHeight w:val="468"/>
          <w:gridAfter w:val="1"/>
          <w:wAfter w:w="694" w:type="dxa"/>
        </w:trPr>
        <w:tc>
          <w:tcPr>
            <w:tcW w:w="331" w:type="dxa"/>
            <w:gridSpan w:val="2"/>
            <w:vMerge w:val="restart"/>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cs="宋体" w:hint="eastAsia"/>
                <w:color w:val="000000"/>
                <w:kern w:val="0"/>
                <w:sz w:val="24"/>
              </w:rPr>
            </w:pPr>
            <w:r>
              <w:rPr>
                <w:rFonts w:ascii="宋体" w:cs="宋体" w:hint="eastAsia"/>
                <w:color w:val="000000"/>
                <w:kern w:val="0"/>
                <w:sz w:val="24"/>
              </w:rPr>
              <w:t>履职效能</w:t>
            </w:r>
          </w:p>
        </w:tc>
        <w:tc>
          <w:tcPr>
            <w:tcW w:w="593" w:type="dxa"/>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cs="宋体" w:hint="eastAsia"/>
                <w:color w:val="000000"/>
                <w:kern w:val="0"/>
                <w:sz w:val="24"/>
              </w:rPr>
            </w:pPr>
            <w:r>
              <w:rPr>
                <w:rFonts w:ascii="宋体" w:cs="宋体" w:hint="eastAsia"/>
                <w:color w:val="000000"/>
                <w:kern w:val="0"/>
                <w:sz w:val="24"/>
              </w:rPr>
              <w:t>一级指标</w:t>
            </w:r>
          </w:p>
        </w:tc>
        <w:tc>
          <w:tcPr>
            <w:tcW w:w="803" w:type="dxa"/>
            <w:gridSpan w:val="2"/>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cs="宋体" w:hint="eastAsia"/>
                <w:color w:val="000000"/>
                <w:kern w:val="0"/>
                <w:sz w:val="24"/>
              </w:rPr>
            </w:pPr>
            <w:r>
              <w:rPr>
                <w:rFonts w:ascii="宋体" w:cs="宋体" w:hint="eastAsia"/>
                <w:color w:val="000000"/>
                <w:kern w:val="0"/>
                <w:sz w:val="24"/>
              </w:rPr>
              <w:t>二级指标</w:t>
            </w:r>
          </w:p>
        </w:tc>
        <w:tc>
          <w:tcPr>
            <w:tcW w:w="1246" w:type="dxa"/>
            <w:gridSpan w:val="2"/>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cs="宋体" w:hint="eastAsia"/>
                <w:color w:val="000000"/>
                <w:kern w:val="0"/>
                <w:sz w:val="24"/>
              </w:rPr>
            </w:pPr>
            <w:r>
              <w:rPr>
                <w:rFonts w:ascii="宋体" w:cs="宋体" w:hint="eastAsia"/>
                <w:color w:val="000000"/>
                <w:kern w:val="0"/>
                <w:sz w:val="24"/>
              </w:rPr>
              <w:t>三级指标</w:t>
            </w:r>
          </w:p>
        </w:tc>
        <w:tc>
          <w:tcPr>
            <w:tcW w:w="4754" w:type="dxa"/>
            <w:gridSpan w:val="8"/>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cs="宋体" w:hint="eastAsia"/>
                <w:color w:val="000000"/>
                <w:kern w:val="0"/>
                <w:sz w:val="24"/>
              </w:rPr>
            </w:pPr>
            <w:r>
              <w:rPr>
                <w:rFonts w:ascii="宋体" w:cs="宋体" w:hint="eastAsia"/>
                <w:color w:val="000000"/>
                <w:kern w:val="0"/>
                <w:sz w:val="24"/>
              </w:rPr>
              <w:t>指标值（包含数字及文字描述）</w:t>
            </w:r>
          </w:p>
        </w:tc>
        <w:tc>
          <w:tcPr>
            <w:tcW w:w="1931" w:type="dxa"/>
            <w:gridSpan w:val="4"/>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cs="宋体" w:hint="eastAsia"/>
                <w:color w:val="000000"/>
                <w:kern w:val="0"/>
                <w:sz w:val="24"/>
              </w:rPr>
            </w:pPr>
          </w:p>
        </w:tc>
      </w:tr>
      <w:tr>
        <w:trPr>
          <w:trHeight w:val="296"/>
          <w:gridAfter w:val="1"/>
          <w:wAfter w:w="694" w:type="dxa"/>
        </w:trPr>
        <w:tc>
          <w:tcPr>
            <w:tcW w:w="331" w:type="dxa"/>
            <w:gridSpan w:val="2"/>
            <w:vMerge/>
            <w:tcBorders>
              <w:top w:val="single" w:sz="4" w:space="0" w:color="000000"/>
              <w:left w:val="single" w:sz="4" w:space="0" w:color="000000"/>
              <w:bottom w:val="single" w:sz="4" w:space="0" w:color="000000"/>
              <w:right w:val="single" w:sz="4" w:space="0" w:color="000000"/>
            </w:tcBorders>
            <w:noWrap/>
            <w:vAlign w:val="center"/>
          </w:tcPr>
          <w:p/>
        </w:tc>
        <w:tc>
          <w:tcPr>
            <w:tcW w:w="593" w:type="dxa"/>
            <w:vMerge w:val="restart"/>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cs="宋体" w:hint="eastAsia"/>
                <w:color w:val="000000"/>
                <w:kern w:val="0"/>
                <w:sz w:val="24"/>
              </w:rPr>
            </w:pPr>
            <w:r>
              <w:rPr>
                <w:rFonts w:ascii="宋体" w:cs="宋体" w:hint="eastAsia"/>
                <w:color w:val="000000"/>
                <w:kern w:val="0"/>
                <w:sz w:val="24"/>
              </w:rPr>
              <w:t>产出指标</w:t>
            </w:r>
          </w:p>
        </w:tc>
        <w:tc>
          <w:tcPr>
            <w:tcW w:w="803" w:type="dxa"/>
            <w:gridSpan w:val="2"/>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cs="宋体" w:hint="eastAsia"/>
                <w:color w:val="000000"/>
                <w:kern w:val="0"/>
                <w:sz w:val="24"/>
              </w:rPr>
            </w:pPr>
            <w:r>
              <w:rPr>
                <w:rFonts w:ascii="宋体" w:cs="宋体"/>
                <w:color w:val="000000"/>
                <w:kern w:val="0"/>
                <w:sz w:val="18"/>
                <w:szCs w:val="18"/>
              </w:rPr>
              <w:t>数量指标</w:t>
            </w:r>
          </w:p>
        </w:tc>
        <w:tc>
          <w:tcPr>
            <w:tcW w:w="1246" w:type="dxa"/>
            <w:gridSpan w:val="2"/>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cs="宋体" w:hint="eastAsia"/>
                <w:color w:val="000000"/>
                <w:kern w:val="0"/>
                <w:sz w:val="24"/>
              </w:rPr>
            </w:pPr>
            <w:r>
              <w:rPr>
                <w:rFonts w:ascii="宋体" w:cs="宋体"/>
                <w:color w:val="000000"/>
                <w:kern w:val="0"/>
                <w:sz w:val="18"/>
                <w:szCs w:val="18"/>
              </w:rPr>
              <w:t>招收学生人数</w:t>
            </w:r>
          </w:p>
        </w:tc>
        <w:tc>
          <w:tcPr>
            <w:tcW w:w="4754" w:type="dxa"/>
            <w:gridSpan w:val="8"/>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cs="宋体" w:hint="eastAsia"/>
                <w:color w:val="000000"/>
                <w:kern w:val="0"/>
                <w:sz w:val="24"/>
              </w:rPr>
            </w:pPr>
            <w:r>
              <w:rPr>
                <w:rFonts w:ascii="宋体" w:cs="宋体"/>
                <w:color w:val="000000"/>
                <w:kern w:val="0"/>
                <w:sz w:val="18"/>
                <w:szCs w:val="18"/>
              </w:rPr>
              <w:t>≥</w:t>
            </w:r>
            <w:r>
              <w:rPr>
                <w:rFonts w:ascii="宋体" w:cs="宋体" w:hint="eastAsia"/>
                <w:color w:val="000000"/>
                <w:kern w:val="0"/>
                <w:sz w:val="18"/>
                <w:szCs w:val="18"/>
              </w:rPr>
              <w:t>300人</w:t>
            </w:r>
          </w:p>
        </w:tc>
        <w:tc>
          <w:tcPr>
            <w:tcW w:w="1931" w:type="dxa"/>
            <w:gridSpan w:val="4"/>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cs="宋体" w:hint="eastAsia"/>
                <w:color w:val="000000"/>
                <w:kern w:val="0"/>
                <w:sz w:val="24"/>
              </w:rPr>
            </w:pPr>
            <w:r>
              <w:rPr>
                <w:rFonts w:ascii="宋体" w:cs="宋体" w:hint="eastAsia"/>
                <w:color w:val="000000"/>
                <w:kern w:val="0"/>
                <w:sz w:val="24"/>
              </w:rPr>
              <w:t>2</w:t>
            </w:r>
            <w:r>
              <w:rPr>
                <w:rFonts w:ascii="宋体" w:cs="宋体" w:hint="eastAsia"/>
                <w:color w:val="000000"/>
                <w:kern w:val="0"/>
                <w:sz w:val="18"/>
                <w:szCs w:val="18"/>
              </w:rPr>
              <w:t>025年345人，小学生人数249人，幼儿园学生96人</w:t>
            </w:r>
          </w:p>
        </w:tc>
      </w:tr>
      <w:tr>
        <w:trPr>
          <w:trHeight w:val="296"/>
          <w:gridAfter w:val="1"/>
          <w:wAfter w:w="694" w:type="dxa"/>
        </w:trPr>
        <w:tc>
          <w:tcPr>
            <w:tcW w:w="331" w:type="dxa"/>
            <w:gridSpan w:val="2"/>
            <w:vMerge/>
            <w:tcBorders>
              <w:top w:val="single" w:sz="4" w:space="0" w:color="000000"/>
              <w:left w:val="single" w:sz="4" w:space="0" w:color="000000"/>
              <w:bottom w:val="single" w:sz="4" w:space="0" w:color="000000"/>
              <w:right w:val="single" w:sz="4" w:space="0" w:color="000000"/>
            </w:tcBorders>
            <w:noWrap/>
            <w:vAlign w:val="center"/>
          </w:tcPr>
          <w:p/>
        </w:tc>
        <w:tc>
          <w:tcPr>
            <w:tcW w:w="593" w:type="dxa"/>
            <w:vMerge/>
            <w:tcBorders>
              <w:top w:val="single" w:sz="4" w:space="0" w:color="000000"/>
              <w:left w:val="single" w:sz="4" w:space="0" w:color="000000"/>
              <w:bottom w:val="single" w:sz="4" w:space="0" w:color="000000"/>
              <w:right w:val="single" w:sz="4" w:space="0" w:color="000000"/>
            </w:tcBorders>
            <w:noWrap/>
            <w:vAlign w:val="center"/>
          </w:tcPr>
          <w:p/>
        </w:tc>
        <w:tc>
          <w:tcPr>
            <w:tcW w:w="803" w:type="dxa"/>
            <w:gridSpan w:val="2"/>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cs="宋体" w:hint="eastAsia"/>
                <w:color w:val="000000"/>
                <w:kern w:val="0"/>
                <w:sz w:val="24"/>
              </w:rPr>
            </w:pPr>
            <w:r>
              <w:rPr>
                <w:rFonts w:ascii="宋体" w:cs="宋体"/>
                <w:color w:val="000000"/>
                <w:kern w:val="0"/>
                <w:sz w:val="18"/>
                <w:szCs w:val="18"/>
              </w:rPr>
              <w:t>质量指标</w:t>
            </w:r>
          </w:p>
        </w:tc>
        <w:tc>
          <w:tcPr>
            <w:tcW w:w="1246" w:type="dxa"/>
            <w:gridSpan w:val="2"/>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cs="宋体" w:hint="eastAsia"/>
                <w:color w:val="000000"/>
                <w:kern w:val="0"/>
                <w:sz w:val="24"/>
              </w:rPr>
            </w:pPr>
            <w:r>
              <w:rPr>
                <w:rFonts w:ascii="宋体" w:cs="宋体"/>
                <w:color w:val="000000"/>
                <w:kern w:val="0"/>
                <w:sz w:val="18"/>
                <w:szCs w:val="18"/>
              </w:rPr>
              <w:t>教学活动开展质量</w:t>
            </w:r>
          </w:p>
        </w:tc>
        <w:tc>
          <w:tcPr>
            <w:tcW w:w="4754" w:type="dxa"/>
            <w:gridSpan w:val="8"/>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cs="宋体" w:hint="eastAsia"/>
                <w:color w:val="000000"/>
                <w:kern w:val="0"/>
                <w:sz w:val="24"/>
              </w:rPr>
            </w:pPr>
            <w:r>
              <w:rPr>
                <w:rFonts w:ascii="宋体" w:cs="宋体" w:hint="eastAsia"/>
                <w:color w:val="000000"/>
                <w:kern w:val="0"/>
                <w:sz w:val="18"/>
                <w:szCs w:val="18"/>
              </w:rPr>
              <w:t>良好</w:t>
            </w:r>
          </w:p>
        </w:tc>
        <w:tc>
          <w:tcPr>
            <w:tcW w:w="1931" w:type="dxa"/>
            <w:gridSpan w:val="4"/>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cs="宋体" w:hint="eastAsia"/>
                <w:color w:val="000000"/>
                <w:kern w:val="0"/>
                <w:sz w:val="24"/>
              </w:rPr>
            </w:pPr>
            <w:r>
              <w:rPr>
                <w:rFonts w:ascii="宋体" w:cs="宋体" w:hint="eastAsia"/>
                <w:color w:val="000000"/>
                <w:kern w:val="0"/>
                <w:sz w:val="18"/>
                <w:szCs w:val="18"/>
              </w:rPr>
              <w:t>学校</w:t>
            </w:r>
            <w:r>
              <w:rPr>
                <w:rFonts w:ascii="宋体" w:cs="宋体"/>
                <w:color w:val="000000"/>
                <w:kern w:val="0"/>
                <w:sz w:val="18"/>
                <w:szCs w:val="18"/>
              </w:rPr>
              <w:t>教学活动开展</w:t>
            </w:r>
            <w:r>
              <w:rPr>
                <w:rFonts w:ascii="宋体" w:cs="宋体" w:hint="eastAsia"/>
                <w:color w:val="000000"/>
                <w:kern w:val="0"/>
                <w:sz w:val="18"/>
                <w:szCs w:val="18"/>
              </w:rPr>
              <w:t>顺利，每年升学率情况较好</w:t>
            </w:r>
          </w:p>
        </w:tc>
      </w:tr>
      <w:tr>
        <w:trPr>
          <w:trHeight w:val="296"/>
          <w:gridAfter w:val="1"/>
          <w:wAfter w:w="694" w:type="dxa"/>
        </w:trPr>
        <w:tc>
          <w:tcPr>
            <w:tcW w:w="331" w:type="dxa"/>
            <w:gridSpan w:val="2"/>
            <w:vMerge/>
            <w:tcBorders>
              <w:top w:val="single" w:sz="4" w:space="0" w:color="000000"/>
              <w:left w:val="single" w:sz="4" w:space="0" w:color="000000"/>
              <w:bottom w:val="single" w:sz="4" w:space="0" w:color="000000"/>
              <w:right w:val="single" w:sz="4" w:space="0" w:color="000000"/>
            </w:tcBorders>
            <w:noWrap/>
            <w:vAlign w:val="center"/>
          </w:tcPr>
          <w:p/>
        </w:tc>
        <w:tc>
          <w:tcPr>
            <w:tcW w:w="593" w:type="dxa"/>
            <w:vMerge/>
            <w:tcBorders>
              <w:top w:val="single" w:sz="4" w:space="0" w:color="000000"/>
              <w:left w:val="single" w:sz="4" w:space="0" w:color="000000"/>
              <w:bottom w:val="single" w:sz="4" w:space="0" w:color="000000"/>
              <w:right w:val="single" w:sz="4" w:space="0" w:color="000000"/>
            </w:tcBorders>
            <w:noWrap/>
            <w:vAlign w:val="center"/>
          </w:tcPr>
          <w:p/>
        </w:tc>
        <w:tc>
          <w:tcPr>
            <w:tcW w:w="803" w:type="dxa"/>
            <w:gridSpan w:val="2"/>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cs="宋体" w:hint="eastAsia"/>
                <w:color w:val="000000"/>
                <w:kern w:val="0"/>
                <w:sz w:val="24"/>
              </w:rPr>
            </w:pPr>
            <w:r>
              <w:rPr>
                <w:rFonts w:ascii="宋体" w:cs="宋体" w:hint="eastAsia"/>
                <w:color w:val="000000"/>
                <w:kern w:val="0"/>
                <w:sz w:val="24"/>
              </w:rPr>
              <w:t>时效指标</w:t>
            </w:r>
          </w:p>
        </w:tc>
        <w:tc>
          <w:tcPr>
            <w:tcW w:w="1246" w:type="dxa"/>
            <w:gridSpan w:val="2"/>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cs="宋体" w:hint="eastAsia"/>
                <w:color w:val="000000"/>
                <w:kern w:val="0"/>
                <w:sz w:val="24"/>
              </w:rPr>
            </w:pPr>
            <w:r>
              <w:rPr>
                <w:rFonts w:ascii="宋体" w:cs="宋体"/>
                <w:color w:val="000000"/>
                <w:kern w:val="0"/>
                <w:sz w:val="18"/>
                <w:szCs w:val="18"/>
              </w:rPr>
              <w:t>工资及社保等各项缴费发放及时率</w:t>
            </w:r>
          </w:p>
        </w:tc>
        <w:tc>
          <w:tcPr>
            <w:tcW w:w="4754" w:type="dxa"/>
            <w:gridSpan w:val="8"/>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cs="宋体" w:hint="eastAsia"/>
                <w:color w:val="000000"/>
                <w:kern w:val="0"/>
                <w:sz w:val="24"/>
              </w:rPr>
            </w:pPr>
            <w:r>
              <w:rPr>
                <w:rFonts w:ascii="宋体" w:cs="宋体"/>
                <w:color w:val="000000"/>
                <w:kern w:val="0"/>
                <w:sz w:val="18"/>
                <w:szCs w:val="18"/>
              </w:rPr>
              <w:t>每月15日前</w:t>
            </w:r>
            <w:r>
              <w:rPr>
                <w:rFonts w:ascii="宋体" w:cs="宋体" w:hint="eastAsia"/>
                <w:color w:val="000000"/>
                <w:kern w:val="0"/>
                <w:sz w:val="18"/>
                <w:szCs w:val="18"/>
              </w:rPr>
              <w:t>发放</w:t>
            </w:r>
          </w:p>
        </w:tc>
        <w:tc>
          <w:tcPr>
            <w:tcW w:w="1931" w:type="dxa"/>
            <w:gridSpan w:val="4"/>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cs="宋体" w:hint="eastAsia"/>
                <w:color w:val="000000"/>
                <w:kern w:val="0"/>
                <w:sz w:val="24"/>
              </w:rPr>
            </w:pPr>
            <w:r>
              <w:rPr>
                <w:rFonts w:ascii="宋体" w:cs="宋体"/>
                <w:color w:val="000000"/>
                <w:kern w:val="0"/>
                <w:sz w:val="18"/>
                <w:szCs w:val="18"/>
              </w:rPr>
              <w:t>每月15日前</w:t>
            </w:r>
            <w:r>
              <w:rPr>
                <w:rFonts w:ascii="宋体" w:cs="宋体" w:hint="eastAsia"/>
                <w:color w:val="000000"/>
                <w:kern w:val="0"/>
                <w:sz w:val="18"/>
                <w:szCs w:val="18"/>
              </w:rPr>
              <w:t>及时足额发放</w:t>
            </w:r>
          </w:p>
        </w:tc>
      </w:tr>
      <w:tr>
        <w:trPr>
          <w:trHeight w:val="296"/>
          <w:gridAfter w:val="1"/>
          <w:wAfter w:w="694" w:type="dxa"/>
        </w:trPr>
        <w:tc>
          <w:tcPr>
            <w:tcW w:w="331" w:type="dxa"/>
            <w:gridSpan w:val="2"/>
            <w:vMerge/>
            <w:tcBorders>
              <w:top w:val="single" w:sz="4" w:space="0" w:color="000000"/>
              <w:left w:val="single" w:sz="4" w:space="0" w:color="000000"/>
              <w:bottom w:val="single" w:sz="4" w:space="0" w:color="000000"/>
              <w:right w:val="single" w:sz="4" w:space="0" w:color="000000"/>
            </w:tcBorders>
            <w:noWrap/>
            <w:vAlign w:val="center"/>
          </w:tcPr>
          <w:p/>
        </w:tc>
        <w:tc>
          <w:tcPr>
            <w:tcW w:w="593" w:type="dxa"/>
            <w:vMerge w:val="restart"/>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cs="宋体" w:hint="eastAsia"/>
                <w:color w:val="000000"/>
                <w:kern w:val="0"/>
                <w:sz w:val="24"/>
              </w:rPr>
            </w:pPr>
            <w:r>
              <w:rPr>
                <w:rFonts w:ascii="宋体" w:cs="宋体" w:hint="eastAsia"/>
                <w:color w:val="000000"/>
                <w:kern w:val="0"/>
                <w:sz w:val="24"/>
              </w:rPr>
              <w:t>效益指标</w:t>
            </w:r>
          </w:p>
        </w:tc>
        <w:tc>
          <w:tcPr>
            <w:tcW w:w="803" w:type="dxa"/>
            <w:gridSpan w:val="2"/>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cs="宋体" w:hint="eastAsia"/>
                <w:color w:val="000000"/>
                <w:kern w:val="0"/>
                <w:sz w:val="24"/>
              </w:rPr>
            </w:pPr>
            <w:r>
              <w:rPr>
                <w:rFonts w:ascii="宋体" w:cs="宋体"/>
                <w:color w:val="000000"/>
                <w:kern w:val="0"/>
                <w:sz w:val="18"/>
                <w:szCs w:val="18"/>
              </w:rPr>
              <w:t>社会效益指标</w:t>
            </w:r>
          </w:p>
        </w:tc>
        <w:tc>
          <w:tcPr>
            <w:tcW w:w="1246" w:type="dxa"/>
            <w:gridSpan w:val="2"/>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cs="宋体" w:hint="eastAsia"/>
                <w:color w:val="000000"/>
                <w:kern w:val="0"/>
                <w:sz w:val="24"/>
              </w:rPr>
            </w:pPr>
            <w:r>
              <w:rPr>
                <w:rFonts w:ascii="宋体" w:cs="宋体"/>
                <w:color w:val="000000"/>
                <w:kern w:val="0"/>
                <w:sz w:val="18"/>
                <w:szCs w:val="18"/>
              </w:rPr>
              <w:t>保障单位正常运行</w:t>
            </w:r>
          </w:p>
        </w:tc>
        <w:tc>
          <w:tcPr>
            <w:tcW w:w="4754" w:type="dxa"/>
            <w:gridSpan w:val="8"/>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cs="宋体" w:hint="eastAsia"/>
                <w:color w:val="000000"/>
                <w:kern w:val="0"/>
                <w:sz w:val="24"/>
              </w:rPr>
            </w:pPr>
            <w:r>
              <w:rPr>
                <w:rFonts w:ascii="宋体" w:cs="宋体" w:hint="eastAsia"/>
                <w:color w:val="000000"/>
                <w:kern w:val="0"/>
                <w:sz w:val="18"/>
                <w:szCs w:val="18"/>
              </w:rPr>
              <w:t>正常运行</w:t>
            </w:r>
          </w:p>
        </w:tc>
        <w:tc>
          <w:tcPr>
            <w:tcW w:w="1931" w:type="dxa"/>
            <w:gridSpan w:val="4"/>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cs="宋体" w:hint="eastAsia"/>
                <w:color w:val="000000"/>
                <w:kern w:val="0"/>
                <w:sz w:val="24"/>
              </w:rPr>
            </w:pPr>
            <w:r>
              <w:rPr>
                <w:rFonts w:ascii="宋体" w:cs="宋体" w:hint="eastAsia"/>
                <w:color w:val="000000"/>
                <w:kern w:val="0"/>
                <w:sz w:val="18"/>
                <w:szCs w:val="18"/>
              </w:rPr>
              <w:t>正常运行</w:t>
            </w:r>
          </w:p>
        </w:tc>
      </w:tr>
      <w:tr>
        <w:trPr>
          <w:trHeight w:val="296"/>
          <w:gridAfter w:val="1"/>
          <w:wAfter w:w="694" w:type="dxa"/>
        </w:trPr>
        <w:tc>
          <w:tcPr>
            <w:tcW w:w="331" w:type="dxa"/>
            <w:gridSpan w:val="2"/>
            <w:vMerge/>
            <w:tcBorders>
              <w:top w:val="single" w:sz="4" w:space="0" w:color="000000"/>
              <w:left w:val="single" w:sz="4" w:space="0" w:color="000000"/>
              <w:bottom w:val="single" w:sz="4" w:space="0" w:color="000000"/>
              <w:right w:val="single" w:sz="4" w:space="0" w:color="000000"/>
            </w:tcBorders>
            <w:noWrap/>
            <w:vAlign w:val="center"/>
          </w:tcPr>
          <w:p/>
        </w:tc>
        <w:tc>
          <w:tcPr>
            <w:tcW w:w="593" w:type="dxa"/>
            <w:vMerge/>
            <w:tcBorders>
              <w:top w:val="single" w:sz="4" w:space="0" w:color="000000"/>
              <w:left w:val="single" w:sz="4" w:space="0" w:color="000000"/>
              <w:bottom w:val="single" w:sz="4" w:space="0" w:color="000000"/>
              <w:right w:val="single" w:sz="4" w:space="0" w:color="000000"/>
            </w:tcBorders>
            <w:noWrap/>
            <w:vAlign w:val="center"/>
          </w:tcPr>
          <w:p/>
        </w:tc>
        <w:tc>
          <w:tcPr>
            <w:tcW w:w="803" w:type="dxa"/>
            <w:gridSpan w:val="2"/>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cs="宋体" w:hint="eastAsia"/>
                <w:color w:val="000000"/>
                <w:kern w:val="0"/>
                <w:sz w:val="24"/>
              </w:rPr>
            </w:pPr>
            <w:r>
              <w:rPr>
                <w:rFonts w:ascii="宋体" w:cs="宋体"/>
                <w:color w:val="000000"/>
                <w:kern w:val="0"/>
                <w:sz w:val="18"/>
                <w:szCs w:val="18"/>
              </w:rPr>
              <w:t>可持续影响指标</w:t>
            </w:r>
          </w:p>
        </w:tc>
        <w:tc>
          <w:tcPr>
            <w:tcW w:w="1246" w:type="dxa"/>
            <w:gridSpan w:val="2"/>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cs="宋体" w:hint="eastAsia"/>
                <w:color w:val="000000"/>
                <w:kern w:val="0"/>
                <w:sz w:val="24"/>
              </w:rPr>
            </w:pPr>
            <w:r>
              <w:rPr>
                <w:rFonts w:ascii="宋体" w:cs="宋体"/>
                <w:color w:val="000000"/>
                <w:kern w:val="0"/>
                <w:sz w:val="18"/>
                <w:szCs w:val="18"/>
              </w:rPr>
              <w:t>保障</w:t>
            </w:r>
            <w:r>
              <w:rPr>
                <w:rFonts w:ascii="宋体" w:cs="宋体" w:hint="eastAsia"/>
                <w:color w:val="000000"/>
                <w:kern w:val="0"/>
                <w:sz w:val="18"/>
                <w:szCs w:val="18"/>
              </w:rPr>
              <w:t>学校教学工作</w:t>
            </w:r>
            <w:r>
              <w:rPr>
                <w:rFonts w:ascii="宋体" w:cs="宋体"/>
                <w:color w:val="000000"/>
                <w:kern w:val="0"/>
                <w:sz w:val="18"/>
                <w:szCs w:val="18"/>
              </w:rPr>
              <w:t>正常运行</w:t>
            </w:r>
          </w:p>
        </w:tc>
        <w:tc>
          <w:tcPr>
            <w:tcW w:w="4754" w:type="dxa"/>
            <w:gridSpan w:val="8"/>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cs="宋体" w:hint="eastAsia"/>
                <w:color w:val="000000"/>
                <w:kern w:val="0"/>
                <w:sz w:val="24"/>
              </w:rPr>
            </w:pPr>
            <w:r>
              <w:rPr>
                <w:rFonts w:ascii="宋体" w:cs="宋体"/>
                <w:color w:val="000000"/>
                <w:kern w:val="0"/>
                <w:sz w:val="18"/>
                <w:szCs w:val="18"/>
              </w:rPr>
              <w:t>教学活动正常开展</w:t>
            </w:r>
          </w:p>
        </w:tc>
        <w:tc>
          <w:tcPr>
            <w:tcW w:w="1931" w:type="dxa"/>
            <w:gridSpan w:val="4"/>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cs="宋体" w:hint="eastAsia"/>
                <w:color w:val="000000"/>
                <w:kern w:val="0"/>
                <w:sz w:val="24"/>
              </w:rPr>
            </w:pPr>
            <w:r>
              <w:rPr>
                <w:rFonts w:ascii="宋体" w:cs="宋体"/>
                <w:color w:val="000000"/>
                <w:kern w:val="0"/>
                <w:sz w:val="18"/>
                <w:szCs w:val="18"/>
              </w:rPr>
              <w:t>教学活动正常开展</w:t>
            </w:r>
          </w:p>
        </w:tc>
      </w:tr>
      <w:tr>
        <w:trPr>
          <w:trHeight w:val="306"/>
          <w:gridAfter w:val="1"/>
          <w:wAfter w:w="694" w:type="dxa"/>
        </w:trPr>
        <w:tc>
          <w:tcPr>
            <w:tcW w:w="331" w:type="dxa"/>
            <w:gridSpan w:val="2"/>
            <w:vMerge/>
            <w:tcBorders>
              <w:top w:val="single" w:sz="4" w:space="0" w:color="000000"/>
              <w:left w:val="single" w:sz="4" w:space="0" w:color="000000"/>
              <w:bottom w:val="single" w:sz="4" w:space="0" w:color="000000"/>
              <w:right w:val="single" w:sz="4" w:space="0" w:color="000000"/>
            </w:tcBorders>
            <w:noWrap/>
            <w:vAlign w:val="center"/>
          </w:tcPr>
          <w:p/>
        </w:tc>
        <w:tc>
          <w:tcPr>
            <w:tcW w:w="593" w:type="dxa"/>
            <w:vMerge/>
            <w:tcBorders>
              <w:top w:val="single" w:sz="4" w:space="0" w:color="000000"/>
              <w:left w:val="single" w:sz="4" w:space="0" w:color="000000"/>
              <w:bottom w:val="single" w:sz="4" w:space="0" w:color="000000"/>
              <w:right w:val="single" w:sz="4" w:space="0" w:color="000000"/>
            </w:tcBorders>
            <w:noWrap/>
            <w:vAlign w:val="center"/>
          </w:tcPr>
          <w:p/>
        </w:tc>
        <w:tc>
          <w:tcPr>
            <w:tcW w:w="803" w:type="dxa"/>
            <w:gridSpan w:val="2"/>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cs="宋体" w:hint="eastAsia"/>
                <w:color w:val="000000"/>
                <w:kern w:val="0"/>
                <w:sz w:val="24"/>
              </w:rPr>
            </w:pPr>
            <w:r>
              <w:rPr>
                <w:rFonts w:ascii="宋体" w:cs="宋体"/>
                <w:color w:val="000000"/>
                <w:kern w:val="0"/>
                <w:sz w:val="18"/>
                <w:szCs w:val="18"/>
              </w:rPr>
              <w:t>经济成本指标</w:t>
            </w:r>
          </w:p>
        </w:tc>
        <w:tc>
          <w:tcPr>
            <w:tcW w:w="1246" w:type="dxa"/>
            <w:gridSpan w:val="2"/>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cs="宋体" w:hint="eastAsia"/>
                <w:color w:val="000000"/>
                <w:kern w:val="0"/>
                <w:sz w:val="24"/>
              </w:rPr>
            </w:pPr>
            <w:r>
              <w:rPr>
                <w:rFonts w:ascii="宋体" w:cs="宋体"/>
                <w:color w:val="000000"/>
                <w:kern w:val="0"/>
                <w:sz w:val="18"/>
                <w:szCs w:val="18"/>
              </w:rPr>
              <w:t>各项项目保障</w:t>
            </w:r>
          </w:p>
        </w:tc>
        <w:tc>
          <w:tcPr>
            <w:tcW w:w="4754" w:type="dxa"/>
            <w:gridSpan w:val="8"/>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cs="宋体" w:hint="eastAsia"/>
                <w:color w:val="000000"/>
                <w:kern w:val="0"/>
                <w:sz w:val="24"/>
              </w:rPr>
            </w:pPr>
            <w:r>
              <w:rPr>
                <w:rFonts w:ascii="宋体" w:cs="宋体"/>
                <w:color w:val="000000"/>
                <w:kern w:val="0"/>
                <w:sz w:val="18"/>
                <w:szCs w:val="18"/>
              </w:rPr>
              <w:t>正常保障</w:t>
            </w:r>
          </w:p>
        </w:tc>
        <w:tc>
          <w:tcPr>
            <w:tcW w:w="1931" w:type="dxa"/>
            <w:gridSpan w:val="4"/>
            <w:tcBorders>
              <w:top w:val="single" w:sz="4" w:space="0" w:color="000000"/>
              <w:left w:val="single" w:sz="4" w:space="0" w:color="000000"/>
              <w:bottom w:val="single" w:sz="4" w:space="0" w:color="000000"/>
              <w:right w:val="single" w:sz="4" w:space="0" w:color="000000"/>
            </w:tcBorders>
            <w:noWrap/>
            <w:vAlign w:val="center"/>
          </w:tcPr>
          <w:p>
            <w:pPr>
              <w:widowControl/>
              <w:spacing w:line="240" w:lineRule="exact"/>
              <w:jc w:val="center"/>
              <w:textAlignment w:val="center"/>
              <w:rPr>
                <w:rFonts w:ascii="宋体" w:cs="宋体" w:hint="eastAsia"/>
                <w:color w:val="000000"/>
                <w:kern w:val="0"/>
                <w:sz w:val="24"/>
              </w:rPr>
            </w:pPr>
            <w:r>
              <w:rPr>
                <w:rFonts w:ascii="宋体" w:cs="宋体"/>
                <w:color w:val="000000"/>
                <w:kern w:val="0"/>
                <w:sz w:val="18"/>
                <w:szCs w:val="18"/>
              </w:rPr>
              <w:t>正常保障</w:t>
            </w:r>
          </w:p>
        </w:tc>
      </w:tr>
      <w:tr>
        <w:trPr>
          <w:trHeight w:val="217"/>
          <w:gridBefore w:val="1"/>
          <w:wBefore w:w="93" w:type="dxa"/>
        </w:trPr>
        <w:tc>
          <w:tcPr>
            <w:tcW w:w="3895" w:type="dxa"/>
            <w:gridSpan w:val="8"/>
            <w:tcBorders>
              <w:top w:val="single" w:sz="4" w:space="0" w:color="000000"/>
              <w:left w:val="single" w:sz="4" w:space="0" w:color="000000"/>
              <w:bottom w:val="single" w:sz="4" w:space="0" w:color="000000"/>
              <w:right w:val="single" w:sz="4" w:space="0" w:color="000000"/>
            </w:tcBorders>
            <w:noWrap/>
            <w:tcMar>
              <w:top w:w="15" w:type="dxa"/>
              <w:left w:w="15" w:type="dxa"/>
              <w:bottom w:w="15" w:type="dxa"/>
            </w:tcMar>
            <w:vAlign w:val="center"/>
          </w:tcPr>
          <w:p>
            <w:pPr>
              <w:widowControl/>
              <w:spacing w:line="300" w:lineRule="exact"/>
              <w:jc w:val="center"/>
              <w:textAlignment w:val="center"/>
              <w:rPr>
                <w:color w:val="000000"/>
                <w:sz w:val="18"/>
                <w:szCs w:val="18"/>
              </w:rPr>
            </w:pPr>
            <w:r>
              <w:rPr>
                <w:color w:val="000000"/>
                <w:kern w:val="0"/>
                <w:sz w:val="18"/>
                <w:szCs w:val="18"/>
              </w:rPr>
              <w:t>部门名称</w:t>
            </w:r>
          </w:p>
        </w:tc>
        <w:tc>
          <w:tcPr>
            <w:tcW w:w="6364" w:type="dxa"/>
            <w:gridSpan w:val="11"/>
            <w:tcBorders>
              <w:top w:val="single" w:sz="4" w:space="0" w:color="000000"/>
              <w:left w:val="single" w:sz="4" w:space="0" w:color="000000"/>
              <w:bottom w:val="single" w:sz="4" w:space="0" w:color="000000"/>
              <w:right w:val="single" w:sz="4" w:space="0" w:color="000000"/>
            </w:tcBorders>
            <w:noWrap/>
            <w:tcMar>
              <w:top w:w="15" w:type="dxa"/>
              <w:left w:w="15" w:type="dxa"/>
              <w:bottom w:w="15" w:type="dxa"/>
            </w:tcMar>
            <w:vAlign w:val="center"/>
          </w:tcPr>
          <w:p>
            <w:pPr>
              <w:widowControl/>
              <w:spacing w:line="300" w:lineRule="exact"/>
              <w:jc w:val="center"/>
              <w:textAlignment w:val="center"/>
              <w:rPr>
                <w:color w:val="000000"/>
                <w:sz w:val="18"/>
                <w:szCs w:val="18"/>
              </w:rPr>
            </w:pPr>
            <w:r>
              <w:rPr>
                <w:color w:val="000000"/>
                <w:sz w:val="18"/>
                <w:szCs w:val="18"/>
              </w:rPr>
              <w:t>汶川县</w:t>
            </w:r>
            <w:r>
              <w:rPr>
                <w:rFonts w:hint="eastAsia"/>
                <w:color w:val="000000"/>
                <w:sz w:val="18"/>
                <w:szCs w:val="18"/>
              </w:rPr>
              <w:t>漩口</w:t>
            </w:r>
            <w:r>
              <w:rPr>
                <w:color w:val="000000"/>
                <w:sz w:val="18"/>
                <w:szCs w:val="18"/>
              </w:rPr>
              <w:t>小学校</w:t>
            </w:r>
          </w:p>
        </w:tc>
      </w:tr>
      <w:tr>
        <w:trPr>
          <w:trHeight w:val="217"/>
          <w:gridBefore w:val="1"/>
          <w:wBefore w:w="93" w:type="dxa"/>
        </w:trPr>
        <w:tc>
          <w:tcPr>
            <w:tcW w:w="1270" w:type="dxa"/>
            <w:gridSpan w:val="3"/>
            <w:vMerge w:val="restart"/>
            <w:tcBorders>
              <w:top w:val="single" w:sz="4" w:space="0" w:color="000000"/>
              <w:left w:val="single" w:sz="4" w:space="0" w:color="000000"/>
              <w:bottom w:val="single" w:sz="4" w:space="0" w:color="000000"/>
              <w:right w:val="single" w:sz="4" w:space="0" w:color="000000"/>
            </w:tcBorders>
            <w:noWrap/>
            <w:tcMar>
              <w:top w:w="15" w:type="dxa"/>
              <w:left w:w="15" w:type="dxa"/>
              <w:bottom w:w="15" w:type="dxa"/>
            </w:tcMar>
            <w:vAlign w:val="center"/>
          </w:tcPr>
          <w:p>
            <w:pPr>
              <w:widowControl/>
              <w:spacing w:line="300" w:lineRule="exact"/>
              <w:jc w:val="center"/>
              <w:textAlignment w:val="center"/>
              <w:rPr>
                <w:rFonts w:ascii="宋体" w:eastAsia="宋体" w:cs="宋体" w:hint="eastAsia"/>
                <w:color w:val="000000"/>
                <w:sz w:val="18"/>
                <w:szCs w:val="18"/>
              </w:rPr>
            </w:pPr>
            <w:r>
              <w:rPr>
                <w:rFonts w:ascii="宋体" w:eastAsia="宋体" w:cs="宋体" w:hint="eastAsia"/>
                <w:color w:val="000000"/>
                <w:kern w:val="0"/>
                <w:sz w:val="18"/>
                <w:szCs w:val="18"/>
              </w:rPr>
              <w:t>年度部门整体支出预算</w:t>
            </w:r>
          </w:p>
        </w:tc>
        <w:tc>
          <w:tcPr>
            <w:tcW w:w="2625" w:type="dxa"/>
            <w:gridSpan w:val="5"/>
            <w:tcBorders>
              <w:top w:val="single" w:sz="4" w:space="0" w:color="000000"/>
              <w:left w:val="single" w:sz="4" w:space="0" w:color="000000"/>
              <w:bottom w:val="single" w:sz="4" w:space="0" w:color="000000"/>
              <w:right w:val="single" w:sz="4" w:space="0" w:color="000000"/>
            </w:tcBorders>
            <w:noWrap/>
            <w:tcMar>
              <w:top w:w="15" w:type="dxa"/>
              <w:left w:w="15" w:type="dxa"/>
              <w:bottom w:w="15" w:type="dxa"/>
            </w:tcMar>
            <w:vAlign w:val="center"/>
          </w:tcPr>
          <w:p>
            <w:pPr>
              <w:widowControl/>
              <w:spacing w:line="300" w:lineRule="exact"/>
              <w:jc w:val="center"/>
              <w:textAlignment w:val="center"/>
              <w:rPr>
                <w:rFonts w:ascii="宋体" w:eastAsia="宋体" w:cs="宋体" w:hint="eastAsia"/>
                <w:color w:val="000000"/>
                <w:sz w:val="18"/>
                <w:szCs w:val="18"/>
              </w:rPr>
            </w:pPr>
            <w:r>
              <w:rPr>
                <w:rFonts w:ascii="宋体" w:eastAsia="宋体" w:cs="宋体" w:hint="eastAsia"/>
                <w:color w:val="000000"/>
                <w:kern w:val="0"/>
                <w:sz w:val="18"/>
                <w:szCs w:val="18"/>
              </w:rPr>
              <w:t>资金总额</w:t>
            </w:r>
          </w:p>
        </w:tc>
        <w:tc>
          <w:tcPr>
            <w:tcW w:w="2973" w:type="dxa"/>
            <w:gridSpan w:val="5"/>
            <w:tcBorders>
              <w:top w:val="single" w:sz="4" w:space="0" w:color="000000"/>
              <w:left w:val="single" w:sz="4" w:space="0" w:color="000000"/>
              <w:bottom w:val="single" w:sz="4" w:space="0" w:color="000000"/>
              <w:right w:val="single" w:sz="4" w:space="0" w:color="000000"/>
            </w:tcBorders>
            <w:noWrap/>
            <w:tcMar>
              <w:top w:w="15" w:type="dxa"/>
              <w:left w:w="15" w:type="dxa"/>
              <w:bottom w:w="15" w:type="dxa"/>
            </w:tcMar>
            <w:vAlign w:val="center"/>
          </w:tcPr>
          <w:p>
            <w:pPr>
              <w:widowControl/>
              <w:spacing w:line="300" w:lineRule="exact"/>
              <w:jc w:val="center"/>
              <w:textAlignment w:val="center"/>
              <w:rPr>
                <w:rFonts w:ascii="宋体" w:eastAsia="宋体" w:cs="宋体" w:hint="eastAsia"/>
                <w:color w:val="000000"/>
                <w:sz w:val="18"/>
                <w:szCs w:val="18"/>
              </w:rPr>
            </w:pPr>
            <w:r>
              <w:rPr>
                <w:rFonts w:ascii="宋体" w:eastAsia="宋体" w:cs="宋体" w:hint="eastAsia"/>
                <w:color w:val="000000"/>
                <w:kern w:val="0"/>
                <w:sz w:val="18"/>
                <w:szCs w:val="18"/>
              </w:rPr>
              <w:t>财政拨款</w:t>
            </w:r>
          </w:p>
        </w:tc>
        <w:tc>
          <w:tcPr>
            <w:tcW w:w="3391" w:type="dxa"/>
            <w:gridSpan w:val="6"/>
            <w:tcBorders>
              <w:top w:val="single" w:sz="4" w:space="0" w:color="000000"/>
              <w:left w:val="single" w:sz="4" w:space="0" w:color="000000"/>
              <w:bottom w:val="single" w:sz="4" w:space="0" w:color="000000"/>
              <w:right w:val="single" w:sz="4" w:space="0" w:color="000000"/>
            </w:tcBorders>
            <w:noWrap/>
            <w:tcMar>
              <w:top w:w="15" w:type="dxa"/>
              <w:left w:w="15" w:type="dxa"/>
              <w:bottom w:w="15" w:type="dxa"/>
            </w:tcMar>
            <w:vAlign w:val="center"/>
          </w:tcPr>
          <w:p>
            <w:pPr>
              <w:widowControl/>
              <w:spacing w:line="300" w:lineRule="exact"/>
              <w:jc w:val="center"/>
              <w:textAlignment w:val="center"/>
              <w:rPr>
                <w:rFonts w:ascii="宋体" w:eastAsia="宋体" w:cs="宋体" w:hint="eastAsia"/>
                <w:color w:val="000000"/>
                <w:sz w:val="18"/>
                <w:szCs w:val="18"/>
              </w:rPr>
            </w:pPr>
            <w:r>
              <w:rPr>
                <w:rFonts w:ascii="宋体" w:eastAsia="宋体" w:cs="宋体" w:hint="eastAsia"/>
                <w:color w:val="000000"/>
                <w:kern w:val="0"/>
                <w:sz w:val="18"/>
                <w:szCs w:val="18"/>
              </w:rPr>
              <w:t>其他资金</w:t>
            </w:r>
          </w:p>
        </w:tc>
      </w:tr>
      <w:tr>
        <w:trPr>
          <w:trHeight w:val="303"/>
          <w:gridBefore w:val="1"/>
          <w:wBefore w:w="93" w:type="dxa"/>
        </w:trPr>
        <w:tc>
          <w:tcPr>
            <w:tcW w:w="1270" w:type="dxa"/>
            <w:gridSpan w:val="3"/>
            <w:vMerge/>
            <w:tcBorders>
              <w:top w:val="single" w:sz="4" w:space="0" w:color="000000"/>
              <w:left w:val="single" w:sz="4" w:space="0" w:color="000000"/>
              <w:bottom w:val="single" w:sz="4" w:space="0" w:color="000000"/>
              <w:right w:val="single" w:sz="4" w:space="0" w:color="000000"/>
            </w:tcBorders>
            <w:noWrap/>
            <w:tcMar>
              <w:top w:w="15" w:type="dxa"/>
              <w:left w:w="15" w:type="dxa"/>
              <w:bottom w:w="15" w:type="dxa"/>
            </w:tcMar>
            <w:vAlign w:val="center"/>
          </w:tcPr>
          <w:p/>
        </w:tc>
        <w:tc>
          <w:tcPr>
            <w:tcW w:w="2625" w:type="dxa"/>
            <w:gridSpan w:val="5"/>
            <w:tcBorders>
              <w:top w:val="single" w:sz="4" w:space="0" w:color="000000"/>
              <w:left w:val="single" w:sz="4" w:space="0" w:color="000000"/>
              <w:bottom w:val="single" w:sz="4" w:space="0" w:color="000000"/>
              <w:right w:val="single" w:sz="4" w:space="0" w:color="000000"/>
            </w:tcBorders>
            <w:noWrap/>
            <w:tcMar>
              <w:top w:w="15" w:type="dxa"/>
              <w:left w:w="15" w:type="dxa"/>
              <w:bottom w:w="15" w:type="dxa"/>
            </w:tcMar>
            <w:vAlign w:val="center"/>
          </w:tcPr>
          <w:p>
            <w:pPr>
              <w:widowControl/>
              <w:jc w:val="right"/>
              <w:textAlignment w:val="center"/>
              <w:rPr>
                <w:rFonts w:ascii="宋体" w:eastAsia="宋体" w:cs="宋体" w:hint="eastAsia"/>
                <w:color w:val="000000"/>
                <w:sz w:val="18"/>
                <w:szCs w:val="18"/>
              </w:rPr>
            </w:pPr>
            <w:r>
              <w:rPr>
                <w:rFonts w:ascii="宋体" w:eastAsia="宋体" w:cs="宋体"/>
                <w:color w:val="000000"/>
                <w:kern w:val="0"/>
                <w:sz w:val="18"/>
                <w:szCs w:val="18"/>
              </w:rPr>
              <w:t>1943.37</w:t>
            </w:r>
          </w:p>
        </w:tc>
        <w:tc>
          <w:tcPr>
            <w:tcW w:w="2973" w:type="dxa"/>
            <w:gridSpan w:val="5"/>
            <w:tcBorders>
              <w:top w:val="single" w:sz="4" w:space="0" w:color="000000"/>
              <w:left w:val="single" w:sz="4" w:space="0" w:color="000000"/>
              <w:bottom w:val="single" w:sz="4" w:space="0" w:color="000000"/>
              <w:right w:val="single" w:sz="4" w:space="0" w:color="000000"/>
            </w:tcBorders>
            <w:noWrap/>
            <w:tcMar>
              <w:top w:w="15" w:type="dxa"/>
              <w:left w:w="15" w:type="dxa"/>
              <w:bottom w:w="15" w:type="dxa"/>
            </w:tcMar>
            <w:vAlign w:val="center"/>
          </w:tcPr>
          <w:p>
            <w:pPr>
              <w:widowControl/>
              <w:jc w:val="right"/>
              <w:textAlignment w:val="center"/>
              <w:rPr>
                <w:rFonts w:ascii="宋体" w:eastAsia="宋体" w:cs="宋体" w:hint="eastAsia"/>
                <w:color w:val="000000"/>
                <w:sz w:val="18"/>
                <w:szCs w:val="18"/>
              </w:rPr>
            </w:pPr>
            <w:r>
              <w:rPr>
                <w:rFonts w:ascii="宋体" w:eastAsia="宋体" w:cs="宋体" w:hint="eastAsia"/>
                <w:color w:val="000000"/>
                <w:kern w:val="0"/>
                <w:sz w:val="18"/>
                <w:szCs w:val="18"/>
              </w:rPr>
              <w:t>1909.97</w:t>
            </w:r>
          </w:p>
        </w:tc>
        <w:tc>
          <w:tcPr>
            <w:tcW w:w="3391" w:type="dxa"/>
            <w:gridSpan w:val="6"/>
            <w:tcBorders>
              <w:top w:val="single" w:sz="4" w:space="0" w:color="000000"/>
              <w:left w:val="single" w:sz="4" w:space="0" w:color="000000"/>
              <w:bottom w:val="single" w:sz="4" w:space="0" w:color="000000"/>
              <w:right w:val="single" w:sz="4" w:space="0" w:color="000000"/>
            </w:tcBorders>
            <w:noWrap/>
            <w:tcMar>
              <w:top w:w="15" w:type="dxa"/>
              <w:left w:w="15" w:type="dxa"/>
              <w:bottom w:w="15" w:type="dxa"/>
            </w:tcMar>
            <w:vAlign w:val="center"/>
          </w:tcPr>
          <w:p>
            <w:pPr>
              <w:widowControl/>
              <w:jc w:val="right"/>
              <w:textAlignment w:val="center"/>
              <w:rPr>
                <w:rFonts w:ascii="宋体" w:eastAsia="宋体" w:cs="宋体" w:hint="eastAsia"/>
                <w:color w:val="000000"/>
                <w:sz w:val="18"/>
                <w:szCs w:val="18"/>
              </w:rPr>
            </w:pPr>
            <w:r>
              <w:rPr>
                <w:rFonts w:ascii="宋体" w:eastAsia="宋体" w:cs="宋体" w:hint="eastAsia"/>
                <w:color w:val="000000"/>
                <w:sz w:val="18"/>
                <w:szCs w:val="18"/>
              </w:rPr>
              <w:t>33.40</w:t>
            </w:r>
          </w:p>
        </w:tc>
      </w:tr>
      <w:tr>
        <w:trPr>
          <w:trHeight w:val="789"/>
          <w:gridBefore w:val="1"/>
          <w:wBefore w:w="93" w:type="dxa"/>
        </w:trPr>
        <w:tc>
          <w:tcPr>
            <w:tcW w:w="1270" w:type="dxa"/>
            <w:gridSpan w:val="3"/>
            <w:tcBorders>
              <w:top w:val="single" w:sz="4" w:space="0" w:color="000000"/>
              <w:left w:val="single" w:sz="4" w:space="0" w:color="000000"/>
              <w:bottom w:val="single" w:sz="4" w:space="0" w:color="000000"/>
              <w:right w:val="single" w:sz="4" w:space="0" w:color="000000"/>
            </w:tcBorders>
            <w:noWrap/>
            <w:tcMar>
              <w:top w:w="15" w:type="dxa"/>
              <w:left w:w="15" w:type="dxa"/>
              <w:bottom w:w="15" w:type="dxa"/>
            </w:tcMar>
            <w:vAlign w:val="center"/>
          </w:tcPr>
          <w:p>
            <w:pPr>
              <w:widowControl/>
              <w:spacing w:line="300" w:lineRule="exact"/>
              <w:jc w:val="center"/>
              <w:textAlignment w:val="center"/>
              <w:rPr>
                <w:rFonts w:ascii="宋体" w:eastAsia="宋体" w:cs="宋体" w:hint="eastAsia"/>
                <w:color w:val="000000"/>
                <w:kern w:val="0"/>
                <w:sz w:val="18"/>
                <w:szCs w:val="18"/>
              </w:rPr>
            </w:pPr>
            <w:r>
              <w:rPr>
                <w:rFonts w:ascii="宋体" w:eastAsia="宋体" w:cs="宋体" w:hint="eastAsia"/>
                <w:color w:val="000000"/>
                <w:kern w:val="0"/>
                <w:sz w:val="18"/>
                <w:szCs w:val="18"/>
              </w:rPr>
              <w:t>年度总体</w:t>
            </w:r>
          </w:p>
          <w:p>
            <w:pPr>
              <w:widowControl/>
              <w:spacing w:line="300" w:lineRule="exact"/>
              <w:jc w:val="center"/>
              <w:textAlignment w:val="center"/>
              <w:rPr>
                <w:rFonts w:ascii="宋体" w:eastAsia="宋体" w:cs="宋体" w:hint="eastAsia"/>
                <w:color w:val="000000"/>
                <w:sz w:val="18"/>
                <w:szCs w:val="18"/>
              </w:rPr>
            </w:pPr>
            <w:r>
              <w:rPr>
                <w:rFonts w:ascii="宋体" w:eastAsia="宋体" w:cs="宋体" w:hint="eastAsia"/>
                <w:color w:val="000000"/>
                <w:kern w:val="0"/>
                <w:sz w:val="18"/>
                <w:szCs w:val="18"/>
              </w:rPr>
              <w:t>目标</w:t>
            </w:r>
          </w:p>
        </w:tc>
        <w:tc>
          <w:tcPr>
            <w:tcW w:w="8989" w:type="dxa"/>
            <w:gridSpan w:val="16"/>
            <w:tcBorders>
              <w:top w:val="single" w:sz="4" w:space="0" w:color="000000"/>
              <w:left w:val="single" w:sz="4" w:space="0" w:color="000000"/>
              <w:bottom w:val="single" w:sz="4" w:space="0" w:color="000000"/>
              <w:right w:val="single" w:sz="4" w:space="0" w:color="000000"/>
            </w:tcBorders>
            <w:noWrap/>
            <w:tcMar>
              <w:top w:w="15" w:type="dxa"/>
              <w:left w:w="15" w:type="dxa"/>
              <w:bottom w:w="15" w:type="dxa"/>
            </w:tcMar>
            <w:vAlign w:val="center"/>
          </w:tcPr>
          <w:p>
            <w:pPr>
              <w:widowControl/>
              <w:spacing w:line="300" w:lineRule="exact"/>
              <w:jc w:val="left"/>
              <w:textAlignment w:val="center"/>
              <w:rPr>
                <w:rFonts w:ascii="宋体" w:eastAsia="宋体" w:cs="宋体" w:hint="eastAsia"/>
                <w:color w:val="000000"/>
                <w:sz w:val="18"/>
                <w:szCs w:val="18"/>
              </w:rPr>
            </w:pPr>
            <w:r>
              <w:rPr>
                <w:rFonts w:ascii="宋体" w:eastAsia="宋体" w:cs="宋体" w:hint="eastAsia"/>
                <w:color w:val="000000"/>
                <w:kern w:val="0"/>
                <w:sz w:val="18"/>
                <w:szCs w:val="18"/>
              </w:rPr>
              <w:t>主要是面对汶川县绵虒镇学龄儿童基础教育工作。</w:t>
            </w:r>
          </w:p>
        </w:tc>
      </w:tr>
      <w:tr>
        <w:trPr>
          <w:trHeight w:val="217"/>
          <w:gridBefore w:val="1"/>
          <w:wBefore w:w="93" w:type="dxa"/>
        </w:trPr>
        <w:tc>
          <w:tcPr>
            <w:tcW w:w="1270" w:type="dxa"/>
            <w:gridSpan w:val="3"/>
            <w:vMerge w:val="restart"/>
            <w:tcBorders>
              <w:top w:val="single" w:sz="4" w:space="0" w:color="000000"/>
              <w:left w:val="single" w:sz="4" w:space="0" w:color="000000"/>
              <w:bottom w:val="single" w:sz="4" w:space="0" w:color="000000"/>
              <w:right w:val="single" w:sz="4" w:space="0" w:color="000000"/>
            </w:tcBorders>
            <w:noWrap/>
            <w:tcMar>
              <w:top w:w="15" w:type="dxa"/>
              <w:left w:w="15" w:type="dxa"/>
              <w:bottom w:w="15" w:type="dxa"/>
            </w:tcMar>
            <w:vAlign w:val="center"/>
          </w:tcPr>
          <w:p>
            <w:pPr>
              <w:widowControl/>
              <w:spacing w:line="300" w:lineRule="exact"/>
              <w:jc w:val="center"/>
              <w:textAlignment w:val="center"/>
              <w:rPr>
                <w:rFonts w:ascii="宋体" w:eastAsia="宋体" w:cs="宋体" w:hint="eastAsia"/>
                <w:color w:val="000000"/>
                <w:kern w:val="0"/>
                <w:sz w:val="18"/>
                <w:szCs w:val="18"/>
              </w:rPr>
            </w:pPr>
            <w:r>
              <w:rPr>
                <w:rFonts w:ascii="宋体" w:eastAsia="宋体" w:cs="宋体" w:hint="eastAsia"/>
                <w:color w:val="000000"/>
                <w:kern w:val="0"/>
                <w:sz w:val="18"/>
                <w:szCs w:val="18"/>
              </w:rPr>
              <w:t>年度主要</w:t>
            </w:r>
          </w:p>
          <w:p>
            <w:pPr>
              <w:widowControl/>
              <w:spacing w:line="300" w:lineRule="exact"/>
              <w:jc w:val="center"/>
              <w:textAlignment w:val="center"/>
              <w:rPr>
                <w:rFonts w:ascii="宋体" w:eastAsia="宋体" w:cs="宋体" w:hint="eastAsia"/>
                <w:color w:val="000000"/>
                <w:sz w:val="18"/>
                <w:szCs w:val="18"/>
              </w:rPr>
            </w:pPr>
            <w:r>
              <w:rPr>
                <w:rFonts w:ascii="宋体" w:eastAsia="宋体" w:cs="宋体" w:hint="eastAsia"/>
                <w:color w:val="000000"/>
                <w:kern w:val="0"/>
                <w:sz w:val="18"/>
                <w:szCs w:val="18"/>
              </w:rPr>
              <w:t>任务</w:t>
            </w:r>
          </w:p>
        </w:tc>
        <w:tc>
          <w:tcPr>
            <w:tcW w:w="2625" w:type="dxa"/>
            <w:gridSpan w:val="5"/>
            <w:tcBorders>
              <w:top w:val="single" w:sz="4" w:space="0" w:color="000000"/>
              <w:left w:val="single" w:sz="4" w:space="0" w:color="000000"/>
              <w:bottom w:val="single" w:sz="4" w:space="0" w:color="000000"/>
              <w:right w:val="single" w:sz="4" w:space="0" w:color="000000"/>
            </w:tcBorders>
            <w:noWrap/>
            <w:tcMar>
              <w:top w:w="15" w:type="dxa"/>
              <w:left w:w="15" w:type="dxa"/>
              <w:bottom w:w="15" w:type="dxa"/>
            </w:tcMar>
            <w:vAlign w:val="center"/>
          </w:tcPr>
          <w:p>
            <w:pPr>
              <w:widowControl/>
              <w:spacing w:line="300" w:lineRule="exact"/>
              <w:jc w:val="center"/>
              <w:textAlignment w:val="center"/>
              <w:rPr>
                <w:rFonts w:ascii="宋体" w:eastAsia="宋体" w:cs="宋体" w:hint="eastAsia"/>
                <w:color w:val="000000"/>
                <w:sz w:val="18"/>
                <w:szCs w:val="18"/>
              </w:rPr>
            </w:pPr>
            <w:r>
              <w:rPr>
                <w:rFonts w:ascii="宋体" w:eastAsia="宋体" w:cs="宋体" w:hint="eastAsia"/>
                <w:color w:val="000000"/>
                <w:kern w:val="0"/>
                <w:sz w:val="18"/>
                <w:szCs w:val="18"/>
              </w:rPr>
              <w:t>任务名称</w:t>
            </w:r>
          </w:p>
        </w:tc>
        <w:tc>
          <w:tcPr>
            <w:tcW w:w="6364" w:type="dxa"/>
            <w:gridSpan w:val="11"/>
            <w:tcBorders>
              <w:top w:val="single" w:sz="4" w:space="0" w:color="000000"/>
              <w:left w:val="single" w:sz="4" w:space="0" w:color="000000"/>
              <w:bottom w:val="single" w:sz="4" w:space="0" w:color="000000"/>
              <w:right w:val="single" w:sz="4" w:space="0" w:color="000000"/>
            </w:tcBorders>
            <w:noWrap/>
            <w:tcMar>
              <w:top w:w="15" w:type="dxa"/>
              <w:left w:w="15" w:type="dxa"/>
              <w:bottom w:w="15" w:type="dxa"/>
            </w:tcMar>
            <w:vAlign w:val="center"/>
          </w:tcPr>
          <w:p>
            <w:pPr>
              <w:widowControl/>
              <w:spacing w:line="300" w:lineRule="exact"/>
              <w:jc w:val="center"/>
              <w:textAlignment w:val="center"/>
              <w:rPr>
                <w:rFonts w:ascii="宋体" w:eastAsia="宋体" w:cs="宋体" w:hint="eastAsia"/>
                <w:color w:val="000000"/>
                <w:sz w:val="18"/>
                <w:szCs w:val="18"/>
              </w:rPr>
            </w:pPr>
            <w:r>
              <w:rPr>
                <w:rFonts w:ascii="宋体" w:eastAsia="宋体" w:cs="宋体" w:hint="eastAsia"/>
                <w:color w:val="000000"/>
                <w:kern w:val="0"/>
                <w:sz w:val="18"/>
                <w:szCs w:val="18"/>
              </w:rPr>
              <w:t>主要内容</w:t>
            </w:r>
          </w:p>
        </w:tc>
      </w:tr>
      <w:tr>
        <w:trPr>
          <w:trHeight w:val="581"/>
          <w:gridBefore w:val="1"/>
          <w:wBefore w:w="93" w:type="dxa"/>
        </w:trPr>
        <w:tc>
          <w:tcPr>
            <w:tcW w:w="1270" w:type="dxa"/>
            <w:gridSpan w:val="3"/>
            <w:vMerge/>
            <w:tcBorders>
              <w:top w:val="single" w:sz="4" w:space="0" w:color="000000"/>
              <w:left w:val="single" w:sz="4" w:space="0" w:color="000000"/>
              <w:bottom w:val="single" w:sz="4" w:space="0" w:color="000000"/>
              <w:right w:val="single" w:sz="4" w:space="0" w:color="000000"/>
            </w:tcBorders>
            <w:noWrap/>
            <w:tcMar>
              <w:top w:w="15" w:type="dxa"/>
              <w:left w:w="15" w:type="dxa"/>
              <w:bottom w:w="15" w:type="dxa"/>
            </w:tcMar>
            <w:vAlign w:val="center"/>
          </w:tcPr>
          <w:p/>
        </w:tc>
        <w:tc>
          <w:tcPr>
            <w:tcW w:w="2625" w:type="dxa"/>
            <w:gridSpan w:val="5"/>
            <w:tcBorders>
              <w:top w:val="single" w:sz="4" w:space="0" w:color="000000"/>
              <w:left w:val="single" w:sz="4" w:space="0" w:color="000000"/>
              <w:bottom w:val="single" w:sz="4" w:space="0" w:color="000000"/>
              <w:right w:val="single" w:sz="4" w:space="0" w:color="000000"/>
            </w:tcBorders>
            <w:noWrap/>
            <w:tcMar>
              <w:top w:w="15" w:type="dxa"/>
              <w:left w:w="15" w:type="dxa"/>
              <w:bottom w:w="15" w:type="dxa"/>
            </w:tcMar>
            <w:vAlign w:val="center"/>
          </w:tcPr>
          <w:p>
            <w:pPr>
              <w:widowControl/>
              <w:jc w:val="left"/>
              <w:textAlignment w:val="center"/>
              <w:rPr>
                <w:rFonts w:ascii="宋体" w:eastAsia="宋体" w:cs="宋体" w:hint="eastAsia"/>
                <w:color w:val="000000"/>
                <w:sz w:val="18"/>
                <w:szCs w:val="18"/>
              </w:rPr>
            </w:pPr>
            <w:r>
              <w:rPr>
                <w:rFonts w:ascii="宋体" w:eastAsia="宋体" w:cs="宋体" w:hint="eastAsia"/>
                <w:color w:val="000000"/>
                <w:sz w:val="18"/>
                <w:szCs w:val="18"/>
              </w:rPr>
              <w:t>食堂从业人员劳务、保安劳务</w:t>
            </w:r>
          </w:p>
        </w:tc>
        <w:tc>
          <w:tcPr>
            <w:tcW w:w="6364" w:type="dxa"/>
            <w:gridSpan w:val="11"/>
            <w:tcBorders>
              <w:top w:val="single" w:sz="4" w:space="0" w:color="000000"/>
              <w:left w:val="single" w:sz="4" w:space="0" w:color="000000"/>
              <w:bottom w:val="single" w:sz="4" w:space="0" w:color="000000"/>
              <w:right w:val="single" w:sz="4" w:space="0" w:color="000000"/>
            </w:tcBorders>
            <w:noWrap/>
            <w:tcMar>
              <w:top w:w="15" w:type="dxa"/>
              <w:left w:w="15" w:type="dxa"/>
              <w:bottom w:w="15" w:type="dxa"/>
            </w:tcMar>
            <w:vAlign w:val="center"/>
          </w:tcPr>
          <w:p>
            <w:pPr>
              <w:widowControl/>
              <w:jc w:val="left"/>
              <w:textAlignment w:val="center"/>
              <w:rPr>
                <w:rFonts w:ascii="宋体" w:eastAsia="宋体" w:cs="宋体" w:hint="eastAsia"/>
                <w:color w:val="000000"/>
                <w:sz w:val="18"/>
                <w:szCs w:val="18"/>
              </w:rPr>
            </w:pPr>
            <w:r>
              <w:rPr>
                <w:rFonts w:ascii="宋体" w:eastAsia="宋体" w:cs="宋体" w:hint="eastAsia"/>
                <w:color w:val="000000"/>
                <w:sz w:val="18"/>
                <w:szCs w:val="18"/>
              </w:rPr>
              <w:t>保障学校正常教育教学工作顺利完成，维护校园基本安全保障。</w:t>
            </w:r>
          </w:p>
        </w:tc>
      </w:tr>
      <w:tr>
        <w:trPr>
          <w:trHeight w:val="517"/>
          <w:gridBefore w:val="1"/>
          <w:wBefore w:w="93" w:type="dxa"/>
        </w:trPr>
        <w:tc>
          <w:tcPr>
            <w:tcW w:w="1270" w:type="dxa"/>
            <w:gridSpan w:val="3"/>
            <w:vMerge/>
            <w:tcBorders>
              <w:top w:val="single" w:sz="4" w:space="0" w:color="000000"/>
              <w:left w:val="single" w:sz="4" w:space="0" w:color="000000"/>
              <w:bottom w:val="single" w:sz="4" w:space="0" w:color="000000"/>
              <w:right w:val="single" w:sz="4" w:space="0" w:color="000000"/>
            </w:tcBorders>
            <w:noWrap/>
            <w:tcMar>
              <w:top w:w="15" w:type="dxa"/>
              <w:left w:w="15" w:type="dxa"/>
              <w:bottom w:w="15" w:type="dxa"/>
            </w:tcMar>
            <w:vAlign w:val="center"/>
          </w:tcPr>
          <w:p/>
        </w:tc>
        <w:tc>
          <w:tcPr>
            <w:tcW w:w="2625" w:type="dxa"/>
            <w:gridSpan w:val="5"/>
            <w:tcBorders>
              <w:top w:val="single" w:sz="4" w:space="0" w:color="000000"/>
              <w:left w:val="single" w:sz="4" w:space="0" w:color="000000"/>
              <w:bottom w:val="single" w:sz="4" w:space="0" w:color="000000"/>
              <w:right w:val="single" w:sz="4" w:space="0" w:color="000000"/>
            </w:tcBorders>
            <w:noWrap/>
            <w:tcMar>
              <w:top w:w="15" w:type="dxa"/>
              <w:left w:w="15" w:type="dxa"/>
              <w:bottom w:w="15" w:type="dxa"/>
            </w:tcMar>
            <w:vAlign w:val="center"/>
          </w:tcPr>
          <w:p>
            <w:pPr>
              <w:widowControl/>
              <w:jc w:val="left"/>
              <w:textAlignment w:val="center"/>
              <w:rPr>
                <w:rFonts w:ascii="宋体" w:eastAsia="宋体" w:cs="宋体" w:hint="eastAsia"/>
                <w:color w:val="000000"/>
                <w:kern w:val="0"/>
                <w:sz w:val="18"/>
                <w:szCs w:val="18"/>
              </w:rPr>
            </w:pPr>
            <w:r>
              <w:rPr>
                <w:rFonts w:ascii="宋体" w:eastAsia="宋体" w:cs="宋体" w:hint="eastAsia"/>
                <w:color w:val="000000"/>
                <w:kern w:val="0"/>
                <w:sz w:val="18"/>
                <w:szCs w:val="18"/>
              </w:rPr>
              <w:t>家庭困难学生生活补助</w:t>
            </w:r>
          </w:p>
        </w:tc>
        <w:tc>
          <w:tcPr>
            <w:tcW w:w="6364" w:type="dxa"/>
            <w:gridSpan w:val="11"/>
            <w:tcBorders>
              <w:top w:val="single" w:sz="4" w:space="0" w:color="000000"/>
              <w:left w:val="single" w:sz="4" w:space="0" w:color="000000"/>
              <w:bottom w:val="single" w:sz="4" w:space="0" w:color="000000"/>
              <w:right w:val="single" w:sz="4" w:space="0" w:color="000000"/>
            </w:tcBorders>
            <w:noWrap/>
            <w:tcMar>
              <w:top w:w="15" w:type="dxa"/>
              <w:left w:w="15" w:type="dxa"/>
              <w:bottom w:w="15" w:type="dxa"/>
            </w:tcMar>
            <w:vAlign w:val="center"/>
          </w:tcPr>
          <w:p>
            <w:pPr>
              <w:widowControl/>
              <w:jc w:val="left"/>
              <w:textAlignment w:val="center"/>
              <w:rPr>
                <w:rFonts w:ascii="宋体" w:eastAsia="宋体" w:cs="宋体" w:hint="eastAsia"/>
                <w:color w:val="000000"/>
                <w:kern w:val="0"/>
                <w:sz w:val="18"/>
                <w:szCs w:val="18"/>
              </w:rPr>
            </w:pPr>
            <w:r>
              <w:rPr>
                <w:rFonts w:ascii="宋体" w:eastAsia="宋体" w:cs="宋体" w:hint="eastAsia"/>
                <w:color w:val="000000"/>
                <w:kern w:val="0"/>
                <w:sz w:val="18"/>
                <w:szCs w:val="18"/>
              </w:rPr>
              <w:t>发放家庭困难学生生活补助，促进教育公平和社会公正，确保贫困家庭学生能够完成基础教育，减轻家庭经济负担，提高教育质量。</w:t>
            </w:r>
          </w:p>
        </w:tc>
      </w:tr>
      <w:tr>
        <w:trPr>
          <w:trHeight w:val="581"/>
          <w:gridBefore w:val="1"/>
          <w:wBefore w:w="93" w:type="dxa"/>
        </w:trPr>
        <w:tc>
          <w:tcPr>
            <w:tcW w:w="1270" w:type="dxa"/>
            <w:gridSpan w:val="3"/>
            <w:vMerge/>
            <w:tcBorders>
              <w:top w:val="single" w:sz="4" w:space="0" w:color="000000"/>
              <w:left w:val="single" w:sz="4" w:space="0" w:color="000000"/>
              <w:bottom w:val="single" w:sz="4" w:space="0" w:color="000000"/>
              <w:right w:val="single" w:sz="4" w:space="0" w:color="000000"/>
            </w:tcBorders>
            <w:noWrap/>
            <w:tcMar>
              <w:top w:w="15" w:type="dxa"/>
              <w:left w:w="15" w:type="dxa"/>
              <w:bottom w:w="15" w:type="dxa"/>
            </w:tcMar>
            <w:vAlign w:val="center"/>
          </w:tcPr>
          <w:p/>
        </w:tc>
        <w:tc>
          <w:tcPr>
            <w:tcW w:w="2625" w:type="dxa"/>
            <w:gridSpan w:val="5"/>
            <w:tcBorders>
              <w:top w:val="single" w:sz="4" w:space="0" w:color="000000"/>
              <w:left w:val="single" w:sz="4" w:space="0" w:color="000000"/>
              <w:bottom w:val="single" w:sz="4" w:space="0" w:color="000000"/>
              <w:right w:val="single" w:sz="4" w:space="0" w:color="000000"/>
            </w:tcBorders>
            <w:noWrap/>
            <w:tcMar>
              <w:top w:w="15" w:type="dxa"/>
              <w:left w:w="15" w:type="dxa"/>
              <w:bottom w:w="15" w:type="dxa"/>
            </w:tcMar>
            <w:vAlign w:val="center"/>
          </w:tcPr>
          <w:p>
            <w:pPr>
              <w:widowControl/>
              <w:jc w:val="left"/>
              <w:textAlignment w:val="center"/>
              <w:rPr>
                <w:rFonts w:ascii="宋体" w:eastAsia="宋体" w:cs="宋体" w:hint="eastAsia"/>
                <w:color w:val="000000"/>
                <w:kern w:val="0"/>
                <w:sz w:val="18"/>
                <w:szCs w:val="18"/>
              </w:rPr>
            </w:pPr>
            <w:r>
              <w:rPr>
                <w:rFonts w:ascii="宋体" w:eastAsia="宋体" w:cs="宋体" w:hint="eastAsia"/>
                <w:color w:val="000000"/>
                <w:kern w:val="0"/>
                <w:sz w:val="18"/>
                <w:szCs w:val="18"/>
              </w:rPr>
              <w:t>学前教育发展</w:t>
            </w:r>
          </w:p>
        </w:tc>
        <w:tc>
          <w:tcPr>
            <w:tcW w:w="6364" w:type="dxa"/>
            <w:gridSpan w:val="11"/>
            <w:tcBorders>
              <w:top w:val="single" w:sz="4" w:space="0" w:color="000000"/>
              <w:left w:val="single" w:sz="4" w:space="0" w:color="000000"/>
              <w:bottom w:val="single" w:sz="4" w:space="0" w:color="000000"/>
              <w:right w:val="single" w:sz="4" w:space="0" w:color="000000"/>
            </w:tcBorders>
            <w:noWrap/>
            <w:tcMar>
              <w:top w:w="15" w:type="dxa"/>
              <w:left w:w="15" w:type="dxa"/>
              <w:bottom w:w="15" w:type="dxa"/>
            </w:tcMar>
            <w:vAlign w:val="center"/>
          </w:tcPr>
          <w:p>
            <w:pPr>
              <w:widowControl/>
              <w:jc w:val="left"/>
              <w:textAlignment w:val="center"/>
              <w:rPr>
                <w:rFonts w:ascii="宋体" w:eastAsia="宋体" w:cs="宋体" w:hint="eastAsia"/>
                <w:color w:val="000000"/>
                <w:kern w:val="0"/>
                <w:sz w:val="18"/>
                <w:szCs w:val="18"/>
              </w:rPr>
            </w:pPr>
            <w:r>
              <w:rPr>
                <w:rFonts w:ascii="宋体" w:eastAsia="宋体" w:cs="宋体" w:hint="eastAsia"/>
                <w:color w:val="000000"/>
                <w:kern w:val="0"/>
                <w:sz w:val="18"/>
                <w:szCs w:val="18"/>
              </w:rPr>
              <w:t>实施省级民生大事—民族地区双语辅导员补助，旨在稳定民族地区学前教育教职工队伍，有效促进民族地区农村学前教育发展</w:t>
            </w:r>
          </w:p>
        </w:tc>
      </w:tr>
      <w:tr>
        <w:trPr>
          <w:trHeight w:val="408"/>
          <w:gridBefore w:val="1"/>
          <w:wBefore w:w="93" w:type="dxa"/>
        </w:trPr>
        <w:tc>
          <w:tcPr>
            <w:tcW w:w="1270" w:type="dxa"/>
            <w:gridSpan w:val="3"/>
            <w:vMerge w:val="restart"/>
            <w:tcBorders>
              <w:top w:val="single" w:sz="4" w:space="0" w:color="auto"/>
              <w:left w:val="single" w:sz="4" w:space="0" w:color="auto"/>
              <w:right w:val="single" w:sz="4" w:space="0" w:color="000000"/>
            </w:tcBorders>
            <w:noWrap/>
            <w:tcMar>
              <w:top w:w="15" w:type="dxa"/>
              <w:left w:w="15" w:type="dxa"/>
              <w:bottom w:w="15" w:type="dxa"/>
            </w:tcMar>
            <w:vAlign w:val="center"/>
          </w:tcPr>
          <w:p>
            <w:pPr>
              <w:widowControl/>
              <w:spacing w:line="300" w:lineRule="exact"/>
              <w:jc w:val="center"/>
              <w:textAlignment w:val="center"/>
              <w:rPr>
                <w:rFonts w:ascii="宋体" w:eastAsia="宋体" w:cs="宋体" w:hint="eastAsia"/>
                <w:color w:val="000000"/>
                <w:kern w:val="0"/>
                <w:sz w:val="18"/>
                <w:szCs w:val="18"/>
              </w:rPr>
            </w:pPr>
            <w:r>
              <w:rPr>
                <w:rFonts w:ascii="宋体" w:eastAsia="宋体" w:cs="宋体" w:hint="eastAsia"/>
                <w:color w:val="000000"/>
                <w:kern w:val="0"/>
                <w:sz w:val="18"/>
                <w:szCs w:val="18"/>
              </w:rPr>
              <w:t>年度绩效</w:t>
            </w:r>
          </w:p>
          <w:p>
            <w:pPr>
              <w:widowControl/>
              <w:spacing w:line="300" w:lineRule="exact"/>
              <w:jc w:val="center"/>
              <w:textAlignment w:val="center"/>
              <w:rPr>
                <w:rFonts w:ascii="宋体" w:eastAsia="宋体" w:cs="宋体" w:hint="eastAsia"/>
                <w:color w:val="000000"/>
                <w:sz w:val="18"/>
                <w:szCs w:val="18"/>
              </w:rPr>
            </w:pPr>
            <w:r>
              <w:rPr>
                <w:rFonts w:ascii="宋体" w:eastAsia="宋体" w:cs="宋体" w:hint="eastAsia"/>
                <w:color w:val="000000"/>
                <w:kern w:val="0"/>
                <w:sz w:val="18"/>
                <w:szCs w:val="18"/>
              </w:rPr>
              <w:t>指标</w:t>
            </w:r>
          </w:p>
        </w:tc>
        <w:tc>
          <w:tcPr>
            <w:tcW w:w="1307" w:type="dxa"/>
            <w:gridSpan w:val="2"/>
            <w:tcBorders>
              <w:top w:val="single" w:sz="4" w:space="0" w:color="auto"/>
              <w:left w:val="single" w:sz="4" w:space="0" w:color="000000"/>
              <w:bottom w:val="single" w:sz="4" w:space="0" w:color="000000"/>
              <w:right w:val="single" w:sz="4" w:space="0" w:color="000000"/>
            </w:tcBorders>
            <w:noWrap/>
            <w:tcMar>
              <w:top w:w="15" w:type="dxa"/>
              <w:left w:w="15" w:type="dxa"/>
              <w:bottom w:w="15" w:type="dxa"/>
            </w:tcMar>
            <w:vAlign w:val="center"/>
          </w:tcPr>
          <w:p>
            <w:pPr>
              <w:widowControl/>
              <w:spacing w:line="300" w:lineRule="exact"/>
              <w:jc w:val="center"/>
              <w:textAlignment w:val="center"/>
              <w:rPr>
                <w:rFonts w:ascii="宋体" w:eastAsia="宋体" w:cs="宋体" w:hint="eastAsia"/>
                <w:color w:val="000000"/>
                <w:sz w:val="18"/>
                <w:szCs w:val="18"/>
              </w:rPr>
            </w:pPr>
            <w:r>
              <w:rPr>
                <w:rFonts w:ascii="宋体" w:eastAsia="宋体" w:cs="宋体" w:hint="eastAsia"/>
                <w:color w:val="000000"/>
                <w:kern w:val="0"/>
                <w:sz w:val="18"/>
                <w:szCs w:val="18"/>
              </w:rPr>
              <w:t>一级指标</w:t>
            </w:r>
          </w:p>
        </w:tc>
        <w:tc>
          <w:tcPr>
            <w:tcW w:w="1318" w:type="dxa"/>
            <w:gridSpan w:val="3"/>
            <w:tcBorders>
              <w:top w:val="single" w:sz="4" w:space="0" w:color="auto"/>
              <w:left w:val="single" w:sz="4" w:space="0" w:color="000000"/>
              <w:bottom w:val="single" w:sz="4" w:space="0" w:color="000000"/>
              <w:right w:val="single" w:sz="4" w:space="0" w:color="000000"/>
            </w:tcBorders>
            <w:noWrap/>
            <w:tcMar>
              <w:top w:w="15" w:type="dxa"/>
              <w:left w:w="15" w:type="dxa"/>
              <w:bottom w:w="15" w:type="dxa"/>
            </w:tcMar>
            <w:vAlign w:val="center"/>
          </w:tcPr>
          <w:p>
            <w:pPr>
              <w:widowControl/>
              <w:spacing w:line="300" w:lineRule="exact"/>
              <w:jc w:val="center"/>
              <w:textAlignment w:val="center"/>
              <w:rPr>
                <w:rFonts w:ascii="宋体" w:eastAsia="宋体" w:cs="宋体" w:hint="eastAsia"/>
                <w:color w:val="000000"/>
                <w:sz w:val="18"/>
                <w:szCs w:val="18"/>
              </w:rPr>
            </w:pPr>
            <w:r>
              <w:rPr>
                <w:rFonts w:ascii="宋体" w:eastAsia="宋体" w:cs="宋体" w:hint="eastAsia"/>
                <w:color w:val="000000"/>
                <w:kern w:val="0"/>
                <w:sz w:val="18"/>
                <w:szCs w:val="18"/>
              </w:rPr>
              <w:t>二级指标</w:t>
            </w:r>
          </w:p>
        </w:tc>
        <w:tc>
          <w:tcPr>
            <w:tcW w:w="1985" w:type="dxa"/>
            <w:gridSpan w:val="3"/>
            <w:tcBorders>
              <w:top w:val="single" w:sz="4" w:space="0" w:color="auto"/>
              <w:left w:val="single" w:sz="4" w:space="0" w:color="000000"/>
              <w:bottom w:val="single" w:sz="4" w:space="0" w:color="000000"/>
              <w:right w:val="single" w:sz="4" w:space="0" w:color="000000"/>
            </w:tcBorders>
            <w:noWrap/>
            <w:tcMar>
              <w:top w:w="15" w:type="dxa"/>
              <w:left w:w="15" w:type="dxa"/>
              <w:bottom w:w="15" w:type="dxa"/>
            </w:tcMar>
            <w:vAlign w:val="center"/>
          </w:tcPr>
          <w:p>
            <w:pPr>
              <w:widowControl/>
              <w:spacing w:line="300" w:lineRule="exact"/>
              <w:jc w:val="center"/>
              <w:textAlignment w:val="center"/>
              <w:rPr>
                <w:rFonts w:ascii="宋体" w:eastAsia="宋体" w:cs="宋体" w:hint="eastAsia"/>
                <w:color w:val="000000"/>
                <w:sz w:val="18"/>
                <w:szCs w:val="18"/>
              </w:rPr>
            </w:pPr>
            <w:r>
              <w:rPr>
                <w:rFonts w:ascii="宋体" w:eastAsia="宋体" w:cs="宋体" w:hint="eastAsia"/>
                <w:color w:val="000000"/>
                <w:kern w:val="0"/>
                <w:sz w:val="18"/>
                <w:szCs w:val="18"/>
              </w:rPr>
              <w:t>三级指标</w:t>
            </w:r>
          </w:p>
        </w:tc>
        <w:tc>
          <w:tcPr>
            <w:tcW w:w="988" w:type="dxa"/>
            <w:gridSpan w:val="2"/>
            <w:tcBorders>
              <w:top w:val="single" w:sz="4" w:space="0" w:color="auto"/>
              <w:left w:val="single" w:sz="4" w:space="0" w:color="000000"/>
              <w:bottom w:val="single" w:sz="4" w:space="0" w:color="000000"/>
              <w:right w:val="single" w:sz="4" w:space="0" w:color="auto"/>
            </w:tcBorders>
            <w:noWrap/>
            <w:tcMar>
              <w:top w:w="15" w:type="dxa"/>
              <w:left w:w="15" w:type="dxa"/>
              <w:bottom w:w="15" w:type="dxa"/>
            </w:tcMar>
            <w:vAlign w:val="center"/>
          </w:tcPr>
          <w:p>
            <w:pPr>
              <w:widowControl/>
              <w:spacing w:line="300" w:lineRule="exact"/>
              <w:jc w:val="center"/>
              <w:textAlignment w:val="center"/>
              <w:rPr>
                <w:rFonts w:ascii="宋体" w:eastAsia="宋体" w:cs="宋体" w:hint="eastAsia"/>
                <w:color w:val="000000"/>
                <w:kern w:val="0"/>
                <w:sz w:val="18"/>
                <w:szCs w:val="18"/>
              </w:rPr>
            </w:pPr>
            <w:r>
              <w:rPr>
                <w:rFonts w:ascii="宋体" w:eastAsia="宋体" w:cs="宋体" w:hint="eastAsia"/>
                <w:color w:val="000000"/>
                <w:kern w:val="0"/>
                <w:sz w:val="18"/>
                <w:szCs w:val="18"/>
              </w:rPr>
              <w:t>绩效指标</w:t>
            </w:r>
          </w:p>
          <w:p>
            <w:pPr>
              <w:widowControl/>
              <w:spacing w:line="300" w:lineRule="exact"/>
              <w:jc w:val="center"/>
              <w:textAlignment w:val="center"/>
              <w:rPr>
                <w:rFonts w:ascii="宋体" w:eastAsia="宋体" w:cs="宋体" w:hint="eastAsia"/>
                <w:color w:val="000000"/>
                <w:sz w:val="18"/>
                <w:szCs w:val="18"/>
              </w:rPr>
            </w:pPr>
            <w:r>
              <w:rPr>
                <w:rFonts w:ascii="宋体" w:eastAsia="宋体" w:cs="宋体" w:hint="eastAsia"/>
                <w:color w:val="000000"/>
                <w:kern w:val="0"/>
                <w:sz w:val="18"/>
                <w:szCs w:val="18"/>
              </w:rPr>
              <w:t>性质</w:t>
            </w:r>
          </w:p>
        </w:tc>
        <w:tc>
          <w:tcPr>
            <w:tcW w:w="968" w:type="dxa"/>
            <w:gridSpan w:val="2"/>
            <w:tcBorders>
              <w:top w:val="single" w:sz="4" w:space="0" w:color="000000"/>
              <w:left w:val="single" w:sz="4" w:space="0" w:color="auto"/>
              <w:bottom w:val="single" w:sz="4" w:space="0" w:color="000000"/>
              <w:right w:val="single" w:sz="4" w:space="0" w:color="000000"/>
            </w:tcBorders>
            <w:noWrap/>
            <w:tcMar>
              <w:top w:w="15" w:type="dxa"/>
              <w:left w:w="15" w:type="dxa"/>
              <w:bottom w:w="15" w:type="dxa"/>
            </w:tcMar>
            <w:vAlign w:val="center"/>
          </w:tcPr>
          <w:p>
            <w:pPr>
              <w:widowControl/>
              <w:spacing w:line="300" w:lineRule="exact"/>
              <w:jc w:val="center"/>
              <w:textAlignment w:val="center"/>
              <w:rPr>
                <w:rFonts w:ascii="宋体" w:eastAsia="宋体" w:cs="宋体" w:hint="eastAsia"/>
                <w:color w:val="000000"/>
                <w:sz w:val="18"/>
                <w:szCs w:val="18"/>
              </w:rPr>
            </w:pPr>
            <w:r>
              <w:rPr>
                <w:rFonts w:ascii="宋体" w:eastAsia="宋体" w:cs="宋体" w:hint="eastAsia"/>
                <w:color w:val="000000"/>
                <w:kern w:val="0"/>
                <w:sz w:val="18"/>
                <w:szCs w:val="18"/>
              </w:rPr>
              <w:t>绩效指标值</w:t>
            </w:r>
          </w:p>
        </w:tc>
        <w:tc>
          <w:tcPr>
            <w:tcW w:w="903" w:type="dxa"/>
            <w:tcBorders>
              <w:top w:val="single" w:sz="4" w:space="0" w:color="000000"/>
              <w:left w:val="single" w:sz="4" w:space="0" w:color="000000"/>
              <w:bottom w:val="single" w:sz="4" w:space="0" w:color="000000"/>
              <w:right w:val="single" w:sz="4" w:space="0" w:color="000000"/>
            </w:tcBorders>
            <w:noWrap/>
            <w:tcMar>
              <w:top w:w="15" w:type="dxa"/>
              <w:left w:w="15" w:type="dxa"/>
              <w:bottom w:w="15" w:type="dxa"/>
            </w:tcMar>
            <w:vAlign w:val="center"/>
          </w:tcPr>
          <w:p>
            <w:pPr>
              <w:widowControl/>
              <w:spacing w:line="300" w:lineRule="exact"/>
              <w:jc w:val="center"/>
              <w:textAlignment w:val="center"/>
              <w:rPr>
                <w:rFonts w:ascii="宋体" w:eastAsia="宋体" w:cs="宋体" w:hint="eastAsia"/>
                <w:color w:val="000000"/>
                <w:sz w:val="18"/>
                <w:szCs w:val="18"/>
              </w:rPr>
            </w:pPr>
            <w:r>
              <w:rPr>
                <w:rFonts w:ascii="宋体" w:eastAsia="宋体" w:cs="宋体" w:hint="eastAsia"/>
                <w:color w:val="000000"/>
                <w:kern w:val="0"/>
                <w:sz w:val="18"/>
                <w:szCs w:val="18"/>
              </w:rPr>
              <w:t>绩效度量单位</w:t>
            </w:r>
          </w:p>
        </w:tc>
        <w:tc>
          <w:tcPr>
            <w:tcW w:w="661" w:type="dxa"/>
            <w:tcBorders>
              <w:top w:val="single" w:sz="4" w:space="0" w:color="000000"/>
              <w:left w:val="single" w:sz="4" w:space="0" w:color="000000"/>
              <w:bottom w:val="single" w:sz="4" w:space="0" w:color="000000"/>
            </w:tcBorders>
            <w:noWrap/>
            <w:tcMar>
              <w:top w:w="15" w:type="dxa"/>
              <w:left w:w="15" w:type="dxa"/>
              <w:bottom w:w="15" w:type="dxa"/>
            </w:tcMar>
            <w:vAlign w:val="center"/>
          </w:tcPr>
          <w:p>
            <w:pPr>
              <w:widowControl/>
              <w:spacing w:line="300" w:lineRule="exact"/>
              <w:jc w:val="center"/>
              <w:textAlignment w:val="center"/>
              <w:rPr>
                <w:rFonts w:ascii="宋体" w:eastAsia="宋体" w:cs="宋体" w:hint="eastAsia"/>
                <w:color w:val="000000"/>
                <w:sz w:val="18"/>
                <w:szCs w:val="18"/>
              </w:rPr>
            </w:pPr>
            <w:r>
              <w:rPr>
                <w:rFonts w:ascii="宋体" w:eastAsia="宋体" w:cs="宋体" w:hint="eastAsia"/>
                <w:color w:val="000000"/>
                <w:kern w:val="0"/>
                <w:sz w:val="18"/>
                <w:szCs w:val="18"/>
              </w:rPr>
              <w:t>权重</w:t>
            </w:r>
          </w:p>
        </w:tc>
        <w:tc>
          <w:tcPr>
            <w:tcW w:w="859" w:type="dxa"/>
            <w:gridSpan w:val="2"/>
            <w:tcBorders>
              <w:top w:val="single" w:sz="4" w:space="0" w:color="000000"/>
              <w:left w:val="single" w:sz="4" w:space="0" w:color="000000"/>
              <w:bottom w:val="single" w:sz="4" w:space="0" w:color="000000"/>
              <w:right w:val="single" w:sz="4" w:space="0" w:color="000000"/>
            </w:tcBorders>
            <w:noWrap/>
            <w:tcMar>
              <w:top w:w="15" w:type="dxa"/>
              <w:left w:w="15" w:type="dxa"/>
              <w:bottom w:w="15" w:type="dxa"/>
            </w:tcMar>
            <w:vAlign w:val="center"/>
          </w:tcPr>
          <w:p>
            <w:pPr>
              <w:widowControl/>
              <w:spacing w:line="300" w:lineRule="exact"/>
              <w:jc w:val="center"/>
              <w:textAlignment w:val="center"/>
              <w:rPr>
                <w:rFonts w:ascii="宋体" w:eastAsia="宋体" w:cs="宋体" w:hint="eastAsia"/>
                <w:color w:val="000000"/>
                <w:kern w:val="0"/>
                <w:sz w:val="18"/>
                <w:szCs w:val="18"/>
              </w:rPr>
            </w:pPr>
            <w:r>
              <w:rPr>
                <w:rFonts w:ascii="宋体" w:eastAsia="宋体" w:cs="宋体" w:hint="eastAsia"/>
                <w:color w:val="000000"/>
                <w:kern w:val="0"/>
                <w:sz w:val="18"/>
                <w:szCs w:val="18"/>
              </w:rPr>
              <w:t>实际完成</w:t>
            </w:r>
          </w:p>
          <w:p>
            <w:pPr>
              <w:widowControl/>
              <w:spacing w:line="300" w:lineRule="exact"/>
              <w:jc w:val="center"/>
              <w:textAlignment w:val="center"/>
              <w:rPr>
                <w:rFonts w:ascii="宋体" w:eastAsia="宋体" w:cs="宋体" w:hint="eastAsia"/>
                <w:color w:val="000000"/>
                <w:sz w:val="18"/>
                <w:szCs w:val="18"/>
              </w:rPr>
            </w:pPr>
            <w:r>
              <w:rPr>
                <w:rFonts w:ascii="宋体" w:eastAsia="宋体" w:cs="宋体" w:hint="eastAsia"/>
                <w:color w:val="000000"/>
                <w:kern w:val="0"/>
                <w:sz w:val="18"/>
                <w:szCs w:val="18"/>
              </w:rPr>
              <w:t>指标值</w:t>
            </w:r>
          </w:p>
        </w:tc>
      </w:tr>
      <w:tr>
        <w:trPr>
          <w:trHeight w:val="303"/>
          <w:gridBefore w:val="1"/>
          <w:wBefore w:w="93" w:type="dxa"/>
        </w:trPr>
        <w:tc>
          <w:tcPr>
            <w:tcW w:w="1270" w:type="dxa"/>
            <w:gridSpan w:val="3"/>
            <w:vMerge/>
            <w:tcBorders>
              <w:left w:val="single" w:sz="4" w:space="0" w:color="auto"/>
              <w:right w:val="single" w:sz="4" w:space="0" w:color="000000"/>
            </w:tcBorders>
            <w:noWrap/>
            <w:tcMar>
              <w:top w:w="15" w:type="dxa"/>
              <w:left w:w="15" w:type="dxa"/>
              <w:bottom w:w="15" w:type="dxa"/>
            </w:tcMar>
            <w:vAlign w:val="center"/>
          </w:tcPr>
          <w:p/>
        </w:tc>
        <w:tc>
          <w:tcPr>
            <w:tcW w:w="1307" w:type="dxa"/>
            <w:gridSpan w:val="2"/>
            <w:vMerge w:val="restart"/>
            <w:tcBorders>
              <w:top w:val="single" w:sz="4" w:space="0" w:color="000000"/>
              <w:left w:val="single" w:sz="4" w:space="0" w:color="000000"/>
              <w:bottom w:val="single" w:sz="4" w:space="0" w:color="000000"/>
              <w:right w:val="single" w:sz="4" w:space="0" w:color="000000"/>
            </w:tcBorders>
            <w:noWrap/>
            <w:tcMar>
              <w:top w:w="15" w:type="dxa"/>
              <w:left w:w="15" w:type="dxa"/>
              <w:bottom w:w="15" w:type="dxa"/>
            </w:tcMar>
            <w:vAlign w:val="center"/>
          </w:tcPr>
          <w:p>
            <w:pPr>
              <w:widowControl/>
              <w:spacing w:line="300" w:lineRule="exact"/>
              <w:jc w:val="center"/>
              <w:textAlignment w:val="center"/>
              <w:rPr>
                <w:rFonts w:ascii="宋体" w:eastAsia="宋体" w:cs="宋体" w:hint="eastAsia"/>
                <w:color w:val="000000"/>
                <w:sz w:val="18"/>
                <w:szCs w:val="18"/>
              </w:rPr>
            </w:pPr>
            <w:r>
              <w:rPr>
                <w:rFonts w:ascii="宋体" w:eastAsia="宋体" w:cs="宋体" w:hint="eastAsia"/>
                <w:color w:val="000000"/>
                <w:kern w:val="0"/>
                <w:sz w:val="18"/>
                <w:szCs w:val="18"/>
              </w:rPr>
              <w:t>产出指标</w:t>
            </w:r>
          </w:p>
        </w:tc>
        <w:tc>
          <w:tcPr>
            <w:tcW w:w="1318" w:type="dxa"/>
            <w:gridSpan w:val="3"/>
            <w:vMerge w:val="restart"/>
            <w:tcBorders>
              <w:top w:val="single" w:sz="4" w:space="0" w:color="000000"/>
              <w:left w:val="single" w:sz="4" w:space="0" w:color="000000"/>
              <w:bottom w:val="single" w:sz="4" w:space="0" w:color="000000"/>
              <w:right w:val="single" w:sz="4" w:space="0" w:color="000000"/>
            </w:tcBorders>
            <w:noWrap/>
            <w:tcMar>
              <w:top w:w="15" w:type="dxa"/>
              <w:left w:w="15" w:type="dxa"/>
              <w:bottom w:w="15" w:type="dxa"/>
            </w:tcMar>
            <w:vAlign w:val="center"/>
          </w:tcPr>
          <w:p>
            <w:pPr>
              <w:widowControl/>
              <w:spacing w:line="300" w:lineRule="exact"/>
              <w:jc w:val="center"/>
              <w:textAlignment w:val="center"/>
              <w:rPr>
                <w:rFonts w:ascii="宋体" w:eastAsia="宋体" w:cs="宋体" w:hint="eastAsia"/>
                <w:color w:val="000000"/>
                <w:sz w:val="18"/>
                <w:szCs w:val="18"/>
              </w:rPr>
            </w:pPr>
            <w:r>
              <w:rPr>
                <w:rFonts w:ascii="宋体" w:eastAsia="宋体" w:cs="宋体" w:hint="eastAsia"/>
                <w:color w:val="000000"/>
                <w:kern w:val="0"/>
                <w:sz w:val="18"/>
                <w:szCs w:val="18"/>
              </w:rPr>
              <w:t>数量指标</w:t>
            </w:r>
          </w:p>
        </w:tc>
        <w:tc>
          <w:tcPr>
            <w:tcW w:w="1985" w:type="dxa"/>
            <w:gridSpan w:val="3"/>
            <w:tcBorders>
              <w:top w:val="single" w:sz="4" w:space="0" w:color="000000"/>
              <w:left w:val="single" w:sz="4" w:space="0" w:color="000000"/>
              <w:bottom w:val="single" w:sz="4" w:space="0" w:color="000000"/>
              <w:right w:val="single" w:sz="4" w:space="0" w:color="000000"/>
            </w:tcBorders>
            <w:noWrap/>
            <w:tcMar>
              <w:top w:w="15" w:type="dxa"/>
              <w:left w:w="15" w:type="dxa"/>
              <w:bottom w:w="15" w:type="dxa"/>
            </w:tcMar>
            <w:vAlign w:val="center"/>
          </w:tcPr>
          <w:p>
            <w:pPr>
              <w:widowControl/>
              <w:jc w:val="left"/>
              <w:textAlignment w:val="center"/>
              <w:rPr>
                <w:rFonts w:ascii="宋体" w:eastAsia="宋体" w:cs="宋体" w:hint="eastAsia"/>
                <w:color w:val="000000"/>
                <w:sz w:val="18"/>
                <w:szCs w:val="18"/>
              </w:rPr>
            </w:pPr>
            <w:r>
              <w:rPr>
                <w:rFonts w:ascii="宋体" w:eastAsia="宋体" w:cs="宋体" w:hint="eastAsia"/>
                <w:color w:val="000000"/>
                <w:kern w:val="0"/>
                <w:sz w:val="18"/>
                <w:szCs w:val="18"/>
              </w:rPr>
              <w:t>食堂及保安人数</w:t>
            </w:r>
          </w:p>
        </w:tc>
        <w:tc>
          <w:tcPr>
            <w:tcW w:w="988" w:type="dxa"/>
            <w:gridSpan w:val="2"/>
            <w:tcBorders>
              <w:top w:val="single" w:sz="4" w:space="0" w:color="000000"/>
              <w:left w:val="single" w:sz="4" w:space="0" w:color="000000"/>
              <w:bottom w:val="single" w:sz="4" w:space="0" w:color="000000"/>
              <w:right w:val="single" w:sz="4" w:space="0" w:color="auto"/>
            </w:tcBorders>
            <w:noWrap/>
            <w:tcMar>
              <w:top w:w="15" w:type="dxa"/>
              <w:left w:w="15" w:type="dxa"/>
              <w:bottom w:w="15" w:type="dxa"/>
            </w:tcMar>
            <w:vAlign w:val="center"/>
          </w:tcPr>
          <w:p>
            <w:pPr>
              <w:widowControl/>
              <w:jc w:val="left"/>
              <w:textAlignment w:val="center"/>
              <w:rPr>
                <w:rFonts w:ascii="宋体" w:eastAsia="宋体" w:cs="宋体" w:hint="eastAsia"/>
                <w:color w:val="000000"/>
                <w:sz w:val="18"/>
                <w:szCs w:val="18"/>
              </w:rPr>
            </w:pPr>
            <w:r>
              <w:rPr>
                <w:rFonts w:ascii="宋体" w:eastAsia="宋体" w:cs="宋体" w:hint="eastAsia"/>
                <w:color w:val="000000"/>
                <w:kern w:val="0"/>
                <w:sz w:val="18"/>
                <w:szCs w:val="18"/>
              </w:rPr>
              <w:t>≥</w:t>
            </w:r>
          </w:p>
        </w:tc>
        <w:tc>
          <w:tcPr>
            <w:tcW w:w="968" w:type="dxa"/>
            <w:gridSpan w:val="2"/>
            <w:tcBorders>
              <w:top w:val="single" w:sz="4" w:space="0" w:color="000000"/>
              <w:left w:val="single" w:sz="4" w:space="0" w:color="auto"/>
              <w:bottom w:val="single" w:sz="4" w:space="0" w:color="000000"/>
              <w:right w:val="single" w:sz="4" w:space="0" w:color="000000"/>
            </w:tcBorders>
            <w:noWrap/>
            <w:tcMar>
              <w:top w:w="15" w:type="dxa"/>
              <w:left w:w="15" w:type="dxa"/>
              <w:bottom w:w="15" w:type="dxa"/>
            </w:tcMar>
            <w:vAlign w:val="center"/>
          </w:tcPr>
          <w:p>
            <w:pPr>
              <w:widowControl/>
              <w:jc w:val="left"/>
              <w:textAlignment w:val="center"/>
              <w:rPr>
                <w:rFonts w:ascii="宋体" w:eastAsia="宋体" w:cs="宋体" w:hint="eastAsia"/>
                <w:color w:val="000000"/>
                <w:sz w:val="18"/>
                <w:szCs w:val="18"/>
              </w:rPr>
            </w:pPr>
            <w:r>
              <w:rPr>
                <w:rFonts w:ascii="宋体" w:eastAsia="宋体" w:cs="宋体" w:hint="eastAsia"/>
                <w:color w:val="000000"/>
                <w:sz w:val="18"/>
                <w:szCs w:val="18"/>
              </w:rPr>
              <w:t>9</w:t>
            </w:r>
          </w:p>
        </w:tc>
        <w:tc>
          <w:tcPr>
            <w:tcW w:w="903" w:type="dxa"/>
            <w:tcBorders>
              <w:top w:val="single" w:sz="4" w:space="0" w:color="000000"/>
              <w:left w:val="single" w:sz="4" w:space="0" w:color="000000"/>
              <w:bottom w:val="single" w:sz="4" w:space="0" w:color="000000"/>
              <w:right w:val="single" w:sz="4" w:space="0" w:color="000000"/>
            </w:tcBorders>
            <w:noWrap/>
            <w:tcMar>
              <w:top w:w="15" w:type="dxa"/>
              <w:left w:w="15" w:type="dxa"/>
              <w:bottom w:w="15" w:type="dxa"/>
            </w:tcMar>
            <w:vAlign w:val="center"/>
          </w:tcPr>
          <w:p>
            <w:pPr>
              <w:widowControl/>
              <w:jc w:val="left"/>
              <w:textAlignment w:val="center"/>
              <w:rPr>
                <w:rFonts w:ascii="宋体" w:eastAsia="宋体" w:cs="宋体" w:hint="eastAsia"/>
                <w:color w:val="000000"/>
                <w:sz w:val="18"/>
                <w:szCs w:val="18"/>
              </w:rPr>
            </w:pPr>
            <w:r>
              <w:rPr>
                <w:rFonts w:ascii="宋体" w:eastAsia="宋体" w:cs="宋体" w:hint="eastAsia"/>
                <w:color w:val="000000"/>
                <w:kern w:val="0"/>
                <w:sz w:val="18"/>
                <w:szCs w:val="18"/>
              </w:rPr>
              <w:t>人</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bottom w:w="15" w:type="dxa"/>
            </w:tcMar>
            <w:vAlign w:val="center"/>
          </w:tcPr>
          <w:p>
            <w:pPr>
              <w:widowControl/>
              <w:jc w:val="left"/>
              <w:textAlignment w:val="center"/>
              <w:rPr>
                <w:rFonts w:ascii="宋体" w:eastAsia="宋体" w:cs="宋体" w:hint="eastAsia"/>
                <w:color w:val="000000"/>
                <w:sz w:val="18"/>
                <w:szCs w:val="18"/>
              </w:rPr>
            </w:pPr>
            <w:r>
              <w:rPr>
                <w:rFonts w:ascii="宋体" w:eastAsia="宋体" w:cs="宋体" w:hint="eastAsia"/>
                <w:color w:val="000000"/>
                <w:sz w:val="18"/>
                <w:szCs w:val="18"/>
              </w:rPr>
              <w:t>10</w:t>
            </w:r>
          </w:p>
        </w:tc>
        <w:tc>
          <w:tcPr>
            <w:tcW w:w="859" w:type="dxa"/>
            <w:gridSpan w:val="2"/>
            <w:tcBorders>
              <w:left w:val="single" w:sz="4" w:space="0" w:color="000000"/>
              <w:bottom w:val="single" w:sz="4" w:space="0" w:color="000000"/>
              <w:right w:val="single" w:sz="4" w:space="0" w:color="000000"/>
            </w:tcBorders>
            <w:noWrap/>
            <w:tcMar>
              <w:top w:w="15" w:type="dxa"/>
              <w:left w:w="15" w:type="dxa"/>
              <w:bottom w:w="15" w:type="dxa"/>
            </w:tcMar>
            <w:vAlign w:val="center"/>
          </w:tcPr>
          <w:p>
            <w:pPr>
              <w:widowControl/>
              <w:jc w:val="left"/>
              <w:textAlignment w:val="center"/>
              <w:rPr>
                <w:rFonts w:ascii="宋体" w:eastAsia="宋体" w:cs="宋体" w:hint="eastAsia"/>
                <w:color w:val="000000"/>
                <w:sz w:val="18"/>
                <w:szCs w:val="18"/>
              </w:rPr>
            </w:pPr>
            <w:r>
              <w:rPr>
                <w:rFonts w:ascii="宋体" w:eastAsia="宋体" w:cs="宋体" w:hint="eastAsia"/>
                <w:color w:val="000000"/>
                <w:sz w:val="18"/>
                <w:szCs w:val="18"/>
              </w:rPr>
              <w:t>9</w:t>
            </w:r>
          </w:p>
        </w:tc>
      </w:tr>
      <w:tr>
        <w:trPr>
          <w:trHeight w:val="303"/>
          <w:gridBefore w:val="1"/>
          <w:wBefore w:w="93" w:type="dxa"/>
        </w:trPr>
        <w:tc>
          <w:tcPr>
            <w:tcW w:w="1270" w:type="dxa"/>
            <w:gridSpan w:val="3"/>
            <w:vMerge/>
            <w:tcBorders>
              <w:left w:val="single" w:sz="4" w:space="0" w:color="auto"/>
              <w:right w:val="single" w:sz="4" w:space="0" w:color="000000"/>
            </w:tcBorders>
            <w:noWrap/>
            <w:tcMar>
              <w:top w:w="15" w:type="dxa"/>
              <w:left w:w="15" w:type="dxa"/>
              <w:bottom w:w="15" w:type="dxa"/>
            </w:tcMar>
            <w:vAlign w:val="center"/>
          </w:tcPr>
          <w:p/>
        </w:tc>
        <w:tc>
          <w:tcPr>
            <w:tcW w:w="1307" w:type="dxa"/>
            <w:gridSpan w:val="2"/>
            <w:vMerge/>
            <w:tcBorders>
              <w:left w:val="single" w:sz="4" w:space="0" w:color="000000"/>
              <w:right w:val="single" w:sz="4" w:space="0" w:color="000000"/>
            </w:tcBorders>
            <w:noWrap/>
            <w:tcMar>
              <w:top w:w="15" w:type="dxa"/>
              <w:left w:w="15" w:type="dxa"/>
              <w:bottom w:w="15" w:type="dxa"/>
            </w:tcMar>
            <w:vAlign w:val="center"/>
          </w:tcPr>
          <w:p/>
        </w:tc>
        <w:tc>
          <w:tcPr>
            <w:tcW w:w="1318" w:type="dxa"/>
            <w:gridSpan w:val="3"/>
            <w:vMerge/>
            <w:tcBorders>
              <w:left w:val="single" w:sz="4" w:space="0" w:color="000000"/>
              <w:right w:val="single" w:sz="4" w:space="0" w:color="000000"/>
            </w:tcBorders>
            <w:noWrap/>
            <w:tcMar>
              <w:top w:w="15" w:type="dxa"/>
              <w:left w:w="15" w:type="dxa"/>
              <w:bottom w:w="15" w:type="dxa"/>
            </w:tcMar>
            <w:vAlign w:val="center"/>
          </w:tcPr>
          <w:p/>
        </w:tc>
        <w:tc>
          <w:tcPr>
            <w:tcW w:w="1985" w:type="dxa"/>
            <w:gridSpan w:val="3"/>
            <w:tcBorders>
              <w:top w:val="single" w:sz="4" w:space="0" w:color="000000"/>
              <w:left w:val="single" w:sz="4" w:space="0" w:color="000000"/>
              <w:bottom w:val="single" w:sz="4" w:space="0" w:color="000000"/>
              <w:right w:val="single" w:sz="4" w:space="0" w:color="000000"/>
            </w:tcBorders>
            <w:noWrap/>
            <w:tcMar>
              <w:top w:w="15" w:type="dxa"/>
              <w:left w:w="15" w:type="dxa"/>
              <w:bottom w:w="15" w:type="dxa"/>
            </w:tcMar>
            <w:vAlign w:val="center"/>
          </w:tcPr>
          <w:p>
            <w:pPr>
              <w:widowControl/>
              <w:jc w:val="left"/>
              <w:textAlignment w:val="center"/>
              <w:rPr>
                <w:rFonts w:ascii="宋体" w:eastAsia="宋体" w:cs="宋体" w:hint="eastAsia"/>
                <w:color w:val="000000"/>
                <w:kern w:val="0"/>
                <w:sz w:val="18"/>
                <w:szCs w:val="18"/>
              </w:rPr>
            </w:pPr>
            <w:r>
              <w:rPr>
                <w:rFonts w:ascii="宋体" w:eastAsia="宋体" w:cs="宋体" w:hint="eastAsia"/>
                <w:color w:val="000000"/>
                <w:kern w:val="0"/>
                <w:sz w:val="18"/>
                <w:szCs w:val="18"/>
              </w:rPr>
              <w:t>小学生人数</w:t>
            </w:r>
          </w:p>
        </w:tc>
        <w:tc>
          <w:tcPr>
            <w:tcW w:w="988" w:type="dxa"/>
            <w:gridSpan w:val="2"/>
            <w:tcBorders>
              <w:top w:val="single" w:sz="4" w:space="0" w:color="000000"/>
              <w:left w:val="single" w:sz="4" w:space="0" w:color="000000"/>
              <w:bottom w:val="single" w:sz="4" w:space="0" w:color="000000"/>
              <w:right w:val="single" w:sz="4" w:space="0" w:color="auto"/>
            </w:tcBorders>
            <w:noWrap/>
            <w:tcMar>
              <w:top w:w="15" w:type="dxa"/>
              <w:left w:w="15" w:type="dxa"/>
              <w:bottom w:w="15" w:type="dxa"/>
            </w:tcMar>
            <w:vAlign w:val="center"/>
          </w:tcPr>
          <w:p>
            <w:pPr>
              <w:widowControl/>
              <w:jc w:val="left"/>
              <w:textAlignment w:val="center"/>
              <w:rPr>
                <w:rFonts w:ascii="宋体" w:eastAsia="宋体" w:cs="宋体" w:hint="eastAsia"/>
                <w:color w:val="000000"/>
                <w:kern w:val="0"/>
                <w:sz w:val="18"/>
                <w:szCs w:val="18"/>
              </w:rPr>
            </w:pPr>
            <w:r>
              <w:rPr>
                <w:rFonts w:ascii="宋体" w:eastAsia="宋体" w:cs="宋体" w:hint="eastAsia"/>
                <w:color w:val="000000"/>
                <w:kern w:val="0"/>
                <w:sz w:val="18"/>
                <w:szCs w:val="18"/>
              </w:rPr>
              <w:t>≥</w:t>
            </w:r>
          </w:p>
        </w:tc>
        <w:tc>
          <w:tcPr>
            <w:tcW w:w="968" w:type="dxa"/>
            <w:gridSpan w:val="2"/>
            <w:tcBorders>
              <w:top w:val="single" w:sz="4" w:space="0" w:color="000000"/>
              <w:left w:val="single" w:sz="4" w:space="0" w:color="auto"/>
              <w:bottom w:val="single" w:sz="4" w:space="0" w:color="000000"/>
              <w:right w:val="single" w:sz="4" w:space="0" w:color="000000"/>
            </w:tcBorders>
            <w:noWrap/>
            <w:tcMar>
              <w:top w:w="15" w:type="dxa"/>
              <w:left w:w="15" w:type="dxa"/>
              <w:bottom w:w="15" w:type="dxa"/>
            </w:tcMar>
            <w:vAlign w:val="center"/>
          </w:tcPr>
          <w:p>
            <w:pPr>
              <w:widowControl/>
              <w:jc w:val="left"/>
              <w:textAlignment w:val="center"/>
              <w:rPr>
                <w:rFonts w:ascii="宋体" w:eastAsia="宋体" w:cs="宋体" w:hint="eastAsia"/>
                <w:color w:val="000000"/>
                <w:kern w:val="0"/>
                <w:sz w:val="18"/>
                <w:szCs w:val="18"/>
              </w:rPr>
            </w:pPr>
            <w:r>
              <w:rPr>
                <w:rFonts w:ascii="宋体" w:eastAsia="宋体" w:cs="宋体" w:hint="eastAsia"/>
                <w:color w:val="000000"/>
                <w:kern w:val="0"/>
                <w:sz w:val="18"/>
                <w:szCs w:val="18"/>
              </w:rPr>
              <w:t>240</w:t>
            </w:r>
          </w:p>
        </w:tc>
        <w:tc>
          <w:tcPr>
            <w:tcW w:w="903" w:type="dxa"/>
            <w:tcBorders>
              <w:top w:val="single" w:sz="4" w:space="0" w:color="000000"/>
              <w:left w:val="single" w:sz="4" w:space="0" w:color="000000"/>
              <w:bottom w:val="single" w:sz="4" w:space="0" w:color="000000"/>
              <w:right w:val="single" w:sz="4" w:space="0" w:color="000000"/>
            </w:tcBorders>
            <w:noWrap/>
            <w:tcMar>
              <w:top w:w="15" w:type="dxa"/>
              <w:left w:w="15" w:type="dxa"/>
              <w:bottom w:w="15" w:type="dxa"/>
            </w:tcMar>
            <w:vAlign w:val="center"/>
          </w:tcPr>
          <w:p>
            <w:pPr>
              <w:widowControl/>
              <w:jc w:val="left"/>
              <w:textAlignment w:val="center"/>
              <w:rPr>
                <w:rFonts w:ascii="宋体" w:eastAsia="宋体" w:cs="宋体" w:hint="eastAsia"/>
                <w:color w:val="000000"/>
                <w:kern w:val="0"/>
                <w:sz w:val="18"/>
                <w:szCs w:val="18"/>
              </w:rPr>
            </w:pPr>
            <w:r>
              <w:rPr>
                <w:rFonts w:ascii="宋体" w:eastAsia="宋体" w:cs="宋体" w:hint="eastAsia"/>
                <w:color w:val="000000"/>
                <w:kern w:val="0"/>
                <w:sz w:val="18"/>
                <w:szCs w:val="18"/>
              </w:rPr>
              <w:t>人</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bottom w:w="15" w:type="dxa"/>
            </w:tcMar>
            <w:vAlign w:val="center"/>
          </w:tcPr>
          <w:p>
            <w:pPr>
              <w:widowControl/>
              <w:jc w:val="left"/>
              <w:textAlignment w:val="center"/>
              <w:rPr>
                <w:rFonts w:ascii="宋体" w:eastAsia="宋体" w:cs="宋体" w:hint="eastAsia"/>
                <w:color w:val="000000"/>
                <w:kern w:val="0"/>
                <w:sz w:val="18"/>
                <w:szCs w:val="18"/>
              </w:rPr>
            </w:pPr>
            <w:r>
              <w:rPr>
                <w:rFonts w:ascii="宋体" w:eastAsia="宋体" w:cs="宋体" w:hint="eastAsia"/>
                <w:color w:val="000000"/>
                <w:kern w:val="0"/>
                <w:sz w:val="18"/>
                <w:szCs w:val="18"/>
              </w:rPr>
              <w:t>5</w:t>
            </w:r>
          </w:p>
        </w:tc>
        <w:tc>
          <w:tcPr>
            <w:tcW w:w="859" w:type="dxa"/>
            <w:gridSpan w:val="2"/>
            <w:tcBorders>
              <w:left w:val="single" w:sz="4" w:space="0" w:color="000000"/>
              <w:bottom w:val="single" w:sz="4" w:space="0" w:color="000000"/>
              <w:right w:val="single" w:sz="4" w:space="0" w:color="000000"/>
            </w:tcBorders>
            <w:noWrap/>
            <w:tcMar>
              <w:top w:w="15" w:type="dxa"/>
              <w:left w:w="15" w:type="dxa"/>
              <w:bottom w:w="15" w:type="dxa"/>
            </w:tcMar>
            <w:vAlign w:val="center"/>
          </w:tcPr>
          <w:p>
            <w:pPr>
              <w:widowControl/>
              <w:jc w:val="left"/>
              <w:textAlignment w:val="center"/>
              <w:rPr>
                <w:rFonts w:ascii="宋体" w:eastAsia="宋体" w:cs="宋体" w:hint="eastAsia"/>
                <w:color w:val="000000"/>
                <w:kern w:val="0"/>
                <w:sz w:val="18"/>
                <w:szCs w:val="18"/>
              </w:rPr>
            </w:pPr>
            <w:r>
              <w:rPr>
                <w:rFonts w:ascii="宋体" w:eastAsia="宋体" w:cs="宋体" w:hint="eastAsia"/>
                <w:color w:val="000000"/>
                <w:kern w:val="0"/>
                <w:sz w:val="18"/>
                <w:szCs w:val="18"/>
              </w:rPr>
              <w:t>240</w:t>
            </w:r>
          </w:p>
        </w:tc>
      </w:tr>
      <w:tr>
        <w:trPr>
          <w:trHeight w:val="303"/>
          <w:gridBefore w:val="1"/>
          <w:wBefore w:w="93" w:type="dxa"/>
        </w:trPr>
        <w:tc>
          <w:tcPr>
            <w:tcW w:w="1270" w:type="dxa"/>
            <w:gridSpan w:val="3"/>
            <w:vMerge/>
            <w:tcBorders>
              <w:left w:val="single" w:sz="4" w:space="0" w:color="auto"/>
              <w:right w:val="single" w:sz="4" w:space="0" w:color="000000"/>
            </w:tcBorders>
            <w:noWrap/>
            <w:tcMar>
              <w:top w:w="15" w:type="dxa"/>
              <w:left w:w="15" w:type="dxa"/>
              <w:bottom w:w="15" w:type="dxa"/>
            </w:tcMar>
            <w:vAlign w:val="center"/>
          </w:tcPr>
          <w:p/>
        </w:tc>
        <w:tc>
          <w:tcPr>
            <w:tcW w:w="1307" w:type="dxa"/>
            <w:gridSpan w:val="2"/>
            <w:vMerge/>
            <w:tcBorders>
              <w:left w:val="single" w:sz="4" w:space="0" w:color="000000"/>
              <w:right w:val="single" w:sz="4" w:space="0" w:color="000000"/>
            </w:tcBorders>
            <w:noWrap/>
            <w:tcMar>
              <w:top w:w="15" w:type="dxa"/>
              <w:left w:w="15" w:type="dxa"/>
              <w:bottom w:w="15" w:type="dxa"/>
            </w:tcMar>
            <w:vAlign w:val="center"/>
          </w:tcPr>
          <w:p/>
        </w:tc>
        <w:tc>
          <w:tcPr>
            <w:tcW w:w="1318" w:type="dxa"/>
            <w:gridSpan w:val="3"/>
            <w:vMerge/>
            <w:tcBorders>
              <w:left w:val="single" w:sz="4" w:space="0" w:color="000000"/>
              <w:right w:val="single" w:sz="4" w:space="0" w:color="000000"/>
            </w:tcBorders>
            <w:noWrap/>
            <w:tcMar>
              <w:top w:w="15" w:type="dxa"/>
              <w:left w:w="15" w:type="dxa"/>
              <w:bottom w:w="15" w:type="dxa"/>
            </w:tcMar>
            <w:vAlign w:val="center"/>
          </w:tcPr>
          <w:p/>
        </w:tc>
        <w:tc>
          <w:tcPr>
            <w:tcW w:w="1985" w:type="dxa"/>
            <w:gridSpan w:val="3"/>
            <w:tcBorders>
              <w:top w:val="single" w:sz="4" w:space="0" w:color="000000"/>
              <w:left w:val="single" w:sz="4" w:space="0" w:color="000000"/>
              <w:bottom w:val="single" w:sz="4" w:space="0" w:color="000000"/>
              <w:right w:val="single" w:sz="4" w:space="0" w:color="000000"/>
            </w:tcBorders>
            <w:noWrap/>
            <w:tcMar>
              <w:top w:w="15" w:type="dxa"/>
              <w:left w:w="15" w:type="dxa"/>
              <w:bottom w:w="15" w:type="dxa"/>
            </w:tcMar>
            <w:vAlign w:val="center"/>
          </w:tcPr>
          <w:p>
            <w:pPr>
              <w:widowControl/>
              <w:jc w:val="left"/>
              <w:textAlignment w:val="center"/>
              <w:rPr>
                <w:rFonts w:ascii="宋体" w:eastAsia="宋体" w:cs="宋体" w:hint="eastAsia"/>
                <w:color w:val="000000"/>
                <w:kern w:val="0"/>
                <w:sz w:val="18"/>
                <w:szCs w:val="18"/>
              </w:rPr>
            </w:pPr>
            <w:r>
              <w:rPr>
                <w:rFonts w:ascii="宋体" w:eastAsia="宋体" w:cs="宋体" w:hint="eastAsia"/>
                <w:color w:val="000000"/>
                <w:kern w:val="0"/>
                <w:sz w:val="18"/>
                <w:szCs w:val="18"/>
              </w:rPr>
              <w:t>在校学生人数</w:t>
            </w:r>
          </w:p>
        </w:tc>
        <w:tc>
          <w:tcPr>
            <w:tcW w:w="988" w:type="dxa"/>
            <w:gridSpan w:val="2"/>
            <w:tcBorders>
              <w:top w:val="single" w:sz="4" w:space="0" w:color="000000"/>
              <w:left w:val="single" w:sz="4" w:space="0" w:color="000000"/>
              <w:bottom w:val="single" w:sz="4" w:space="0" w:color="000000"/>
              <w:right w:val="single" w:sz="4" w:space="0" w:color="auto"/>
            </w:tcBorders>
            <w:noWrap/>
            <w:tcMar>
              <w:top w:w="15" w:type="dxa"/>
              <w:left w:w="15" w:type="dxa"/>
              <w:bottom w:w="15" w:type="dxa"/>
            </w:tcMar>
            <w:vAlign w:val="center"/>
          </w:tcPr>
          <w:p>
            <w:pPr>
              <w:widowControl/>
              <w:jc w:val="left"/>
              <w:textAlignment w:val="center"/>
              <w:rPr>
                <w:rFonts w:ascii="宋体" w:eastAsia="宋体" w:cs="宋体" w:hint="eastAsia"/>
                <w:color w:val="000000"/>
                <w:kern w:val="0"/>
                <w:sz w:val="18"/>
                <w:szCs w:val="18"/>
              </w:rPr>
            </w:pPr>
            <w:r>
              <w:rPr>
                <w:rFonts w:ascii="宋体" w:eastAsia="宋体" w:cs="宋体" w:hint="eastAsia"/>
                <w:color w:val="000000"/>
                <w:kern w:val="0"/>
                <w:sz w:val="18"/>
                <w:szCs w:val="18"/>
              </w:rPr>
              <w:t>≥</w:t>
            </w:r>
          </w:p>
        </w:tc>
        <w:tc>
          <w:tcPr>
            <w:tcW w:w="968" w:type="dxa"/>
            <w:gridSpan w:val="2"/>
            <w:tcBorders>
              <w:top w:val="single" w:sz="4" w:space="0" w:color="000000"/>
              <w:left w:val="single" w:sz="4" w:space="0" w:color="auto"/>
              <w:bottom w:val="single" w:sz="4" w:space="0" w:color="000000"/>
              <w:right w:val="single" w:sz="4" w:space="0" w:color="000000"/>
            </w:tcBorders>
            <w:noWrap/>
            <w:tcMar>
              <w:top w:w="15" w:type="dxa"/>
              <w:left w:w="15" w:type="dxa"/>
              <w:bottom w:w="15" w:type="dxa"/>
            </w:tcMar>
            <w:vAlign w:val="center"/>
          </w:tcPr>
          <w:p>
            <w:pPr>
              <w:widowControl/>
              <w:jc w:val="left"/>
              <w:textAlignment w:val="center"/>
              <w:rPr>
                <w:rFonts w:ascii="宋体" w:eastAsia="宋体" w:cs="宋体" w:hint="eastAsia"/>
                <w:color w:val="000000"/>
                <w:kern w:val="0"/>
                <w:sz w:val="18"/>
                <w:szCs w:val="18"/>
              </w:rPr>
            </w:pPr>
            <w:r>
              <w:rPr>
                <w:rFonts w:ascii="宋体" w:eastAsia="宋体" w:cs="宋体" w:hint="eastAsia"/>
                <w:color w:val="000000"/>
                <w:kern w:val="0"/>
                <w:sz w:val="18"/>
                <w:szCs w:val="18"/>
              </w:rPr>
              <w:t>305</w:t>
            </w:r>
          </w:p>
        </w:tc>
        <w:tc>
          <w:tcPr>
            <w:tcW w:w="903" w:type="dxa"/>
            <w:tcBorders>
              <w:top w:val="single" w:sz="4" w:space="0" w:color="000000"/>
              <w:left w:val="single" w:sz="4" w:space="0" w:color="000000"/>
              <w:bottom w:val="single" w:sz="4" w:space="0" w:color="000000"/>
              <w:right w:val="single" w:sz="4" w:space="0" w:color="000000"/>
            </w:tcBorders>
            <w:noWrap/>
            <w:tcMar>
              <w:top w:w="15" w:type="dxa"/>
              <w:left w:w="15" w:type="dxa"/>
              <w:bottom w:w="15" w:type="dxa"/>
            </w:tcMar>
            <w:vAlign w:val="center"/>
          </w:tcPr>
          <w:p>
            <w:pPr>
              <w:widowControl/>
              <w:jc w:val="left"/>
              <w:textAlignment w:val="center"/>
              <w:rPr>
                <w:rFonts w:ascii="宋体" w:eastAsia="宋体" w:cs="宋体" w:hint="eastAsia"/>
                <w:color w:val="000000"/>
                <w:kern w:val="0"/>
                <w:sz w:val="18"/>
                <w:szCs w:val="18"/>
              </w:rPr>
            </w:pPr>
            <w:r>
              <w:rPr>
                <w:rFonts w:ascii="宋体" w:eastAsia="宋体" w:cs="宋体" w:hint="eastAsia"/>
                <w:color w:val="000000"/>
                <w:kern w:val="0"/>
                <w:sz w:val="18"/>
                <w:szCs w:val="18"/>
              </w:rPr>
              <w:t>人</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bottom w:w="15" w:type="dxa"/>
            </w:tcMar>
            <w:vAlign w:val="center"/>
          </w:tcPr>
          <w:p>
            <w:pPr>
              <w:widowControl/>
              <w:jc w:val="left"/>
              <w:textAlignment w:val="center"/>
              <w:rPr>
                <w:rFonts w:ascii="宋体" w:eastAsia="宋体" w:cs="宋体" w:hint="eastAsia"/>
                <w:color w:val="000000"/>
                <w:kern w:val="0"/>
                <w:sz w:val="18"/>
                <w:szCs w:val="18"/>
              </w:rPr>
            </w:pPr>
            <w:r>
              <w:rPr>
                <w:rFonts w:ascii="宋体" w:eastAsia="宋体" w:cs="宋体" w:hint="eastAsia"/>
                <w:color w:val="000000"/>
                <w:kern w:val="0"/>
                <w:sz w:val="18"/>
                <w:szCs w:val="18"/>
              </w:rPr>
              <w:t>10</w:t>
            </w:r>
          </w:p>
        </w:tc>
        <w:tc>
          <w:tcPr>
            <w:tcW w:w="859" w:type="dxa"/>
            <w:gridSpan w:val="2"/>
            <w:tcBorders>
              <w:left w:val="single" w:sz="4" w:space="0" w:color="000000"/>
              <w:bottom w:val="single" w:sz="4" w:space="0" w:color="000000"/>
              <w:right w:val="single" w:sz="4" w:space="0" w:color="000000"/>
            </w:tcBorders>
            <w:noWrap/>
            <w:tcMar>
              <w:top w:w="15" w:type="dxa"/>
              <w:left w:w="15" w:type="dxa"/>
              <w:bottom w:w="15" w:type="dxa"/>
            </w:tcMar>
            <w:vAlign w:val="center"/>
          </w:tcPr>
          <w:p>
            <w:pPr>
              <w:widowControl/>
              <w:jc w:val="left"/>
              <w:textAlignment w:val="center"/>
              <w:rPr>
                <w:rFonts w:ascii="宋体" w:eastAsia="宋体" w:cs="宋体" w:hint="eastAsia"/>
                <w:color w:val="000000"/>
                <w:kern w:val="0"/>
                <w:sz w:val="18"/>
                <w:szCs w:val="18"/>
              </w:rPr>
            </w:pPr>
            <w:r>
              <w:rPr>
                <w:rFonts w:ascii="宋体" w:eastAsia="宋体" w:cs="宋体" w:hint="eastAsia"/>
                <w:color w:val="000000"/>
                <w:kern w:val="0"/>
                <w:sz w:val="18"/>
                <w:szCs w:val="18"/>
              </w:rPr>
              <w:t>305</w:t>
            </w:r>
          </w:p>
        </w:tc>
      </w:tr>
      <w:tr>
        <w:trPr>
          <w:trHeight w:val="676"/>
          <w:gridBefore w:val="1"/>
          <w:wBefore w:w="93" w:type="dxa"/>
        </w:trPr>
        <w:tc>
          <w:tcPr>
            <w:tcW w:w="1270" w:type="dxa"/>
            <w:gridSpan w:val="3"/>
            <w:vMerge/>
            <w:tcBorders>
              <w:left w:val="single" w:sz="4" w:space="0" w:color="auto"/>
              <w:right w:val="single" w:sz="4" w:space="0" w:color="000000"/>
            </w:tcBorders>
            <w:noWrap/>
            <w:tcMar>
              <w:top w:w="15" w:type="dxa"/>
              <w:left w:w="15" w:type="dxa"/>
              <w:bottom w:w="15" w:type="dxa"/>
            </w:tcMar>
            <w:vAlign w:val="center"/>
          </w:tcPr>
          <w:p/>
        </w:tc>
        <w:tc>
          <w:tcPr>
            <w:tcW w:w="1307" w:type="dxa"/>
            <w:gridSpan w:val="2"/>
            <w:vMerge/>
            <w:tcBorders>
              <w:top w:val="single" w:sz="4" w:space="0" w:color="000000"/>
              <w:left w:val="single" w:sz="4" w:space="0" w:color="000000"/>
              <w:bottom w:val="single" w:sz="4" w:space="0" w:color="000000"/>
              <w:right w:val="single" w:sz="4" w:space="0" w:color="000000"/>
            </w:tcBorders>
            <w:noWrap/>
            <w:tcMar>
              <w:top w:w="15" w:type="dxa"/>
              <w:left w:w="15" w:type="dxa"/>
              <w:bottom w:w="15" w:type="dxa"/>
            </w:tcMar>
            <w:vAlign w:val="center"/>
          </w:tcPr>
          <w:p/>
        </w:tc>
        <w:tc>
          <w:tcPr>
            <w:tcW w:w="1318" w:type="dxa"/>
            <w:gridSpan w:val="3"/>
            <w:vMerge/>
            <w:tcBorders>
              <w:top w:val="single" w:sz="4" w:space="0" w:color="000000"/>
              <w:left w:val="single" w:sz="4" w:space="0" w:color="000000"/>
              <w:bottom w:val="single" w:sz="4" w:space="0" w:color="000000"/>
              <w:right w:val="single" w:sz="4" w:space="0" w:color="000000"/>
            </w:tcBorders>
            <w:noWrap/>
            <w:tcMar>
              <w:top w:w="15" w:type="dxa"/>
              <w:left w:w="15" w:type="dxa"/>
              <w:bottom w:w="15" w:type="dxa"/>
            </w:tcMar>
            <w:vAlign w:val="center"/>
          </w:tcPr>
          <w:p/>
        </w:tc>
        <w:tc>
          <w:tcPr>
            <w:tcW w:w="1985" w:type="dxa"/>
            <w:gridSpan w:val="3"/>
            <w:tcBorders>
              <w:top w:val="single" w:sz="4" w:space="0" w:color="000000"/>
              <w:left w:val="single" w:sz="4" w:space="0" w:color="000000"/>
              <w:bottom w:val="single" w:sz="4" w:space="0" w:color="000000"/>
              <w:right w:val="single" w:sz="4" w:space="0" w:color="000000"/>
            </w:tcBorders>
            <w:noWrap/>
            <w:tcMar>
              <w:top w:w="15" w:type="dxa"/>
              <w:left w:w="15" w:type="dxa"/>
              <w:bottom w:w="15" w:type="dxa"/>
            </w:tcMar>
            <w:vAlign w:val="center"/>
          </w:tcPr>
          <w:p>
            <w:pPr>
              <w:widowControl/>
              <w:jc w:val="left"/>
              <w:textAlignment w:val="center"/>
              <w:rPr>
                <w:rFonts w:ascii="宋体" w:eastAsia="宋体" w:cs="宋体" w:hint="eastAsia"/>
                <w:color w:val="000000"/>
                <w:sz w:val="18"/>
                <w:szCs w:val="18"/>
              </w:rPr>
            </w:pPr>
            <w:r>
              <w:rPr>
                <w:rFonts w:ascii="宋体" w:eastAsia="宋体" w:cs="宋体" w:hint="eastAsia"/>
                <w:color w:val="000000"/>
                <w:kern w:val="0"/>
                <w:sz w:val="18"/>
                <w:szCs w:val="18"/>
              </w:rPr>
              <w:t>享受安保服务的师生人数</w:t>
            </w:r>
          </w:p>
        </w:tc>
        <w:tc>
          <w:tcPr>
            <w:tcW w:w="988" w:type="dxa"/>
            <w:gridSpan w:val="2"/>
            <w:tcBorders>
              <w:top w:val="single" w:sz="4" w:space="0" w:color="000000"/>
              <w:left w:val="single" w:sz="4" w:space="0" w:color="000000"/>
              <w:bottom w:val="single" w:sz="4" w:space="0" w:color="000000"/>
              <w:right w:val="single" w:sz="4" w:space="0" w:color="auto"/>
            </w:tcBorders>
            <w:noWrap/>
            <w:tcMar>
              <w:top w:w="15" w:type="dxa"/>
              <w:left w:w="15" w:type="dxa"/>
              <w:bottom w:w="15" w:type="dxa"/>
            </w:tcMar>
            <w:vAlign w:val="center"/>
          </w:tcPr>
          <w:p>
            <w:pPr>
              <w:widowControl/>
              <w:jc w:val="left"/>
              <w:textAlignment w:val="center"/>
              <w:rPr>
                <w:rFonts w:ascii="宋体" w:eastAsia="宋体" w:cs="宋体" w:hint="eastAsia"/>
                <w:color w:val="000000"/>
                <w:sz w:val="18"/>
                <w:szCs w:val="18"/>
              </w:rPr>
            </w:pPr>
            <w:r>
              <w:rPr>
                <w:rFonts w:ascii="宋体" w:eastAsia="宋体" w:cs="宋体" w:hint="eastAsia"/>
                <w:color w:val="000000"/>
                <w:kern w:val="0"/>
                <w:sz w:val="18"/>
                <w:szCs w:val="18"/>
              </w:rPr>
              <w:t>≥</w:t>
            </w:r>
          </w:p>
        </w:tc>
        <w:tc>
          <w:tcPr>
            <w:tcW w:w="968" w:type="dxa"/>
            <w:gridSpan w:val="2"/>
            <w:tcBorders>
              <w:top w:val="single" w:sz="4" w:space="0" w:color="000000"/>
              <w:left w:val="single" w:sz="4" w:space="0" w:color="auto"/>
              <w:bottom w:val="single" w:sz="4" w:space="0" w:color="000000"/>
              <w:right w:val="single" w:sz="4" w:space="0" w:color="000000"/>
            </w:tcBorders>
            <w:noWrap/>
            <w:tcMar>
              <w:top w:w="15" w:type="dxa"/>
              <w:left w:w="15" w:type="dxa"/>
              <w:bottom w:w="15" w:type="dxa"/>
            </w:tcMar>
            <w:vAlign w:val="center"/>
          </w:tcPr>
          <w:p>
            <w:pPr>
              <w:widowControl/>
              <w:jc w:val="left"/>
              <w:textAlignment w:val="center"/>
              <w:rPr>
                <w:rFonts w:ascii="宋体" w:eastAsia="宋体" w:cs="宋体" w:hint="eastAsia"/>
                <w:color w:val="000000"/>
                <w:sz w:val="18"/>
                <w:szCs w:val="18"/>
              </w:rPr>
            </w:pPr>
            <w:r>
              <w:rPr>
                <w:rFonts w:ascii="宋体" w:eastAsia="宋体" w:cs="宋体" w:hint="eastAsia"/>
                <w:color w:val="000000"/>
                <w:sz w:val="18"/>
                <w:szCs w:val="18"/>
              </w:rPr>
              <w:t>378</w:t>
            </w:r>
          </w:p>
        </w:tc>
        <w:tc>
          <w:tcPr>
            <w:tcW w:w="903" w:type="dxa"/>
            <w:tcBorders>
              <w:top w:val="single" w:sz="4" w:space="0" w:color="000000"/>
              <w:left w:val="single" w:sz="4" w:space="0" w:color="000000"/>
              <w:bottom w:val="single" w:sz="4" w:space="0" w:color="000000"/>
              <w:right w:val="single" w:sz="4" w:space="0" w:color="000000"/>
            </w:tcBorders>
            <w:noWrap/>
            <w:tcMar>
              <w:top w:w="15" w:type="dxa"/>
              <w:left w:w="15" w:type="dxa"/>
              <w:bottom w:w="15" w:type="dxa"/>
            </w:tcMar>
            <w:vAlign w:val="center"/>
          </w:tcPr>
          <w:p>
            <w:pPr>
              <w:widowControl/>
              <w:jc w:val="left"/>
              <w:textAlignment w:val="center"/>
              <w:rPr>
                <w:rFonts w:ascii="宋体" w:eastAsia="宋体" w:cs="宋体" w:hint="eastAsia"/>
                <w:color w:val="000000"/>
                <w:sz w:val="18"/>
                <w:szCs w:val="18"/>
              </w:rPr>
            </w:pPr>
            <w:r>
              <w:rPr>
                <w:rFonts w:ascii="宋体" w:eastAsia="宋体" w:cs="宋体" w:hint="eastAsia"/>
                <w:color w:val="000000"/>
                <w:sz w:val="18"/>
                <w:szCs w:val="18"/>
              </w:rPr>
              <w:t>人</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bottom w:w="15" w:type="dxa"/>
            </w:tcMar>
            <w:vAlign w:val="center"/>
          </w:tcPr>
          <w:p>
            <w:pPr>
              <w:widowControl/>
              <w:jc w:val="left"/>
              <w:textAlignment w:val="center"/>
              <w:rPr>
                <w:rFonts w:ascii="宋体" w:eastAsia="宋体" w:cs="宋体" w:hint="eastAsia"/>
                <w:color w:val="000000"/>
                <w:sz w:val="18"/>
                <w:szCs w:val="18"/>
              </w:rPr>
            </w:pPr>
            <w:r>
              <w:rPr>
                <w:rFonts w:ascii="宋体" w:eastAsia="宋体" w:cs="宋体" w:hint="eastAsia"/>
                <w:color w:val="000000"/>
                <w:sz w:val="18"/>
                <w:szCs w:val="18"/>
              </w:rPr>
              <w:t>10</w:t>
            </w:r>
          </w:p>
        </w:tc>
        <w:tc>
          <w:tcPr>
            <w:tcW w:w="859" w:type="dxa"/>
            <w:gridSpan w:val="2"/>
            <w:tcBorders>
              <w:top w:val="single" w:sz="4" w:space="0" w:color="000000"/>
              <w:left w:val="single" w:sz="4" w:space="0" w:color="000000"/>
              <w:bottom w:val="single" w:sz="4" w:space="0" w:color="000000"/>
              <w:right w:val="single" w:sz="4" w:space="0" w:color="000000"/>
            </w:tcBorders>
            <w:noWrap/>
            <w:tcMar>
              <w:top w:w="15" w:type="dxa"/>
              <w:left w:w="15" w:type="dxa"/>
              <w:bottom w:w="15" w:type="dxa"/>
            </w:tcMar>
            <w:vAlign w:val="center"/>
          </w:tcPr>
          <w:p>
            <w:pPr>
              <w:widowControl/>
              <w:jc w:val="left"/>
              <w:textAlignment w:val="center"/>
              <w:rPr>
                <w:rFonts w:ascii="宋体" w:eastAsia="宋体" w:cs="宋体" w:hint="eastAsia"/>
                <w:color w:val="000000"/>
                <w:sz w:val="18"/>
                <w:szCs w:val="18"/>
              </w:rPr>
            </w:pPr>
            <w:r>
              <w:rPr>
                <w:rFonts w:ascii="宋体" w:eastAsia="宋体" w:cs="宋体" w:hint="eastAsia"/>
                <w:color w:val="000000"/>
                <w:sz w:val="18"/>
                <w:szCs w:val="18"/>
              </w:rPr>
              <w:t>378</w:t>
            </w:r>
          </w:p>
        </w:tc>
      </w:tr>
      <w:tr>
        <w:trPr>
          <w:trHeight w:val="303"/>
          <w:gridBefore w:val="1"/>
          <w:wBefore w:w="93" w:type="dxa"/>
        </w:trPr>
        <w:tc>
          <w:tcPr>
            <w:tcW w:w="1270" w:type="dxa"/>
            <w:gridSpan w:val="3"/>
            <w:vMerge/>
            <w:tcBorders>
              <w:left w:val="single" w:sz="4" w:space="0" w:color="auto"/>
              <w:bottom w:val="single" w:sz="4" w:space="0" w:color="auto"/>
              <w:right w:val="single" w:sz="4" w:space="0" w:color="000000"/>
            </w:tcBorders>
            <w:noWrap/>
            <w:tcMar>
              <w:top w:w="15" w:type="dxa"/>
              <w:left w:w="15" w:type="dxa"/>
              <w:bottom w:w="15" w:type="dxa"/>
            </w:tcMar>
            <w:vAlign w:val="center"/>
          </w:tcPr>
          <w:p/>
        </w:tc>
        <w:tc>
          <w:tcPr>
            <w:tcW w:w="1307" w:type="dxa"/>
            <w:gridSpan w:val="2"/>
            <w:vMerge/>
            <w:tcBorders>
              <w:top w:val="single" w:sz="4" w:space="0" w:color="000000"/>
              <w:left w:val="single" w:sz="4" w:space="0" w:color="000000"/>
              <w:bottom w:val="single" w:sz="4" w:space="0" w:color="auto"/>
              <w:right w:val="single" w:sz="4" w:space="0" w:color="000000"/>
            </w:tcBorders>
            <w:noWrap/>
            <w:tcMar>
              <w:top w:w="15" w:type="dxa"/>
              <w:left w:w="15" w:type="dxa"/>
              <w:bottom w:w="15" w:type="dxa"/>
            </w:tcMar>
            <w:vAlign w:val="center"/>
          </w:tcPr>
          <w:p/>
        </w:tc>
        <w:tc>
          <w:tcPr>
            <w:tcW w:w="1318" w:type="dxa"/>
            <w:gridSpan w:val="3"/>
            <w:vMerge w:val="restart"/>
            <w:tcBorders>
              <w:top w:val="single" w:sz="4" w:space="0" w:color="000000"/>
              <w:left w:val="single" w:sz="4" w:space="0" w:color="000000"/>
              <w:bottom w:val="single" w:sz="4" w:space="0" w:color="auto"/>
              <w:right w:val="single" w:sz="4" w:space="0" w:color="000000"/>
            </w:tcBorders>
            <w:noWrap/>
            <w:tcMar>
              <w:top w:w="15" w:type="dxa"/>
              <w:left w:w="15" w:type="dxa"/>
              <w:bottom w:w="15" w:type="dxa"/>
            </w:tcMar>
            <w:vAlign w:val="center"/>
          </w:tcPr>
          <w:p>
            <w:pPr>
              <w:widowControl/>
              <w:spacing w:line="300" w:lineRule="exact"/>
              <w:jc w:val="center"/>
              <w:textAlignment w:val="center"/>
              <w:rPr>
                <w:rFonts w:ascii="宋体" w:eastAsia="宋体" w:cs="宋体" w:hint="eastAsia"/>
                <w:color w:val="000000"/>
                <w:sz w:val="18"/>
                <w:szCs w:val="18"/>
              </w:rPr>
            </w:pPr>
            <w:r>
              <w:rPr>
                <w:rFonts w:ascii="宋体" w:eastAsia="宋体" w:cs="宋体" w:hint="eastAsia"/>
                <w:color w:val="000000"/>
                <w:kern w:val="0"/>
                <w:sz w:val="18"/>
                <w:szCs w:val="18"/>
              </w:rPr>
              <w:t>质量指标</w:t>
            </w:r>
          </w:p>
        </w:tc>
        <w:tc>
          <w:tcPr>
            <w:tcW w:w="1985" w:type="dxa"/>
            <w:gridSpan w:val="3"/>
            <w:tcBorders>
              <w:top w:val="single" w:sz="4" w:space="0" w:color="000000"/>
              <w:left w:val="single" w:sz="4" w:space="0" w:color="000000"/>
              <w:bottom w:val="single" w:sz="4" w:space="0" w:color="auto"/>
              <w:right w:val="single" w:sz="4" w:space="0" w:color="000000"/>
            </w:tcBorders>
            <w:noWrap/>
            <w:tcMar>
              <w:top w:w="15" w:type="dxa"/>
              <w:left w:w="15" w:type="dxa"/>
              <w:bottom w:w="15" w:type="dxa"/>
            </w:tcMar>
            <w:vAlign w:val="center"/>
          </w:tcPr>
          <w:p>
            <w:pPr>
              <w:widowControl/>
              <w:jc w:val="left"/>
              <w:textAlignment w:val="center"/>
              <w:rPr>
                <w:rFonts w:ascii="宋体" w:eastAsia="宋体" w:cs="宋体" w:hint="eastAsia"/>
                <w:color w:val="000000"/>
                <w:sz w:val="18"/>
                <w:szCs w:val="18"/>
              </w:rPr>
            </w:pPr>
            <w:r>
              <w:rPr>
                <w:rFonts w:ascii="宋体" w:eastAsia="宋体" w:cs="宋体" w:hint="eastAsia"/>
                <w:color w:val="000000"/>
                <w:kern w:val="0"/>
                <w:sz w:val="18"/>
                <w:szCs w:val="18"/>
              </w:rPr>
              <w:t>资金下达率</w:t>
            </w:r>
          </w:p>
        </w:tc>
        <w:tc>
          <w:tcPr>
            <w:tcW w:w="988" w:type="dxa"/>
            <w:gridSpan w:val="2"/>
            <w:tcBorders>
              <w:top w:val="single" w:sz="4" w:space="0" w:color="000000"/>
              <w:left w:val="single" w:sz="4" w:space="0" w:color="000000"/>
              <w:bottom w:val="single" w:sz="4" w:space="0" w:color="auto"/>
              <w:right w:val="single" w:sz="4" w:space="0" w:color="auto"/>
            </w:tcBorders>
            <w:noWrap/>
            <w:tcMar>
              <w:top w:w="15" w:type="dxa"/>
              <w:left w:w="15" w:type="dxa"/>
              <w:bottom w:w="15" w:type="dxa"/>
            </w:tcMar>
            <w:vAlign w:val="center"/>
          </w:tcPr>
          <w:p>
            <w:pPr>
              <w:widowControl/>
              <w:jc w:val="left"/>
              <w:textAlignment w:val="center"/>
              <w:rPr>
                <w:rFonts w:ascii="宋体" w:eastAsia="宋体" w:cs="宋体" w:hint="eastAsia"/>
                <w:color w:val="000000"/>
                <w:sz w:val="18"/>
                <w:szCs w:val="18"/>
              </w:rPr>
            </w:pPr>
            <w:r>
              <w:rPr>
                <w:rFonts w:ascii="宋体" w:eastAsia="宋体" w:cs="宋体" w:hint="eastAsia"/>
                <w:color w:val="000000"/>
                <w:kern w:val="0"/>
                <w:sz w:val="18"/>
                <w:szCs w:val="18"/>
              </w:rPr>
              <w:t>=</w:t>
            </w:r>
          </w:p>
        </w:tc>
        <w:tc>
          <w:tcPr>
            <w:tcW w:w="968" w:type="dxa"/>
            <w:gridSpan w:val="2"/>
            <w:tcBorders>
              <w:top w:val="single" w:sz="4" w:space="0" w:color="000000"/>
              <w:left w:val="single" w:sz="4" w:space="0" w:color="auto"/>
              <w:bottom w:val="single" w:sz="4" w:space="0" w:color="000000"/>
              <w:right w:val="single" w:sz="4" w:space="0" w:color="000000"/>
            </w:tcBorders>
            <w:noWrap/>
            <w:tcMar>
              <w:top w:w="15" w:type="dxa"/>
              <w:left w:w="15" w:type="dxa"/>
              <w:bottom w:w="15" w:type="dxa"/>
            </w:tcMar>
            <w:vAlign w:val="center"/>
          </w:tcPr>
          <w:p>
            <w:pPr>
              <w:widowControl/>
              <w:jc w:val="left"/>
              <w:textAlignment w:val="center"/>
              <w:rPr>
                <w:rFonts w:ascii="宋体" w:eastAsia="宋体" w:cs="宋体" w:hint="eastAsia"/>
                <w:color w:val="000000"/>
                <w:sz w:val="18"/>
                <w:szCs w:val="18"/>
              </w:rPr>
            </w:pPr>
            <w:r>
              <w:rPr>
                <w:rFonts w:ascii="宋体" w:eastAsia="宋体" w:cs="宋体" w:hint="eastAsia"/>
                <w:color w:val="000000"/>
                <w:kern w:val="0"/>
                <w:sz w:val="18"/>
                <w:szCs w:val="18"/>
              </w:rPr>
              <w:t>100</w:t>
            </w:r>
          </w:p>
        </w:tc>
        <w:tc>
          <w:tcPr>
            <w:tcW w:w="903" w:type="dxa"/>
            <w:tcBorders>
              <w:top w:val="single" w:sz="4" w:space="0" w:color="000000"/>
              <w:left w:val="single" w:sz="4" w:space="0" w:color="000000"/>
              <w:bottom w:val="single" w:sz="4" w:space="0" w:color="000000"/>
              <w:right w:val="single" w:sz="4" w:space="0" w:color="000000"/>
            </w:tcBorders>
            <w:noWrap/>
            <w:tcMar>
              <w:top w:w="15" w:type="dxa"/>
              <w:left w:w="15" w:type="dxa"/>
              <w:bottom w:w="15" w:type="dxa"/>
            </w:tcMar>
            <w:vAlign w:val="center"/>
          </w:tcPr>
          <w:p>
            <w:pPr>
              <w:widowControl/>
              <w:jc w:val="left"/>
              <w:textAlignment w:val="center"/>
              <w:rPr>
                <w:rFonts w:ascii="宋体" w:eastAsia="宋体" w:cs="宋体" w:hint="eastAsia"/>
                <w:color w:val="000000"/>
                <w:sz w:val="18"/>
                <w:szCs w:val="18"/>
              </w:rPr>
            </w:pPr>
            <w:r>
              <w:rPr>
                <w:rFonts w:ascii="宋体" w:eastAsia="宋体" w:cs="宋体" w:hint="eastAsia"/>
                <w:color w:val="000000"/>
                <w:kern w:val="0"/>
                <w:sz w:val="18"/>
                <w:szCs w:val="18"/>
              </w:rPr>
              <w:t>%</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bottom w:w="15" w:type="dxa"/>
            </w:tcMar>
            <w:vAlign w:val="center"/>
          </w:tcPr>
          <w:p>
            <w:pPr>
              <w:widowControl/>
              <w:jc w:val="left"/>
              <w:textAlignment w:val="center"/>
              <w:rPr>
                <w:rFonts w:ascii="宋体" w:eastAsia="宋体" w:cs="宋体" w:hint="eastAsia"/>
                <w:color w:val="000000"/>
                <w:sz w:val="18"/>
                <w:szCs w:val="18"/>
              </w:rPr>
            </w:pPr>
            <w:r>
              <w:rPr>
                <w:rFonts w:ascii="宋体" w:eastAsia="宋体" w:cs="宋体" w:hint="eastAsia"/>
                <w:color w:val="000000"/>
                <w:sz w:val="18"/>
                <w:szCs w:val="18"/>
              </w:rPr>
              <w:t>10</w:t>
            </w:r>
          </w:p>
        </w:tc>
        <w:tc>
          <w:tcPr>
            <w:tcW w:w="859" w:type="dxa"/>
            <w:gridSpan w:val="2"/>
            <w:tcBorders>
              <w:top w:val="single" w:sz="4" w:space="0" w:color="000000"/>
              <w:left w:val="single" w:sz="4" w:space="0" w:color="000000"/>
              <w:bottom w:val="single" w:sz="4" w:space="0" w:color="000000"/>
              <w:right w:val="single" w:sz="4" w:space="0" w:color="000000"/>
            </w:tcBorders>
            <w:noWrap/>
            <w:tcMar>
              <w:top w:w="15" w:type="dxa"/>
              <w:left w:w="15" w:type="dxa"/>
              <w:bottom w:w="15" w:type="dxa"/>
            </w:tcMar>
            <w:vAlign w:val="center"/>
          </w:tcPr>
          <w:p>
            <w:pPr>
              <w:widowControl/>
              <w:jc w:val="left"/>
              <w:textAlignment w:val="center"/>
              <w:rPr>
                <w:rFonts w:ascii="宋体" w:eastAsia="宋体" w:cs="宋体" w:hint="eastAsia"/>
                <w:color w:val="000000"/>
                <w:sz w:val="18"/>
                <w:szCs w:val="18"/>
              </w:rPr>
            </w:pPr>
            <w:r>
              <w:rPr>
                <w:rFonts w:ascii="宋体" w:eastAsia="宋体" w:cs="宋体" w:hint="eastAsia"/>
                <w:color w:val="000000"/>
                <w:kern w:val="0"/>
                <w:sz w:val="18"/>
                <w:szCs w:val="18"/>
              </w:rPr>
              <w:t>100</w:t>
            </w:r>
          </w:p>
        </w:tc>
      </w:tr>
      <w:tr>
        <w:trPr>
          <w:trHeight w:val="303"/>
          <w:gridBefore w:val="1"/>
          <w:wBefore w:w="93" w:type="dxa"/>
        </w:trPr>
        <w:tc>
          <w:tcPr>
            <w:tcW w:w="1270" w:type="dxa"/>
            <w:gridSpan w:val="3"/>
            <w:vMerge/>
            <w:tcBorders>
              <w:top w:val="single" w:sz="4" w:space="0" w:color="auto"/>
              <w:left w:val="single" w:sz="4" w:space="0" w:color="auto"/>
              <w:right w:val="single" w:sz="4" w:space="0" w:color="000000"/>
            </w:tcBorders>
            <w:noWrap/>
            <w:tcMar>
              <w:top w:w="15" w:type="dxa"/>
              <w:left w:w="15" w:type="dxa"/>
              <w:bottom w:w="15" w:type="dxa"/>
            </w:tcMar>
            <w:vAlign w:val="center"/>
          </w:tcPr>
          <w:p/>
        </w:tc>
        <w:tc>
          <w:tcPr>
            <w:tcW w:w="1307" w:type="dxa"/>
            <w:gridSpan w:val="2"/>
            <w:vMerge/>
            <w:tcBorders>
              <w:top w:val="single" w:sz="4" w:space="0" w:color="auto"/>
              <w:left w:val="single" w:sz="4" w:space="0" w:color="000000"/>
              <w:bottom w:val="single" w:sz="4" w:space="0" w:color="000000"/>
              <w:right w:val="single" w:sz="4" w:space="0" w:color="000000"/>
            </w:tcBorders>
            <w:noWrap/>
            <w:tcMar>
              <w:top w:w="15" w:type="dxa"/>
              <w:left w:w="15" w:type="dxa"/>
              <w:bottom w:w="15" w:type="dxa"/>
            </w:tcMar>
            <w:vAlign w:val="center"/>
          </w:tcPr>
          <w:p/>
        </w:tc>
        <w:tc>
          <w:tcPr>
            <w:tcW w:w="1318" w:type="dxa"/>
            <w:gridSpan w:val="3"/>
            <w:vMerge/>
            <w:tcBorders>
              <w:top w:val="single" w:sz="4" w:space="0" w:color="auto"/>
              <w:left w:val="single" w:sz="4" w:space="0" w:color="000000"/>
              <w:right w:val="single" w:sz="4" w:space="0" w:color="000000"/>
            </w:tcBorders>
            <w:noWrap/>
            <w:tcMar>
              <w:top w:w="15" w:type="dxa"/>
              <w:left w:w="15" w:type="dxa"/>
              <w:bottom w:w="15" w:type="dxa"/>
            </w:tcMar>
            <w:vAlign w:val="center"/>
          </w:tcPr>
          <w:p/>
        </w:tc>
        <w:tc>
          <w:tcPr>
            <w:tcW w:w="1985" w:type="dxa"/>
            <w:gridSpan w:val="3"/>
            <w:tcBorders>
              <w:top w:val="single" w:sz="4" w:space="0" w:color="auto"/>
              <w:left w:val="single" w:sz="4" w:space="0" w:color="000000"/>
              <w:bottom w:val="single" w:sz="4" w:space="0" w:color="000000"/>
              <w:right w:val="single" w:sz="4" w:space="0" w:color="000000"/>
            </w:tcBorders>
            <w:noWrap/>
            <w:tcMar>
              <w:top w:w="15" w:type="dxa"/>
              <w:left w:w="15" w:type="dxa"/>
              <w:bottom w:w="15" w:type="dxa"/>
            </w:tcMar>
            <w:vAlign w:val="center"/>
          </w:tcPr>
          <w:p>
            <w:pPr>
              <w:widowControl/>
              <w:jc w:val="left"/>
              <w:textAlignment w:val="center"/>
              <w:rPr>
                <w:rFonts w:ascii="宋体" w:eastAsia="宋体" w:cs="宋体" w:hint="eastAsia"/>
                <w:color w:val="000000"/>
                <w:sz w:val="18"/>
                <w:szCs w:val="18"/>
              </w:rPr>
            </w:pPr>
            <w:r>
              <w:rPr>
                <w:rFonts w:ascii="宋体" w:eastAsia="宋体" w:cs="宋体" w:hint="eastAsia"/>
                <w:color w:val="000000"/>
                <w:kern w:val="0"/>
                <w:sz w:val="18"/>
                <w:szCs w:val="18"/>
              </w:rPr>
              <w:t>按合同完成相关工作情况</w:t>
            </w:r>
          </w:p>
        </w:tc>
        <w:tc>
          <w:tcPr>
            <w:tcW w:w="988" w:type="dxa"/>
            <w:gridSpan w:val="2"/>
            <w:tcBorders>
              <w:top w:val="single" w:sz="4" w:space="0" w:color="auto"/>
              <w:left w:val="single" w:sz="4" w:space="0" w:color="000000"/>
              <w:bottom w:val="single" w:sz="4" w:space="0" w:color="000000"/>
              <w:right w:val="single" w:sz="4" w:space="0" w:color="000000"/>
            </w:tcBorders>
            <w:noWrap/>
            <w:tcMar>
              <w:top w:w="15" w:type="dxa"/>
              <w:left w:w="15" w:type="dxa"/>
              <w:bottom w:w="15" w:type="dxa"/>
            </w:tcMar>
            <w:vAlign w:val="center"/>
          </w:tcPr>
          <w:p>
            <w:pPr>
              <w:widowControl/>
              <w:jc w:val="left"/>
              <w:textAlignment w:val="center"/>
              <w:rPr>
                <w:rFonts w:ascii="宋体" w:eastAsia="宋体" w:cs="宋体" w:hint="eastAsia"/>
                <w:color w:val="000000"/>
                <w:sz w:val="18"/>
                <w:szCs w:val="18"/>
              </w:rPr>
            </w:pPr>
            <w:r>
              <w:rPr>
                <w:rFonts w:ascii="宋体" w:eastAsia="宋体" w:cs="宋体" w:hint="eastAsia"/>
                <w:color w:val="000000"/>
                <w:sz w:val="18"/>
                <w:szCs w:val="18"/>
              </w:rPr>
              <w:t>定性</w:t>
            </w:r>
          </w:p>
        </w:tc>
        <w:tc>
          <w:tcPr>
            <w:tcW w:w="968" w:type="dxa"/>
            <w:gridSpan w:val="2"/>
            <w:tcBorders>
              <w:top w:val="single" w:sz="4" w:space="0" w:color="000000"/>
              <w:left w:val="single" w:sz="4" w:space="0" w:color="000000"/>
              <w:bottom w:val="single" w:sz="4" w:space="0" w:color="000000"/>
              <w:right w:val="single" w:sz="4" w:space="0" w:color="000000"/>
            </w:tcBorders>
            <w:noWrap/>
            <w:tcMar>
              <w:top w:w="15" w:type="dxa"/>
              <w:left w:w="15" w:type="dxa"/>
              <w:bottom w:w="15" w:type="dxa"/>
            </w:tcMar>
            <w:vAlign w:val="center"/>
          </w:tcPr>
          <w:p>
            <w:pPr>
              <w:widowControl/>
              <w:jc w:val="left"/>
              <w:textAlignment w:val="center"/>
              <w:rPr>
                <w:rFonts w:ascii="宋体" w:eastAsia="宋体" w:cs="宋体" w:hint="eastAsia"/>
                <w:color w:val="000000"/>
                <w:sz w:val="18"/>
                <w:szCs w:val="18"/>
              </w:rPr>
            </w:pPr>
            <w:r>
              <w:rPr>
                <w:rFonts w:ascii="宋体" w:eastAsia="宋体" w:cs="宋体" w:hint="eastAsia"/>
                <w:color w:val="000000"/>
                <w:sz w:val="18"/>
                <w:szCs w:val="18"/>
              </w:rPr>
              <w:t>完成、未完成</w:t>
            </w:r>
          </w:p>
        </w:tc>
        <w:tc>
          <w:tcPr>
            <w:tcW w:w="903" w:type="dxa"/>
            <w:tcBorders>
              <w:top w:val="single" w:sz="4" w:space="0" w:color="000000"/>
              <w:left w:val="single" w:sz="4" w:space="0" w:color="000000"/>
              <w:bottom w:val="single" w:sz="4" w:space="0" w:color="000000"/>
              <w:right w:val="single" w:sz="4" w:space="0" w:color="000000"/>
            </w:tcBorders>
            <w:noWrap/>
            <w:tcMar>
              <w:top w:w="15" w:type="dxa"/>
              <w:left w:w="15" w:type="dxa"/>
              <w:bottom w:w="15" w:type="dxa"/>
            </w:tcMar>
            <w:vAlign w:val="center"/>
          </w:tcPr>
          <w:p>
            <w:pPr>
              <w:widowControl/>
              <w:jc w:val="left"/>
              <w:textAlignment w:val="center"/>
              <w:rPr>
                <w:rFonts w:ascii="宋体" w:eastAsia="宋体" w:cs="宋体" w:hint="eastAsia"/>
                <w:color w:val="000000"/>
                <w:sz w:val="18"/>
                <w:szCs w:val="18"/>
              </w:rPr>
            </w:pP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bottom w:w="15" w:type="dxa"/>
            </w:tcMar>
            <w:vAlign w:val="center"/>
          </w:tcPr>
          <w:p>
            <w:pPr>
              <w:widowControl/>
              <w:jc w:val="left"/>
              <w:textAlignment w:val="center"/>
              <w:rPr>
                <w:rFonts w:ascii="宋体" w:eastAsia="宋体" w:cs="宋体" w:hint="eastAsia"/>
                <w:color w:val="000000"/>
                <w:sz w:val="18"/>
                <w:szCs w:val="18"/>
              </w:rPr>
            </w:pPr>
            <w:r>
              <w:rPr>
                <w:rFonts w:ascii="宋体" w:eastAsia="宋体" w:cs="宋体" w:hint="eastAsia"/>
                <w:color w:val="000000"/>
                <w:sz w:val="18"/>
                <w:szCs w:val="18"/>
              </w:rPr>
              <w:t>10</w:t>
            </w:r>
          </w:p>
        </w:tc>
        <w:tc>
          <w:tcPr>
            <w:tcW w:w="859" w:type="dxa"/>
            <w:gridSpan w:val="2"/>
            <w:tcBorders>
              <w:top w:val="single" w:sz="4" w:space="0" w:color="000000"/>
              <w:left w:val="single" w:sz="4" w:space="0" w:color="000000"/>
              <w:bottom w:val="single" w:sz="4" w:space="0" w:color="000000"/>
              <w:right w:val="single" w:sz="4" w:space="0" w:color="000000"/>
            </w:tcBorders>
            <w:noWrap/>
            <w:tcMar>
              <w:top w:w="15" w:type="dxa"/>
              <w:left w:w="15" w:type="dxa"/>
              <w:bottom w:w="15" w:type="dxa"/>
            </w:tcMar>
            <w:vAlign w:val="center"/>
          </w:tcPr>
          <w:p>
            <w:pPr>
              <w:widowControl/>
              <w:jc w:val="left"/>
              <w:textAlignment w:val="center"/>
              <w:rPr>
                <w:rFonts w:ascii="宋体" w:eastAsia="宋体" w:cs="宋体" w:hint="eastAsia"/>
                <w:color w:val="000000"/>
                <w:sz w:val="18"/>
                <w:szCs w:val="18"/>
              </w:rPr>
            </w:pPr>
            <w:r>
              <w:rPr>
                <w:rFonts w:ascii="宋体" w:eastAsia="宋体" w:cs="宋体" w:hint="eastAsia"/>
                <w:color w:val="000000"/>
                <w:sz w:val="18"/>
                <w:szCs w:val="18"/>
              </w:rPr>
              <w:t>完成</w:t>
            </w:r>
          </w:p>
        </w:tc>
      </w:tr>
      <w:tr>
        <w:trPr>
          <w:trHeight w:val="303"/>
          <w:gridBefore w:val="1"/>
          <w:wBefore w:w="93" w:type="dxa"/>
        </w:trPr>
        <w:tc>
          <w:tcPr>
            <w:tcW w:w="1270" w:type="dxa"/>
            <w:gridSpan w:val="3"/>
            <w:vMerge/>
            <w:tcBorders>
              <w:left w:val="single" w:sz="4" w:space="0" w:color="auto"/>
              <w:right w:val="single" w:sz="4" w:space="0" w:color="000000"/>
            </w:tcBorders>
            <w:noWrap/>
            <w:tcMar>
              <w:top w:w="15" w:type="dxa"/>
              <w:left w:w="15" w:type="dxa"/>
              <w:bottom w:w="15" w:type="dxa"/>
            </w:tcMar>
            <w:vAlign w:val="center"/>
          </w:tcPr>
          <w:p/>
        </w:tc>
        <w:tc>
          <w:tcPr>
            <w:tcW w:w="1307" w:type="dxa"/>
            <w:gridSpan w:val="2"/>
            <w:vMerge/>
            <w:tcBorders>
              <w:top w:val="single" w:sz="4" w:space="0" w:color="000000"/>
              <w:left w:val="single" w:sz="4" w:space="0" w:color="000000"/>
              <w:bottom w:val="single" w:sz="4" w:space="0" w:color="000000"/>
              <w:right w:val="single" w:sz="4" w:space="0" w:color="000000"/>
            </w:tcBorders>
            <w:noWrap/>
            <w:tcMar>
              <w:top w:w="15" w:type="dxa"/>
              <w:left w:w="15" w:type="dxa"/>
              <w:bottom w:w="15" w:type="dxa"/>
            </w:tcMar>
            <w:vAlign w:val="center"/>
          </w:tcPr>
          <w:p/>
        </w:tc>
        <w:tc>
          <w:tcPr>
            <w:tcW w:w="1318" w:type="dxa"/>
            <w:gridSpan w:val="3"/>
            <w:vMerge/>
            <w:tcBorders>
              <w:left w:val="single" w:sz="4" w:space="0" w:color="000000"/>
              <w:right w:val="single" w:sz="4" w:space="0" w:color="000000"/>
            </w:tcBorders>
            <w:noWrap/>
            <w:tcMar>
              <w:top w:w="15" w:type="dxa"/>
              <w:left w:w="15" w:type="dxa"/>
              <w:bottom w:w="15" w:type="dxa"/>
            </w:tcMar>
            <w:vAlign w:val="center"/>
          </w:tcPr>
          <w:p/>
        </w:tc>
        <w:tc>
          <w:tcPr>
            <w:tcW w:w="1985" w:type="dxa"/>
            <w:gridSpan w:val="3"/>
            <w:tcBorders>
              <w:top w:val="single" w:sz="4" w:space="0" w:color="000000"/>
              <w:left w:val="single" w:sz="4" w:space="0" w:color="000000"/>
              <w:bottom w:val="single" w:sz="4" w:space="0" w:color="000000"/>
              <w:right w:val="single" w:sz="4" w:space="0" w:color="000000"/>
            </w:tcBorders>
            <w:noWrap/>
            <w:tcMar>
              <w:top w:w="15" w:type="dxa"/>
              <w:left w:w="15" w:type="dxa"/>
              <w:bottom w:w="15" w:type="dxa"/>
            </w:tcMar>
            <w:vAlign w:val="center"/>
          </w:tcPr>
          <w:p>
            <w:pPr>
              <w:widowControl/>
              <w:jc w:val="left"/>
              <w:textAlignment w:val="center"/>
              <w:rPr>
                <w:rFonts w:ascii="宋体" w:eastAsia="宋体" w:cs="宋体" w:hint="eastAsia"/>
                <w:color w:val="000000"/>
                <w:sz w:val="18"/>
                <w:szCs w:val="18"/>
              </w:rPr>
            </w:pPr>
            <w:r>
              <w:rPr>
                <w:rFonts w:ascii="宋体" w:eastAsia="宋体" w:cs="宋体" w:hint="eastAsia"/>
                <w:color w:val="000000"/>
                <w:kern w:val="0"/>
                <w:sz w:val="18"/>
                <w:szCs w:val="18"/>
              </w:rPr>
              <w:t>补助完成率</w:t>
            </w:r>
          </w:p>
        </w:tc>
        <w:tc>
          <w:tcPr>
            <w:tcW w:w="988" w:type="dxa"/>
            <w:gridSpan w:val="2"/>
            <w:tcBorders>
              <w:top w:val="single" w:sz="4" w:space="0" w:color="000000"/>
              <w:left w:val="single" w:sz="4" w:space="0" w:color="000000"/>
              <w:bottom w:val="single" w:sz="4" w:space="0" w:color="000000"/>
              <w:right w:val="single" w:sz="4" w:space="0" w:color="000000"/>
            </w:tcBorders>
            <w:noWrap/>
            <w:tcMar>
              <w:top w:w="15" w:type="dxa"/>
              <w:left w:w="15" w:type="dxa"/>
              <w:bottom w:w="15" w:type="dxa"/>
            </w:tcMar>
            <w:vAlign w:val="center"/>
          </w:tcPr>
          <w:p>
            <w:pPr>
              <w:widowControl/>
              <w:jc w:val="left"/>
              <w:textAlignment w:val="center"/>
              <w:rPr>
                <w:rFonts w:ascii="宋体" w:eastAsia="宋体" w:cs="宋体" w:hint="eastAsia"/>
                <w:color w:val="000000"/>
                <w:sz w:val="18"/>
                <w:szCs w:val="18"/>
              </w:rPr>
            </w:pPr>
            <w:r>
              <w:rPr>
                <w:rFonts w:ascii="宋体" w:eastAsia="宋体" w:cs="宋体" w:hint="eastAsia"/>
                <w:color w:val="000000"/>
                <w:sz w:val="18"/>
                <w:szCs w:val="18"/>
              </w:rPr>
              <w:t>=</w:t>
            </w:r>
          </w:p>
        </w:tc>
        <w:tc>
          <w:tcPr>
            <w:tcW w:w="968" w:type="dxa"/>
            <w:gridSpan w:val="2"/>
            <w:tcBorders>
              <w:top w:val="single" w:sz="4" w:space="0" w:color="000000"/>
              <w:left w:val="single" w:sz="4" w:space="0" w:color="000000"/>
              <w:bottom w:val="single" w:sz="4" w:space="0" w:color="000000"/>
              <w:right w:val="single" w:sz="4" w:space="0" w:color="000000"/>
            </w:tcBorders>
            <w:noWrap/>
            <w:tcMar>
              <w:top w:w="15" w:type="dxa"/>
              <w:left w:w="15" w:type="dxa"/>
              <w:bottom w:w="15" w:type="dxa"/>
            </w:tcMar>
            <w:vAlign w:val="center"/>
          </w:tcPr>
          <w:p>
            <w:pPr>
              <w:widowControl/>
              <w:jc w:val="left"/>
              <w:textAlignment w:val="center"/>
              <w:rPr>
                <w:rFonts w:ascii="宋体" w:eastAsia="宋体" w:cs="宋体" w:hint="eastAsia"/>
                <w:color w:val="000000"/>
                <w:sz w:val="18"/>
                <w:szCs w:val="18"/>
              </w:rPr>
            </w:pPr>
            <w:r>
              <w:rPr>
                <w:rFonts w:ascii="宋体" w:eastAsia="宋体" w:cs="宋体" w:hint="eastAsia"/>
                <w:color w:val="000000"/>
                <w:kern w:val="0"/>
                <w:sz w:val="18"/>
                <w:szCs w:val="18"/>
              </w:rPr>
              <w:t>100</w:t>
            </w:r>
          </w:p>
        </w:tc>
        <w:tc>
          <w:tcPr>
            <w:tcW w:w="903" w:type="dxa"/>
            <w:tcBorders>
              <w:top w:val="single" w:sz="4" w:space="0" w:color="000000"/>
              <w:left w:val="single" w:sz="4" w:space="0" w:color="000000"/>
              <w:bottom w:val="single" w:sz="4" w:space="0" w:color="000000"/>
              <w:right w:val="single" w:sz="4" w:space="0" w:color="000000"/>
            </w:tcBorders>
            <w:noWrap/>
            <w:tcMar>
              <w:top w:w="15" w:type="dxa"/>
              <w:left w:w="15" w:type="dxa"/>
              <w:bottom w:w="15" w:type="dxa"/>
            </w:tcMar>
            <w:vAlign w:val="center"/>
          </w:tcPr>
          <w:p>
            <w:pPr>
              <w:widowControl/>
              <w:jc w:val="left"/>
              <w:textAlignment w:val="center"/>
              <w:rPr>
                <w:rFonts w:ascii="宋体" w:eastAsia="宋体" w:cs="宋体" w:hint="eastAsia"/>
                <w:color w:val="000000"/>
                <w:sz w:val="18"/>
                <w:szCs w:val="18"/>
              </w:rPr>
            </w:pPr>
            <w:r>
              <w:rPr>
                <w:rFonts w:ascii="宋体" w:eastAsia="宋体" w:cs="宋体" w:hint="eastAsia"/>
                <w:color w:val="000000"/>
                <w:kern w:val="0"/>
                <w:sz w:val="18"/>
                <w:szCs w:val="18"/>
              </w:rPr>
              <w:t>%</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bottom w:w="15" w:type="dxa"/>
            </w:tcMar>
            <w:vAlign w:val="center"/>
          </w:tcPr>
          <w:p>
            <w:pPr>
              <w:widowControl/>
              <w:jc w:val="left"/>
              <w:textAlignment w:val="center"/>
              <w:rPr>
                <w:rFonts w:ascii="宋体" w:eastAsia="宋体" w:cs="宋体" w:hint="eastAsia"/>
                <w:color w:val="000000"/>
                <w:sz w:val="18"/>
                <w:szCs w:val="18"/>
              </w:rPr>
            </w:pPr>
            <w:r>
              <w:rPr>
                <w:rFonts w:ascii="宋体" w:eastAsia="宋体" w:cs="宋体" w:hint="eastAsia"/>
                <w:color w:val="000000"/>
                <w:sz w:val="18"/>
                <w:szCs w:val="18"/>
              </w:rPr>
              <w:t>10</w:t>
            </w:r>
          </w:p>
        </w:tc>
        <w:tc>
          <w:tcPr>
            <w:tcW w:w="859" w:type="dxa"/>
            <w:gridSpan w:val="2"/>
            <w:tcBorders>
              <w:top w:val="single" w:sz="4" w:space="0" w:color="000000"/>
              <w:left w:val="single" w:sz="4" w:space="0" w:color="000000"/>
              <w:bottom w:val="single" w:sz="4" w:space="0" w:color="000000"/>
              <w:right w:val="single" w:sz="4" w:space="0" w:color="000000"/>
            </w:tcBorders>
            <w:noWrap/>
            <w:tcMar>
              <w:top w:w="15" w:type="dxa"/>
              <w:left w:w="15" w:type="dxa"/>
              <w:bottom w:w="15" w:type="dxa"/>
            </w:tcMar>
            <w:vAlign w:val="center"/>
          </w:tcPr>
          <w:p>
            <w:pPr>
              <w:widowControl/>
              <w:jc w:val="left"/>
              <w:textAlignment w:val="center"/>
              <w:rPr>
                <w:rFonts w:ascii="宋体" w:eastAsia="宋体" w:cs="宋体" w:hint="eastAsia"/>
                <w:color w:val="000000"/>
                <w:sz w:val="18"/>
                <w:szCs w:val="18"/>
              </w:rPr>
            </w:pPr>
            <w:r>
              <w:rPr>
                <w:rFonts w:ascii="宋体" w:eastAsia="宋体" w:cs="宋体" w:hint="eastAsia"/>
                <w:color w:val="000000"/>
                <w:kern w:val="0"/>
                <w:sz w:val="18"/>
                <w:szCs w:val="18"/>
              </w:rPr>
              <w:t>100</w:t>
            </w:r>
          </w:p>
        </w:tc>
      </w:tr>
      <w:tr>
        <w:trPr>
          <w:trHeight w:val="303"/>
          <w:gridBefore w:val="1"/>
          <w:wBefore w:w="93" w:type="dxa"/>
        </w:trPr>
        <w:tc>
          <w:tcPr>
            <w:tcW w:w="1270" w:type="dxa"/>
            <w:gridSpan w:val="3"/>
            <w:vMerge/>
            <w:tcBorders>
              <w:left w:val="single" w:sz="4" w:space="0" w:color="auto"/>
              <w:right w:val="single" w:sz="4" w:space="0" w:color="000000"/>
            </w:tcBorders>
            <w:noWrap/>
            <w:tcMar>
              <w:top w:w="15" w:type="dxa"/>
              <w:left w:w="15" w:type="dxa"/>
              <w:bottom w:w="15" w:type="dxa"/>
            </w:tcMar>
            <w:vAlign w:val="center"/>
          </w:tcPr>
          <w:p/>
        </w:tc>
        <w:tc>
          <w:tcPr>
            <w:tcW w:w="1307" w:type="dxa"/>
            <w:gridSpan w:val="2"/>
            <w:vMerge/>
            <w:tcBorders>
              <w:top w:val="single" w:sz="4" w:space="0" w:color="000000"/>
              <w:left w:val="single" w:sz="4" w:space="0" w:color="000000"/>
              <w:bottom w:val="single" w:sz="4" w:space="0" w:color="000000"/>
              <w:right w:val="single" w:sz="4" w:space="0" w:color="000000"/>
            </w:tcBorders>
            <w:noWrap/>
            <w:tcMar>
              <w:top w:w="15" w:type="dxa"/>
              <w:left w:w="15" w:type="dxa"/>
              <w:bottom w:w="15" w:type="dxa"/>
            </w:tcMar>
            <w:vAlign w:val="center"/>
          </w:tcPr>
          <w:p/>
        </w:tc>
        <w:tc>
          <w:tcPr>
            <w:tcW w:w="1318" w:type="dxa"/>
            <w:gridSpan w:val="3"/>
            <w:vMerge/>
            <w:tcBorders>
              <w:left w:val="single" w:sz="4" w:space="0" w:color="000000"/>
              <w:right w:val="single" w:sz="4" w:space="0" w:color="000000"/>
            </w:tcBorders>
            <w:noWrap/>
            <w:tcMar>
              <w:top w:w="15" w:type="dxa"/>
              <w:left w:w="15" w:type="dxa"/>
              <w:bottom w:w="15" w:type="dxa"/>
            </w:tcMar>
            <w:vAlign w:val="center"/>
          </w:tcPr>
          <w:p/>
        </w:tc>
        <w:tc>
          <w:tcPr>
            <w:tcW w:w="1985" w:type="dxa"/>
            <w:gridSpan w:val="3"/>
            <w:tcBorders>
              <w:top w:val="single" w:sz="4" w:space="0" w:color="000000"/>
              <w:left w:val="single" w:sz="4" w:space="0" w:color="000000"/>
              <w:bottom w:val="single" w:sz="4" w:space="0" w:color="000000"/>
              <w:right w:val="single" w:sz="4" w:space="0" w:color="000000"/>
            </w:tcBorders>
            <w:noWrap/>
            <w:tcMar>
              <w:top w:w="15" w:type="dxa"/>
              <w:left w:w="15" w:type="dxa"/>
              <w:bottom w:w="15" w:type="dxa"/>
            </w:tcMar>
            <w:vAlign w:val="center"/>
          </w:tcPr>
          <w:p>
            <w:pPr>
              <w:widowControl/>
              <w:jc w:val="left"/>
              <w:textAlignment w:val="center"/>
              <w:rPr>
                <w:rFonts w:ascii="宋体" w:eastAsia="宋体" w:cs="宋体" w:hint="eastAsia"/>
                <w:color w:val="000000"/>
                <w:sz w:val="18"/>
                <w:szCs w:val="18"/>
              </w:rPr>
            </w:pPr>
            <w:r>
              <w:rPr>
                <w:rFonts w:ascii="宋体" w:eastAsia="宋体" w:cs="宋体" w:hint="eastAsia"/>
                <w:color w:val="000000"/>
                <w:kern w:val="0"/>
                <w:sz w:val="18"/>
                <w:szCs w:val="18"/>
              </w:rPr>
              <w:t>安全事故发生率</w:t>
            </w:r>
          </w:p>
        </w:tc>
        <w:tc>
          <w:tcPr>
            <w:tcW w:w="988" w:type="dxa"/>
            <w:gridSpan w:val="2"/>
            <w:tcBorders>
              <w:top w:val="single" w:sz="4" w:space="0" w:color="000000"/>
              <w:left w:val="single" w:sz="4" w:space="0" w:color="000000"/>
              <w:bottom w:val="single" w:sz="4" w:space="0" w:color="000000"/>
              <w:right w:val="single" w:sz="4" w:space="0" w:color="000000"/>
            </w:tcBorders>
            <w:noWrap/>
            <w:tcMar>
              <w:top w:w="15" w:type="dxa"/>
              <w:left w:w="15" w:type="dxa"/>
              <w:bottom w:w="15" w:type="dxa"/>
            </w:tcMar>
            <w:vAlign w:val="center"/>
          </w:tcPr>
          <w:p>
            <w:pPr>
              <w:widowControl/>
              <w:jc w:val="left"/>
              <w:textAlignment w:val="center"/>
              <w:rPr>
                <w:rFonts w:ascii="宋体" w:eastAsia="宋体" w:cs="宋体" w:hint="eastAsia"/>
                <w:color w:val="000000"/>
                <w:sz w:val="18"/>
                <w:szCs w:val="18"/>
              </w:rPr>
            </w:pPr>
            <w:r>
              <w:rPr>
                <w:rFonts w:ascii="宋体" w:eastAsia="宋体" w:cs="宋体" w:hint="eastAsia"/>
                <w:color w:val="000000"/>
                <w:kern w:val="0"/>
                <w:sz w:val="18"/>
                <w:szCs w:val="18"/>
              </w:rPr>
              <w:t>≤</w:t>
            </w:r>
          </w:p>
        </w:tc>
        <w:tc>
          <w:tcPr>
            <w:tcW w:w="968" w:type="dxa"/>
            <w:gridSpan w:val="2"/>
            <w:tcBorders>
              <w:top w:val="single" w:sz="4" w:space="0" w:color="000000"/>
              <w:left w:val="single" w:sz="4" w:space="0" w:color="000000"/>
              <w:bottom w:val="single" w:sz="4" w:space="0" w:color="000000"/>
              <w:right w:val="single" w:sz="4" w:space="0" w:color="000000"/>
            </w:tcBorders>
            <w:noWrap/>
            <w:tcMar>
              <w:top w:w="15" w:type="dxa"/>
              <w:left w:w="15" w:type="dxa"/>
              <w:bottom w:w="15" w:type="dxa"/>
            </w:tcMar>
            <w:vAlign w:val="center"/>
          </w:tcPr>
          <w:p>
            <w:pPr>
              <w:widowControl/>
              <w:jc w:val="left"/>
              <w:textAlignment w:val="center"/>
              <w:rPr>
                <w:rFonts w:ascii="宋体" w:eastAsia="宋体" w:cs="宋体" w:hint="eastAsia"/>
                <w:color w:val="000000"/>
                <w:sz w:val="18"/>
                <w:szCs w:val="18"/>
              </w:rPr>
            </w:pPr>
            <w:r>
              <w:rPr>
                <w:rFonts w:ascii="宋体" w:eastAsia="宋体" w:cs="宋体" w:hint="eastAsia"/>
                <w:color w:val="000000"/>
                <w:kern w:val="0"/>
                <w:sz w:val="18"/>
                <w:szCs w:val="18"/>
              </w:rPr>
              <w:t>0</w:t>
            </w:r>
          </w:p>
        </w:tc>
        <w:tc>
          <w:tcPr>
            <w:tcW w:w="903" w:type="dxa"/>
            <w:tcBorders>
              <w:top w:val="single" w:sz="4" w:space="0" w:color="000000"/>
              <w:left w:val="single" w:sz="4" w:space="0" w:color="000000"/>
              <w:bottom w:val="single" w:sz="4" w:space="0" w:color="000000"/>
              <w:right w:val="single" w:sz="4" w:space="0" w:color="000000"/>
            </w:tcBorders>
            <w:noWrap/>
            <w:tcMar>
              <w:top w:w="15" w:type="dxa"/>
              <w:left w:w="15" w:type="dxa"/>
              <w:bottom w:w="15" w:type="dxa"/>
            </w:tcMar>
            <w:vAlign w:val="center"/>
          </w:tcPr>
          <w:p>
            <w:pPr>
              <w:widowControl/>
              <w:jc w:val="left"/>
              <w:textAlignment w:val="center"/>
              <w:rPr>
                <w:rFonts w:ascii="宋体" w:eastAsia="宋体" w:cs="宋体" w:hint="eastAsia"/>
                <w:color w:val="000000"/>
                <w:sz w:val="18"/>
                <w:szCs w:val="18"/>
              </w:rPr>
            </w:pPr>
            <w:r>
              <w:rPr>
                <w:rFonts w:ascii="宋体" w:eastAsia="宋体" w:cs="宋体" w:hint="eastAsia"/>
                <w:color w:val="000000"/>
                <w:kern w:val="0"/>
                <w:sz w:val="18"/>
                <w:szCs w:val="18"/>
              </w:rPr>
              <w:t>%</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bottom w:w="15" w:type="dxa"/>
            </w:tcMar>
            <w:vAlign w:val="center"/>
          </w:tcPr>
          <w:p>
            <w:pPr>
              <w:widowControl/>
              <w:jc w:val="left"/>
              <w:textAlignment w:val="center"/>
              <w:rPr>
                <w:rFonts w:ascii="宋体" w:eastAsia="宋体" w:cs="宋体" w:hint="eastAsia"/>
                <w:color w:val="000000"/>
                <w:sz w:val="18"/>
                <w:szCs w:val="18"/>
              </w:rPr>
            </w:pPr>
            <w:r>
              <w:rPr>
                <w:rFonts w:ascii="宋体" w:eastAsia="宋体" w:cs="宋体" w:hint="eastAsia"/>
                <w:color w:val="000000"/>
                <w:kern w:val="0"/>
                <w:sz w:val="18"/>
                <w:szCs w:val="18"/>
              </w:rPr>
              <w:t>5</w:t>
            </w:r>
          </w:p>
        </w:tc>
        <w:tc>
          <w:tcPr>
            <w:tcW w:w="859" w:type="dxa"/>
            <w:gridSpan w:val="2"/>
            <w:tcBorders>
              <w:top w:val="single" w:sz="4" w:space="0" w:color="000000"/>
              <w:left w:val="single" w:sz="4" w:space="0" w:color="000000"/>
              <w:bottom w:val="single" w:sz="4" w:space="0" w:color="000000"/>
              <w:right w:val="single" w:sz="4" w:space="0" w:color="000000"/>
            </w:tcBorders>
            <w:noWrap/>
            <w:tcMar>
              <w:top w:w="15" w:type="dxa"/>
              <w:left w:w="15" w:type="dxa"/>
              <w:bottom w:w="15" w:type="dxa"/>
            </w:tcMar>
            <w:vAlign w:val="center"/>
          </w:tcPr>
          <w:p>
            <w:pPr>
              <w:widowControl/>
              <w:jc w:val="left"/>
              <w:textAlignment w:val="center"/>
              <w:rPr>
                <w:rFonts w:ascii="宋体" w:eastAsia="宋体" w:cs="宋体" w:hint="eastAsia"/>
                <w:color w:val="000000"/>
                <w:sz w:val="18"/>
                <w:szCs w:val="18"/>
              </w:rPr>
            </w:pPr>
            <w:r>
              <w:rPr>
                <w:rFonts w:ascii="宋体" w:eastAsia="宋体" w:cs="宋体" w:hint="eastAsia"/>
                <w:color w:val="000000"/>
                <w:kern w:val="0"/>
                <w:sz w:val="18"/>
                <w:szCs w:val="18"/>
              </w:rPr>
              <w:t>0</w:t>
            </w:r>
          </w:p>
        </w:tc>
      </w:tr>
      <w:tr>
        <w:trPr>
          <w:trHeight w:val="303"/>
          <w:gridBefore w:val="1"/>
          <w:wBefore w:w="93" w:type="dxa"/>
        </w:trPr>
        <w:tc>
          <w:tcPr>
            <w:tcW w:w="1270" w:type="dxa"/>
            <w:gridSpan w:val="3"/>
            <w:vMerge/>
            <w:tcBorders>
              <w:left w:val="single" w:sz="4" w:space="0" w:color="auto"/>
              <w:right w:val="single" w:sz="4" w:space="0" w:color="000000"/>
            </w:tcBorders>
            <w:noWrap/>
            <w:tcMar>
              <w:top w:w="15" w:type="dxa"/>
              <w:left w:w="15" w:type="dxa"/>
              <w:bottom w:w="15" w:type="dxa"/>
            </w:tcMar>
            <w:vAlign w:val="center"/>
          </w:tcPr>
          <w:p/>
        </w:tc>
        <w:tc>
          <w:tcPr>
            <w:tcW w:w="1307" w:type="dxa"/>
            <w:gridSpan w:val="2"/>
            <w:vMerge/>
            <w:tcBorders>
              <w:top w:val="single" w:sz="4" w:space="0" w:color="000000"/>
              <w:left w:val="single" w:sz="4" w:space="0" w:color="000000"/>
              <w:bottom w:val="single" w:sz="4" w:space="0" w:color="000000"/>
              <w:right w:val="single" w:sz="4" w:space="0" w:color="000000"/>
            </w:tcBorders>
            <w:noWrap/>
            <w:tcMar>
              <w:top w:w="15" w:type="dxa"/>
              <w:left w:w="15" w:type="dxa"/>
              <w:bottom w:w="15" w:type="dxa"/>
            </w:tcMar>
            <w:vAlign w:val="center"/>
          </w:tcPr>
          <w:p/>
        </w:tc>
        <w:tc>
          <w:tcPr>
            <w:tcW w:w="1318" w:type="dxa"/>
            <w:gridSpan w:val="3"/>
            <w:vMerge w:val="restart"/>
            <w:tcBorders>
              <w:top w:val="single" w:sz="4" w:space="0" w:color="000000"/>
              <w:left w:val="single" w:sz="4" w:space="0" w:color="000000"/>
              <w:right w:val="single" w:sz="4" w:space="0" w:color="000000"/>
            </w:tcBorders>
            <w:noWrap/>
            <w:tcMar>
              <w:top w:w="15" w:type="dxa"/>
              <w:left w:w="15" w:type="dxa"/>
              <w:bottom w:w="15" w:type="dxa"/>
            </w:tcMar>
            <w:vAlign w:val="center"/>
          </w:tcPr>
          <w:p>
            <w:pPr>
              <w:widowControl/>
              <w:spacing w:line="300" w:lineRule="exact"/>
              <w:jc w:val="center"/>
              <w:textAlignment w:val="center"/>
              <w:rPr>
                <w:rFonts w:ascii="宋体" w:eastAsia="宋体" w:cs="宋体" w:hint="eastAsia"/>
                <w:color w:val="000000"/>
                <w:sz w:val="18"/>
                <w:szCs w:val="18"/>
              </w:rPr>
            </w:pPr>
            <w:r>
              <w:rPr>
                <w:rFonts w:ascii="宋体" w:eastAsia="宋体" w:cs="宋体" w:hint="eastAsia"/>
                <w:color w:val="000000"/>
                <w:kern w:val="0"/>
                <w:sz w:val="18"/>
                <w:szCs w:val="18"/>
              </w:rPr>
              <w:t>时效指标</w:t>
            </w:r>
          </w:p>
        </w:tc>
        <w:tc>
          <w:tcPr>
            <w:tcW w:w="1985" w:type="dxa"/>
            <w:gridSpan w:val="3"/>
            <w:tcBorders>
              <w:top w:val="single" w:sz="4" w:space="0" w:color="000000"/>
              <w:left w:val="single" w:sz="4" w:space="0" w:color="000000"/>
              <w:bottom w:val="single" w:sz="4" w:space="0" w:color="000000"/>
              <w:right w:val="single" w:sz="4" w:space="0" w:color="000000"/>
            </w:tcBorders>
            <w:noWrap/>
            <w:tcMar>
              <w:top w:w="15" w:type="dxa"/>
              <w:left w:w="15" w:type="dxa"/>
              <w:bottom w:w="15" w:type="dxa"/>
            </w:tcMar>
            <w:vAlign w:val="center"/>
          </w:tcPr>
          <w:p>
            <w:pPr>
              <w:widowControl/>
              <w:jc w:val="left"/>
              <w:textAlignment w:val="center"/>
              <w:rPr>
                <w:rFonts w:ascii="宋体" w:eastAsia="宋体" w:cs="宋体" w:hint="eastAsia"/>
                <w:color w:val="000000"/>
                <w:sz w:val="18"/>
                <w:szCs w:val="18"/>
              </w:rPr>
            </w:pPr>
            <w:r>
              <w:rPr>
                <w:rFonts w:ascii="宋体" w:eastAsia="宋体" w:cs="宋体" w:hint="eastAsia"/>
                <w:color w:val="000000"/>
                <w:sz w:val="18"/>
                <w:szCs w:val="18"/>
              </w:rPr>
              <w:t>维护全校师生安全情况</w:t>
            </w:r>
          </w:p>
        </w:tc>
        <w:tc>
          <w:tcPr>
            <w:tcW w:w="988" w:type="dxa"/>
            <w:gridSpan w:val="2"/>
            <w:tcBorders>
              <w:top w:val="single" w:sz="4" w:space="0" w:color="000000"/>
              <w:left w:val="single" w:sz="4" w:space="0" w:color="000000"/>
              <w:bottom w:val="single" w:sz="4" w:space="0" w:color="000000"/>
              <w:right w:val="single" w:sz="4" w:space="0" w:color="000000"/>
            </w:tcBorders>
            <w:noWrap/>
            <w:tcMar>
              <w:top w:w="15" w:type="dxa"/>
              <w:left w:w="15" w:type="dxa"/>
              <w:bottom w:w="15" w:type="dxa"/>
            </w:tcMar>
            <w:vAlign w:val="center"/>
          </w:tcPr>
          <w:p>
            <w:pPr>
              <w:widowControl/>
              <w:jc w:val="left"/>
              <w:textAlignment w:val="center"/>
              <w:rPr>
                <w:rFonts w:ascii="宋体" w:eastAsia="宋体" w:cs="宋体" w:hint="eastAsia"/>
                <w:color w:val="000000"/>
                <w:sz w:val="18"/>
                <w:szCs w:val="18"/>
              </w:rPr>
            </w:pPr>
            <w:r>
              <w:rPr>
                <w:rFonts w:ascii="宋体" w:eastAsia="宋体" w:cs="宋体" w:hint="eastAsia"/>
                <w:color w:val="000000"/>
                <w:sz w:val="18"/>
                <w:szCs w:val="18"/>
              </w:rPr>
              <w:t>定性</w:t>
            </w:r>
          </w:p>
        </w:tc>
        <w:tc>
          <w:tcPr>
            <w:tcW w:w="968" w:type="dxa"/>
            <w:gridSpan w:val="2"/>
            <w:tcBorders>
              <w:top w:val="single" w:sz="4" w:space="0" w:color="000000"/>
              <w:left w:val="single" w:sz="4" w:space="0" w:color="000000"/>
              <w:bottom w:val="single" w:sz="4" w:space="0" w:color="000000"/>
              <w:right w:val="single" w:sz="4" w:space="0" w:color="000000"/>
            </w:tcBorders>
            <w:noWrap/>
            <w:tcMar>
              <w:top w:w="15" w:type="dxa"/>
              <w:left w:w="15" w:type="dxa"/>
              <w:bottom w:w="15" w:type="dxa"/>
            </w:tcMar>
            <w:vAlign w:val="center"/>
          </w:tcPr>
          <w:p>
            <w:pPr>
              <w:widowControl/>
              <w:jc w:val="left"/>
              <w:textAlignment w:val="center"/>
              <w:rPr>
                <w:rFonts w:ascii="宋体" w:eastAsia="宋体" w:cs="宋体" w:hint="eastAsia"/>
                <w:color w:val="000000"/>
                <w:sz w:val="18"/>
                <w:szCs w:val="18"/>
              </w:rPr>
            </w:pPr>
            <w:r>
              <w:rPr>
                <w:rFonts w:ascii="宋体" w:eastAsia="宋体" w:cs="宋体" w:hint="eastAsia"/>
                <w:color w:val="000000"/>
                <w:sz w:val="18"/>
                <w:szCs w:val="18"/>
              </w:rPr>
              <w:t>差、良好、好、一般</w:t>
            </w:r>
          </w:p>
        </w:tc>
        <w:tc>
          <w:tcPr>
            <w:tcW w:w="903" w:type="dxa"/>
            <w:tcBorders>
              <w:top w:val="single" w:sz="4" w:space="0" w:color="000000"/>
              <w:left w:val="single" w:sz="4" w:space="0" w:color="000000"/>
              <w:bottom w:val="single" w:sz="4" w:space="0" w:color="000000"/>
              <w:right w:val="single" w:sz="4" w:space="0" w:color="000000"/>
            </w:tcBorders>
            <w:noWrap/>
            <w:tcMar>
              <w:top w:w="15" w:type="dxa"/>
              <w:left w:w="15" w:type="dxa"/>
              <w:bottom w:w="15" w:type="dxa"/>
            </w:tcMar>
            <w:vAlign w:val="center"/>
          </w:tcPr>
          <w:p>
            <w:pPr>
              <w:widowControl/>
              <w:jc w:val="left"/>
              <w:textAlignment w:val="center"/>
              <w:rPr>
                <w:rFonts w:ascii="宋体" w:eastAsia="宋体" w:cs="宋体" w:hint="eastAsia"/>
                <w:color w:val="000000"/>
                <w:sz w:val="18"/>
                <w:szCs w:val="18"/>
              </w:rPr>
            </w:pP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bottom w:w="15" w:type="dxa"/>
            </w:tcMar>
            <w:vAlign w:val="center"/>
          </w:tcPr>
          <w:p>
            <w:pPr>
              <w:widowControl/>
              <w:jc w:val="left"/>
              <w:textAlignment w:val="center"/>
              <w:rPr>
                <w:rFonts w:ascii="宋体" w:eastAsia="宋体" w:cs="宋体" w:hint="eastAsia"/>
                <w:color w:val="000000"/>
                <w:sz w:val="18"/>
                <w:szCs w:val="18"/>
              </w:rPr>
            </w:pPr>
            <w:r>
              <w:rPr>
                <w:rFonts w:ascii="宋体" w:eastAsia="宋体" w:cs="宋体" w:hint="eastAsia"/>
                <w:color w:val="000000"/>
                <w:sz w:val="18"/>
                <w:szCs w:val="18"/>
              </w:rPr>
              <w:t>10</w:t>
            </w:r>
          </w:p>
        </w:tc>
        <w:tc>
          <w:tcPr>
            <w:tcW w:w="859" w:type="dxa"/>
            <w:gridSpan w:val="2"/>
            <w:tcBorders>
              <w:top w:val="single" w:sz="4" w:space="0" w:color="000000"/>
              <w:left w:val="single" w:sz="4" w:space="0" w:color="000000"/>
              <w:bottom w:val="single" w:sz="4" w:space="0" w:color="000000"/>
              <w:right w:val="single" w:sz="4" w:space="0" w:color="000000"/>
            </w:tcBorders>
            <w:noWrap/>
            <w:tcMar>
              <w:top w:w="15" w:type="dxa"/>
              <w:left w:w="15" w:type="dxa"/>
              <w:bottom w:w="15" w:type="dxa"/>
            </w:tcMar>
            <w:vAlign w:val="center"/>
          </w:tcPr>
          <w:p>
            <w:pPr>
              <w:widowControl/>
              <w:jc w:val="left"/>
              <w:textAlignment w:val="center"/>
              <w:rPr>
                <w:rFonts w:ascii="宋体" w:eastAsia="宋体" w:cs="宋体" w:hint="eastAsia"/>
                <w:color w:val="000000"/>
                <w:sz w:val="18"/>
                <w:szCs w:val="18"/>
              </w:rPr>
            </w:pPr>
            <w:r>
              <w:rPr>
                <w:rFonts w:ascii="宋体" w:eastAsia="宋体" w:cs="宋体" w:hint="eastAsia"/>
                <w:color w:val="000000"/>
                <w:sz w:val="18"/>
                <w:szCs w:val="18"/>
              </w:rPr>
              <w:t>良好</w:t>
            </w:r>
          </w:p>
        </w:tc>
      </w:tr>
      <w:tr>
        <w:trPr>
          <w:trHeight w:val="581"/>
          <w:gridBefore w:val="1"/>
          <w:wBefore w:w="93" w:type="dxa"/>
        </w:trPr>
        <w:tc>
          <w:tcPr>
            <w:tcW w:w="1270" w:type="dxa"/>
            <w:gridSpan w:val="3"/>
            <w:vMerge/>
            <w:tcBorders>
              <w:left w:val="single" w:sz="4" w:space="0" w:color="auto"/>
              <w:right w:val="single" w:sz="4" w:space="0" w:color="000000"/>
            </w:tcBorders>
            <w:noWrap/>
            <w:tcMar>
              <w:top w:w="15" w:type="dxa"/>
              <w:left w:w="15" w:type="dxa"/>
              <w:bottom w:w="15" w:type="dxa"/>
            </w:tcMar>
            <w:vAlign w:val="center"/>
          </w:tcPr>
          <w:p/>
        </w:tc>
        <w:tc>
          <w:tcPr>
            <w:tcW w:w="1307" w:type="dxa"/>
            <w:gridSpan w:val="2"/>
            <w:vMerge/>
            <w:tcBorders>
              <w:top w:val="single" w:sz="4" w:space="0" w:color="000000"/>
              <w:left w:val="single" w:sz="4" w:space="0" w:color="000000"/>
              <w:bottom w:val="single" w:sz="4" w:space="0" w:color="000000"/>
              <w:right w:val="single" w:sz="4" w:space="0" w:color="000000"/>
            </w:tcBorders>
            <w:noWrap/>
            <w:tcMar>
              <w:top w:w="15" w:type="dxa"/>
              <w:left w:w="15" w:type="dxa"/>
              <w:bottom w:w="15" w:type="dxa"/>
            </w:tcMar>
            <w:vAlign w:val="center"/>
          </w:tcPr>
          <w:p/>
        </w:tc>
        <w:tc>
          <w:tcPr>
            <w:tcW w:w="1318" w:type="dxa"/>
            <w:gridSpan w:val="3"/>
            <w:vMerge/>
            <w:tcBorders>
              <w:left w:val="single" w:sz="4" w:space="0" w:color="000000"/>
              <w:bottom w:val="single" w:sz="4" w:space="0" w:color="000000"/>
              <w:right w:val="single" w:sz="4" w:space="0" w:color="000000"/>
            </w:tcBorders>
            <w:noWrap/>
            <w:tcMar>
              <w:top w:w="15" w:type="dxa"/>
              <w:left w:w="15" w:type="dxa"/>
              <w:bottom w:w="15" w:type="dxa"/>
            </w:tcMar>
            <w:vAlign w:val="center"/>
          </w:tcPr>
          <w:p/>
        </w:tc>
        <w:tc>
          <w:tcPr>
            <w:tcW w:w="1985" w:type="dxa"/>
            <w:gridSpan w:val="3"/>
            <w:tcBorders>
              <w:top w:val="single" w:sz="4" w:space="0" w:color="000000"/>
              <w:left w:val="single" w:sz="4" w:space="0" w:color="000000"/>
              <w:bottom w:val="single" w:sz="4" w:space="0" w:color="000000"/>
              <w:right w:val="single" w:sz="4" w:space="0" w:color="000000"/>
            </w:tcBorders>
            <w:noWrap/>
            <w:tcMar>
              <w:top w:w="15" w:type="dxa"/>
              <w:left w:w="15" w:type="dxa"/>
              <w:bottom w:w="15" w:type="dxa"/>
            </w:tcMar>
            <w:vAlign w:val="center"/>
          </w:tcPr>
          <w:p>
            <w:pPr>
              <w:widowControl/>
              <w:jc w:val="left"/>
              <w:textAlignment w:val="center"/>
              <w:rPr>
                <w:rFonts w:ascii="宋体" w:eastAsia="宋体" w:cs="宋体" w:hint="eastAsia"/>
                <w:color w:val="000000"/>
                <w:sz w:val="18"/>
                <w:szCs w:val="18"/>
              </w:rPr>
            </w:pPr>
            <w:r>
              <w:rPr>
                <w:rFonts w:ascii="宋体" w:eastAsia="宋体" w:cs="宋体" w:hint="eastAsia"/>
                <w:color w:val="000000"/>
                <w:kern w:val="0"/>
                <w:sz w:val="18"/>
                <w:szCs w:val="18"/>
              </w:rPr>
              <w:t>补助奖金等发放完成时间</w:t>
            </w:r>
          </w:p>
        </w:tc>
        <w:tc>
          <w:tcPr>
            <w:tcW w:w="988" w:type="dxa"/>
            <w:gridSpan w:val="2"/>
            <w:tcBorders>
              <w:top w:val="single" w:sz="4" w:space="0" w:color="000000"/>
              <w:left w:val="single" w:sz="4" w:space="0" w:color="000000"/>
              <w:bottom w:val="single" w:sz="4" w:space="0" w:color="000000"/>
              <w:right w:val="single" w:sz="4" w:space="0" w:color="000000"/>
            </w:tcBorders>
            <w:noWrap/>
            <w:tcMar>
              <w:top w:w="15" w:type="dxa"/>
              <w:left w:w="15" w:type="dxa"/>
              <w:bottom w:w="15" w:type="dxa"/>
            </w:tcMar>
            <w:vAlign w:val="center"/>
          </w:tcPr>
          <w:p>
            <w:pPr>
              <w:widowControl/>
              <w:jc w:val="left"/>
              <w:textAlignment w:val="center"/>
              <w:rPr>
                <w:rFonts w:ascii="宋体" w:eastAsia="宋体" w:cs="宋体" w:hint="eastAsia"/>
                <w:color w:val="000000"/>
                <w:sz w:val="18"/>
                <w:szCs w:val="18"/>
              </w:rPr>
            </w:pPr>
            <w:r>
              <w:rPr>
                <w:rFonts w:ascii="宋体" w:eastAsia="宋体" w:cs="宋体" w:hint="eastAsia"/>
                <w:color w:val="000000"/>
                <w:kern w:val="0"/>
                <w:sz w:val="18"/>
                <w:szCs w:val="18"/>
              </w:rPr>
              <w:t>≤</w:t>
            </w:r>
          </w:p>
        </w:tc>
        <w:tc>
          <w:tcPr>
            <w:tcW w:w="968" w:type="dxa"/>
            <w:gridSpan w:val="2"/>
            <w:tcBorders>
              <w:top w:val="single" w:sz="4" w:space="0" w:color="000000"/>
              <w:left w:val="single" w:sz="4" w:space="0" w:color="000000"/>
              <w:bottom w:val="single" w:sz="4" w:space="0" w:color="000000"/>
              <w:right w:val="single" w:sz="4" w:space="0" w:color="000000"/>
            </w:tcBorders>
            <w:noWrap/>
            <w:tcMar>
              <w:top w:w="15" w:type="dxa"/>
              <w:left w:w="15" w:type="dxa"/>
              <w:bottom w:w="15" w:type="dxa"/>
            </w:tcMar>
            <w:vAlign w:val="center"/>
          </w:tcPr>
          <w:p>
            <w:pPr>
              <w:widowControl/>
              <w:jc w:val="left"/>
              <w:textAlignment w:val="center"/>
              <w:rPr>
                <w:rFonts w:ascii="宋体" w:eastAsia="宋体" w:cs="宋体" w:hint="eastAsia"/>
                <w:color w:val="000000"/>
                <w:sz w:val="18"/>
                <w:szCs w:val="18"/>
              </w:rPr>
            </w:pPr>
            <w:r>
              <w:rPr>
                <w:rFonts w:ascii="宋体" w:eastAsia="宋体" w:cs="宋体" w:hint="eastAsia"/>
                <w:color w:val="000000"/>
                <w:kern w:val="0"/>
                <w:sz w:val="18"/>
                <w:szCs w:val="18"/>
              </w:rPr>
              <w:t>1</w:t>
            </w:r>
          </w:p>
        </w:tc>
        <w:tc>
          <w:tcPr>
            <w:tcW w:w="903" w:type="dxa"/>
            <w:tcBorders>
              <w:top w:val="single" w:sz="4" w:space="0" w:color="000000"/>
              <w:left w:val="single" w:sz="4" w:space="0" w:color="000000"/>
              <w:bottom w:val="single" w:sz="4" w:space="0" w:color="000000"/>
              <w:right w:val="single" w:sz="4" w:space="0" w:color="000000"/>
            </w:tcBorders>
            <w:noWrap/>
            <w:tcMar>
              <w:top w:w="15" w:type="dxa"/>
              <w:left w:w="15" w:type="dxa"/>
              <w:bottom w:w="15" w:type="dxa"/>
            </w:tcMar>
            <w:vAlign w:val="center"/>
          </w:tcPr>
          <w:p>
            <w:pPr>
              <w:widowControl/>
              <w:jc w:val="left"/>
              <w:textAlignment w:val="center"/>
              <w:rPr>
                <w:rFonts w:ascii="宋体" w:eastAsia="宋体" w:cs="宋体" w:hint="eastAsia"/>
                <w:color w:val="000000"/>
                <w:sz w:val="18"/>
                <w:szCs w:val="18"/>
              </w:rPr>
            </w:pPr>
            <w:r>
              <w:rPr>
                <w:rFonts w:ascii="宋体" w:eastAsia="宋体" w:cs="宋体" w:hint="eastAsia"/>
                <w:color w:val="000000"/>
                <w:kern w:val="0"/>
                <w:sz w:val="18"/>
                <w:szCs w:val="18"/>
              </w:rPr>
              <w:t>年</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bottom w:w="15" w:type="dxa"/>
            </w:tcMar>
            <w:vAlign w:val="center"/>
          </w:tcPr>
          <w:p>
            <w:pPr>
              <w:widowControl/>
              <w:jc w:val="left"/>
              <w:textAlignment w:val="center"/>
              <w:rPr>
                <w:rFonts w:ascii="宋体" w:eastAsia="宋体" w:cs="宋体" w:hint="eastAsia"/>
                <w:color w:val="000000"/>
                <w:sz w:val="18"/>
                <w:szCs w:val="18"/>
              </w:rPr>
            </w:pPr>
            <w:r>
              <w:rPr>
                <w:rFonts w:ascii="宋体" w:eastAsia="宋体" w:cs="宋体" w:hint="eastAsia"/>
                <w:color w:val="000000"/>
                <w:sz w:val="18"/>
                <w:szCs w:val="18"/>
              </w:rPr>
              <w:t>10</w:t>
            </w:r>
          </w:p>
        </w:tc>
        <w:tc>
          <w:tcPr>
            <w:tcW w:w="859" w:type="dxa"/>
            <w:gridSpan w:val="2"/>
            <w:tcBorders>
              <w:top w:val="single" w:sz="4" w:space="0" w:color="000000"/>
              <w:left w:val="single" w:sz="4" w:space="0" w:color="000000"/>
              <w:bottom w:val="single" w:sz="4" w:space="0" w:color="000000"/>
              <w:right w:val="single" w:sz="4" w:space="0" w:color="000000"/>
            </w:tcBorders>
            <w:noWrap/>
            <w:tcMar>
              <w:top w:w="15" w:type="dxa"/>
              <w:left w:w="15" w:type="dxa"/>
              <w:bottom w:w="15" w:type="dxa"/>
            </w:tcMar>
            <w:vAlign w:val="center"/>
          </w:tcPr>
          <w:p>
            <w:pPr>
              <w:widowControl/>
              <w:jc w:val="left"/>
              <w:textAlignment w:val="center"/>
              <w:rPr>
                <w:rFonts w:ascii="宋体" w:eastAsia="宋体" w:cs="宋体" w:hint="eastAsia"/>
                <w:color w:val="000000"/>
                <w:sz w:val="18"/>
                <w:szCs w:val="18"/>
              </w:rPr>
            </w:pPr>
            <w:r>
              <w:rPr>
                <w:rFonts w:ascii="宋体" w:eastAsia="宋体" w:cs="宋体" w:hint="eastAsia"/>
                <w:color w:val="000000"/>
                <w:kern w:val="0"/>
                <w:sz w:val="18"/>
                <w:szCs w:val="18"/>
              </w:rPr>
              <w:t>1</w:t>
            </w:r>
          </w:p>
        </w:tc>
      </w:tr>
      <w:tr>
        <w:trPr>
          <w:trHeight w:val="151"/>
          <w:gridBefore w:val="1"/>
          <w:wBefore w:w="93" w:type="dxa"/>
        </w:trPr>
        <w:tc>
          <w:tcPr>
            <w:tcW w:w="1270" w:type="dxa"/>
            <w:gridSpan w:val="3"/>
            <w:vMerge/>
            <w:tcBorders>
              <w:left w:val="single" w:sz="4" w:space="0" w:color="auto"/>
              <w:right w:val="single" w:sz="4" w:space="0" w:color="000000"/>
            </w:tcBorders>
            <w:noWrap/>
            <w:tcMar>
              <w:top w:w="15" w:type="dxa"/>
              <w:left w:w="15" w:type="dxa"/>
              <w:bottom w:w="15" w:type="dxa"/>
            </w:tcMar>
            <w:vAlign w:val="center"/>
          </w:tcPr>
          <w:p/>
        </w:tc>
        <w:tc>
          <w:tcPr>
            <w:tcW w:w="1307" w:type="dxa"/>
            <w:gridSpan w:val="2"/>
            <w:vMerge/>
            <w:tcBorders>
              <w:top w:val="single" w:sz="4" w:space="0" w:color="000000"/>
              <w:left w:val="single" w:sz="4" w:space="0" w:color="000000"/>
              <w:bottom w:val="single" w:sz="4" w:space="0" w:color="000000"/>
              <w:right w:val="single" w:sz="4" w:space="0" w:color="000000"/>
            </w:tcBorders>
            <w:noWrap/>
            <w:tcMar>
              <w:top w:w="15" w:type="dxa"/>
              <w:left w:w="15" w:type="dxa"/>
              <w:bottom w:w="15" w:type="dxa"/>
            </w:tcMar>
            <w:vAlign w:val="center"/>
          </w:tcPr>
          <w:p/>
        </w:tc>
        <w:tc>
          <w:tcPr>
            <w:tcW w:w="1318" w:type="dxa"/>
            <w:gridSpan w:val="3"/>
            <w:vMerge/>
            <w:tcBorders>
              <w:left w:val="single" w:sz="4" w:space="0" w:color="000000"/>
              <w:right w:val="single" w:sz="4" w:space="0" w:color="000000"/>
            </w:tcBorders>
            <w:noWrap/>
            <w:tcMar>
              <w:top w:w="15" w:type="dxa"/>
              <w:left w:w="15" w:type="dxa"/>
              <w:bottom w:w="15" w:type="dxa"/>
            </w:tcMar>
            <w:vAlign w:val="center"/>
          </w:tcPr>
          <w:p/>
        </w:tc>
        <w:tc>
          <w:tcPr>
            <w:tcW w:w="1985" w:type="dxa"/>
            <w:gridSpan w:val="3"/>
            <w:tcBorders>
              <w:top w:val="single" w:sz="4" w:space="0" w:color="000000"/>
              <w:left w:val="single" w:sz="4" w:space="0" w:color="000000"/>
              <w:bottom w:val="single" w:sz="4" w:space="0" w:color="000000"/>
              <w:right w:val="single" w:sz="4" w:space="0" w:color="000000"/>
            </w:tcBorders>
            <w:noWrap/>
            <w:tcMar>
              <w:top w:w="15" w:type="dxa"/>
              <w:left w:w="15" w:type="dxa"/>
              <w:bottom w:w="15" w:type="dxa"/>
            </w:tcMar>
            <w:vAlign w:val="center"/>
          </w:tcPr>
          <w:p>
            <w:pPr>
              <w:widowControl/>
              <w:jc w:val="left"/>
              <w:textAlignment w:val="center"/>
              <w:rPr>
                <w:rFonts w:ascii="宋体" w:eastAsia="宋体" w:cs="宋体" w:hint="eastAsia"/>
                <w:color w:val="000000"/>
                <w:kern w:val="0"/>
                <w:sz w:val="18"/>
                <w:szCs w:val="18"/>
              </w:rPr>
            </w:pPr>
            <w:r>
              <w:rPr>
                <w:rFonts w:ascii="宋体" w:eastAsia="宋体" w:cs="宋体" w:hint="eastAsia"/>
                <w:color w:val="000000"/>
                <w:kern w:val="0"/>
                <w:sz w:val="18"/>
                <w:szCs w:val="18"/>
              </w:rPr>
              <w:t>家庭经济困难生活补助</w:t>
            </w:r>
          </w:p>
        </w:tc>
        <w:tc>
          <w:tcPr>
            <w:tcW w:w="988" w:type="dxa"/>
            <w:gridSpan w:val="2"/>
            <w:tcBorders>
              <w:top w:val="single" w:sz="4" w:space="0" w:color="000000"/>
              <w:left w:val="single" w:sz="4" w:space="0" w:color="000000"/>
              <w:bottom w:val="single" w:sz="4" w:space="0" w:color="000000"/>
              <w:right w:val="single" w:sz="4" w:space="0" w:color="000000"/>
            </w:tcBorders>
            <w:noWrap/>
            <w:tcMar>
              <w:top w:w="15" w:type="dxa"/>
              <w:left w:w="15" w:type="dxa"/>
              <w:bottom w:w="15" w:type="dxa"/>
            </w:tcMar>
            <w:vAlign w:val="center"/>
          </w:tcPr>
          <w:p>
            <w:pPr>
              <w:widowControl/>
              <w:jc w:val="left"/>
              <w:textAlignment w:val="center"/>
              <w:rPr>
                <w:rFonts w:ascii="宋体" w:eastAsia="宋体" w:cs="宋体" w:hint="eastAsia"/>
                <w:color w:val="000000"/>
                <w:kern w:val="0"/>
                <w:sz w:val="18"/>
                <w:szCs w:val="18"/>
              </w:rPr>
            </w:pPr>
            <w:r>
              <w:rPr>
                <w:rFonts w:ascii="宋体" w:eastAsia="宋体" w:cs="宋体" w:hint="eastAsia"/>
                <w:color w:val="000000"/>
                <w:kern w:val="0"/>
                <w:sz w:val="18"/>
                <w:szCs w:val="18"/>
              </w:rPr>
              <w:t>≤</w:t>
            </w:r>
          </w:p>
        </w:tc>
        <w:tc>
          <w:tcPr>
            <w:tcW w:w="968" w:type="dxa"/>
            <w:gridSpan w:val="2"/>
            <w:tcBorders>
              <w:top w:val="single" w:sz="4" w:space="0" w:color="000000"/>
              <w:left w:val="single" w:sz="4" w:space="0" w:color="000000"/>
              <w:bottom w:val="single" w:sz="4" w:space="0" w:color="000000"/>
              <w:right w:val="single" w:sz="4" w:space="0" w:color="000000"/>
            </w:tcBorders>
            <w:noWrap/>
            <w:tcMar>
              <w:top w:w="15" w:type="dxa"/>
              <w:left w:w="15" w:type="dxa"/>
              <w:bottom w:w="15" w:type="dxa"/>
            </w:tcMar>
            <w:vAlign w:val="center"/>
          </w:tcPr>
          <w:p>
            <w:pPr>
              <w:widowControl/>
              <w:jc w:val="left"/>
              <w:textAlignment w:val="center"/>
              <w:rPr>
                <w:rFonts w:ascii="宋体" w:eastAsia="宋体" w:cs="宋体" w:hint="eastAsia"/>
                <w:color w:val="000000"/>
                <w:kern w:val="0"/>
                <w:sz w:val="18"/>
                <w:szCs w:val="18"/>
              </w:rPr>
            </w:pPr>
            <w:r>
              <w:rPr>
                <w:rFonts w:ascii="宋体" w:eastAsia="宋体" w:cs="宋体" w:hint="eastAsia"/>
                <w:color w:val="000000"/>
                <w:kern w:val="0"/>
                <w:sz w:val="18"/>
                <w:szCs w:val="18"/>
              </w:rPr>
              <w:t>42.54</w:t>
            </w:r>
          </w:p>
        </w:tc>
        <w:tc>
          <w:tcPr>
            <w:tcW w:w="903" w:type="dxa"/>
            <w:tcBorders>
              <w:top w:val="single" w:sz="4" w:space="0" w:color="000000"/>
              <w:left w:val="single" w:sz="4" w:space="0" w:color="000000"/>
              <w:bottom w:val="single" w:sz="4" w:space="0" w:color="000000"/>
              <w:right w:val="single" w:sz="4" w:space="0" w:color="000000"/>
            </w:tcBorders>
            <w:noWrap/>
            <w:tcMar>
              <w:top w:w="15" w:type="dxa"/>
              <w:left w:w="15" w:type="dxa"/>
              <w:bottom w:w="15" w:type="dxa"/>
            </w:tcMar>
            <w:vAlign w:val="center"/>
          </w:tcPr>
          <w:p>
            <w:pPr>
              <w:widowControl/>
              <w:jc w:val="left"/>
              <w:textAlignment w:val="center"/>
              <w:rPr>
                <w:rFonts w:ascii="宋体" w:eastAsia="宋体" w:cs="宋体" w:hint="eastAsia"/>
                <w:color w:val="000000"/>
                <w:kern w:val="0"/>
                <w:sz w:val="18"/>
                <w:szCs w:val="18"/>
              </w:rPr>
            </w:pPr>
            <w:r>
              <w:rPr>
                <w:rFonts w:ascii="宋体" w:eastAsia="宋体" w:cs="宋体" w:hint="eastAsia"/>
                <w:color w:val="000000"/>
                <w:kern w:val="0"/>
                <w:sz w:val="18"/>
                <w:szCs w:val="18"/>
              </w:rPr>
              <w:t>万元</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bottom w:w="15" w:type="dxa"/>
            </w:tcMar>
            <w:vAlign w:val="center"/>
          </w:tcPr>
          <w:p>
            <w:pPr>
              <w:widowControl/>
              <w:jc w:val="left"/>
              <w:textAlignment w:val="center"/>
              <w:rPr>
                <w:rFonts w:ascii="宋体" w:eastAsia="宋体" w:cs="宋体" w:hint="eastAsia"/>
                <w:color w:val="000000"/>
                <w:kern w:val="0"/>
                <w:sz w:val="18"/>
                <w:szCs w:val="18"/>
              </w:rPr>
            </w:pPr>
            <w:r>
              <w:rPr>
                <w:rFonts w:ascii="宋体" w:eastAsia="宋体" w:cs="宋体" w:hint="eastAsia"/>
                <w:color w:val="000000"/>
                <w:kern w:val="0"/>
                <w:sz w:val="18"/>
                <w:szCs w:val="18"/>
              </w:rPr>
              <w:t>5</w:t>
            </w:r>
          </w:p>
        </w:tc>
        <w:tc>
          <w:tcPr>
            <w:tcW w:w="859" w:type="dxa"/>
            <w:gridSpan w:val="2"/>
            <w:tcBorders>
              <w:top w:val="single" w:sz="4" w:space="0" w:color="000000"/>
              <w:left w:val="single" w:sz="4" w:space="0" w:color="000000"/>
              <w:bottom w:val="single" w:sz="4" w:space="0" w:color="000000"/>
              <w:right w:val="single" w:sz="4" w:space="0" w:color="000000"/>
            </w:tcBorders>
            <w:noWrap/>
            <w:tcMar>
              <w:top w:w="15" w:type="dxa"/>
              <w:left w:w="15" w:type="dxa"/>
              <w:bottom w:w="15" w:type="dxa"/>
            </w:tcMar>
            <w:vAlign w:val="center"/>
          </w:tcPr>
          <w:p>
            <w:pPr>
              <w:widowControl/>
              <w:jc w:val="left"/>
              <w:textAlignment w:val="center"/>
              <w:rPr>
                <w:rFonts w:ascii="宋体" w:eastAsia="宋体" w:cs="宋体" w:hint="eastAsia"/>
                <w:color w:val="000000"/>
                <w:kern w:val="0"/>
                <w:sz w:val="18"/>
                <w:szCs w:val="18"/>
              </w:rPr>
            </w:pPr>
            <w:r>
              <w:rPr>
                <w:rFonts w:ascii="宋体" w:eastAsia="宋体" w:cs="宋体" w:hint="eastAsia"/>
                <w:color w:val="000000"/>
                <w:kern w:val="0"/>
                <w:sz w:val="18"/>
                <w:szCs w:val="18"/>
              </w:rPr>
              <w:t>42.54</w:t>
            </w:r>
          </w:p>
        </w:tc>
      </w:tr>
      <w:tr>
        <w:trPr>
          <w:trHeight w:val="310"/>
          <w:gridBefore w:val="1"/>
          <w:wBefore w:w="93" w:type="dxa"/>
        </w:trPr>
        <w:tc>
          <w:tcPr>
            <w:tcW w:w="1270" w:type="dxa"/>
            <w:gridSpan w:val="3"/>
            <w:vMerge/>
            <w:tcBorders>
              <w:left w:val="single" w:sz="4" w:space="0" w:color="auto"/>
              <w:right w:val="single" w:sz="4" w:space="0" w:color="000000"/>
            </w:tcBorders>
            <w:noWrap/>
            <w:tcMar>
              <w:top w:w="15" w:type="dxa"/>
              <w:left w:w="15" w:type="dxa"/>
              <w:bottom w:w="15" w:type="dxa"/>
            </w:tcMar>
            <w:vAlign w:val="center"/>
          </w:tcPr>
          <w:p/>
        </w:tc>
        <w:tc>
          <w:tcPr>
            <w:tcW w:w="1307" w:type="dxa"/>
            <w:gridSpan w:val="2"/>
            <w:vMerge/>
            <w:tcBorders>
              <w:top w:val="single" w:sz="4" w:space="0" w:color="auto"/>
              <w:left w:val="single" w:sz="4" w:space="0" w:color="000000"/>
              <w:bottom w:val="single" w:sz="4" w:space="0" w:color="auto"/>
              <w:right w:val="single" w:sz="4" w:space="0" w:color="000000"/>
            </w:tcBorders>
            <w:noWrap/>
            <w:tcMar>
              <w:top w:w="15" w:type="dxa"/>
              <w:left w:w="15" w:type="dxa"/>
              <w:bottom w:w="15" w:type="dxa"/>
            </w:tcMar>
            <w:vAlign w:val="center"/>
          </w:tcPr>
          <w:p/>
        </w:tc>
        <w:tc>
          <w:tcPr>
            <w:tcW w:w="1318" w:type="dxa"/>
            <w:gridSpan w:val="3"/>
            <w:vMerge/>
            <w:tcBorders>
              <w:top w:val="single" w:sz="4" w:space="0" w:color="auto"/>
              <w:left w:val="single" w:sz="4" w:space="0" w:color="000000"/>
              <w:bottom w:val="single" w:sz="4" w:space="0" w:color="auto"/>
              <w:right w:val="single" w:sz="4" w:space="0" w:color="000000"/>
            </w:tcBorders>
            <w:noWrap/>
            <w:tcMar>
              <w:top w:w="15" w:type="dxa"/>
              <w:left w:w="15" w:type="dxa"/>
              <w:bottom w:w="15" w:type="dxa"/>
            </w:tcMar>
            <w:vAlign w:val="center"/>
          </w:tcPr>
          <w:p/>
        </w:tc>
        <w:tc>
          <w:tcPr>
            <w:tcW w:w="1985" w:type="dxa"/>
            <w:gridSpan w:val="3"/>
            <w:tcBorders>
              <w:top w:val="single" w:sz="4" w:space="0" w:color="000000"/>
              <w:left w:val="single" w:sz="4" w:space="0" w:color="000000"/>
              <w:bottom w:val="single" w:sz="4" w:space="0" w:color="000000"/>
              <w:right w:val="single" w:sz="4" w:space="0" w:color="000000"/>
            </w:tcBorders>
            <w:noWrap/>
            <w:tcMar>
              <w:top w:w="15" w:type="dxa"/>
              <w:left w:w="15" w:type="dxa"/>
              <w:bottom w:w="15" w:type="dxa"/>
            </w:tcMar>
            <w:vAlign w:val="center"/>
          </w:tcPr>
          <w:p>
            <w:pPr>
              <w:widowControl/>
              <w:jc w:val="left"/>
              <w:textAlignment w:val="center"/>
              <w:rPr>
                <w:rFonts w:ascii="宋体" w:eastAsia="宋体" w:cs="宋体" w:hint="eastAsia"/>
                <w:color w:val="000000"/>
                <w:sz w:val="18"/>
                <w:szCs w:val="18"/>
              </w:rPr>
            </w:pPr>
            <w:r>
              <w:rPr>
                <w:rFonts w:ascii="宋体" w:eastAsia="宋体" w:cs="宋体" w:hint="eastAsia"/>
                <w:color w:val="000000"/>
                <w:kern w:val="0"/>
                <w:sz w:val="18"/>
                <w:szCs w:val="18"/>
              </w:rPr>
              <w:t>家长满意度</w:t>
            </w:r>
          </w:p>
        </w:tc>
        <w:tc>
          <w:tcPr>
            <w:tcW w:w="988" w:type="dxa"/>
            <w:gridSpan w:val="2"/>
            <w:tcBorders>
              <w:top w:val="single" w:sz="4" w:space="0" w:color="000000"/>
              <w:left w:val="single" w:sz="4" w:space="0" w:color="000000"/>
              <w:bottom w:val="single" w:sz="4" w:space="0" w:color="000000"/>
              <w:right w:val="single" w:sz="4" w:space="0" w:color="000000"/>
            </w:tcBorders>
            <w:noWrap/>
            <w:tcMar>
              <w:top w:w="15" w:type="dxa"/>
              <w:left w:w="15" w:type="dxa"/>
              <w:bottom w:w="15" w:type="dxa"/>
            </w:tcMar>
            <w:vAlign w:val="center"/>
          </w:tcPr>
          <w:p>
            <w:pPr>
              <w:widowControl/>
              <w:jc w:val="left"/>
              <w:textAlignment w:val="center"/>
              <w:rPr>
                <w:rFonts w:ascii="宋体" w:eastAsia="宋体" w:cs="宋体" w:hint="eastAsia"/>
                <w:color w:val="000000"/>
                <w:sz w:val="18"/>
                <w:szCs w:val="18"/>
              </w:rPr>
            </w:pPr>
            <w:r>
              <w:rPr>
                <w:rFonts w:ascii="宋体" w:eastAsia="宋体" w:cs="宋体" w:hint="eastAsia"/>
                <w:color w:val="000000"/>
                <w:kern w:val="0"/>
                <w:sz w:val="18"/>
                <w:szCs w:val="18"/>
              </w:rPr>
              <w:t>≥</w:t>
            </w:r>
          </w:p>
        </w:tc>
        <w:tc>
          <w:tcPr>
            <w:tcW w:w="968" w:type="dxa"/>
            <w:gridSpan w:val="2"/>
            <w:tcBorders>
              <w:top w:val="single" w:sz="4" w:space="0" w:color="000000"/>
              <w:left w:val="single" w:sz="4" w:space="0" w:color="000000"/>
              <w:bottom w:val="single" w:sz="4" w:space="0" w:color="000000"/>
              <w:right w:val="single" w:sz="4" w:space="0" w:color="000000"/>
            </w:tcBorders>
            <w:noWrap/>
            <w:tcMar>
              <w:top w:w="15" w:type="dxa"/>
              <w:left w:w="15" w:type="dxa"/>
              <w:bottom w:w="15" w:type="dxa"/>
            </w:tcMar>
            <w:vAlign w:val="center"/>
          </w:tcPr>
          <w:p>
            <w:pPr>
              <w:widowControl/>
              <w:jc w:val="left"/>
              <w:textAlignment w:val="center"/>
              <w:rPr>
                <w:rFonts w:ascii="宋体" w:eastAsia="宋体" w:cs="宋体" w:hint="eastAsia"/>
                <w:color w:val="000000"/>
                <w:sz w:val="18"/>
                <w:szCs w:val="18"/>
              </w:rPr>
            </w:pPr>
            <w:r>
              <w:rPr>
                <w:rFonts w:ascii="宋体" w:eastAsia="宋体" w:cs="宋体" w:hint="eastAsia"/>
                <w:color w:val="000000"/>
                <w:kern w:val="0"/>
                <w:sz w:val="18"/>
                <w:szCs w:val="18"/>
              </w:rPr>
              <w:t>95</w:t>
            </w:r>
          </w:p>
        </w:tc>
        <w:tc>
          <w:tcPr>
            <w:tcW w:w="903" w:type="dxa"/>
            <w:tcBorders>
              <w:top w:val="single" w:sz="4" w:space="0" w:color="000000"/>
              <w:left w:val="single" w:sz="4" w:space="0" w:color="000000"/>
              <w:bottom w:val="single" w:sz="4" w:space="0" w:color="000000"/>
              <w:right w:val="single" w:sz="4" w:space="0" w:color="000000"/>
            </w:tcBorders>
            <w:noWrap/>
            <w:tcMar>
              <w:top w:w="15" w:type="dxa"/>
              <w:left w:w="15" w:type="dxa"/>
              <w:bottom w:w="15" w:type="dxa"/>
            </w:tcMar>
            <w:vAlign w:val="center"/>
          </w:tcPr>
          <w:p>
            <w:pPr>
              <w:widowControl/>
              <w:jc w:val="left"/>
              <w:textAlignment w:val="center"/>
              <w:rPr>
                <w:rFonts w:ascii="宋体" w:eastAsia="宋体" w:cs="宋体" w:hint="eastAsia"/>
                <w:color w:val="000000"/>
                <w:sz w:val="18"/>
                <w:szCs w:val="18"/>
              </w:rPr>
            </w:pPr>
            <w:r>
              <w:rPr>
                <w:rFonts w:ascii="宋体" w:eastAsia="宋体" w:cs="宋体" w:hint="eastAsia"/>
                <w:color w:val="000000"/>
                <w:kern w:val="0"/>
                <w:sz w:val="18"/>
                <w:szCs w:val="18"/>
              </w:rPr>
              <w:t>%</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bottom w:w="15" w:type="dxa"/>
            </w:tcMar>
            <w:vAlign w:val="center"/>
          </w:tcPr>
          <w:p>
            <w:pPr>
              <w:widowControl/>
              <w:jc w:val="left"/>
              <w:textAlignment w:val="center"/>
              <w:rPr>
                <w:rFonts w:ascii="宋体" w:eastAsia="宋体" w:cs="宋体" w:hint="eastAsia"/>
                <w:color w:val="000000"/>
                <w:sz w:val="18"/>
                <w:szCs w:val="18"/>
              </w:rPr>
            </w:pPr>
            <w:r>
              <w:rPr>
                <w:rFonts w:ascii="宋体" w:eastAsia="宋体" w:cs="宋体" w:hint="eastAsia"/>
                <w:color w:val="000000"/>
                <w:sz w:val="18"/>
                <w:szCs w:val="18"/>
              </w:rPr>
              <w:t>5</w:t>
            </w:r>
          </w:p>
        </w:tc>
        <w:tc>
          <w:tcPr>
            <w:tcW w:w="859" w:type="dxa"/>
            <w:gridSpan w:val="2"/>
            <w:tcBorders>
              <w:top w:val="single" w:sz="4" w:space="0" w:color="000000"/>
              <w:left w:val="single" w:sz="4" w:space="0" w:color="000000"/>
              <w:bottom w:val="single" w:sz="4" w:space="0" w:color="000000"/>
              <w:right w:val="single" w:sz="4" w:space="0" w:color="000000"/>
            </w:tcBorders>
            <w:noWrap/>
            <w:tcMar>
              <w:top w:w="15" w:type="dxa"/>
              <w:left w:w="15" w:type="dxa"/>
              <w:bottom w:w="15" w:type="dxa"/>
            </w:tcMar>
            <w:vAlign w:val="center"/>
          </w:tcPr>
          <w:p>
            <w:pPr>
              <w:widowControl/>
              <w:jc w:val="left"/>
              <w:textAlignment w:val="center"/>
              <w:rPr>
                <w:rFonts w:ascii="宋体" w:eastAsia="宋体" w:cs="宋体" w:hint="eastAsia"/>
                <w:color w:val="000000"/>
                <w:sz w:val="18"/>
                <w:szCs w:val="18"/>
              </w:rPr>
            </w:pPr>
            <w:r>
              <w:rPr>
                <w:rFonts w:ascii="宋体" w:eastAsia="宋体" w:cs="宋体" w:hint="eastAsia"/>
                <w:color w:val="000000"/>
                <w:kern w:val="0"/>
                <w:sz w:val="18"/>
                <w:szCs w:val="18"/>
              </w:rPr>
              <w:t>95</w:t>
            </w:r>
          </w:p>
        </w:tc>
      </w:tr>
    </w:tbl>
    <w:p>
      <w:pPr>
        <w:pStyle w:val="31"/>
        <w:tabs>
          <w:tab w:val="left" w:pos="960"/>
        </w:tabs>
        <w:spacing w:line="240" w:lineRule="auto"/>
        <w:ind w:firstLineChars="0" w:firstLine="0"/>
        <w:rPr>
          <w:rFonts w:ascii="仿宋" w:eastAsia="仿宋" w:cs="仿宋" w:hint="eastAsia"/>
          <w:b/>
          <w:bCs/>
        </w:rPr>
      </w:pPr>
    </w:p>
    <w:p>
      <w:pPr>
        <w:pStyle w:val="31"/>
        <w:tabs>
          <w:tab w:val="left" w:pos="960"/>
        </w:tabs>
        <w:spacing w:line="240" w:lineRule="auto"/>
        <w:ind w:firstLineChars="0" w:firstLine="0"/>
        <w:rPr>
          <w:rFonts w:ascii="仿宋" w:eastAsia="仿宋" w:cs="仿宋" w:hint="eastAsia"/>
          <w:b/>
          <w:bCs/>
        </w:rPr>
      </w:pPr>
    </w:p>
    <w:p>
      <w:pPr>
        <w:widowControl/>
        <w:spacing w:line="576" w:lineRule="exact"/>
        <w:ind w:firstLineChars="200" w:firstLine="640"/>
        <w:rPr>
          <w:rFonts w:ascii="仿宋" w:eastAsia="仿宋" w:cs="仿宋" w:hint="eastAsia"/>
          <w:b/>
          <w:sz w:val="32"/>
          <w:szCs w:val="32"/>
        </w:rPr>
      </w:pPr>
    </w:p>
    <w:p>
      <w:pPr>
        <w:spacing w:line="576" w:lineRule="exact"/>
        <w:rPr>
          <w:rFonts w:ascii="仿宋" w:eastAsia="仿宋" w:cs="仿宋" w:hint="eastAsia"/>
          <w:sz w:val="32"/>
          <w:szCs w:val="32"/>
        </w:rPr>
      </w:pPr>
      <w:bookmarkStart w:id="188" w:name="_Toc15396614"/>
      <w:bookmarkStart w:id="189" w:name="_Toc15377226"/>
    </w:p>
    <w:p>
      <w:pPr>
        <w:snapToGrid w:val="0"/>
        <w:spacing w:line="520" w:lineRule="exact"/>
        <w:rPr>
          <w:rFonts w:ascii="黑体" w:eastAsia="黑体" w:cs="宋体"/>
          <w:kern w:val="0"/>
          <w:sz w:val="32"/>
          <w:szCs w:val="32"/>
        </w:rPr>
      </w:pPr>
      <w:bookmarkStart w:id="190" w:name="_Toc15396618"/>
      <w:bookmarkEnd w:id="188"/>
      <w:r>
        <w:rPr>
          <w:rFonts w:ascii="黑体" w:eastAsia="黑体" w:cs="宋体" w:hint="eastAsia"/>
          <w:kern w:val="0"/>
          <w:sz w:val="32"/>
          <w:szCs w:val="32"/>
        </w:rPr>
        <w:t>附件2</w:t>
      </w:r>
    </w:p>
    <w:p>
      <w:pPr>
        <w:snapToGrid w:val="0"/>
        <w:spacing w:line="520" w:lineRule="exact"/>
        <w:ind w:firstLineChars="500" w:firstLine="1600"/>
        <w:rPr>
          <w:rFonts w:ascii="黑体" w:eastAsia="黑体" w:cs="宋体"/>
          <w:kern w:val="0"/>
          <w:sz w:val="32"/>
          <w:szCs w:val="32"/>
        </w:rPr>
      </w:pPr>
      <w:r>
        <w:rPr>
          <w:rFonts w:ascii="黑体" w:eastAsia="黑体" w:cs="宋体" w:hint="eastAsia"/>
          <w:kern w:val="0"/>
          <w:sz w:val="32"/>
          <w:szCs w:val="32"/>
        </w:rPr>
        <w:t>学校食堂从业人员劳务费专项预算项目</w:t>
      </w:r>
    </w:p>
    <w:p>
      <w:pPr>
        <w:jc w:val="center"/>
        <w:rPr>
          <w:rFonts w:ascii="黑体" w:eastAsia="黑体" w:cs="宋体"/>
          <w:kern w:val="0"/>
          <w:sz w:val="32"/>
          <w:szCs w:val="32"/>
        </w:rPr>
      </w:pPr>
      <w:r>
        <w:rPr>
          <w:rFonts w:ascii="黑体" w:eastAsia="黑体" w:cs="宋体" w:hint="eastAsia"/>
          <w:kern w:val="0"/>
          <w:sz w:val="32"/>
          <w:szCs w:val="32"/>
        </w:rPr>
        <w:t>绩效自评报告</w:t>
      </w:r>
    </w:p>
    <w:p>
      <w:pPr>
        <w:adjustRightInd w:val="0"/>
        <w:snapToGrid w:val="0"/>
        <w:spacing w:line="578" w:lineRule="exact"/>
        <w:ind w:firstLineChars="200" w:firstLine="640"/>
        <w:outlineLvl w:val="0"/>
        <w:rPr>
          <w:rFonts w:eastAsia="黑体"/>
          <w:sz w:val="32"/>
          <w:szCs w:val="32"/>
          <w:lang w:val="zh-CN"/>
        </w:rPr>
      </w:pPr>
      <w:bookmarkStart w:id="191" w:name="OLE_LINK16"/>
      <w:bookmarkStart w:id="192" w:name="OLE_LINK13"/>
      <w:r>
        <w:rPr>
          <w:rFonts w:eastAsia="黑体" w:hint="eastAsia"/>
          <w:sz w:val="32"/>
          <w:szCs w:val="32"/>
        </w:rPr>
        <w:t>一、</w:t>
      </w:r>
      <w:r>
        <w:rPr>
          <w:rFonts w:eastAsia="黑体" w:hint="eastAsia"/>
          <w:sz w:val="32"/>
          <w:szCs w:val="32"/>
          <w:lang w:val="zh-CN"/>
        </w:rPr>
        <w:t>项目概况</w:t>
      </w:r>
    </w:p>
    <w:p>
      <w:pPr>
        <w:widowControl/>
        <w:adjustRightInd w:val="0"/>
        <w:snapToGrid w:val="0"/>
        <w:spacing w:line="578" w:lineRule="exact"/>
        <w:ind w:firstLineChars="200" w:firstLine="640"/>
        <w:contextualSpacing/>
        <w:jc w:val="left"/>
        <w:outlineLvl w:val="1"/>
        <w:rPr>
          <w:rFonts w:eastAsia="楷体_GB2312"/>
          <w:b/>
          <w:lang w:val="zh-CN"/>
        </w:rPr>
      </w:pPr>
      <w:bookmarkEnd w:id="191"/>
      <w:bookmarkEnd w:id="192"/>
      <w:r>
        <w:rPr>
          <w:rFonts w:eastAsia="楷体_GB2312" w:hint="eastAsia"/>
          <w:b/>
          <w:sz w:val="32"/>
          <w:szCs w:val="32"/>
          <w:lang w:val="zh-CN"/>
        </w:rPr>
        <w:t>（一）设立背景及基本情况</w:t>
      </w:r>
    </w:p>
    <w:p>
      <w:pPr>
        <w:adjustRightInd w:val="0"/>
        <w:snapToGrid w:val="0"/>
        <w:spacing w:line="520" w:lineRule="exact"/>
        <w:ind w:firstLineChars="200" w:firstLine="640"/>
        <w:rPr>
          <w:rFonts w:ascii="仿宋" w:eastAsia="仿宋"/>
          <w:sz w:val="32"/>
          <w:szCs w:val="32"/>
        </w:rPr>
      </w:pPr>
      <w:r>
        <w:rPr>
          <w:rFonts w:ascii="仿宋" w:eastAsia="仿宋" w:hint="eastAsia"/>
          <w:sz w:val="32"/>
          <w:szCs w:val="32"/>
        </w:rPr>
        <w:t>为健全教育经费保障机制，部分保障学校食堂运转设立解决食堂从业人员劳务费项目、减少校园外来暴力事件的发生设立保安经费、为解决学前辅导员师资短缺设立辅导员经费，该项目主要用于支付劳务人员工资，设立此项保证学校正常运转。</w:t>
      </w:r>
    </w:p>
    <w:p>
      <w:pPr>
        <w:adjustRightInd w:val="0"/>
        <w:snapToGrid w:val="0"/>
        <w:spacing w:line="578" w:lineRule="exact"/>
        <w:ind w:firstLineChars="200" w:firstLine="640"/>
        <w:outlineLvl w:val="1"/>
        <w:rPr>
          <w:rFonts w:eastAsia="楷体_GB2312"/>
          <w:b/>
        </w:rPr>
      </w:pPr>
      <w:r>
        <w:rPr>
          <w:rFonts w:eastAsia="楷体_GB2312" w:hint="eastAsia"/>
          <w:b/>
          <w:sz w:val="32"/>
          <w:szCs w:val="32"/>
          <w:lang w:val="zh-CN"/>
        </w:rPr>
        <w:t>（二）</w:t>
      </w:r>
      <w:r>
        <w:rPr>
          <w:rFonts w:eastAsia="楷体_GB2312"/>
          <w:b/>
          <w:sz w:val="32"/>
          <w:szCs w:val="32"/>
        </w:rPr>
        <w:t>实施目的及支持方向</w:t>
      </w:r>
    </w:p>
    <w:p>
      <w:pPr>
        <w:widowControl/>
        <w:adjustRightInd w:val="0"/>
        <w:snapToGrid w:val="0"/>
        <w:spacing w:line="578" w:lineRule="exact"/>
        <w:ind w:firstLineChars="200" w:firstLine="640"/>
        <w:contextualSpacing/>
        <w:jc w:val="left"/>
        <w:outlineLvl w:val="1"/>
        <w:rPr>
          <w:rFonts w:ascii="仿宋" w:eastAsia="仿宋"/>
          <w:sz w:val="32"/>
          <w:szCs w:val="32"/>
        </w:rPr>
      </w:pPr>
      <w:r>
        <w:rPr>
          <w:rFonts w:ascii="仿宋" w:eastAsia="仿宋"/>
          <w:sz w:val="32"/>
          <w:szCs w:val="32"/>
        </w:rPr>
        <w:t>为健全教育经费保障机制，部分保障学校食堂运转设立解决食堂从业人员劳务费项目、减少校园外来暴力事件的发生设立保安经费、为解决学前辅导员师资短缺设立辅导员经费，该项目主要用于支付劳务人员工资，设立此项保证学校正常运转。</w:t>
      </w:r>
    </w:p>
    <w:p>
      <w:pPr>
        <w:widowControl/>
        <w:adjustRightInd w:val="0"/>
        <w:snapToGrid w:val="0"/>
        <w:spacing w:line="578" w:lineRule="exact"/>
        <w:ind w:firstLineChars="200" w:firstLine="640"/>
        <w:contextualSpacing/>
        <w:jc w:val="left"/>
        <w:outlineLvl w:val="1"/>
        <w:rPr>
          <w:rFonts w:eastAsia="楷体_GB2312"/>
          <w:b/>
          <w:lang w:val="zh-CN"/>
        </w:rPr>
      </w:pPr>
      <w:r>
        <w:rPr>
          <w:rFonts w:eastAsia="楷体_GB2312" w:hint="eastAsia"/>
          <w:b/>
          <w:sz w:val="32"/>
          <w:szCs w:val="32"/>
          <w:lang w:val="zh-CN"/>
        </w:rPr>
        <w:t>（三）</w:t>
      </w:r>
      <w:r>
        <w:rPr>
          <w:rFonts w:eastAsia="楷体_GB2312"/>
          <w:b/>
          <w:sz w:val="32"/>
          <w:szCs w:val="32"/>
        </w:rPr>
        <w:t>预算安排及分配管理</w:t>
      </w:r>
    </w:p>
    <w:p>
      <w:pPr>
        <w:adjustRightInd w:val="0"/>
        <w:snapToGrid w:val="0"/>
        <w:spacing w:line="578" w:lineRule="exact"/>
        <w:ind w:firstLineChars="200" w:firstLine="640"/>
        <w:outlineLvl w:val="1"/>
        <w:rPr>
          <w:rFonts w:ascii="仿宋" w:eastAsia="仿宋"/>
          <w:sz w:val="32"/>
          <w:szCs w:val="32"/>
        </w:rPr>
      </w:pPr>
      <w:r>
        <w:rPr>
          <w:rFonts w:ascii="仿宋" w:eastAsia="仿宋" w:hint="eastAsia"/>
          <w:sz w:val="32"/>
          <w:szCs w:val="32"/>
        </w:rPr>
        <w:t>汶川县义务教育阶段食堂从业人员劳务费下达资金31.5万元，用于食堂从业人员劳务费。</w:t>
      </w:r>
    </w:p>
    <w:p>
      <w:pPr>
        <w:adjustRightInd w:val="0"/>
        <w:snapToGrid w:val="0"/>
        <w:spacing w:line="578" w:lineRule="exact"/>
        <w:ind w:firstLineChars="200" w:firstLine="640"/>
        <w:outlineLvl w:val="1"/>
        <w:rPr>
          <w:rFonts w:eastAsia="楷体_GB2312"/>
          <w:b/>
          <w:lang w:val="zh-CN"/>
        </w:rPr>
      </w:pPr>
      <w:r>
        <w:rPr>
          <w:rFonts w:eastAsia="楷体_GB2312" w:hint="eastAsia"/>
          <w:b/>
          <w:sz w:val="32"/>
          <w:szCs w:val="32"/>
          <w:lang w:val="zh-CN"/>
        </w:rPr>
        <w:t>（四）项目绩效目标设置</w:t>
      </w:r>
    </w:p>
    <w:p>
      <w:pPr>
        <w:adjustRightInd w:val="0"/>
        <w:snapToGrid w:val="0"/>
        <w:spacing w:line="578" w:lineRule="exact"/>
        <w:ind w:firstLineChars="200" w:firstLine="640"/>
        <w:rPr>
          <w:rFonts w:ascii="仿宋" w:eastAsia="仿宋"/>
          <w:sz w:val="32"/>
          <w:szCs w:val="32"/>
        </w:rPr>
      </w:pPr>
      <w:r>
        <w:rPr>
          <w:rFonts w:ascii="仿宋" w:eastAsia="仿宋" w:hint="eastAsia"/>
          <w:sz w:val="32"/>
          <w:szCs w:val="32"/>
        </w:rPr>
        <w:t>汶川县义务教育阶段食堂从业人员劳务费下达资金31.50万元，用于食堂从业人员劳务费。</w:t>
      </w:r>
    </w:p>
    <w:p>
      <w:pPr>
        <w:adjustRightInd w:val="0"/>
        <w:snapToGrid w:val="0"/>
        <w:spacing w:line="578" w:lineRule="exact"/>
        <w:ind w:firstLineChars="200" w:firstLine="640"/>
        <w:outlineLvl w:val="0"/>
        <w:rPr>
          <w:rFonts w:eastAsia="黑体"/>
          <w:sz w:val="32"/>
          <w:szCs w:val="32"/>
        </w:rPr>
      </w:pPr>
      <w:r>
        <w:rPr>
          <w:rFonts w:eastAsia="黑体" w:hint="eastAsia"/>
          <w:sz w:val="32"/>
          <w:szCs w:val="32"/>
        </w:rPr>
        <w:t>二、评价实施</w:t>
      </w:r>
    </w:p>
    <w:p>
      <w:pPr>
        <w:spacing w:line="578" w:lineRule="exact"/>
        <w:ind w:firstLine="640"/>
        <w:outlineLvl w:val="1"/>
        <w:rPr>
          <w:rFonts w:eastAsia="楷体_GB2312"/>
          <w:b/>
          <w:lang w:val="zh-CN"/>
        </w:rPr>
      </w:pPr>
      <w:r>
        <w:rPr>
          <w:rFonts w:eastAsia="楷体_GB2312" w:hint="eastAsia"/>
          <w:b/>
          <w:sz w:val="32"/>
          <w:szCs w:val="32"/>
          <w:lang w:val="zh-CN"/>
        </w:rPr>
        <w:t>（一）评价目的</w:t>
      </w:r>
    </w:p>
    <w:p>
      <w:pPr>
        <w:adjustRightInd w:val="0"/>
        <w:snapToGrid w:val="0"/>
        <w:spacing w:line="578" w:lineRule="exact"/>
        <w:ind w:firstLineChars="200" w:firstLine="640"/>
        <w:rPr>
          <w:rFonts w:ascii="仿宋" w:eastAsia="仿宋"/>
          <w:sz w:val="32"/>
          <w:szCs w:val="32"/>
        </w:rPr>
      </w:pPr>
      <w:r>
        <w:rPr>
          <w:rFonts w:ascii="仿宋" w:eastAsia="仿宋" w:hint="eastAsia"/>
          <w:sz w:val="32"/>
          <w:szCs w:val="32"/>
        </w:rPr>
        <w:t>通过汶川县财政局对专项预算项目单位绩效自评开展培训、指导辅导和形式审查，项目单位开展绩效自评，检验其绩效目标的实现程度，发现项目实施中存在的问题，及时总结经验，提出解决问题的意见和建议，规划项目管理，保证项目资金安全和发挥效益，强化支出主体责任，实现财政资金使用效益最大化。</w:t>
      </w:r>
    </w:p>
    <w:p>
      <w:pPr>
        <w:adjustRightInd w:val="0"/>
        <w:snapToGrid w:val="0"/>
        <w:spacing w:line="578" w:lineRule="exact"/>
        <w:ind w:firstLineChars="200" w:firstLine="640"/>
        <w:outlineLvl w:val="1"/>
        <w:rPr>
          <w:rFonts w:eastAsia="楷体_GB2312"/>
          <w:b/>
          <w:lang w:val="zh-CN"/>
        </w:rPr>
      </w:pPr>
      <w:r>
        <w:rPr>
          <w:rFonts w:eastAsia="楷体_GB2312" w:hint="eastAsia"/>
          <w:b/>
          <w:sz w:val="32"/>
          <w:szCs w:val="32"/>
          <w:lang w:val="zh-CN"/>
        </w:rPr>
        <w:t>（二）预设问题及评价重点</w:t>
      </w:r>
    </w:p>
    <w:p>
      <w:pPr>
        <w:adjustRightInd w:val="0"/>
        <w:snapToGrid w:val="0"/>
        <w:spacing w:line="578" w:lineRule="exact"/>
        <w:ind w:firstLineChars="200" w:firstLine="640"/>
        <w:rPr>
          <w:rFonts w:ascii="仿宋" w:eastAsia="仿宋"/>
          <w:sz w:val="32"/>
          <w:szCs w:val="32"/>
        </w:rPr>
      </w:pPr>
      <w:r>
        <w:rPr>
          <w:rFonts w:ascii="仿宋" w:eastAsia="仿宋" w:hint="eastAsia"/>
          <w:sz w:val="32"/>
          <w:szCs w:val="32"/>
        </w:rPr>
        <w:t>按照“谁支出、谁自评”的原则，按照县财政部门通知要求，及时部署本辖区内专项预算项目资金绩效评价工作，做到应评尽评。</w:t>
      </w:r>
    </w:p>
    <w:p>
      <w:pPr>
        <w:adjustRightInd w:val="0"/>
        <w:snapToGrid w:val="0"/>
        <w:spacing w:line="578" w:lineRule="exact"/>
        <w:ind w:firstLineChars="200" w:firstLine="640"/>
        <w:outlineLvl w:val="1"/>
        <w:rPr>
          <w:rFonts w:eastAsia="楷体_GB2312"/>
          <w:b/>
          <w:lang w:val="zh-CN"/>
        </w:rPr>
      </w:pPr>
      <w:r>
        <w:rPr>
          <w:rFonts w:eastAsia="楷体_GB2312" w:hint="eastAsia"/>
          <w:b/>
          <w:sz w:val="32"/>
          <w:szCs w:val="32"/>
          <w:lang w:val="zh-CN"/>
        </w:rPr>
        <w:t>（三）评价选点</w:t>
      </w:r>
    </w:p>
    <w:p>
      <w:pPr>
        <w:widowControl/>
        <w:adjustRightInd w:val="0"/>
        <w:snapToGrid w:val="0"/>
        <w:spacing w:line="578" w:lineRule="exact"/>
        <w:ind w:firstLineChars="200" w:firstLine="640"/>
        <w:contextualSpacing/>
        <w:jc w:val="left"/>
        <w:rPr>
          <w:rFonts w:ascii="仿宋" w:eastAsia="仿宋"/>
          <w:sz w:val="32"/>
          <w:szCs w:val="32"/>
        </w:rPr>
      </w:pPr>
      <w:r>
        <w:rPr>
          <w:rFonts w:ascii="仿宋" w:eastAsia="仿宋" w:hint="eastAsia"/>
          <w:sz w:val="32"/>
          <w:szCs w:val="32"/>
        </w:rPr>
        <w:t>按照“全方位、全过程、全覆盖”预算绩效管理要求，本次绩效评价范围为学校食堂从业人员劳务费项目。</w:t>
      </w:r>
    </w:p>
    <w:p>
      <w:pPr>
        <w:spacing w:line="578" w:lineRule="exact"/>
        <w:ind w:firstLine="640"/>
        <w:outlineLvl w:val="1"/>
        <w:rPr>
          <w:rFonts w:eastAsia="楷体_GB2312"/>
          <w:b/>
          <w:lang w:val="zh-CN"/>
        </w:rPr>
      </w:pPr>
      <w:r>
        <w:rPr>
          <w:rFonts w:eastAsia="楷体_GB2312" w:hint="eastAsia"/>
          <w:b/>
          <w:sz w:val="32"/>
          <w:szCs w:val="32"/>
          <w:lang w:val="zh-CN"/>
        </w:rPr>
        <w:t>（四）评价方法</w:t>
      </w:r>
    </w:p>
    <w:p>
      <w:pPr>
        <w:widowControl/>
        <w:adjustRightInd w:val="0"/>
        <w:snapToGrid w:val="0"/>
        <w:spacing w:line="578" w:lineRule="exact"/>
        <w:ind w:firstLineChars="200" w:firstLine="640"/>
        <w:contextualSpacing/>
        <w:jc w:val="left"/>
        <w:rPr>
          <w:rFonts w:ascii="仿宋" w:eastAsia="仿宋"/>
          <w:sz w:val="32"/>
          <w:szCs w:val="32"/>
        </w:rPr>
      </w:pPr>
      <w:r>
        <w:rPr>
          <w:rFonts w:ascii="仿宋" w:eastAsia="仿宋"/>
          <w:sz w:val="32"/>
          <w:szCs w:val="32"/>
        </w:rPr>
        <w:t>根据项目情况和评价重点，</w:t>
      </w:r>
      <w:r>
        <w:rPr>
          <w:rFonts w:ascii="仿宋" w:eastAsia="仿宋" w:hint="eastAsia"/>
          <w:sz w:val="32"/>
          <w:szCs w:val="32"/>
        </w:rPr>
        <w:t>用来</w:t>
      </w:r>
      <w:r>
        <w:rPr>
          <w:rFonts w:ascii="仿宋" w:eastAsia="仿宋"/>
          <w:sz w:val="32"/>
          <w:szCs w:val="32"/>
        </w:rPr>
        <w:t>收集相关材料和开展具体评价</w:t>
      </w:r>
      <w:r>
        <w:rPr>
          <w:rFonts w:ascii="仿宋" w:eastAsia="仿宋" w:hint="eastAsia"/>
          <w:sz w:val="32"/>
          <w:szCs w:val="32"/>
        </w:rPr>
        <w:t>的方法</w:t>
      </w:r>
      <w:r>
        <w:rPr>
          <w:rFonts w:ascii="仿宋" w:eastAsia="仿宋"/>
          <w:sz w:val="32"/>
          <w:szCs w:val="32"/>
        </w:rPr>
        <w:t>。</w:t>
      </w:r>
      <w:r>
        <w:rPr>
          <w:rFonts w:ascii="仿宋" w:eastAsia="仿宋" w:hint="eastAsia"/>
          <w:sz w:val="32"/>
          <w:szCs w:val="32"/>
        </w:rPr>
        <w:t>包括：</w:t>
      </w:r>
      <w:r>
        <w:rPr>
          <w:rFonts w:ascii="仿宋" w:eastAsia="仿宋"/>
          <w:sz w:val="32"/>
          <w:szCs w:val="32"/>
        </w:rPr>
        <w:t>采用</w:t>
      </w:r>
      <w:r>
        <w:rPr>
          <w:rFonts w:ascii="仿宋" w:eastAsia="仿宋" w:hint="eastAsia"/>
          <w:sz w:val="32"/>
          <w:szCs w:val="32"/>
        </w:rPr>
        <w:t>成本效益分析法、标杆管理法、</w:t>
      </w:r>
      <w:r>
        <w:rPr>
          <w:rFonts w:ascii="仿宋" w:eastAsia="仿宋"/>
          <w:sz w:val="32"/>
          <w:szCs w:val="32"/>
        </w:rPr>
        <w:t>案卷研究法、单位自评法、实地勘察法、问卷调查法、座谈调研法等多种方法</w:t>
      </w:r>
      <w:r>
        <w:rPr>
          <w:rFonts w:ascii="仿宋" w:eastAsia="仿宋" w:hint="eastAsia"/>
          <w:sz w:val="32"/>
          <w:szCs w:val="32"/>
        </w:rPr>
        <w:t>。</w:t>
      </w:r>
    </w:p>
    <w:p>
      <w:pPr>
        <w:spacing w:line="578" w:lineRule="exact"/>
        <w:ind w:firstLine="640"/>
        <w:outlineLvl w:val="1"/>
        <w:rPr>
          <w:rFonts w:eastAsia="楷体_GB2312"/>
          <w:b/>
          <w:lang w:val="zh-CN"/>
        </w:rPr>
      </w:pPr>
      <w:r>
        <w:rPr>
          <w:rFonts w:eastAsia="楷体_GB2312" w:hint="eastAsia"/>
          <w:b/>
          <w:sz w:val="32"/>
          <w:szCs w:val="32"/>
          <w:lang w:val="zh-CN"/>
        </w:rPr>
        <w:t>（五）评价组织</w:t>
      </w:r>
    </w:p>
    <w:p>
      <w:pPr>
        <w:spacing w:line="578" w:lineRule="exact"/>
        <w:ind w:firstLine="640"/>
        <w:rPr>
          <w:rFonts w:ascii="仿宋" w:eastAsia="仿宋"/>
          <w:sz w:val="32"/>
          <w:szCs w:val="32"/>
        </w:rPr>
      </w:pPr>
      <w:r>
        <w:rPr>
          <w:rFonts w:ascii="仿宋" w:eastAsia="仿宋" w:hint="eastAsia"/>
          <w:sz w:val="32"/>
          <w:szCs w:val="32"/>
        </w:rPr>
        <w:t>我单位财务负责人展开绩效自评价。组织教师认真学习相关理论，了解本项目建设的目的意义。在理论学习与思想统一的基础上，进行合理分工，并列入学校工作计划。为了使本项目顺利进行，设立领导层面和活动实施层面两大层面的组织形式，以保障本项目顺利进行和高效益。</w:t>
      </w:r>
    </w:p>
    <w:p>
      <w:pPr>
        <w:adjustRightInd w:val="0"/>
        <w:snapToGrid w:val="0"/>
        <w:spacing w:line="578" w:lineRule="exact"/>
        <w:ind w:firstLineChars="200" w:firstLine="640"/>
        <w:outlineLvl w:val="0"/>
        <w:rPr>
          <w:lang w:val="zh-CN"/>
        </w:rPr>
      </w:pPr>
      <w:r>
        <w:rPr>
          <w:rFonts w:eastAsia="黑体" w:hint="eastAsia"/>
          <w:sz w:val="32"/>
          <w:szCs w:val="32"/>
        </w:rPr>
        <w:t>三、绩效分析</w:t>
      </w:r>
      <w:r>
        <w:rPr>
          <w:rFonts w:hint="eastAsia"/>
          <w:sz w:val="32"/>
          <w:szCs w:val="32"/>
          <w:lang w:val="zh-CN"/>
        </w:rPr>
        <w:tab/>
      </w:r>
    </w:p>
    <w:p>
      <w:pPr>
        <w:spacing w:line="578" w:lineRule="exact"/>
        <w:ind w:firstLine="640"/>
        <w:outlineLvl w:val="1"/>
        <w:rPr>
          <w:rFonts w:eastAsia="楷体_GB2312"/>
          <w:b/>
        </w:rPr>
      </w:pPr>
      <w:r>
        <w:rPr>
          <w:rFonts w:eastAsia="楷体_GB2312" w:hint="eastAsia"/>
          <w:b/>
          <w:sz w:val="32"/>
          <w:szCs w:val="32"/>
          <w:lang w:val="zh-CN"/>
        </w:rPr>
        <w:t>（一）</w:t>
      </w:r>
      <w:r>
        <w:rPr>
          <w:rFonts w:eastAsia="楷体_GB2312" w:hint="eastAsia"/>
          <w:b/>
          <w:sz w:val="32"/>
          <w:szCs w:val="32"/>
        </w:rPr>
        <w:t>通用指标</w:t>
      </w:r>
      <w:r>
        <w:rPr>
          <w:rFonts w:eastAsia="楷体_GB2312"/>
          <w:b/>
          <w:sz w:val="32"/>
          <w:szCs w:val="32"/>
        </w:rPr>
        <w:t>绩效分析</w:t>
      </w:r>
    </w:p>
    <w:p>
      <w:pPr>
        <w:spacing w:line="578" w:lineRule="exact"/>
        <w:ind w:firstLine="640"/>
        <w:outlineLvl w:val="2"/>
        <w:rPr>
          <w:rFonts w:ascii="仿宋" w:eastAsia="仿宋"/>
          <w:sz w:val="32"/>
          <w:szCs w:val="32"/>
        </w:rPr>
      </w:pPr>
      <w:r>
        <w:rPr>
          <w:rFonts w:ascii="仿宋" w:eastAsia="仿宋" w:hint="eastAsia"/>
          <w:sz w:val="32"/>
          <w:szCs w:val="32"/>
        </w:rPr>
        <w:t>1.项目决策</w:t>
      </w:r>
    </w:p>
    <w:p>
      <w:pPr>
        <w:spacing w:line="578" w:lineRule="exact"/>
        <w:ind w:firstLine="640"/>
        <w:outlineLvl w:val="2"/>
        <w:rPr>
          <w:rFonts w:ascii="仿宋" w:eastAsia="仿宋"/>
          <w:sz w:val="32"/>
          <w:szCs w:val="32"/>
        </w:rPr>
      </w:pPr>
      <w:r>
        <w:rPr>
          <w:rFonts w:ascii="仿宋" w:eastAsia="仿宋" w:hint="eastAsia"/>
          <w:sz w:val="32"/>
          <w:szCs w:val="32"/>
        </w:rPr>
        <w:t>（1）决策程序</w:t>
      </w:r>
    </w:p>
    <w:p>
      <w:pPr>
        <w:spacing w:line="578" w:lineRule="exact"/>
        <w:ind w:firstLine="640"/>
        <w:rPr>
          <w:rFonts w:ascii="仿宋" w:eastAsia="仿宋"/>
          <w:sz w:val="32"/>
          <w:szCs w:val="32"/>
        </w:rPr>
      </w:pPr>
      <w:r>
        <w:rPr>
          <w:rFonts w:ascii="仿宋" w:eastAsia="仿宋" w:hint="eastAsia"/>
          <w:sz w:val="32"/>
          <w:szCs w:val="32"/>
        </w:rPr>
        <w:t>经自查，项目立项依据充分，符合国家法律法规、国民经济发展规划和相关政策；符合行业发展规划和政策要求；与部门职责范围相符，属于部门履职所需；属于公共财政支持范围。综上所述，该指标得6分。</w:t>
      </w:r>
    </w:p>
    <w:p>
      <w:pPr>
        <w:spacing w:line="578" w:lineRule="exact"/>
        <w:ind w:firstLine="640"/>
        <w:outlineLvl w:val="2"/>
        <w:rPr>
          <w:rFonts w:ascii="仿宋" w:eastAsia="仿宋"/>
          <w:sz w:val="32"/>
          <w:szCs w:val="32"/>
        </w:rPr>
      </w:pPr>
      <w:r>
        <w:rPr>
          <w:rFonts w:ascii="仿宋" w:eastAsia="仿宋" w:hint="eastAsia"/>
          <w:sz w:val="32"/>
          <w:szCs w:val="32"/>
        </w:rPr>
        <w:t>（2）规划论证</w:t>
      </w:r>
    </w:p>
    <w:p>
      <w:pPr>
        <w:spacing w:line="578" w:lineRule="exact"/>
        <w:ind w:firstLine="640"/>
        <w:rPr>
          <w:rFonts w:ascii="仿宋" w:eastAsia="仿宋"/>
          <w:sz w:val="32"/>
          <w:szCs w:val="32"/>
        </w:rPr>
      </w:pPr>
      <w:r>
        <w:rPr>
          <w:rFonts w:ascii="仿宋" w:eastAsia="仿宋" w:hint="eastAsia"/>
          <w:sz w:val="32"/>
          <w:szCs w:val="32"/>
        </w:rPr>
        <w:t>项目立项程序规范，项目按照规定的程序申请设立；审批文件、材料符合相关要求；事前经过必要的可行性研究、专家论证、风险评估、绩效评估、集体决策。项目绩效目标设置不够科学完整年度绩效目标，未对其进行细化与分解进而设置阶段性目标。产出指标设置单一，不够完整，不能全面反映项目的产出及效果。对绩效指标设置存在理解不到位的情况，绩效管理认识有待加深。综上所述，该指标得2分。</w:t>
      </w:r>
    </w:p>
    <w:p>
      <w:pPr>
        <w:spacing w:line="578" w:lineRule="exact"/>
        <w:ind w:firstLine="640"/>
        <w:outlineLvl w:val="2"/>
        <w:rPr>
          <w:rFonts w:ascii="仿宋" w:eastAsia="仿宋"/>
          <w:sz w:val="32"/>
          <w:szCs w:val="32"/>
        </w:rPr>
      </w:pPr>
      <w:r>
        <w:rPr>
          <w:rFonts w:ascii="仿宋" w:eastAsia="仿宋" w:hint="eastAsia"/>
          <w:sz w:val="32"/>
          <w:szCs w:val="32"/>
        </w:rPr>
        <w:t>（3）资金投向</w:t>
      </w:r>
    </w:p>
    <w:p>
      <w:pPr>
        <w:spacing w:line="578" w:lineRule="exact"/>
        <w:ind w:firstLine="640"/>
        <w:rPr>
          <w:rFonts w:ascii="仿宋" w:eastAsia="仿宋"/>
          <w:sz w:val="32"/>
          <w:szCs w:val="32"/>
        </w:rPr>
      </w:pPr>
      <w:r>
        <w:rPr>
          <w:rFonts w:ascii="仿宋" w:eastAsia="仿宋" w:hint="eastAsia"/>
          <w:sz w:val="32"/>
          <w:szCs w:val="32"/>
        </w:rPr>
        <w:t>项目符合专项设立的基本规范和程序要求，属于部门职责相符，属于公共财政支持范围，符合地方事权支出责任划分原则，与相关部门同类项目或部门内部无相关项目重复。综上所述，该指标得6分。</w:t>
      </w:r>
    </w:p>
    <w:p>
      <w:pPr>
        <w:spacing w:line="578" w:lineRule="exact"/>
        <w:ind w:firstLine="640"/>
        <w:outlineLvl w:val="2"/>
        <w:rPr>
          <w:rFonts w:ascii="仿宋" w:eastAsia="仿宋"/>
          <w:sz w:val="32"/>
          <w:szCs w:val="32"/>
        </w:rPr>
      </w:pPr>
      <w:r>
        <w:rPr>
          <w:rFonts w:ascii="仿宋" w:eastAsia="仿宋" w:hint="eastAsia"/>
          <w:sz w:val="32"/>
          <w:szCs w:val="32"/>
        </w:rPr>
        <w:t>2.项目管理</w:t>
      </w:r>
    </w:p>
    <w:p>
      <w:pPr>
        <w:spacing w:line="578" w:lineRule="exact"/>
        <w:ind w:firstLine="640"/>
        <w:outlineLvl w:val="2"/>
        <w:rPr>
          <w:rFonts w:ascii="仿宋" w:eastAsia="仿宋"/>
          <w:sz w:val="32"/>
          <w:szCs w:val="32"/>
        </w:rPr>
      </w:pPr>
      <w:r>
        <w:rPr>
          <w:rFonts w:ascii="仿宋" w:eastAsia="仿宋" w:hint="eastAsia"/>
          <w:sz w:val="32"/>
          <w:szCs w:val="32"/>
        </w:rPr>
        <w:t>（1）制度办法</w:t>
      </w:r>
    </w:p>
    <w:p>
      <w:pPr>
        <w:spacing w:line="578" w:lineRule="exact"/>
        <w:ind w:firstLine="640"/>
        <w:rPr>
          <w:rFonts w:ascii="仿宋" w:eastAsia="仿宋"/>
          <w:sz w:val="32"/>
          <w:szCs w:val="32"/>
        </w:rPr>
      </w:pPr>
      <w:r>
        <w:rPr>
          <w:rFonts w:ascii="仿宋" w:eastAsia="仿宋" w:hint="eastAsia"/>
          <w:sz w:val="32"/>
          <w:szCs w:val="32"/>
        </w:rPr>
        <w:t>部门资金管理办法等管理制度体系健全完善，不存在管理制度缺失、管理办法过期情况。综上所述，该指标得2分。</w:t>
      </w:r>
    </w:p>
    <w:p>
      <w:pPr>
        <w:spacing w:line="578" w:lineRule="exact"/>
        <w:ind w:firstLine="640"/>
        <w:outlineLvl w:val="2"/>
        <w:rPr>
          <w:rFonts w:ascii="仿宋" w:eastAsia="仿宋"/>
          <w:sz w:val="32"/>
          <w:szCs w:val="32"/>
        </w:rPr>
      </w:pPr>
      <w:r>
        <w:rPr>
          <w:rFonts w:ascii="仿宋" w:eastAsia="仿宋" w:hint="eastAsia"/>
          <w:sz w:val="32"/>
          <w:szCs w:val="32"/>
        </w:rPr>
        <w:t>（2）分配管理</w:t>
      </w:r>
    </w:p>
    <w:p>
      <w:pPr>
        <w:spacing w:line="578" w:lineRule="exact"/>
        <w:ind w:firstLine="640"/>
        <w:rPr>
          <w:rFonts w:ascii="仿宋" w:eastAsia="仿宋"/>
          <w:sz w:val="32"/>
          <w:szCs w:val="32"/>
        </w:rPr>
      </w:pPr>
      <w:r>
        <w:rPr>
          <w:rFonts w:ascii="仿宋" w:eastAsia="仿宋" w:hint="eastAsia"/>
          <w:sz w:val="32"/>
          <w:szCs w:val="32"/>
        </w:rPr>
        <w:t>部门按照其他分配法分配管理资金，资金分配严格按管理办法执行，决策程序符合管理要求，及时高效。综上所述，该指标得10分。</w:t>
      </w:r>
    </w:p>
    <w:p>
      <w:pPr>
        <w:spacing w:line="578" w:lineRule="exact"/>
        <w:ind w:firstLine="640"/>
        <w:outlineLvl w:val="2"/>
        <w:rPr>
          <w:rFonts w:ascii="仿宋" w:eastAsia="仿宋"/>
          <w:sz w:val="32"/>
          <w:szCs w:val="32"/>
        </w:rPr>
      </w:pPr>
      <w:r>
        <w:rPr>
          <w:rFonts w:ascii="仿宋" w:eastAsia="仿宋" w:hint="eastAsia"/>
          <w:sz w:val="32"/>
          <w:szCs w:val="32"/>
        </w:rPr>
        <w:t>（3）绩效监管</w:t>
      </w:r>
    </w:p>
    <w:p>
      <w:pPr>
        <w:spacing w:line="578" w:lineRule="exact"/>
        <w:ind w:firstLine="640"/>
        <w:outlineLvl w:val="2"/>
        <w:rPr>
          <w:rFonts w:ascii="仿宋" w:eastAsia="仿宋"/>
          <w:sz w:val="32"/>
          <w:szCs w:val="32"/>
        </w:rPr>
      </w:pPr>
      <w:r>
        <w:rPr>
          <w:rFonts w:ascii="仿宋" w:eastAsia="仿宋" w:hint="eastAsia"/>
          <w:sz w:val="32"/>
          <w:szCs w:val="32"/>
        </w:rPr>
        <w:t>项目按中省要求全面完成绩效目标（含事前评估）、绩效评价、以前年度问题整改等预算绩效管理工作；省级部门对市县主管部门预算绩效管理要求到位，不存在对市县资金分配和项目管理指导力度不够的情况。综上所述，该指标得6分。</w:t>
      </w:r>
    </w:p>
    <w:p>
      <w:pPr>
        <w:spacing w:line="578" w:lineRule="exact"/>
        <w:ind w:firstLine="640"/>
        <w:outlineLvl w:val="2"/>
        <w:rPr>
          <w:rFonts w:ascii="仿宋" w:eastAsia="仿宋"/>
          <w:sz w:val="32"/>
          <w:szCs w:val="32"/>
        </w:rPr>
      </w:pPr>
      <w:r>
        <w:rPr>
          <w:rFonts w:ascii="仿宋" w:eastAsia="仿宋" w:hint="eastAsia"/>
          <w:sz w:val="32"/>
          <w:szCs w:val="32"/>
        </w:rPr>
        <w:t>3.项目实施</w:t>
      </w:r>
    </w:p>
    <w:p>
      <w:pPr>
        <w:spacing w:line="578" w:lineRule="exact"/>
        <w:ind w:firstLine="640"/>
        <w:outlineLvl w:val="2"/>
        <w:rPr>
          <w:rFonts w:ascii="仿宋" w:eastAsia="仿宋"/>
          <w:sz w:val="32"/>
          <w:szCs w:val="32"/>
        </w:rPr>
      </w:pPr>
      <w:r>
        <w:rPr>
          <w:rFonts w:ascii="仿宋" w:eastAsia="仿宋" w:hint="eastAsia"/>
          <w:sz w:val="32"/>
          <w:szCs w:val="32"/>
        </w:rPr>
        <w:t>（1）预算执行</w:t>
      </w:r>
    </w:p>
    <w:p>
      <w:pPr>
        <w:ind w:firstLineChars="200" w:firstLine="640"/>
        <w:outlineLvl w:val="2"/>
        <w:rPr>
          <w:rFonts w:ascii="仿宋" w:eastAsia="仿宋"/>
          <w:sz w:val="32"/>
          <w:szCs w:val="32"/>
        </w:rPr>
      </w:pPr>
      <w:r>
        <w:rPr>
          <w:rFonts w:ascii="仿宋" w:eastAsia="仿宋" w:hint="eastAsia"/>
          <w:sz w:val="32"/>
          <w:szCs w:val="32"/>
        </w:rPr>
        <w:t>财政资金拨付率：已完成拨付指标金额÷财政资金实际下达总额=31.50÷31.50*100%=100%。单位资金使用率：单位实际支付金额÷单位实际到位金额=31.50÷31.50*100%=100%</w:t>
      </w:r>
    </w:p>
    <w:p>
      <w:pPr>
        <w:ind w:firstLineChars="200" w:firstLine="640"/>
        <w:outlineLvl w:val="2"/>
        <w:rPr>
          <w:rFonts w:ascii="仿宋" w:eastAsia="仿宋"/>
          <w:sz w:val="32"/>
          <w:szCs w:val="32"/>
        </w:rPr>
      </w:pPr>
      <w:r>
        <w:rPr>
          <w:rFonts w:ascii="仿宋" w:eastAsia="仿宋" w:hint="eastAsia"/>
          <w:sz w:val="32"/>
          <w:szCs w:val="32"/>
        </w:rPr>
        <w:t>该项指标得分=财政资金拨付率×100%×3+单位资金使用率×100%×3=100%×100%×3+100%×100%×3=6。综上所述，该指标得6分。</w:t>
      </w:r>
    </w:p>
    <w:p>
      <w:pPr>
        <w:spacing w:line="578" w:lineRule="exact"/>
        <w:ind w:firstLine="640"/>
        <w:outlineLvl w:val="2"/>
        <w:rPr>
          <w:rFonts w:ascii="仿宋" w:eastAsia="仿宋"/>
          <w:sz w:val="32"/>
          <w:szCs w:val="32"/>
        </w:rPr>
      </w:pPr>
      <w:r>
        <w:rPr>
          <w:rFonts w:ascii="仿宋" w:eastAsia="仿宋" w:hint="eastAsia"/>
          <w:sz w:val="32"/>
          <w:szCs w:val="32"/>
        </w:rPr>
        <w:t>（2）资金使用</w:t>
      </w:r>
    </w:p>
    <w:p>
      <w:pPr>
        <w:spacing w:line="578" w:lineRule="exact"/>
        <w:ind w:firstLine="640"/>
        <w:rPr>
          <w:rFonts w:ascii="仿宋" w:eastAsia="仿宋"/>
          <w:sz w:val="32"/>
          <w:szCs w:val="32"/>
        </w:rPr>
      </w:pPr>
      <w:r>
        <w:rPr>
          <w:rFonts w:ascii="仿宋" w:eastAsia="仿宋" w:hint="eastAsia"/>
          <w:sz w:val="32"/>
          <w:szCs w:val="32"/>
        </w:rPr>
        <w:t>我单位根据《中华人民共和国预算法》、《中华人民共和国会计法》、《中华人民共和国政府采购法》、财政部《行政单位财务规则》和我单位制定的相关财务管理制度，对该项目审批程序、资金支付和财务手续等各环节进行监督监管，确保项目严格按照合同约定的事项予以支付，资金支付规范、审批程序合规、财务手续齐全，无截留、挤占、挪用、虚列支出等现象，票据合理正规，无其它违纪违规问题。综上所述，该指标得3分。</w:t>
      </w:r>
    </w:p>
    <w:p>
      <w:pPr>
        <w:spacing w:line="578" w:lineRule="exact"/>
        <w:ind w:firstLine="640"/>
        <w:outlineLvl w:val="2"/>
        <w:rPr>
          <w:rFonts w:ascii="仿宋" w:eastAsia="仿宋"/>
          <w:sz w:val="32"/>
          <w:szCs w:val="32"/>
        </w:rPr>
      </w:pPr>
      <w:r>
        <w:rPr>
          <w:rFonts w:ascii="仿宋" w:eastAsia="仿宋" w:hint="eastAsia"/>
          <w:sz w:val="32"/>
          <w:szCs w:val="32"/>
        </w:rPr>
        <w:t>4.项目结果</w:t>
      </w:r>
    </w:p>
    <w:p>
      <w:pPr>
        <w:spacing w:line="578" w:lineRule="exact"/>
        <w:ind w:firstLine="640"/>
        <w:outlineLvl w:val="2"/>
        <w:rPr>
          <w:rFonts w:ascii="仿宋" w:eastAsia="仿宋"/>
          <w:sz w:val="32"/>
          <w:szCs w:val="32"/>
        </w:rPr>
      </w:pPr>
      <w:r>
        <w:rPr>
          <w:rFonts w:ascii="仿宋" w:eastAsia="仿宋" w:hint="eastAsia"/>
          <w:sz w:val="32"/>
          <w:szCs w:val="32"/>
        </w:rPr>
        <w:t>（1）目标完成</w:t>
      </w:r>
    </w:p>
    <w:p>
      <w:pPr>
        <w:spacing w:line="578" w:lineRule="exact"/>
        <w:ind w:firstLine="640"/>
        <w:outlineLvl w:val="2"/>
        <w:rPr>
          <w:rFonts w:ascii="仿宋" w:eastAsia="仿宋"/>
          <w:sz w:val="32"/>
          <w:szCs w:val="32"/>
        </w:rPr>
      </w:pPr>
      <w:r>
        <w:rPr>
          <w:rFonts w:ascii="仿宋" w:eastAsia="仿宋"/>
          <w:sz w:val="32"/>
          <w:szCs w:val="32"/>
        </w:rPr>
        <w:t>根据已提供的项目绩效目标申报表，未设置具体的项目年度总体目标。综上所述，该指标得4分。</w:t>
      </w:r>
    </w:p>
    <w:p>
      <w:pPr>
        <w:spacing w:line="578" w:lineRule="exact"/>
        <w:ind w:firstLine="640"/>
        <w:outlineLvl w:val="2"/>
        <w:rPr>
          <w:rFonts w:ascii="仿宋" w:eastAsia="仿宋"/>
          <w:sz w:val="32"/>
          <w:szCs w:val="32"/>
        </w:rPr>
      </w:pPr>
      <w:r>
        <w:rPr>
          <w:rFonts w:ascii="仿宋" w:eastAsia="仿宋" w:hint="eastAsia"/>
          <w:sz w:val="32"/>
          <w:szCs w:val="32"/>
        </w:rPr>
        <w:t>（2）完成时效</w:t>
      </w:r>
    </w:p>
    <w:p>
      <w:pPr>
        <w:adjustRightInd w:val="0"/>
        <w:snapToGrid w:val="0"/>
        <w:spacing w:line="578" w:lineRule="exact"/>
        <w:ind w:firstLineChars="200" w:firstLine="640"/>
        <w:outlineLvl w:val="1"/>
        <w:rPr>
          <w:rFonts w:ascii="仿宋" w:eastAsia="仿宋"/>
          <w:sz w:val="32"/>
          <w:szCs w:val="32"/>
        </w:rPr>
      </w:pPr>
      <w:r>
        <w:rPr>
          <w:rFonts w:ascii="仿宋" w:eastAsia="仿宋" w:hint="eastAsia"/>
          <w:sz w:val="32"/>
          <w:szCs w:val="32"/>
        </w:rPr>
        <w:t>汶川县义务教育阶段食堂从业人员劳务费下达资金31.50万元，用于食堂从业人员劳务费。项目实际完成时间与计划完成时间均按照资金下达文件拨付，综上所述，该指标得3分。</w:t>
      </w:r>
    </w:p>
    <w:p>
      <w:pPr>
        <w:spacing w:line="578" w:lineRule="exact"/>
        <w:ind w:firstLineChars="200" w:firstLine="640"/>
        <w:outlineLvl w:val="1"/>
        <w:rPr>
          <w:rFonts w:eastAsia="楷体_GB2312"/>
          <w:b/>
          <w:bCs/>
          <w:color w:val="000000"/>
          <w:kern w:val="0"/>
          <w:shd w:val="clear" w:color="auto" w:fill="FFFFFF"/>
          <w:lang w:val="zh-CN"/>
        </w:rPr>
      </w:pPr>
      <w:r>
        <w:rPr>
          <w:rFonts w:cs="仿宋" w:hint="eastAsia"/>
          <w:kern w:val="0"/>
          <w:sz w:val="32"/>
          <w:szCs w:val="32"/>
          <w:shd w:val="clear" w:color="auto" w:fill="FFFFFF"/>
        </w:rPr>
        <w:t>（</w:t>
      </w:r>
      <w:r>
        <w:rPr>
          <w:rFonts w:eastAsia="楷体_GB2312" w:hint="eastAsia"/>
          <w:b/>
          <w:sz w:val="32"/>
          <w:szCs w:val="32"/>
          <w:lang w:val="zh-CN"/>
        </w:rPr>
        <w:t>二）</w:t>
      </w:r>
      <w:r>
        <w:rPr>
          <w:rFonts w:eastAsia="楷体_GB2312" w:hint="eastAsia"/>
          <w:b/>
          <w:sz w:val="32"/>
          <w:szCs w:val="32"/>
        </w:rPr>
        <w:t>专用</w:t>
      </w:r>
      <w:r>
        <w:rPr>
          <w:rFonts w:eastAsia="楷体_GB2312" w:hint="eastAsia"/>
          <w:b/>
          <w:sz w:val="32"/>
          <w:szCs w:val="32"/>
          <w:lang w:val="zh-CN"/>
        </w:rPr>
        <w:t>指标</w:t>
      </w:r>
      <w:r>
        <w:rPr>
          <w:rFonts w:eastAsia="楷体_GB2312"/>
          <w:b/>
          <w:sz w:val="32"/>
          <w:szCs w:val="32"/>
          <w:lang w:val="zh-CN"/>
        </w:rPr>
        <w:t>绩效分析</w:t>
      </w:r>
    </w:p>
    <w:p>
      <w:pPr>
        <w:spacing w:line="578" w:lineRule="exact"/>
        <w:ind w:firstLine="640"/>
        <w:outlineLvl w:val="1"/>
        <w:rPr>
          <w:rFonts w:ascii="楷体_GB2312" w:eastAsia="楷体_GB2312" w:cs="楷体_GB2312" w:hint="eastAsia"/>
          <w:sz w:val="32"/>
          <w:szCs w:val="32"/>
        </w:rPr>
      </w:pPr>
      <w:r>
        <w:rPr>
          <w:rFonts w:ascii="楷体_GB2312" w:eastAsia="楷体_GB2312" w:cs="楷体_GB2312" w:hint="eastAsia"/>
          <w:sz w:val="32"/>
          <w:szCs w:val="32"/>
        </w:rPr>
        <w:t>1.产业发展（30分）（不适用本项目）</w:t>
      </w:r>
    </w:p>
    <w:p>
      <w:pPr>
        <w:spacing w:line="578" w:lineRule="exact"/>
        <w:ind w:firstLine="640"/>
        <w:outlineLvl w:val="1"/>
        <w:rPr>
          <w:rFonts w:ascii="楷体_GB2312" w:eastAsia="楷体_GB2312" w:cs="楷体_GB2312" w:hint="eastAsia"/>
          <w:sz w:val="32"/>
          <w:szCs w:val="32"/>
        </w:rPr>
      </w:pPr>
      <w:r>
        <w:rPr>
          <w:rFonts w:ascii="楷体_GB2312" w:eastAsia="楷体_GB2312" w:cs="楷体_GB2312" w:hint="eastAsia"/>
          <w:sz w:val="32"/>
          <w:szCs w:val="32"/>
        </w:rPr>
        <w:t>2.民生保障（30分）</w:t>
      </w:r>
    </w:p>
    <w:p>
      <w:pPr>
        <w:spacing w:line="578" w:lineRule="exact"/>
        <w:ind w:firstLineChars="200" w:firstLine="640"/>
        <w:outlineLvl w:val="1"/>
        <w:rPr>
          <w:rFonts w:ascii="楷体_GB2312" w:eastAsia="楷体_GB2312" w:cs="楷体_GB2312" w:hint="eastAsia"/>
          <w:sz w:val="32"/>
          <w:szCs w:val="32"/>
        </w:rPr>
      </w:pPr>
      <w:r>
        <w:rPr>
          <w:rFonts w:ascii="楷体_GB2312" w:eastAsia="楷体_GB2312" w:cs="楷体_GB2312" w:hint="eastAsia"/>
          <w:sz w:val="32"/>
          <w:szCs w:val="32"/>
        </w:rPr>
        <w:t>(1)区域均衡性</w:t>
      </w:r>
    </w:p>
    <w:p>
      <w:pPr>
        <w:spacing w:line="578" w:lineRule="exact"/>
        <w:ind w:left="360" w:firstLineChars="200" w:firstLine="640"/>
        <w:outlineLvl w:val="1"/>
        <w:rPr>
          <w:rFonts w:ascii="仿宋" w:eastAsia="仿宋"/>
          <w:sz w:val="32"/>
          <w:szCs w:val="32"/>
        </w:rPr>
      </w:pPr>
      <w:r>
        <w:rPr>
          <w:rFonts w:ascii="仿宋" w:eastAsia="仿宋" w:hint="eastAsia"/>
          <w:sz w:val="32"/>
          <w:szCs w:val="32"/>
        </w:rPr>
        <w:t>加强校园食堂的卫生、食材新鲜的管理，</w:t>
      </w:r>
      <w:r>
        <w:rPr>
          <w:rFonts w:ascii="仿宋" w:eastAsia="仿宋"/>
          <w:sz w:val="32"/>
          <w:szCs w:val="32"/>
        </w:rPr>
        <w:t>‌</w:t>
      </w:r>
      <w:r>
        <w:rPr>
          <w:rFonts w:ascii="仿宋" w:eastAsia="仿宋" w:hint="eastAsia"/>
          <w:sz w:val="32"/>
          <w:szCs w:val="32"/>
        </w:rPr>
        <w:t>提高师生的饮食的健康。</w:t>
      </w:r>
    </w:p>
    <w:p>
      <w:pPr>
        <w:spacing w:line="578" w:lineRule="exact"/>
        <w:ind w:firstLine="640"/>
        <w:outlineLvl w:val="1"/>
        <w:rPr>
          <w:rFonts w:ascii="仿宋" w:eastAsia="仿宋"/>
          <w:sz w:val="32"/>
          <w:szCs w:val="32"/>
        </w:rPr>
      </w:pPr>
      <w:r>
        <w:rPr>
          <w:rFonts w:ascii="仿宋" w:eastAsia="仿宋" w:hint="eastAsia"/>
          <w:sz w:val="32"/>
          <w:szCs w:val="32"/>
        </w:rPr>
        <w:t>该指标自评得分8分。</w:t>
      </w:r>
    </w:p>
    <w:p>
      <w:pPr>
        <w:spacing w:line="578" w:lineRule="exact"/>
        <w:ind w:firstLineChars="200" w:firstLine="640"/>
        <w:outlineLvl w:val="1"/>
        <w:rPr>
          <w:rFonts w:ascii="楷体_GB2312" w:eastAsia="楷体_GB2312" w:cs="楷体_GB2312" w:hint="eastAsia"/>
          <w:sz w:val="32"/>
          <w:szCs w:val="32"/>
        </w:rPr>
      </w:pPr>
      <w:r>
        <w:rPr>
          <w:rFonts w:ascii="楷体_GB2312" w:eastAsia="楷体_GB2312" w:cs="楷体_GB2312" w:hint="eastAsia"/>
          <w:sz w:val="32"/>
          <w:szCs w:val="32"/>
        </w:rPr>
        <w:t xml:space="preserve">(2)对象精准性 </w:t>
      </w:r>
    </w:p>
    <w:p>
      <w:pPr>
        <w:spacing w:line="578" w:lineRule="exact"/>
        <w:ind w:left="360" w:firstLineChars="200" w:firstLine="640"/>
        <w:outlineLvl w:val="1"/>
        <w:rPr>
          <w:rFonts w:ascii="仿宋" w:eastAsia="仿宋"/>
          <w:sz w:val="32"/>
          <w:szCs w:val="32"/>
        </w:rPr>
      </w:pPr>
      <w:r>
        <w:rPr>
          <w:rFonts w:ascii="仿宋" w:eastAsia="仿宋" w:hint="eastAsia"/>
          <w:sz w:val="32"/>
          <w:szCs w:val="32"/>
        </w:rPr>
        <w:t>《四川省民族地区义务教育阶段寄宿制学校标准管理办法》配备比例为60:1配备学校食堂从业人员人数。该指标自评得分10分。</w:t>
      </w:r>
    </w:p>
    <w:p>
      <w:pPr>
        <w:spacing w:line="578" w:lineRule="exact"/>
        <w:ind w:firstLineChars="200" w:firstLine="640"/>
        <w:outlineLvl w:val="1"/>
        <w:rPr>
          <w:rFonts w:ascii="楷体_GB2312" w:eastAsia="楷体_GB2312" w:cs="楷体_GB2312" w:hint="eastAsia"/>
          <w:sz w:val="32"/>
          <w:szCs w:val="32"/>
        </w:rPr>
      </w:pPr>
      <w:r>
        <w:rPr>
          <w:rFonts w:ascii="楷体_GB2312" w:eastAsia="楷体_GB2312" w:cs="楷体_GB2312" w:hint="eastAsia"/>
          <w:sz w:val="32"/>
          <w:szCs w:val="32"/>
        </w:rPr>
        <w:t>(3)标准合理性</w:t>
      </w:r>
    </w:p>
    <w:p>
      <w:pPr>
        <w:spacing w:line="578" w:lineRule="exact"/>
        <w:ind w:left="360" w:firstLineChars="200" w:firstLine="640"/>
        <w:outlineLvl w:val="1"/>
        <w:rPr>
          <w:rFonts w:ascii="仿宋" w:eastAsia="仿宋"/>
          <w:sz w:val="32"/>
          <w:szCs w:val="32"/>
        </w:rPr>
      </w:pPr>
      <w:r>
        <w:rPr>
          <w:rFonts w:ascii="仿宋" w:eastAsia="仿宋" w:hint="eastAsia"/>
          <w:sz w:val="32"/>
          <w:szCs w:val="32"/>
        </w:rPr>
        <w:t>义务教育阶段食堂从业人员劳务服务项目符合相关决策部署及重点任务要求，该项目为义务教育阶段学生的营养膳食提供了人力保障，进一步推进了营养改善计划项目的实施，为学校食堂的正常运转提供了保障，指标自评得分5分。</w:t>
      </w:r>
    </w:p>
    <w:p>
      <w:pPr>
        <w:spacing w:line="578" w:lineRule="exact"/>
        <w:ind w:firstLineChars="200" w:firstLine="640"/>
        <w:outlineLvl w:val="1"/>
        <w:rPr>
          <w:rFonts w:ascii="楷体_GB2312" w:eastAsia="楷体_GB2312" w:cs="楷体_GB2312" w:hint="eastAsia"/>
          <w:sz w:val="32"/>
          <w:szCs w:val="32"/>
        </w:rPr>
      </w:pPr>
      <w:r>
        <w:rPr>
          <w:rFonts w:ascii="楷体_GB2312" w:eastAsia="楷体_GB2312" w:cs="楷体_GB2312" w:hint="eastAsia"/>
          <w:sz w:val="32"/>
          <w:szCs w:val="32"/>
        </w:rPr>
        <w:t>(4)群众满意度</w:t>
      </w:r>
    </w:p>
    <w:p>
      <w:pPr>
        <w:spacing w:line="578" w:lineRule="exact"/>
        <w:ind w:left="360" w:firstLineChars="200" w:firstLine="640"/>
        <w:outlineLvl w:val="1"/>
        <w:rPr>
          <w:rFonts w:ascii="仿宋" w:eastAsia="仿宋"/>
          <w:sz w:val="32"/>
          <w:szCs w:val="32"/>
        </w:rPr>
      </w:pPr>
      <w:r>
        <w:rPr>
          <w:rFonts w:ascii="仿宋" w:eastAsia="仿宋" w:hint="eastAsia"/>
          <w:sz w:val="32"/>
          <w:szCs w:val="32"/>
        </w:rPr>
        <w:t>义务教育阶段食堂从业人资金项目的投入提高提供了人力保障，进一步推进了营养改善计划项目的实施，涉及相关受益群体、支持对象的满意度调查情况，满意度高达95%,该指标自评得分4.75分。</w:t>
      </w:r>
    </w:p>
    <w:p>
      <w:pPr>
        <w:spacing w:line="578" w:lineRule="exact"/>
        <w:ind w:firstLine="640"/>
        <w:outlineLvl w:val="1"/>
        <w:rPr>
          <w:rFonts w:ascii="楷体_GB2312" w:eastAsia="楷体_GB2312" w:cs="楷体_GB2312" w:hint="eastAsia"/>
          <w:sz w:val="32"/>
          <w:szCs w:val="32"/>
        </w:rPr>
      </w:pPr>
      <w:r>
        <w:rPr>
          <w:rFonts w:ascii="楷体_GB2312" w:eastAsia="楷体_GB2312" w:cs="楷体_GB2312" w:hint="eastAsia"/>
          <w:sz w:val="32"/>
          <w:szCs w:val="32"/>
        </w:rPr>
        <w:t>3.基础设施。（30分）（不适用本项目）</w:t>
      </w:r>
    </w:p>
    <w:p>
      <w:pPr>
        <w:spacing w:line="578" w:lineRule="exact"/>
        <w:ind w:firstLine="640"/>
        <w:outlineLvl w:val="1"/>
        <w:rPr>
          <w:rFonts w:ascii="楷体_GB2312" w:eastAsia="楷体_GB2312" w:cs="楷体_GB2312" w:hint="eastAsia"/>
          <w:sz w:val="32"/>
          <w:szCs w:val="32"/>
        </w:rPr>
      </w:pPr>
      <w:r>
        <w:rPr>
          <w:rFonts w:ascii="楷体_GB2312" w:eastAsia="楷体_GB2312" w:cs="楷体_GB2312" w:hint="eastAsia"/>
          <w:sz w:val="32"/>
          <w:szCs w:val="32"/>
        </w:rPr>
        <w:t>4.行政运转。（30分）（不适用本项目）</w:t>
      </w:r>
    </w:p>
    <w:p>
      <w:pPr>
        <w:spacing w:line="578" w:lineRule="exact"/>
        <w:ind w:firstLine="640"/>
        <w:outlineLvl w:val="1"/>
        <w:rPr>
          <w:rFonts w:ascii="楷体_GB2312" w:eastAsia="楷体_GB2312" w:cs="楷体_GB2312" w:hint="eastAsia"/>
          <w:sz w:val="32"/>
          <w:szCs w:val="32"/>
        </w:rPr>
      </w:pPr>
    </w:p>
    <w:p>
      <w:pPr>
        <w:spacing w:line="578" w:lineRule="exact"/>
        <w:ind w:firstLineChars="200" w:firstLine="640"/>
        <w:rPr>
          <w:rFonts w:eastAsia="楷体_GB2312"/>
          <w:b/>
          <w:bCs/>
          <w:color w:val="000000"/>
          <w:kern w:val="0"/>
          <w:shd w:val="clear" w:color="auto" w:fill="FFFFFF"/>
          <w:lang w:val="zh-CN"/>
        </w:rPr>
      </w:pPr>
      <w:r>
        <w:rPr>
          <w:rFonts w:eastAsia="楷体_GB2312" w:hint="eastAsia"/>
          <w:b/>
          <w:sz w:val="32"/>
          <w:szCs w:val="32"/>
          <w:lang w:val="zh-CN"/>
        </w:rPr>
        <w:t>（三）</w:t>
      </w:r>
      <w:r>
        <w:rPr>
          <w:rFonts w:eastAsia="楷体_GB2312" w:hint="eastAsia"/>
          <w:b/>
          <w:sz w:val="32"/>
          <w:szCs w:val="32"/>
        </w:rPr>
        <w:t>个性指标</w:t>
      </w:r>
      <w:r>
        <w:rPr>
          <w:rFonts w:eastAsia="楷体_GB2312"/>
          <w:b/>
          <w:sz w:val="32"/>
          <w:szCs w:val="32"/>
        </w:rPr>
        <w:t>绩效分析</w:t>
      </w:r>
    </w:p>
    <w:p>
      <w:pPr>
        <w:adjustRightInd w:val="0"/>
        <w:snapToGrid w:val="0"/>
        <w:spacing w:line="578" w:lineRule="exact"/>
        <w:ind w:firstLineChars="200" w:firstLine="640"/>
        <w:rPr>
          <w:rFonts w:ascii="仿宋" w:eastAsia="仿宋"/>
          <w:sz w:val="32"/>
          <w:szCs w:val="32"/>
        </w:rPr>
      </w:pPr>
      <w:r>
        <w:rPr>
          <w:rFonts w:ascii="仿宋" w:eastAsia="仿宋" w:hint="eastAsia"/>
          <w:sz w:val="32"/>
          <w:szCs w:val="32"/>
        </w:rPr>
        <w:t>该项目为义务教育阶段学生的营养膳食、安全性提供了人力保障，进一步推进了营养改善计划项目的实施和防止校园暴力事件的发生，为学校提供安全的保障，</w:t>
      </w:r>
      <w:r>
        <w:rPr>
          <w:rFonts w:ascii="Courier New" w:eastAsia="仿宋" w:cs="Courier New" w:hAnsi="Courier New"/>
          <w:sz w:val="32"/>
          <w:szCs w:val="32"/>
        </w:rPr>
        <w:t>‌</w:t>
      </w:r>
      <w:r>
        <w:rPr>
          <w:rFonts w:ascii="仿宋" w:eastAsia="仿宋" w:cs="仿宋" w:hint="eastAsia"/>
          <w:sz w:val="32"/>
          <w:szCs w:val="32"/>
        </w:rPr>
        <w:t>提高师生的安全感和校园环境的安全稳定。</w:t>
      </w:r>
      <w:r>
        <w:rPr>
          <w:rFonts w:ascii="仿宋" w:eastAsia="仿宋" w:hint="eastAsia"/>
          <w:sz w:val="32"/>
          <w:szCs w:val="32"/>
        </w:rPr>
        <w:t>综上所述，该指标得16分。</w:t>
      </w:r>
    </w:p>
    <w:p>
      <w:pPr>
        <w:pStyle w:val="17"/>
        <w:spacing w:beforeLines="0" w:before="93" w:after="156" w:line="600" w:lineRule="exact"/>
        <w:ind w:firstLineChars="200" w:firstLine="640"/>
        <w:outlineLvl w:val="0"/>
        <w:rPr>
          <w:rFonts w:ascii="Times New Roman" w:hAnsi="Times New Roman"/>
          <w:sz w:val="32"/>
          <w:szCs w:val="32"/>
        </w:rPr>
      </w:pPr>
      <w:r>
        <w:rPr>
          <w:rFonts w:ascii="Times New Roman" w:eastAsia="黑体" w:hAnsi="Times New Roman" w:hint="eastAsia"/>
          <w:sz w:val="32"/>
          <w:szCs w:val="32"/>
        </w:rPr>
        <w:t>四、评价结论</w:t>
      </w:r>
    </w:p>
    <w:p>
      <w:pPr>
        <w:widowControl/>
        <w:adjustRightInd w:val="0"/>
        <w:snapToGrid w:val="0"/>
        <w:spacing w:line="578" w:lineRule="exact"/>
        <w:ind w:firstLineChars="200" w:firstLine="640"/>
        <w:contextualSpacing/>
        <w:jc w:val="left"/>
        <w:rPr>
          <w:rFonts w:ascii="仿宋" w:eastAsia="仿宋" w:cs="仿宋" w:hint="eastAsia"/>
          <w:sz w:val="32"/>
          <w:szCs w:val="32"/>
        </w:rPr>
      </w:pPr>
      <w:r>
        <w:rPr>
          <w:rFonts w:ascii="仿宋" w:eastAsia="仿宋" w:cs="仿宋" w:hint="eastAsia"/>
          <w:sz w:val="32"/>
          <w:szCs w:val="32"/>
        </w:rPr>
        <w:t>我校严格按照上级部门要求及时、准确、优质地完成预决算编制。我校预算执行情况良好，支出管理规范，未出现支付不及时和不到位的情况，未出现因违规支出受到相关监督部门批评或处理的情况；资金管理制度较为完善，会计核算和账务处理规范，会计资料完整。通过本项目的实施，进一步推进了营养改善计划项目的实施和防止校园暴力事件的发生，加强校园的安全管理，</w:t>
      </w:r>
      <w:r>
        <w:rPr>
          <w:rFonts w:ascii="Courier New" w:eastAsia="仿宋" w:cs="Courier New" w:hAnsi="Courier New"/>
          <w:sz w:val="32"/>
          <w:szCs w:val="32"/>
        </w:rPr>
        <w:t>‌</w:t>
      </w:r>
      <w:r>
        <w:rPr>
          <w:rFonts w:ascii="仿宋" w:eastAsia="仿宋" w:cs="仿宋" w:hint="eastAsia"/>
          <w:sz w:val="32"/>
          <w:szCs w:val="32"/>
        </w:rPr>
        <w:t>提高师生的安全感和校园环境的安全稳定预算绩效自评得分95.75分。</w:t>
      </w:r>
    </w:p>
    <w:p>
      <w:pPr>
        <w:pStyle w:val="17"/>
        <w:spacing w:beforeLines="0" w:before="93" w:after="156" w:line="600" w:lineRule="exact"/>
        <w:ind w:firstLineChars="200" w:firstLine="640"/>
        <w:outlineLvl w:val="0"/>
        <w:rPr>
          <w:rFonts w:ascii="Times New Roman" w:hAnsi="Times New Roman"/>
          <w:sz w:val="32"/>
          <w:szCs w:val="32"/>
        </w:rPr>
      </w:pPr>
      <w:r>
        <w:rPr>
          <w:rFonts w:ascii="Times New Roman" w:eastAsia="黑体" w:hAnsi="Times New Roman" w:hint="eastAsia"/>
          <w:sz w:val="32"/>
          <w:szCs w:val="32"/>
        </w:rPr>
        <w:t>五、存在主要问题</w:t>
      </w:r>
    </w:p>
    <w:p>
      <w:pPr>
        <w:pStyle w:val="17"/>
        <w:spacing w:beforeLines="0" w:before="93" w:line="600" w:lineRule="exact"/>
        <w:ind w:firstLineChars="200" w:firstLine="640"/>
        <w:rPr>
          <w:rFonts w:cs="仿宋" w:hint="eastAsia"/>
          <w:kern w:val="2"/>
          <w:sz w:val="32"/>
          <w:szCs w:val="32"/>
        </w:rPr>
      </w:pPr>
      <w:r>
        <w:rPr>
          <w:rFonts w:cs="仿宋" w:hint="eastAsia"/>
          <w:kern w:val="2"/>
          <w:sz w:val="32"/>
          <w:szCs w:val="32"/>
        </w:rPr>
        <w:t>预算编制的精准性不高，预算绩效指标设置不够全面。</w:t>
      </w:r>
    </w:p>
    <w:p>
      <w:pPr>
        <w:pStyle w:val="17"/>
        <w:spacing w:beforeLines="0" w:before="93" w:after="156" w:line="600" w:lineRule="exact"/>
        <w:ind w:firstLineChars="200" w:firstLine="640"/>
        <w:outlineLvl w:val="0"/>
        <w:rPr>
          <w:rFonts w:ascii="Times New Roman" w:hAnsi="Times New Roman"/>
          <w:sz w:val="32"/>
          <w:szCs w:val="32"/>
          <w:lang w:val="zh-CN"/>
        </w:rPr>
      </w:pPr>
      <w:r>
        <w:rPr>
          <w:rFonts w:ascii="Times New Roman" w:eastAsia="黑体" w:hAnsi="Times New Roman" w:hint="eastAsia"/>
          <w:position w:val="3"/>
          <w:sz w:val="32"/>
          <w:szCs w:val="32"/>
          <w:lang w:val="zh-CN"/>
        </w:rPr>
        <w:t>六、改进建议</w:t>
      </w:r>
    </w:p>
    <w:p>
      <w:pPr>
        <w:tabs>
          <w:tab w:val="left" w:pos="1911"/>
        </w:tabs>
        <w:ind w:firstLineChars="200" w:firstLine="640"/>
        <w:jc w:val="left"/>
        <w:rPr>
          <w:rFonts w:ascii="仿宋" w:eastAsia="仿宋" w:cs="仿宋" w:hint="eastAsia"/>
          <w:sz w:val="32"/>
          <w:szCs w:val="32"/>
        </w:rPr>
      </w:pPr>
      <w:r>
        <w:rPr>
          <w:rFonts w:ascii="仿宋" w:eastAsia="仿宋" w:cs="仿宋" w:hint="eastAsia"/>
          <w:sz w:val="32"/>
          <w:szCs w:val="32"/>
        </w:rPr>
        <w:t>设定项目年度绩效目标、增强科学合理性。建议项目主管部门按照项目相关文件及实施方案，设置项目年度绩效目标，各县（区）部门应按照省、市相关文件内容的规定作为资金分配的重要依据，并按照项目实际情况，提出科学合理的项目资金安排建议方案，并上报上级主管部门审核或备案。</w:t>
      </w:r>
    </w:p>
    <w:p>
      <w:pPr>
        <w:spacing w:line="578" w:lineRule="exact"/>
        <w:ind w:firstLine="640"/>
        <w:outlineLvl w:val="2"/>
        <w:rPr>
          <w:rFonts w:ascii="仿宋" w:eastAsia="仿宋" w:cs="仿宋" w:hint="eastAsia"/>
          <w:sz w:val="32"/>
          <w:szCs w:val="32"/>
        </w:rPr>
      </w:pPr>
      <w:r>
        <w:rPr>
          <w:rFonts w:ascii="仿宋" w:eastAsia="仿宋" w:cs="仿宋" w:hint="eastAsia"/>
          <w:sz w:val="32"/>
          <w:szCs w:val="32"/>
        </w:rPr>
        <w:t>完善绩效申报工作，进一步量化绩效目标。在申请资金时，结合具体情况和发展趋势，合理设置绩效目标，如预期取得数量指标、质量指标、成本指标、社会效益、服务对象满意度等。做到科学、合理，对能够量化的尽量予以量化，不能量化的定性要分层分类明确便于实施。一来可督促受助对象提高资金绩效，二来可使验收考核和评价更具可操作性。</w:t>
      </w:r>
    </w:p>
    <w:tbl>
      <w:tblPr>
        <w:jc w:val="center"/>
        <w:tblW w:w="10233" w:type="dxa"/>
        <w:tblBorders>
          <w:top w:val="none" w:sz="0" w:space="0" w:color="auto"/>
          <w:left w:val="none" w:sz="0" w:space="0" w:color="auto"/>
          <w:bottom w:val="none" w:sz="0" w:space="0" w:color="auto"/>
          <w:right w:val="none" w:sz="0" w:space="0" w:color="auto"/>
        </w:tblBorders>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trPr>
          <w:trHeight w:val="576"/>
        </w:trPr>
        <w:tc>
          <w:tcPr>
            <w:tcW w:w="10233" w:type="dxa"/>
            <w:gridSpan w:val="9"/>
            <w:noWrap/>
            <w:vAlign w:val="center"/>
          </w:tcPr>
          <w:p>
            <w:pPr>
              <w:widowControl/>
              <w:spacing w:line="600" w:lineRule="exact"/>
              <w:jc w:val="center"/>
              <w:textAlignment w:val="center"/>
              <w:rPr>
                <w:rFonts w:ascii="黑体" w:eastAsia="黑体" w:cs="黑体" w:hint="eastAsia"/>
                <w:color w:val="000000"/>
                <w:sz w:val="30"/>
                <w:szCs w:val="30"/>
              </w:rPr>
            </w:pPr>
            <w:r>
              <w:rPr>
                <w:rFonts w:ascii="方正小标宋简体" w:eastAsia="方正小标宋简体" w:cs="方正小标宋简体" w:hint="eastAsia"/>
                <w:color w:val="000000"/>
                <w:kern w:val="0"/>
                <w:sz w:val="40"/>
                <w:szCs w:val="40"/>
              </w:rPr>
              <w:t>专项预算项目绩效目标完成情况自评表</w:t>
            </w:r>
          </w:p>
        </w:tc>
      </w:tr>
      <w:tr>
        <w:trPr>
          <w:trHeight w:val="23"/>
        </w:trPr>
        <w:tc>
          <w:tcPr>
            <w:tcW w:w="4295" w:type="dxa"/>
            <w:gridSpan w:val="4"/>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rFonts w:ascii="宋体" w:cs="宋体" w:hint="eastAsia"/>
                <w:color w:val="000000"/>
                <w:sz w:val="24"/>
              </w:rPr>
            </w:pPr>
            <w:r>
              <w:rPr>
                <w:rFonts w:ascii="宋体" w:cs="宋体"/>
                <w:color w:val="000000"/>
                <w:kern w:val="0"/>
                <w:sz w:val="24"/>
              </w:rPr>
              <w:t>项目名称</w:t>
            </w:r>
          </w:p>
        </w:tc>
        <w:tc>
          <w:tcPr>
            <w:tcW w:w="5938" w:type="dxa"/>
            <w:gridSpan w:val="5"/>
            <w:tcBorders>
              <w:top w:val="single" w:sz="4" w:space="0" w:color="000000"/>
              <w:left w:val="single" w:sz="4" w:space="0" w:color="000000"/>
              <w:bottom w:val="single" w:sz="4" w:space="0" w:color="000000"/>
              <w:right w:val="single" w:sz="4" w:space="0" w:color="000000"/>
            </w:tcBorders>
            <w:noWrap/>
            <w:vAlign w:val="center"/>
          </w:tcPr>
          <w:p>
            <w:pPr>
              <w:spacing w:line="300" w:lineRule="exact"/>
              <w:rPr>
                <w:rFonts w:ascii="宋体" w:cs="宋体" w:hint="eastAsia"/>
                <w:color w:val="000000"/>
                <w:sz w:val="24"/>
              </w:rPr>
            </w:pPr>
            <w:r>
              <w:rPr>
                <w:rFonts w:ascii="宋体" w:cs="宋体" w:hint="eastAsia"/>
                <w:color w:val="000000"/>
                <w:sz w:val="24"/>
              </w:rPr>
              <w:t>食堂从业人员劳务费项目</w:t>
            </w:r>
          </w:p>
        </w:tc>
      </w:tr>
      <w:tr>
        <w:trPr>
          <w:trHeight w:val="23"/>
        </w:trPr>
        <w:tc>
          <w:tcPr>
            <w:tcW w:w="4295" w:type="dxa"/>
            <w:gridSpan w:val="4"/>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rFonts w:ascii="宋体" w:cs="宋体" w:hint="eastAsia"/>
                <w:color w:val="000000"/>
                <w:sz w:val="24"/>
              </w:rPr>
            </w:pPr>
            <w:r>
              <w:rPr>
                <w:rFonts w:ascii="宋体" w:cs="宋体"/>
                <w:color w:val="000000"/>
                <w:kern w:val="0"/>
                <w:sz w:val="24"/>
              </w:rPr>
              <w:t>预算单位</w:t>
            </w:r>
          </w:p>
        </w:tc>
        <w:tc>
          <w:tcPr>
            <w:tcW w:w="5938" w:type="dxa"/>
            <w:gridSpan w:val="5"/>
            <w:tcBorders>
              <w:top w:val="single" w:sz="4" w:space="0" w:color="000000"/>
              <w:left w:val="single" w:sz="4" w:space="0" w:color="000000"/>
              <w:bottom w:val="single" w:sz="4" w:space="0" w:color="000000"/>
              <w:right w:val="single" w:sz="4" w:space="0" w:color="000000"/>
            </w:tcBorders>
            <w:noWrap/>
            <w:vAlign w:val="center"/>
          </w:tcPr>
          <w:p>
            <w:pPr>
              <w:spacing w:line="300" w:lineRule="exact"/>
              <w:rPr>
                <w:rFonts w:ascii="宋体" w:cs="宋体" w:hint="eastAsia"/>
                <w:color w:val="000000"/>
                <w:sz w:val="24"/>
              </w:rPr>
            </w:pPr>
            <w:r>
              <w:rPr>
                <w:rFonts w:ascii="宋体" w:cs="宋体" w:hint="eastAsia"/>
                <w:color w:val="000000"/>
                <w:sz w:val="24"/>
              </w:rPr>
              <w:t>汶川县漩口小学校</w:t>
            </w:r>
          </w:p>
        </w:tc>
      </w:tr>
      <w:tr>
        <w:trPr>
          <w:trHeight w:val="23"/>
        </w:trPr>
        <w:tc>
          <w:tcPr>
            <w:tcW w:w="4295" w:type="dxa"/>
            <w:gridSpan w:val="4"/>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rFonts w:ascii="宋体" w:cs="宋体" w:hint="eastAsia"/>
                <w:color w:val="000000"/>
                <w:sz w:val="24"/>
              </w:rPr>
            </w:pPr>
            <w:r>
              <w:rPr>
                <w:rFonts w:ascii="宋体" w:cs="宋体"/>
                <w:color w:val="000000"/>
                <w:kern w:val="0"/>
                <w:sz w:val="24"/>
              </w:rPr>
              <w:t>项目类型</w:t>
            </w:r>
          </w:p>
        </w:tc>
        <w:tc>
          <w:tcPr>
            <w:tcW w:w="5938" w:type="dxa"/>
            <w:gridSpan w:val="5"/>
            <w:tcBorders>
              <w:top w:val="single" w:sz="4" w:space="0" w:color="000000"/>
              <w:left w:val="single" w:sz="4" w:space="0" w:color="000000"/>
              <w:bottom w:val="single" w:sz="4" w:space="0" w:color="000000"/>
              <w:right w:val="single" w:sz="4" w:space="0" w:color="000000"/>
            </w:tcBorders>
            <w:noWrap/>
            <w:vAlign w:val="center"/>
          </w:tcPr>
          <w:p>
            <w:pPr>
              <w:spacing w:line="300" w:lineRule="exact"/>
              <w:jc w:val="left"/>
              <w:rPr>
                <w:rFonts w:ascii="宋体" w:cs="宋体" w:hint="eastAsia"/>
                <w:color w:val="000000"/>
                <w:sz w:val="24"/>
              </w:rPr>
            </w:pPr>
            <w:r>
              <w:rPr>
                <w:rFonts w:ascii="宋体" w:cs="宋体" w:hint="eastAsia"/>
                <w:color w:val="000000"/>
                <w:sz w:val="24"/>
              </w:rPr>
              <w:t>行政运转</w:t>
            </w:r>
          </w:p>
        </w:tc>
      </w:tr>
      <w:tr>
        <w:trPr>
          <w:trHeight w:val="23"/>
        </w:trPr>
        <w:tc>
          <w:tcPr>
            <w:tcW w:w="652" w:type="dxa"/>
            <w:vMerge w:val="restart"/>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hint="eastAsia"/>
                <w:color w:val="000000"/>
                <w:sz w:val="24"/>
              </w:rPr>
            </w:pPr>
            <w:r>
              <w:rPr>
                <w:rFonts w:ascii="宋体" w:cs="宋体"/>
                <w:color w:val="000000"/>
                <w:kern w:val="0"/>
                <w:sz w:val="24"/>
              </w:rPr>
              <w:t>项目 概况</w:t>
            </w:r>
          </w:p>
        </w:tc>
        <w:tc>
          <w:tcPr>
            <w:tcW w:w="3643" w:type="dxa"/>
            <w:gridSpan w:val="3"/>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rFonts w:ascii="宋体" w:cs="宋体" w:hint="eastAsia"/>
                <w:color w:val="000000"/>
                <w:kern w:val="0"/>
                <w:sz w:val="24"/>
              </w:rPr>
            </w:pPr>
            <w:r>
              <w:rPr>
                <w:rFonts w:ascii="宋体" w:cs="宋体"/>
                <w:color w:val="000000"/>
                <w:kern w:val="0"/>
                <w:sz w:val="24"/>
              </w:rPr>
              <w:t>中长期规划（名称、文号，仅指</w:t>
            </w:r>
          </w:p>
          <w:p>
            <w:pPr>
              <w:widowControl/>
              <w:spacing w:line="300" w:lineRule="exact"/>
              <w:jc w:val="left"/>
              <w:textAlignment w:val="center"/>
              <w:rPr>
                <w:rFonts w:ascii="宋体" w:cs="宋体" w:hint="eastAsia"/>
                <w:color w:val="000000"/>
                <w:sz w:val="24"/>
              </w:rPr>
            </w:pPr>
            <w:r>
              <w:rPr>
                <w:rFonts w:ascii="宋体" w:cs="宋体"/>
                <w:color w:val="000000"/>
                <w:kern w:val="0"/>
                <w:sz w:val="24"/>
              </w:rPr>
              <w:t>常年项目）</w:t>
            </w:r>
          </w:p>
        </w:tc>
        <w:tc>
          <w:tcPr>
            <w:tcW w:w="5938" w:type="dxa"/>
            <w:gridSpan w:val="5"/>
            <w:tcBorders>
              <w:top w:val="single" w:sz="4" w:space="0" w:color="000000"/>
              <w:left w:val="single" w:sz="4" w:space="0" w:color="000000"/>
              <w:bottom w:val="single" w:sz="4" w:space="0" w:color="000000"/>
              <w:right w:val="single" w:sz="4" w:space="0" w:color="000000"/>
            </w:tcBorders>
            <w:noWrap/>
            <w:vAlign w:val="center"/>
          </w:tcPr>
          <w:p>
            <w:pPr>
              <w:spacing w:line="300" w:lineRule="exact"/>
              <w:jc w:val="left"/>
              <w:rPr>
                <w:rFonts w:ascii="宋体" w:cs="宋体" w:hint="eastAsia"/>
                <w:color w:val="000000"/>
                <w:sz w:val="24"/>
              </w:rPr>
            </w:pPr>
            <w:r>
              <w:rPr>
                <w:rFonts w:ascii="宋体" w:cs="宋体" w:hint="eastAsia"/>
                <w:color w:val="000000"/>
                <w:sz w:val="24"/>
              </w:rPr>
              <w:t>根据《汶川县义务教育阶段食堂从业人员劳务费》文件下达资金31.5万元，使用31.5万元用于食堂从业人员劳务费；项目实际完成时间与计划完成时间均按照资金下达文件拨付</w:t>
            </w:r>
          </w:p>
        </w:tc>
      </w:tr>
      <w:tr>
        <w:trPr>
          <w:trHeight w:val="23"/>
        </w:trPr>
        <w:tc>
          <w:tcPr>
            <w:tcW w:w="652" w:type="dxa"/>
            <w:vMerge/>
            <w:tcBorders>
              <w:top w:val="single" w:sz="4" w:space="0" w:color="000000"/>
              <w:left w:val="single" w:sz="4" w:space="0" w:color="000000"/>
              <w:bottom w:val="single" w:sz="4" w:space="0" w:color="000000"/>
              <w:right w:val="single" w:sz="4" w:space="0" w:color="000000"/>
            </w:tcBorders>
            <w:noWrap/>
            <w:vAlign w:val="center"/>
          </w:tcPr>
          <w:p/>
        </w:tc>
        <w:tc>
          <w:tcPr>
            <w:tcW w:w="3643" w:type="dxa"/>
            <w:gridSpan w:val="3"/>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rFonts w:ascii="宋体" w:cs="宋体" w:hint="eastAsia"/>
                <w:color w:val="000000"/>
                <w:sz w:val="24"/>
              </w:rPr>
            </w:pPr>
            <w:r>
              <w:rPr>
                <w:rFonts w:ascii="宋体" w:cs="宋体"/>
                <w:color w:val="000000"/>
                <w:kern w:val="0"/>
                <w:sz w:val="24"/>
              </w:rPr>
              <w:t>资金管理办法（名称、文号）</w:t>
            </w:r>
          </w:p>
        </w:tc>
        <w:tc>
          <w:tcPr>
            <w:tcW w:w="5938" w:type="dxa"/>
            <w:gridSpan w:val="5"/>
            <w:tcBorders>
              <w:top w:val="single" w:sz="4" w:space="0" w:color="000000"/>
              <w:left w:val="single" w:sz="4" w:space="0" w:color="000000"/>
              <w:bottom w:val="single" w:sz="4" w:space="0" w:color="000000"/>
              <w:right w:val="single" w:sz="4" w:space="0" w:color="000000"/>
            </w:tcBorders>
            <w:noWrap/>
            <w:vAlign w:val="center"/>
          </w:tcPr>
          <w:p>
            <w:pPr>
              <w:spacing w:line="300" w:lineRule="exact"/>
              <w:jc w:val="left"/>
              <w:rPr>
                <w:rFonts w:ascii="宋体" w:cs="宋体" w:hint="eastAsia"/>
                <w:color w:val="000000"/>
                <w:sz w:val="24"/>
              </w:rPr>
            </w:pPr>
            <w:r>
              <w:rPr>
                <w:rFonts w:ascii="宋体" w:cs="宋体" w:hint="eastAsia"/>
                <w:color w:val="000000"/>
                <w:sz w:val="24"/>
              </w:rPr>
              <w:t>财务管理制度</w:t>
            </w:r>
          </w:p>
        </w:tc>
      </w:tr>
      <w:tr>
        <w:trPr>
          <w:trHeight w:val="23"/>
        </w:trPr>
        <w:tc>
          <w:tcPr>
            <w:tcW w:w="652" w:type="dxa"/>
            <w:vMerge/>
            <w:tcBorders>
              <w:top w:val="single" w:sz="4" w:space="0" w:color="000000"/>
              <w:left w:val="single" w:sz="4" w:space="0" w:color="000000"/>
              <w:bottom w:val="single" w:sz="4" w:space="0" w:color="000000"/>
              <w:right w:val="single" w:sz="4" w:space="0" w:color="000000"/>
            </w:tcBorders>
            <w:noWrap/>
            <w:vAlign w:val="center"/>
          </w:tcPr>
          <w:p/>
        </w:tc>
        <w:tc>
          <w:tcPr>
            <w:tcW w:w="3643" w:type="dxa"/>
            <w:gridSpan w:val="3"/>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rFonts w:ascii="宋体" w:cs="宋体" w:hint="eastAsia"/>
                <w:color w:val="000000"/>
                <w:sz w:val="24"/>
              </w:rPr>
            </w:pPr>
            <w:r>
              <w:rPr>
                <w:rFonts w:ascii="宋体" w:cs="宋体"/>
                <w:color w:val="000000"/>
                <w:kern w:val="0"/>
                <w:sz w:val="24"/>
              </w:rPr>
              <w:t>绩效分配方式</w:t>
            </w:r>
          </w:p>
        </w:tc>
        <w:tc>
          <w:tcPr>
            <w:tcW w:w="1127" w:type="dxa"/>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rFonts w:ascii="Wingdings 2" w:eastAsia="Wingdings 2" w:cs="Wingdings 2" w:hAnsi="Wingdings 2"/>
                <w:color w:val="000000"/>
                <w:sz w:val="24"/>
              </w:rPr>
            </w:pPr>
            <w:r>
              <w:rPr>
                <w:rFonts w:ascii="Wingdings 2" w:eastAsia="Wingdings 2" w:cs="Wingdings 2" w:hAnsi="Wingdings 2"/>
                <w:color w:val="000000"/>
                <w:kern w:val="0"/>
                <w:sz w:val="24"/>
              </w:rPr>
              <w:t></w:t>
            </w:r>
            <w:r>
              <w:rPr>
                <w:rFonts w:ascii="宋体" w:cs="宋体"/>
                <w:color w:val="000000"/>
                <w:kern w:val="0"/>
                <w:sz w:val="24"/>
              </w:rPr>
              <w:t>因素法</w:t>
            </w:r>
          </w:p>
        </w:tc>
        <w:tc>
          <w:tcPr>
            <w:tcW w:w="2032" w:type="dxa"/>
            <w:gridSpan w:val="2"/>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Wingdings 2" w:eastAsia="Wingdings 2" w:cs="Wingdings 2" w:hAnsi="Wingdings 2"/>
                <w:color w:val="000000"/>
                <w:sz w:val="24"/>
              </w:rPr>
            </w:pPr>
            <w:r>
              <w:rPr>
                <w:rFonts w:ascii="Arial" w:eastAsia="Wingdings 2" w:cs="Arial" w:hAnsi="Arial"/>
                <w:color w:val="000000"/>
                <w:kern w:val="0"/>
                <w:sz w:val="24"/>
              </w:rPr>
              <w:t>√</w:t>
            </w:r>
            <w:r>
              <w:rPr>
                <w:rFonts w:ascii="Wingdings 2" w:eastAsia="Wingdings 2" w:cs="Wingdings 2" w:hAnsi="Wingdings 2"/>
                <w:color w:val="000000"/>
                <w:kern w:val="0"/>
                <w:sz w:val="24"/>
              </w:rPr>
              <w:t>项目法</w:t>
            </w:r>
          </w:p>
        </w:tc>
        <w:tc>
          <w:tcPr>
            <w:tcW w:w="938" w:type="dxa"/>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Wingdings 2" w:eastAsia="Wingdings 2" w:cs="Wingdings 2" w:hAnsi="Wingdings 2"/>
                <w:color w:val="000000"/>
                <w:sz w:val="24"/>
              </w:rPr>
            </w:pPr>
            <w:r>
              <w:rPr>
                <w:rFonts w:ascii="Wingdings 2" w:eastAsia="Wingdings 2" w:cs="Wingdings 2" w:hAnsi="Wingdings 2"/>
                <w:color w:val="000000"/>
                <w:kern w:val="0"/>
                <w:sz w:val="24"/>
              </w:rPr>
              <w:t></w:t>
            </w:r>
            <w:r>
              <w:rPr>
                <w:rFonts w:ascii="宋体" w:cs="宋体"/>
                <w:color w:val="000000"/>
                <w:kern w:val="0"/>
                <w:sz w:val="24"/>
              </w:rPr>
              <w:t>据实据效</w:t>
            </w:r>
          </w:p>
        </w:tc>
        <w:tc>
          <w:tcPr>
            <w:tcW w:w="1841" w:type="dxa"/>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Wingdings 2" w:eastAsia="Wingdings 2" w:cs="Wingdings 2" w:hAnsi="Wingdings 2"/>
                <w:color w:val="000000"/>
                <w:sz w:val="24"/>
              </w:rPr>
            </w:pPr>
            <w:r>
              <w:rPr>
                <w:rFonts w:ascii="Wingdings 2" w:eastAsia="Wingdings 2" w:cs="Wingdings 2" w:hAnsi="Wingdings 2"/>
                <w:color w:val="000000"/>
                <w:kern w:val="0"/>
                <w:sz w:val="24"/>
              </w:rPr>
              <w:t></w:t>
            </w:r>
            <w:r>
              <w:rPr>
                <w:rFonts w:ascii="宋体" w:cs="宋体"/>
                <w:color w:val="000000"/>
                <w:kern w:val="0"/>
                <w:sz w:val="24"/>
              </w:rPr>
              <w:t>因素法与项目法相结合</w:t>
            </w:r>
          </w:p>
        </w:tc>
      </w:tr>
      <w:tr>
        <w:trPr>
          <w:trHeight w:val="23"/>
        </w:trPr>
        <w:tc>
          <w:tcPr>
            <w:tcW w:w="652" w:type="dxa"/>
            <w:vMerge/>
            <w:tcBorders>
              <w:top w:val="single" w:sz="4" w:space="0" w:color="000000"/>
              <w:left w:val="single" w:sz="4" w:space="0" w:color="000000"/>
              <w:bottom w:val="single" w:sz="4" w:space="0" w:color="000000"/>
              <w:right w:val="single" w:sz="4" w:space="0" w:color="000000"/>
            </w:tcBorders>
            <w:noWrap/>
            <w:vAlign w:val="center"/>
          </w:tcPr>
          <w:p/>
        </w:tc>
        <w:tc>
          <w:tcPr>
            <w:tcW w:w="3643" w:type="dxa"/>
            <w:gridSpan w:val="3"/>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rFonts w:ascii="宋体" w:cs="宋体" w:hint="eastAsia"/>
                <w:color w:val="000000"/>
                <w:sz w:val="24"/>
              </w:rPr>
            </w:pPr>
            <w:r>
              <w:rPr>
                <w:rFonts w:ascii="宋体" w:cs="宋体"/>
                <w:color w:val="000000"/>
                <w:kern w:val="0"/>
                <w:sz w:val="24"/>
              </w:rPr>
              <w:t>立项依据</w:t>
            </w:r>
          </w:p>
        </w:tc>
        <w:tc>
          <w:tcPr>
            <w:tcW w:w="5938" w:type="dxa"/>
            <w:gridSpan w:val="5"/>
            <w:tcBorders>
              <w:top w:val="single" w:sz="4" w:space="0" w:color="000000"/>
              <w:left w:val="single" w:sz="4" w:space="0" w:color="000000"/>
              <w:bottom w:val="single" w:sz="4" w:space="0" w:color="000000"/>
              <w:right w:val="single" w:sz="4" w:space="0" w:color="000000"/>
            </w:tcBorders>
            <w:noWrap/>
            <w:vAlign w:val="center"/>
          </w:tcPr>
          <w:p>
            <w:pPr>
              <w:spacing w:line="300" w:lineRule="exact"/>
              <w:jc w:val="left"/>
              <w:rPr>
                <w:rFonts w:ascii="宋体" w:cs="宋体" w:hint="eastAsia"/>
                <w:color w:val="000000"/>
                <w:sz w:val="24"/>
              </w:rPr>
            </w:pPr>
            <w:r>
              <w:rPr>
                <w:rFonts w:ascii="仿宋_GB2312" w:cs="仿宋_GB2312" w:hAnsi="仿宋_GB2312" w:hint="eastAsia"/>
                <w:kern w:val="0"/>
                <w:sz w:val="24"/>
                <w:shd w:val="clear" w:color="auto" w:fill="FFFFFF"/>
              </w:rPr>
              <w:t>该项目为义务教育阶段学生的营养膳食提供了人力保障，进一步推进了营养改善计划项目的实施，为学校食堂的正常运转提供了保障。具有现实需求，具有明显的经济、社会、环境或可持续性效益等必要性</w:t>
            </w:r>
          </w:p>
        </w:tc>
      </w:tr>
      <w:tr>
        <w:trPr>
          <w:trHeight w:val="23"/>
        </w:trPr>
        <w:tc>
          <w:tcPr>
            <w:tcW w:w="652" w:type="dxa"/>
            <w:vMerge/>
            <w:tcBorders>
              <w:top w:val="single" w:sz="4" w:space="0" w:color="000000"/>
              <w:left w:val="single" w:sz="4" w:space="0" w:color="000000"/>
              <w:bottom w:val="single" w:sz="4" w:space="0" w:color="000000"/>
              <w:right w:val="single" w:sz="4" w:space="0" w:color="000000"/>
            </w:tcBorders>
            <w:noWrap/>
            <w:vAlign w:val="center"/>
          </w:tcPr>
          <w:p/>
        </w:tc>
        <w:tc>
          <w:tcPr>
            <w:tcW w:w="3643" w:type="dxa"/>
            <w:gridSpan w:val="3"/>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rFonts w:ascii="宋体" w:cs="宋体" w:hint="eastAsia"/>
                <w:color w:val="000000"/>
                <w:sz w:val="24"/>
              </w:rPr>
            </w:pPr>
            <w:r>
              <w:rPr>
                <w:rFonts w:ascii="宋体" w:cs="宋体"/>
                <w:color w:val="000000"/>
                <w:kern w:val="0"/>
                <w:sz w:val="24"/>
              </w:rPr>
              <w:t>使用范围</w:t>
            </w:r>
          </w:p>
        </w:tc>
        <w:tc>
          <w:tcPr>
            <w:tcW w:w="5938" w:type="dxa"/>
            <w:gridSpan w:val="5"/>
            <w:tcBorders>
              <w:top w:val="single" w:sz="4" w:space="0" w:color="000000"/>
              <w:left w:val="single" w:sz="4" w:space="0" w:color="000000"/>
              <w:bottom w:val="single" w:sz="4" w:space="0" w:color="000000"/>
              <w:right w:val="single" w:sz="4" w:space="0" w:color="000000"/>
            </w:tcBorders>
            <w:noWrap/>
            <w:vAlign w:val="center"/>
          </w:tcPr>
          <w:p>
            <w:pPr>
              <w:spacing w:line="300" w:lineRule="exact"/>
              <w:jc w:val="left"/>
              <w:rPr>
                <w:rFonts w:ascii="宋体" w:cs="宋体" w:hint="eastAsia"/>
                <w:color w:val="000000"/>
                <w:sz w:val="24"/>
              </w:rPr>
            </w:pPr>
            <w:r>
              <w:rPr>
                <w:rFonts w:ascii="宋体" w:cs="宋体" w:hint="eastAsia"/>
                <w:color w:val="000000"/>
                <w:sz w:val="24"/>
              </w:rPr>
              <w:t>食堂从业人员劳务费项目</w:t>
            </w:r>
          </w:p>
        </w:tc>
      </w:tr>
      <w:tr>
        <w:trPr>
          <w:trHeight w:val="23"/>
        </w:trPr>
        <w:tc>
          <w:tcPr>
            <w:tcW w:w="652" w:type="dxa"/>
            <w:vMerge/>
            <w:tcBorders>
              <w:top w:val="single" w:sz="4" w:space="0" w:color="000000"/>
              <w:left w:val="single" w:sz="4" w:space="0" w:color="000000"/>
              <w:bottom w:val="single" w:sz="4" w:space="0" w:color="000000"/>
              <w:right w:val="single" w:sz="4" w:space="0" w:color="000000"/>
            </w:tcBorders>
            <w:noWrap/>
            <w:vAlign w:val="center"/>
          </w:tcPr>
          <w:p/>
        </w:tc>
        <w:tc>
          <w:tcPr>
            <w:tcW w:w="3643" w:type="dxa"/>
            <w:gridSpan w:val="3"/>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rFonts w:ascii="宋体" w:cs="宋体" w:hint="eastAsia"/>
                <w:color w:val="000000"/>
                <w:sz w:val="24"/>
              </w:rPr>
            </w:pPr>
            <w:r>
              <w:rPr>
                <w:rFonts w:ascii="宋体" w:cs="宋体"/>
                <w:color w:val="000000"/>
                <w:kern w:val="0"/>
                <w:sz w:val="24"/>
              </w:rPr>
              <w:t>申报（补助）条件</w:t>
            </w:r>
          </w:p>
        </w:tc>
        <w:tc>
          <w:tcPr>
            <w:tcW w:w="5938" w:type="dxa"/>
            <w:gridSpan w:val="5"/>
            <w:tcBorders>
              <w:top w:val="single" w:sz="4" w:space="0" w:color="000000"/>
              <w:left w:val="single" w:sz="4" w:space="0" w:color="000000"/>
              <w:bottom w:val="single" w:sz="4" w:space="0" w:color="000000"/>
              <w:right w:val="single" w:sz="4" w:space="0" w:color="000000"/>
            </w:tcBorders>
            <w:noWrap/>
            <w:vAlign w:val="center"/>
          </w:tcPr>
          <w:p>
            <w:pPr>
              <w:spacing w:line="300" w:lineRule="exact"/>
              <w:jc w:val="left"/>
              <w:rPr>
                <w:rFonts w:ascii="宋体" w:cs="宋体" w:hint="eastAsia"/>
                <w:color w:val="000000"/>
                <w:sz w:val="24"/>
              </w:rPr>
            </w:pPr>
            <w:r>
              <w:rPr>
                <w:rFonts w:ascii="宋体" w:cs="宋体" w:hint="eastAsia"/>
                <w:color w:val="000000"/>
                <w:sz w:val="24"/>
              </w:rPr>
              <w:t>购买服务</w:t>
            </w:r>
          </w:p>
        </w:tc>
      </w:tr>
      <w:tr>
        <w:trPr>
          <w:trHeight w:val="23"/>
        </w:trPr>
        <w:tc>
          <w:tcPr>
            <w:tcW w:w="652" w:type="dxa"/>
            <w:vMerge/>
            <w:tcBorders>
              <w:top w:val="single" w:sz="4" w:space="0" w:color="000000"/>
              <w:left w:val="single" w:sz="4" w:space="0" w:color="000000"/>
              <w:bottom w:val="single" w:sz="4" w:space="0" w:color="000000"/>
              <w:right w:val="single" w:sz="4" w:space="0" w:color="000000"/>
            </w:tcBorders>
            <w:noWrap/>
            <w:vAlign w:val="center"/>
          </w:tcPr>
          <w:p/>
        </w:tc>
        <w:tc>
          <w:tcPr>
            <w:tcW w:w="3643" w:type="dxa"/>
            <w:gridSpan w:val="3"/>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rFonts w:ascii="宋体" w:cs="宋体" w:hint="eastAsia"/>
                <w:color w:val="000000"/>
                <w:sz w:val="24"/>
              </w:rPr>
            </w:pPr>
            <w:r>
              <w:rPr>
                <w:rFonts w:ascii="宋体" w:cs="宋体"/>
                <w:color w:val="000000"/>
                <w:kern w:val="0"/>
                <w:sz w:val="24"/>
              </w:rPr>
              <w:t>项目起止年限</w:t>
            </w:r>
          </w:p>
        </w:tc>
        <w:tc>
          <w:tcPr>
            <w:tcW w:w="5938" w:type="dxa"/>
            <w:gridSpan w:val="5"/>
            <w:tcBorders>
              <w:top w:val="single" w:sz="4" w:space="0" w:color="000000"/>
              <w:left w:val="single" w:sz="4" w:space="0" w:color="000000"/>
              <w:bottom w:val="single" w:sz="4" w:space="0" w:color="000000"/>
              <w:right w:val="single" w:sz="4" w:space="0" w:color="000000"/>
            </w:tcBorders>
            <w:noWrap/>
            <w:vAlign w:val="center"/>
          </w:tcPr>
          <w:p>
            <w:pPr>
              <w:spacing w:line="300" w:lineRule="exact"/>
              <w:jc w:val="right"/>
              <w:rPr>
                <w:rFonts w:ascii="宋体" w:cs="宋体" w:hint="eastAsia"/>
                <w:color w:val="000000"/>
                <w:sz w:val="24"/>
              </w:rPr>
            </w:pPr>
            <w:r>
              <w:rPr>
                <w:rFonts w:ascii="宋体" w:cs="宋体" w:hint="eastAsia"/>
                <w:color w:val="000000"/>
                <w:sz w:val="24"/>
              </w:rPr>
              <w:t>2025年</w:t>
            </w:r>
          </w:p>
        </w:tc>
      </w:tr>
      <w:tr>
        <w:trPr>
          <w:trHeight w:val="23"/>
        </w:trPr>
        <w:tc>
          <w:tcPr>
            <w:tcW w:w="1733" w:type="dxa"/>
            <w:gridSpan w:val="2"/>
            <w:vMerge w:val="restart"/>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hint="eastAsia"/>
                <w:color w:val="000000"/>
                <w:kern w:val="0"/>
                <w:sz w:val="24"/>
              </w:rPr>
            </w:pPr>
            <w:r>
              <w:rPr>
                <w:rFonts w:ascii="宋体" w:cs="宋体"/>
                <w:color w:val="000000"/>
                <w:kern w:val="0"/>
                <w:sz w:val="24"/>
              </w:rPr>
              <w:t>项目资金</w:t>
            </w:r>
          </w:p>
          <w:p>
            <w:pPr>
              <w:widowControl/>
              <w:spacing w:line="300" w:lineRule="exact"/>
              <w:jc w:val="center"/>
              <w:textAlignment w:val="center"/>
              <w:rPr>
                <w:rFonts w:ascii="宋体" w:cs="宋体" w:hint="eastAsia"/>
                <w:color w:val="000000"/>
                <w:sz w:val="24"/>
              </w:rPr>
            </w:pPr>
            <w:r>
              <w:rPr>
                <w:rFonts w:ascii="宋体" w:cs="宋体"/>
                <w:color w:val="000000"/>
                <w:kern w:val="0"/>
                <w:sz w:val="24"/>
              </w:rPr>
              <w:t>（万元）</w:t>
            </w:r>
          </w:p>
        </w:tc>
        <w:tc>
          <w:tcPr>
            <w:tcW w:w="2562" w:type="dxa"/>
            <w:gridSpan w:val="2"/>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rFonts w:ascii="宋体" w:cs="宋体" w:hint="eastAsia"/>
                <w:color w:val="000000"/>
                <w:sz w:val="24"/>
              </w:rPr>
            </w:pPr>
            <w:r>
              <w:rPr>
                <w:rFonts w:ascii="宋体" w:cs="宋体"/>
                <w:color w:val="000000"/>
                <w:kern w:val="0"/>
                <w:sz w:val="24"/>
              </w:rPr>
              <w:t xml:space="preserve">  年度资金总额：</w:t>
            </w:r>
          </w:p>
        </w:tc>
        <w:tc>
          <w:tcPr>
            <w:tcW w:w="5938" w:type="dxa"/>
            <w:gridSpan w:val="5"/>
            <w:tcBorders>
              <w:top w:val="single" w:sz="4" w:space="0" w:color="000000"/>
              <w:left w:val="single" w:sz="4" w:space="0" w:color="000000"/>
              <w:bottom w:val="single" w:sz="4" w:space="0" w:color="000000"/>
              <w:right w:val="single" w:sz="4" w:space="0" w:color="000000"/>
            </w:tcBorders>
            <w:noWrap/>
            <w:vAlign w:val="center"/>
          </w:tcPr>
          <w:p>
            <w:pPr>
              <w:spacing w:line="300" w:lineRule="exact"/>
              <w:jc w:val="right"/>
              <w:rPr>
                <w:rFonts w:ascii="宋体" w:cs="宋体" w:hint="eastAsia"/>
                <w:color w:val="000000"/>
                <w:sz w:val="24"/>
              </w:rPr>
            </w:pPr>
            <w:r>
              <w:rPr>
                <w:rFonts w:ascii="宋体" w:cs="宋体" w:hint="eastAsia"/>
                <w:color w:val="000000"/>
                <w:sz w:val="24"/>
              </w:rPr>
              <w:t>31.5</w:t>
            </w:r>
          </w:p>
        </w:tc>
      </w:tr>
      <w:tr>
        <w:trPr>
          <w:trHeight w:val="23"/>
        </w:trPr>
        <w:tc>
          <w:tcPr>
            <w:tcW w:w="1733" w:type="dxa"/>
            <w:gridSpan w:val="2"/>
            <w:vMerge/>
            <w:tcBorders>
              <w:top w:val="single" w:sz="4" w:space="0" w:color="000000"/>
              <w:left w:val="single" w:sz="4" w:space="0" w:color="000000"/>
              <w:bottom w:val="single" w:sz="4" w:space="0" w:color="000000"/>
              <w:right w:val="single" w:sz="4" w:space="0" w:color="000000"/>
            </w:tcBorders>
            <w:noWrap/>
            <w:vAlign w:val="center"/>
          </w:tcPr>
          <w:p/>
        </w:tc>
        <w:tc>
          <w:tcPr>
            <w:tcW w:w="2562" w:type="dxa"/>
            <w:gridSpan w:val="2"/>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rFonts w:ascii="宋体" w:cs="宋体" w:hint="eastAsia"/>
                <w:color w:val="000000"/>
                <w:sz w:val="24"/>
              </w:rPr>
            </w:pPr>
            <w:r>
              <w:rPr>
                <w:rFonts w:ascii="宋体" w:cs="宋体"/>
                <w:color w:val="000000"/>
                <w:kern w:val="0"/>
                <w:sz w:val="24"/>
              </w:rPr>
              <w:t xml:space="preserve">     </w:t>
            </w:r>
            <w:r>
              <w:rPr>
                <w:rFonts w:ascii="宋体" w:cs="宋体" w:hint="eastAsia"/>
                <w:color w:val="000000"/>
                <w:kern w:val="0"/>
                <w:sz w:val="24"/>
              </w:rPr>
              <w:t xml:space="preserve"> </w:t>
            </w:r>
            <w:r>
              <w:rPr>
                <w:rFonts w:ascii="宋体" w:cs="宋体"/>
                <w:color w:val="000000"/>
                <w:kern w:val="0"/>
                <w:sz w:val="24"/>
              </w:rPr>
              <w:t>其中：财政拨款</w:t>
            </w:r>
          </w:p>
        </w:tc>
        <w:tc>
          <w:tcPr>
            <w:tcW w:w="5938" w:type="dxa"/>
            <w:gridSpan w:val="5"/>
            <w:tcBorders>
              <w:top w:val="single" w:sz="4" w:space="0" w:color="000000"/>
              <w:left w:val="single" w:sz="4" w:space="0" w:color="000000"/>
              <w:bottom w:val="single" w:sz="4" w:space="0" w:color="000000"/>
              <w:right w:val="single" w:sz="4" w:space="0" w:color="000000"/>
            </w:tcBorders>
            <w:noWrap/>
            <w:vAlign w:val="center"/>
          </w:tcPr>
          <w:p>
            <w:pPr>
              <w:spacing w:line="300" w:lineRule="exact"/>
              <w:jc w:val="right"/>
              <w:rPr>
                <w:rFonts w:ascii="宋体" w:cs="宋体" w:hint="eastAsia"/>
                <w:color w:val="000000"/>
                <w:sz w:val="24"/>
              </w:rPr>
            </w:pPr>
            <w:r>
              <w:rPr>
                <w:rFonts w:ascii="宋体" w:cs="宋体" w:hint="eastAsia"/>
                <w:color w:val="000000"/>
                <w:sz w:val="24"/>
              </w:rPr>
              <w:t>31.5</w:t>
            </w:r>
          </w:p>
        </w:tc>
      </w:tr>
      <w:tr>
        <w:trPr>
          <w:trHeight w:val="23"/>
        </w:trPr>
        <w:tc>
          <w:tcPr>
            <w:tcW w:w="1733" w:type="dxa"/>
            <w:gridSpan w:val="2"/>
            <w:vMerge/>
            <w:tcBorders>
              <w:top w:val="single" w:sz="4" w:space="0" w:color="000000"/>
              <w:left w:val="single" w:sz="4" w:space="0" w:color="000000"/>
              <w:bottom w:val="single" w:sz="4" w:space="0" w:color="000000"/>
              <w:right w:val="single" w:sz="4" w:space="0" w:color="000000"/>
            </w:tcBorders>
            <w:noWrap/>
            <w:vAlign w:val="center"/>
          </w:tcPr>
          <w:p/>
        </w:tc>
        <w:tc>
          <w:tcPr>
            <w:tcW w:w="2562" w:type="dxa"/>
            <w:gridSpan w:val="2"/>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rFonts w:ascii="宋体" w:cs="宋体" w:hint="eastAsia"/>
                <w:color w:val="000000"/>
                <w:sz w:val="24"/>
              </w:rPr>
            </w:pPr>
            <w:r>
              <w:rPr>
                <w:rFonts w:ascii="宋体" w:cs="宋体"/>
                <w:color w:val="000000"/>
                <w:kern w:val="0"/>
                <w:sz w:val="24"/>
              </w:rPr>
              <w:t xml:space="preserve">            其他资金</w:t>
            </w:r>
          </w:p>
        </w:tc>
        <w:tc>
          <w:tcPr>
            <w:tcW w:w="5938" w:type="dxa"/>
            <w:gridSpan w:val="5"/>
            <w:tcBorders>
              <w:top w:val="single" w:sz="4" w:space="0" w:color="000000"/>
              <w:left w:val="single" w:sz="4" w:space="0" w:color="000000"/>
              <w:bottom w:val="single" w:sz="4" w:space="0" w:color="000000"/>
              <w:right w:val="single" w:sz="4" w:space="0" w:color="000000"/>
            </w:tcBorders>
            <w:noWrap/>
            <w:vAlign w:val="center"/>
          </w:tcPr>
          <w:p>
            <w:pPr>
              <w:spacing w:line="300" w:lineRule="exact"/>
              <w:jc w:val="right"/>
              <w:rPr>
                <w:rFonts w:ascii="宋体" w:cs="宋体" w:hint="eastAsia"/>
                <w:color w:val="000000"/>
                <w:sz w:val="24"/>
              </w:rPr>
            </w:pPr>
            <w:r>
              <w:rPr>
                <w:rFonts w:ascii="宋体" w:cs="宋体" w:hint="eastAsia"/>
                <w:color w:val="000000"/>
                <w:sz w:val="24"/>
              </w:rPr>
              <w:t>0</w:t>
            </w:r>
          </w:p>
        </w:tc>
      </w:tr>
      <w:tr>
        <w:trPr>
          <w:trHeight w:val="23"/>
        </w:trPr>
        <w:tc>
          <w:tcPr>
            <w:tcW w:w="652" w:type="dxa"/>
            <w:vMerge w:val="restart"/>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hint="eastAsia"/>
                <w:color w:val="000000"/>
                <w:sz w:val="24"/>
              </w:rPr>
            </w:pPr>
            <w:r>
              <w:rPr>
                <w:rFonts w:ascii="宋体" w:cs="宋体"/>
                <w:color w:val="000000"/>
                <w:kern w:val="0"/>
                <w:sz w:val="24"/>
              </w:rPr>
              <w:t>总体 目标</w:t>
            </w:r>
          </w:p>
        </w:tc>
        <w:tc>
          <w:tcPr>
            <w:tcW w:w="9581" w:type="dxa"/>
            <w:gridSpan w:val="8"/>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hint="eastAsia"/>
                <w:color w:val="000000"/>
                <w:sz w:val="24"/>
              </w:rPr>
            </w:pPr>
            <w:r>
              <w:rPr>
                <w:rFonts w:ascii="宋体" w:cs="宋体"/>
                <w:color w:val="000000"/>
                <w:kern w:val="0"/>
                <w:sz w:val="24"/>
              </w:rPr>
              <w:t>年度目标</w:t>
            </w:r>
          </w:p>
        </w:tc>
      </w:tr>
      <w:tr>
        <w:trPr>
          <w:trHeight w:val="23"/>
        </w:trPr>
        <w:tc>
          <w:tcPr>
            <w:tcW w:w="652" w:type="dxa"/>
            <w:vMerge/>
            <w:tcBorders>
              <w:top w:val="single" w:sz="4" w:space="0" w:color="000000"/>
              <w:left w:val="single" w:sz="4" w:space="0" w:color="000000"/>
              <w:bottom w:val="single" w:sz="4" w:space="0" w:color="000000"/>
              <w:right w:val="single" w:sz="4" w:space="0" w:color="000000"/>
            </w:tcBorders>
            <w:noWrap/>
            <w:vAlign w:val="center"/>
          </w:tcPr>
          <w:p/>
        </w:tc>
        <w:tc>
          <w:tcPr>
            <w:tcW w:w="9581" w:type="dxa"/>
            <w:gridSpan w:val="8"/>
            <w:tcBorders>
              <w:top w:val="single" w:sz="4" w:space="0" w:color="000000"/>
              <w:left w:val="single" w:sz="4" w:space="0" w:color="000000"/>
              <w:bottom w:val="single" w:sz="4" w:space="0" w:color="000000"/>
              <w:right w:val="single" w:sz="4" w:space="0" w:color="000000"/>
            </w:tcBorders>
            <w:noWrap/>
            <w:vAlign w:val="center"/>
          </w:tcPr>
          <w:p>
            <w:pPr>
              <w:spacing w:line="300" w:lineRule="exact"/>
              <w:rPr>
                <w:rFonts w:ascii="宋体" w:cs="宋体" w:hint="eastAsia"/>
                <w:color w:val="000000"/>
                <w:sz w:val="24"/>
              </w:rPr>
            </w:pPr>
            <w:r>
              <w:rPr>
                <w:rFonts w:ascii="仿宋_GB2312" w:cs="仿宋_GB2312" w:hAnsi="仿宋_GB2312" w:hint="eastAsia"/>
                <w:kern w:val="0"/>
                <w:sz w:val="24"/>
                <w:shd w:val="clear" w:color="auto" w:fill="FFFFFF"/>
              </w:rPr>
              <w:t>为义务教育阶段学生的营养膳食提供了人力保障，进一步推进了营养改善计划项目的实施，为学校食堂的正常运转提供了保障</w:t>
            </w:r>
          </w:p>
        </w:tc>
      </w:tr>
      <w:tr>
        <w:trPr>
          <w:trHeight w:val="23"/>
        </w:trPr>
        <w:tc>
          <w:tcPr>
            <w:tcW w:w="652" w:type="dxa"/>
            <w:vMerge w:val="restart"/>
            <w:tcBorders>
              <w:top w:val="single" w:sz="4" w:space="0" w:color="000000"/>
              <w:left w:val="single" w:sz="4" w:space="0" w:color="000000"/>
              <w:bottom w:val="single" w:sz="4" w:space="0" w:color="000000"/>
            </w:tcBorders>
            <w:noWrap/>
            <w:vAlign w:val="center"/>
          </w:tcPr>
          <w:p>
            <w:pPr>
              <w:widowControl/>
              <w:spacing w:line="300" w:lineRule="exact"/>
              <w:jc w:val="center"/>
              <w:textAlignment w:val="center"/>
              <w:rPr>
                <w:rFonts w:ascii="宋体" w:cs="宋体" w:hint="eastAsia"/>
                <w:color w:val="000000"/>
                <w:sz w:val="24"/>
              </w:rPr>
            </w:pPr>
            <w:r>
              <w:rPr>
                <w:rFonts w:ascii="宋体" w:cs="宋体"/>
                <w:color w:val="000000"/>
                <w:kern w:val="0"/>
                <w:sz w:val="24"/>
              </w:rPr>
              <w:t>绩效 指标</w:t>
            </w:r>
          </w:p>
        </w:tc>
        <w:tc>
          <w:tcPr>
            <w:tcW w:w="1081" w:type="dxa"/>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hint="eastAsia"/>
                <w:color w:val="000000"/>
                <w:sz w:val="24"/>
              </w:rPr>
            </w:pPr>
            <w:r>
              <w:rPr>
                <w:rFonts w:ascii="宋体" w:cs="宋体"/>
                <w:color w:val="000000"/>
                <w:kern w:val="0"/>
                <w:sz w:val="24"/>
              </w:rPr>
              <w:t>一级指标</w:t>
            </w:r>
          </w:p>
        </w:tc>
        <w:tc>
          <w:tcPr>
            <w:tcW w:w="1250" w:type="dxa"/>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hint="eastAsia"/>
                <w:color w:val="000000"/>
                <w:sz w:val="24"/>
              </w:rPr>
            </w:pPr>
            <w:r>
              <w:rPr>
                <w:rFonts w:ascii="宋体" w:cs="宋体"/>
                <w:color w:val="000000"/>
                <w:kern w:val="0"/>
                <w:sz w:val="24"/>
              </w:rPr>
              <w:t>二级指标</w:t>
            </w:r>
          </w:p>
        </w:tc>
        <w:tc>
          <w:tcPr>
            <w:tcW w:w="1312" w:type="dxa"/>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hint="eastAsia"/>
                <w:color w:val="000000"/>
                <w:sz w:val="24"/>
              </w:rPr>
            </w:pPr>
            <w:r>
              <w:rPr>
                <w:rFonts w:ascii="宋体" w:cs="宋体"/>
                <w:color w:val="000000"/>
                <w:kern w:val="0"/>
                <w:sz w:val="24"/>
              </w:rPr>
              <w:t>三级指标</w:t>
            </w:r>
          </w:p>
        </w:tc>
        <w:tc>
          <w:tcPr>
            <w:tcW w:w="1127" w:type="dxa"/>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hint="eastAsia"/>
                <w:color w:val="000000"/>
                <w:sz w:val="24"/>
              </w:rPr>
            </w:pPr>
            <w:r>
              <w:rPr>
                <w:rFonts w:ascii="宋体" w:cs="宋体"/>
                <w:color w:val="000000"/>
                <w:kern w:val="0"/>
                <w:sz w:val="24"/>
              </w:rPr>
              <w:t>指标性质</w:t>
            </w:r>
          </w:p>
        </w:tc>
        <w:tc>
          <w:tcPr>
            <w:tcW w:w="971" w:type="dxa"/>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hint="eastAsia"/>
                <w:color w:val="000000"/>
                <w:sz w:val="24"/>
              </w:rPr>
            </w:pPr>
            <w:r>
              <w:rPr>
                <w:rFonts w:ascii="宋体" w:cs="宋体"/>
                <w:color w:val="000000"/>
                <w:kern w:val="0"/>
                <w:sz w:val="24"/>
              </w:rPr>
              <w:t>指标值</w:t>
            </w:r>
          </w:p>
        </w:tc>
        <w:tc>
          <w:tcPr>
            <w:tcW w:w="1061" w:type="dxa"/>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hint="eastAsia"/>
                <w:color w:val="000000"/>
                <w:sz w:val="24"/>
              </w:rPr>
            </w:pPr>
            <w:r>
              <w:rPr>
                <w:rFonts w:ascii="宋体" w:cs="宋体"/>
                <w:color w:val="000000"/>
                <w:kern w:val="0"/>
                <w:sz w:val="24"/>
              </w:rPr>
              <w:t>度量单位</w:t>
            </w:r>
          </w:p>
        </w:tc>
        <w:tc>
          <w:tcPr>
            <w:tcW w:w="938" w:type="dxa"/>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hint="eastAsia"/>
                <w:color w:val="000000"/>
                <w:sz w:val="24"/>
              </w:rPr>
            </w:pPr>
            <w:r>
              <w:rPr>
                <w:rFonts w:ascii="宋体" w:cs="宋体"/>
                <w:color w:val="000000"/>
                <w:kern w:val="0"/>
                <w:sz w:val="24"/>
              </w:rPr>
              <w:t>权重</w:t>
            </w:r>
          </w:p>
        </w:tc>
        <w:tc>
          <w:tcPr>
            <w:tcW w:w="1841" w:type="dxa"/>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hint="eastAsia"/>
                <w:color w:val="000000"/>
                <w:sz w:val="24"/>
              </w:rPr>
            </w:pPr>
            <w:r>
              <w:rPr>
                <w:rFonts w:ascii="宋体" w:cs="宋体"/>
                <w:color w:val="000000"/>
                <w:kern w:val="0"/>
                <w:sz w:val="24"/>
              </w:rPr>
              <w:t>实际完成指标值</w:t>
            </w:r>
          </w:p>
        </w:tc>
      </w:tr>
      <w:tr>
        <w:trPr>
          <w:trHeight w:val="23"/>
        </w:trPr>
        <w:tc>
          <w:tcPr>
            <w:tcW w:w="652" w:type="dxa"/>
            <w:vMerge/>
            <w:tcBorders>
              <w:top w:val="single" w:sz="4" w:space="0" w:color="000000"/>
              <w:left w:val="single" w:sz="4" w:space="0" w:color="000000"/>
              <w:bottom w:val="single" w:sz="4" w:space="0" w:color="000000"/>
            </w:tcBorders>
            <w:noWrap/>
            <w:vAlign w:val="center"/>
          </w:tcPr>
          <w:p/>
        </w:tc>
        <w:tc>
          <w:tcPr>
            <w:tcW w:w="1081" w:type="dxa"/>
            <w:vMerge w:val="restart"/>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hint="eastAsia"/>
                <w:color w:val="000000"/>
                <w:sz w:val="24"/>
              </w:rPr>
            </w:pPr>
            <w:r>
              <w:rPr>
                <w:rFonts w:ascii="宋体" w:cs="宋体"/>
                <w:color w:val="000000"/>
                <w:kern w:val="0"/>
                <w:sz w:val="24"/>
              </w:rPr>
              <w:t>产出指标</w:t>
            </w:r>
          </w:p>
        </w:tc>
        <w:tc>
          <w:tcPr>
            <w:tcW w:w="1250" w:type="dxa"/>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hint="eastAsia"/>
                <w:color w:val="000000"/>
                <w:sz w:val="24"/>
              </w:rPr>
            </w:pPr>
            <w:r>
              <w:rPr>
                <w:rFonts w:ascii="宋体" w:cs="宋体"/>
                <w:color w:val="000000"/>
                <w:kern w:val="0"/>
                <w:sz w:val="24"/>
              </w:rPr>
              <w:t>数量指标</w:t>
            </w:r>
          </w:p>
        </w:tc>
        <w:tc>
          <w:tcPr>
            <w:tcW w:w="1312"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rPr>
                <w:rFonts w:ascii="宋体" w:cs="宋体" w:hint="eastAsia"/>
                <w:color w:val="000000"/>
                <w:sz w:val="24"/>
              </w:rPr>
            </w:pPr>
            <w:r>
              <w:rPr>
                <w:rFonts w:ascii="宋体" w:cs="宋体" w:hint="eastAsia"/>
                <w:color w:val="000000"/>
                <w:sz w:val="24"/>
              </w:rPr>
              <w:t>食堂从业人员</w:t>
            </w:r>
          </w:p>
        </w:tc>
        <w:tc>
          <w:tcPr>
            <w:tcW w:w="1127"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r>
              <w:rPr>
                <w:rFonts w:ascii="宋体" w:cs="宋体" w:hint="eastAsia"/>
                <w:color w:val="000000"/>
                <w:sz w:val="24"/>
              </w:rPr>
              <w:t>≥</w:t>
            </w:r>
          </w:p>
        </w:tc>
        <w:tc>
          <w:tcPr>
            <w:tcW w:w="971"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r>
              <w:rPr>
                <w:rFonts w:ascii="宋体" w:cs="宋体" w:hint="eastAsia"/>
                <w:color w:val="000000"/>
                <w:sz w:val="24"/>
              </w:rPr>
              <w:t>5</w:t>
            </w:r>
          </w:p>
        </w:tc>
        <w:tc>
          <w:tcPr>
            <w:tcW w:w="1061"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r>
              <w:rPr>
                <w:rFonts w:ascii="宋体" w:cs="宋体" w:hint="eastAsia"/>
                <w:color w:val="000000"/>
                <w:sz w:val="24"/>
              </w:rPr>
              <w:t>人数</w:t>
            </w:r>
          </w:p>
        </w:tc>
        <w:tc>
          <w:tcPr>
            <w:tcW w:w="938"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r>
              <w:rPr>
                <w:rFonts w:ascii="宋体" w:cs="宋体" w:hint="eastAsia"/>
                <w:color w:val="000000"/>
                <w:sz w:val="24"/>
              </w:rPr>
              <w:t>20%</w:t>
            </w:r>
          </w:p>
        </w:tc>
        <w:tc>
          <w:tcPr>
            <w:tcW w:w="1841"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r>
              <w:rPr>
                <w:rFonts w:ascii="宋体" w:cs="宋体" w:hint="eastAsia"/>
                <w:color w:val="000000"/>
                <w:sz w:val="24"/>
              </w:rPr>
              <w:t>5</w:t>
            </w:r>
          </w:p>
        </w:tc>
      </w:tr>
      <w:tr>
        <w:trPr>
          <w:trHeight w:val="23"/>
        </w:trPr>
        <w:tc>
          <w:tcPr>
            <w:tcW w:w="652" w:type="dxa"/>
            <w:vMerge/>
            <w:tcBorders>
              <w:top w:val="single" w:sz="4" w:space="0" w:color="000000"/>
              <w:left w:val="single" w:sz="4" w:space="0" w:color="000000"/>
              <w:bottom w:val="single" w:sz="4" w:space="0" w:color="000000"/>
            </w:tcBorders>
            <w:noWrap/>
            <w:vAlign w:val="center"/>
          </w:tcPr>
          <w:p/>
        </w:tc>
        <w:tc>
          <w:tcPr>
            <w:tcW w:w="1081" w:type="dxa"/>
            <w:vMerge/>
            <w:tcBorders>
              <w:top w:val="single" w:sz="4" w:space="0" w:color="000000"/>
              <w:left w:val="single" w:sz="4" w:space="0" w:color="000000"/>
              <w:bottom w:val="single" w:sz="4" w:space="0" w:color="000000"/>
              <w:right w:val="single" w:sz="4" w:space="0" w:color="000000"/>
            </w:tcBorders>
            <w:noWrap/>
            <w:vAlign w:val="center"/>
          </w:tcPr>
          <w:p/>
        </w:tc>
        <w:tc>
          <w:tcPr>
            <w:tcW w:w="1250" w:type="dxa"/>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hint="eastAsia"/>
                <w:color w:val="000000"/>
                <w:sz w:val="24"/>
              </w:rPr>
            </w:pPr>
            <w:r>
              <w:rPr>
                <w:rFonts w:ascii="宋体" w:cs="宋体"/>
                <w:color w:val="000000"/>
                <w:kern w:val="0"/>
                <w:sz w:val="24"/>
              </w:rPr>
              <w:t>质量指标</w:t>
            </w:r>
          </w:p>
        </w:tc>
        <w:tc>
          <w:tcPr>
            <w:tcW w:w="1312"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rPr>
                <w:rFonts w:ascii="宋体" w:cs="宋体" w:hint="eastAsia"/>
                <w:color w:val="000000"/>
                <w:sz w:val="24"/>
              </w:rPr>
            </w:pPr>
            <w:r>
              <w:rPr>
                <w:rFonts w:ascii="宋体" w:cs="宋体" w:hint="eastAsia"/>
                <w:color w:val="000000"/>
                <w:sz w:val="24"/>
              </w:rPr>
              <w:t>师生用餐质量</w:t>
            </w:r>
          </w:p>
        </w:tc>
        <w:tc>
          <w:tcPr>
            <w:tcW w:w="1127"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r>
              <w:rPr>
                <w:rFonts w:ascii="宋体" w:cs="宋体" w:hint="eastAsia"/>
                <w:color w:val="000000"/>
                <w:sz w:val="24"/>
              </w:rPr>
              <w:t>定性</w:t>
            </w:r>
          </w:p>
        </w:tc>
        <w:tc>
          <w:tcPr>
            <w:tcW w:w="971"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r>
              <w:rPr>
                <w:rFonts w:ascii="宋体" w:cs="宋体" w:hint="eastAsia"/>
                <w:color w:val="000000"/>
                <w:sz w:val="24"/>
              </w:rPr>
              <w:t>优</w:t>
            </w:r>
          </w:p>
        </w:tc>
        <w:tc>
          <w:tcPr>
            <w:tcW w:w="1061"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p>
        </w:tc>
        <w:tc>
          <w:tcPr>
            <w:tcW w:w="938"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r>
              <w:rPr>
                <w:rFonts w:ascii="宋体" w:cs="宋体" w:hint="eastAsia"/>
                <w:color w:val="000000"/>
                <w:sz w:val="24"/>
              </w:rPr>
              <w:t>10%</w:t>
            </w:r>
          </w:p>
        </w:tc>
        <w:tc>
          <w:tcPr>
            <w:tcW w:w="1841"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r>
              <w:rPr>
                <w:rFonts w:ascii="宋体" w:cs="宋体" w:hint="eastAsia"/>
                <w:color w:val="000000"/>
                <w:sz w:val="24"/>
              </w:rPr>
              <w:t>优</w:t>
            </w:r>
          </w:p>
        </w:tc>
      </w:tr>
      <w:tr>
        <w:trPr>
          <w:trHeight w:val="23"/>
        </w:trPr>
        <w:tc>
          <w:tcPr>
            <w:tcW w:w="652" w:type="dxa"/>
            <w:vMerge/>
            <w:tcBorders>
              <w:top w:val="single" w:sz="4" w:space="0" w:color="000000"/>
              <w:left w:val="single" w:sz="4" w:space="0" w:color="000000"/>
              <w:bottom w:val="single" w:sz="4" w:space="0" w:color="000000"/>
            </w:tcBorders>
            <w:noWrap/>
            <w:vAlign w:val="center"/>
          </w:tcPr>
          <w:p/>
        </w:tc>
        <w:tc>
          <w:tcPr>
            <w:tcW w:w="1081" w:type="dxa"/>
            <w:vMerge/>
            <w:tcBorders>
              <w:top w:val="single" w:sz="4" w:space="0" w:color="000000"/>
              <w:left w:val="single" w:sz="4" w:space="0" w:color="000000"/>
              <w:bottom w:val="single" w:sz="4" w:space="0" w:color="000000"/>
              <w:right w:val="single" w:sz="4" w:space="0" w:color="000000"/>
            </w:tcBorders>
            <w:noWrap/>
            <w:vAlign w:val="center"/>
          </w:tcPr>
          <w:p/>
        </w:tc>
        <w:tc>
          <w:tcPr>
            <w:tcW w:w="1250" w:type="dxa"/>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hint="eastAsia"/>
                <w:color w:val="000000"/>
                <w:sz w:val="24"/>
              </w:rPr>
            </w:pPr>
            <w:r>
              <w:rPr>
                <w:rFonts w:ascii="宋体" w:cs="宋体"/>
                <w:color w:val="000000"/>
                <w:kern w:val="0"/>
                <w:sz w:val="24"/>
              </w:rPr>
              <w:t>时效指标</w:t>
            </w:r>
          </w:p>
        </w:tc>
        <w:tc>
          <w:tcPr>
            <w:tcW w:w="1312"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rPr>
                <w:rFonts w:ascii="宋体" w:cs="宋体" w:hint="eastAsia"/>
                <w:color w:val="000000"/>
                <w:sz w:val="24"/>
              </w:rPr>
            </w:pPr>
            <w:r>
              <w:rPr>
                <w:rFonts w:ascii="宋体" w:cs="宋体" w:hint="eastAsia"/>
                <w:color w:val="000000"/>
                <w:sz w:val="24"/>
              </w:rPr>
              <w:t>项目服务时间</w:t>
            </w:r>
          </w:p>
        </w:tc>
        <w:tc>
          <w:tcPr>
            <w:tcW w:w="1127"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r>
              <w:rPr>
                <w:rFonts w:ascii="宋体" w:cs="宋体" w:hint="eastAsia"/>
                <w:color w:val="000000"/>
                <w:sz w:val="24"/>
              </w:rPr>
              <w:t>=</w:t>
            </w:r>
          </w:p>
        </w:tc>
        <w:tc>
          <w:tcPr>
            <w:tcW w:w="971"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r>
              <w:rPr>
                <w:rFonts w:ascii="宋体" w:cs="宋体" w:hint="eastAsia"/>
                <w:color w:val="000000"/>
                <w:sz w:val="24"/>
              </w:rPr>
              <w:t>2025</w:t>
            </w:r>
          </w:p>
        </w:tc>
        <w:tc>
          <w:tcPr>
            <w:tcW w:w="1061"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r>
              <w:rPr>
                <w:rFonts w:ascii="宋体" w:cs="宋体" w:hint="eastAsia"/>
                <w:color w:val="000000"/>
                <w:sz w:val="24"/>
              </w:rPr>
              <w:t>年</w:t>
            </w:r>
          </w:p>
        </w:tc>
        <w:tc>
          <w:tcPr>
            <w:tcW w:w="938"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r>
              <w:rPr>
                <w:rFonts w:ascii="宋体" w:cs="宋体" w:hint="eastAsia"/>
                <w:color w:val="000000"/>
                <w:sz w:val="24"/>
              </w:rPr>
              <w:t>10%</w:t>
            </w:r>
          </w:p>
        </w:tc>
        <w:tc>
          <w:tcPr>
            <w:tcW w:w="1841"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r>
              <w:rPr>
                <w:rFonts w:ascii="宋体" w:cs="宋体" w:hint="eastAsia"/>
                <w:color w:val="000000"/>
                <w:sz w:val="24"/>
              </w:rPr>
              <w:t>2025年</w:t>
            </w:r>
          </w:p>
        </w:tc>
      </w:tr>
      <w:tr>
        <w:trPr>
          <w:trHeight w:val="23"/>
        </w:trPr>
        <w:tc>
          <w:tcPr>
            <w:tcW w:w="652" w:type="dxa"/>
            <w:vMerge/>
            <w:tcBorders>
              <w:top w:val="single" w:sz="4" w:space="0" w:color="000000"/>
              <w:left w:val="single" w:sz="4" w:space="0" w:color="000000"/>
              <w:bottom w:val="single" w:sz="4" w:space="0" w:color="000000"/>
            </w:tcBorders>
            <w:noWrap/>
            <w:vAlign w:val="center"/>
          </w:tcPr>
          <w:p/>
        </w:tc>
        <w:tc>
          <w:tcPr>
            <w:tcW w:w="1081" w:type="dxa"/>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hint="eastAsia"/>
                <w:color w:val="000000"/>
                <w:sz w:val="24"/>
              </w:rPr>
            </w:pPr>
            <w:r>
              <w:rPr>
                <w:rFonts w:ascii="宋体" w:cs="宋体"/>
                <w:color w:val="000000"/>
                <w:kern w:val="0"/>
                <w:sz w:val="24"/>
              </w:rPr>
              <w:t>效益指标</w:t>
            </w:r>
          </w:p>
        </w:tc>
        <w:tc>
          <w:tcPr>
            <w:tcW w:w="1250" w:type="dxa"/>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hint="eastAsia"/>
                <w:color w:val="000000"/>
                <w:kern w:val="0"/>
                <w:sz w:val="24"/>
              </w:rPr>
            </w:pPr>
            <w:r>
              <w:rPr>
                <w:rFonts w:ascii="宋体" w:cs="宋体"/>
                <w:color w:val="000000"/>
                <w:kern w:val="0"/>
                <w:sz w:val="24"/>
              </w:rPr>
              <w:t>社会效益</w:t>
            </w:r>
          </w:p>
          <w:p>
            <w:pPr>
              <w:widowControl/>
              <w:spacing w:line="300" w:lineRule="exact"/>
              <w:jc w:val="center"/>
              <w:textAlignment w:val="center"/>
              <w:rPr>
                <w:rFonts w:ascii="宋体" w:cs="宋体" w:hint="eastAsia"/>
                <w:color w:val="000000"/>
                <w:sz w:val="24"/>
              </w:rPr>
            </w:pPr>
            <w:r>
              <w:rPr>
                <w:rFonts w:ascii="宋体" w:cs="宋体"/>
                <w:color w:val="000000"/>
                <w:kern w:val="0"/>
                <w:sz w:val="24"/>
              </w:rPr>
              <w:t>指标</w:t>
            </w:r>
          </w:p>
        </w:tc>
        <w:tc>
          <w:tcPr>
            <w:tcW w:w="1312"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rPr>
                <w:rFonts w:ascii="宋体" w:cs="宋体" w:hint="eastAsia"/>
                <w:color w:val="000000"/>
                <w:sz w:val="24"/>
              </w:rPr>
            </w:pPr>
            <w:r>
              <w:rPr>
                <w:rFonts w:ascii="宋体" w:cs="宋体" w:hint="eastAsia"/>
                <w:color w:val="000000"/>
                <w:sz w:val="24"/>
              </w:rPr>
              <w:t>提高学生教师在校用餐质量</w:t>
            </w:r>
          </w:p>
        </w:tc>
        <w:tc>
          <w:tcPr>
            <w:tcW w:w="1127"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r>
              <w:rPr>
                <w:rFonts w:ascii="宋体" w:cs="宋体" w:hint="eastAsia"/>
                <w:color w:val="000000"/>
                <w:sz w:val="24"/>
              </w:rPr>
              <w:t>定性</w:t>
            </w:r>
          </w:p>
        </w:tc>
        <w:tc>
          <w:tcPr>
            <w:tcW w:w="971"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r>
              <w:rPr>
                <w:rFonts w:ascii="宋体" w:cs="宋体" w:hint="eastAsia"/>
                <w:color w:val="000000"/>
                <w:sz w:val="24"/>
              </w:rPr>
              <w:t>优</w:t>
            </w:r>
          </w:p>
        </w:tc>
        <w:tc>
          <w:tcPr>
            <w:tcW w:w="1061"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p>
        </w:tc>
        <w:tc>
          <w:tcPr>
            <w:tcW w:w="938"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r>
              <w:rPr>
                <w:rFonts w:ascii="宋体" w:cs="宋体" w:hint="eastAsia"/>
                <w:color w:val="000000"/>
                <w:sz w:val="24"/>
              </w:rPr>
              <w:t>20%</w:t>
            </w:r>
          </w:p>
        </w:tc>
        <w:tc>
          <w:tcPr>
            <w:tcW w:w="1841"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r>
              <w:rPr>
                <w:rFonts w:ascii="宋体" w:cs="宋体" w:hint="eastAsia"/>
                <w:color w:val="000000"/>
                <w:sz w:val="24"/>
              </w:rPr>
              <w:t>优</w:t>
            </w:r>
          </w:p>
        </w:tc>
      </w:tr>
      <w:tr>
        <w:trPr>
          <w:trHeight w:val="23"/>
        </w:trPr>
        <w:tc>
          <w:tcPr>
            <w:tcW w:w="652" w:type="dxa"/>
            <w:vMerge/>
            <w:tcBorders>
              <w:top w:val="single" w:sz="4" w:space="0" w:color="000000"/>
              <w:left w:val="single" w:sz="4" w:space="0" w:color="000000"/>
              <w:bottom w:val="single" w:sz="4" w:space="0" w:color="000000"/>
            </w:tcBorders>
            <w:noWrap/>
            <w:vAlign w:val="center"/>
          </w:tcPr>
          <w:p/>
        </w:tc>
        <w:tc>
          <w:tcPr>
            <w:tcW w:w="1081" w:type="dxa"/>
            <w:tcBorders>
              <w:top w:val="single" w:sz="4" w:space="0" w:color="000000"/>
              <w:left w:val="single" w:sz="4" w:space="0" w:color="000000"/>
              <w:right w:val="single" w:sz="4" w:space="0" w:color="000000"/>
            </w:tcBorders>
            <w:noWrap/>
            <w:vAlign w:val="center"/>
          </w:tcPr>
          <w:p>
            <w:pPr>
              <w:widowControl/>
              <w:spacing w:line="300" w:lineRule="exact"/>
              <w:jc w:val="center"/>
              <w:textAlignment w:val="center"/>
              <w:rPr>
                <w:rFonts w:ascii="宋体" w:cs="宋体" w:hint="eastAsia"/>
                <w:color w:val="000000"/>
                <w:sz w:val="24"/>
              </w:rPr>
            </w:pPr>
            <w:r>
              <w:rPr>
                <w:rFonts w:ascii="宋体" w:cs="宋体"/>
                <w:color w:val="000000"/>
                <w:kern w:val="0"/>
                <w:sz w:val="24"/>
              </w:rPr>
              <w:t>成本指标</w:t>
            </w:r>
          </w:p>
        </w:tc>
        <w:tc>
          <w:tcPr>
            <w:tcW w:w="1250" w:type="dxa"/>
            <w:tcBorders>
              <w:top w:val="single" w:sz="4" w:space="0" w:color="000000"/>
              <w:left w:val="single" w:sz="4" w:space="0" w:color="000000"/>
              <w:right w:val="single" w:sz="4" w:space="0" w:color="000000"/>
            </w:tcBorders>
            <w:noWrap/>
            <w:vAlign w:val="center"/>
          </w:tcPr>
          <w:p>
            <w:pPr>
              <w:widowControl/>
              <w:spacing w:line="300" w:lineRule="exact"/>
              <w:jc w:val="center"/>
              <w:textAlignment w:val="center"/>
              <w:rPr>
                <w:rFonts w:ascii="宋体" w:cs="宋体" w:hint="eastAsia"/>
                <w:color w:val="000000"/>
                <w:kern w:val="0"/>
                <w:sz w:val="24"/>
              </w:rPr>
            </w:pPr>
            <w:r>
              <w:rPr>
                <w:rFonts w:ascii="宋体" w:cs="宋体"/>
                <w:color w:val="000000"/>
                <w:kern w:val="0"/>
                <w:sz w:val="24"/>
              </w:rPr>
              <w:t>经济成本</w:t>
            </w:r>
          </w:p>
          <w:p>
            <w:pPr>
              <w:widowControl/>
              <w:spacing w:line="300" w:lineRule="exact"/>
              <w:jc w:val="center"/>
              <w:textAlignment w:val="center"/>
              <w:rPr>
                <w:rFonts w:ascii="宋体" w:cs="宋体" w:hint="eastAsia"/>
                <w:color w:val="000000"/>
                <w:sz w:val="24"/>
              </w:rPr>
            </w:pPr>
            <w:r>
              <w:rPr>
                <w:rFonts w:ascii="宋体" w:cs="宋体"/>
                <w:color w:val="000000"/>
                <w:kern w:val="0"/>
                <w:sz w:val="24"/>
              </w:rPr>
              <w:t>指标</w:t>
            </w:r>
          </w:p>
        </w:tc>
        <w:tc>
          <w:tcPr>
            <w:tcW w:w="1312"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rPr>
                <w:rFonts w:ascii="宋体" w:cs="宋体" w:hint="eastAsia"/>
                <w:color w:val="000000"/>
                <w:sz w:val="24"/>
              </w:rPr>
            </w:pPr>
            <w:r>
              <w:rPr>
                <w:rFonts w:ascii="宋体" w:cs="宋体" w:hint="eastAsia"/>
                <w:color w:val="000000"/>
                <w:sz w:val="24"/>
              </w:rPr>
              <w:t>补助发放</w:t>
            </w:r>
          </w:p>
        </w:tc>
        <w:tc>
          <w:tcPr>
            <w:tcW w:w="1127"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r>
              <w:rPr>
                <w:rFonts w:ascii="宋体" w:cs="宋体" w:hint="eastAsia"/>
                <w:color w:val="000000"/>
                <w:sz w:val="24"/>
              </w:rPr>
              <w:t>≤</w:t>
            </w:r>
          </w:p>
        </w:tc>
        <w:tc>
          <w:tcPr>
            <w:tcW w:w="971"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r>
              <w:rPr>
                <w:rFonts w:ascii="宋体" w:cs="宋体" w:hint="eastAsia"/>
                <w:color w:val="000000"/>
                <w:sz w:val="24"/>
              </w:rPr>
              <w:t>31.5</w:t>
            </w:r>
          </w:p>
        </w:tc>
        <w:tc>
          <w:tcPr>
            <w:tcW w:w="1061"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r>
              <w:rPr>
                <w:rFonts w:ascii="宋体" w:cs="宋体" w:hint="eastAsia"/>
                <w:color w:val="000000"/>
                <w:sz w:val="24"/>
              </w:rPr>
              <w:t>万元</w:t>
            </w:r>
          </w:p>
        </w:tc>
        <w:tc>
          <w:tcPr>
            <w:tcW w:w="938"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r>
              <w:rPr>
                <w:rFonts w:ascii="宋体" w:cs="宋体" w:hint="eastAsia"/>
                <w:color w:val="000000"/>
                <w:sz w:val="24"/>
              </w:rPr>
              <w:t>20%</w:t>
            </w:r>
          </w:p>
        </w:tc>
        <w:tc>
          <w:tcPr>
            <w:tcW w:w="1841"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r>
              <w:rPr>
                <w:rFonts w:ascii="宋体" w:cs="宋体" w:hint="eastAsia"/>
                <w:color w:val="000000"/>
                <w:sz w:val="24"/>
              </w:rPr>
              <w:t>31.5</w:t>
            </w:r>
          </w:p>
        </w:tc>
      </w:tr>
      <w:tr>
        <w:trPr>
          <w:trHeight w:val="23"/>
        </w:trPr>
        <w:tc>
          <w:tcPr>
            <w:tcW w:w="652" w:type="dxa"/>
            <w:vMerge/>
            <w:tcBorders>
              <w:top w:val="single" w:sz="4" w:space="0" w:color="000000"/>
              <w:left w:val="single" w:sz="4" w:space="0" w:color="000000"/>
              <w:bottom w:val="single" w:sz="4" w:space="0" w:color="000000"/>
            </w:tcBorders>
            <w:noWrap/>
            <w:vAlign w:val="center"/>
          </w:tcPr>
          <w:p/>
        </w:tc>
        <w:tc>
          <w:tcPr>
            <w:tcW w:w="1081" w:type="dxa"/>
            <w:vMerge w:val="restart"/>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hint="eastAsia"/>
                <w:color w:val="000000"/>
                <w:kern w:val="0"/>
                <w:sz w:val="24"/>
              </w:rPr>
            </w:pPr>
            <w:r>
              <w:rPr>
                <w:rFonts w:ascii="宋体" w:cs="宋体"/>
                <w:color w:val="000000"/>
                <w:kern w:val="0"/>
                <w:sz w:val="24"/>
              </w:rPr>
              <w:t>满意度</w:t>
            </w:r>
          </w:p>
          <w:p>
            <w:pPr>
              <w:widowControl/>
              <w:spacing w:line="300" w:lineRule="exact"/>
              <w:jc w:val="center"/>
              <w:textAlignment w:val="center"/>
              <w:rPr>
                <w:rFonts w:ascii="宋体" w:cs="宋体" w:hint="eastAsia"/>
                <w:color w:val="000000"/>
                <w:sz w:val="24"/>
              </w:rPr>
            </w:pPr>
            <w:r>
              <w:rPr>
                <w:rFonts w:ascii="宋体" w:cs="宋体"/>
                <w:color w:val="000000"/>
                <w:kern w:val="0"/>
                <w:sz w:val="24"/>
              </w:rPr>
              <w:t>指标</w:t>
            </w:r>
          </w:p>
        </w:tc>
        <w:tc>
          <w:tcPr>
            <w:tcW w:w="1250" w:type="dxa"/>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hint="eastAsia"/>
                <w:color w:val="000000"/>
                <w:kern w:val="0"/>
                <w:sz w:val="24"/>
              </w:rPr>
            </w:pPr>
            <w:r>
              <w:rPr>
                <w:rFonts w:ascii="宋体" w:cs="宋体"/>
                <w:color w:val="000000"/>
                <w:kern w:val="0"/>
                <w:sz w:val="24"/>
              </w:rPr>
              <w:t>服务对象</w:t>
            </w:r>
          </w:p>
          <w:p>
            <w:pPr>
              <w:widowControl/>
              <w:spacing w:line="300" w:lineRule="exact"/>
              <w:jc w:val="center"/>
              <w:textAlignment w:val="center"/>
              <w:rPr>
                <w:rFonts w:ascii="宋体" w:cs="宋体" w:hint="eastAsia"/>
                <w:color w:val="000000"/>
                <w:sz w:val="24"/>
              </w:rPr>
            </w:pPr>
            <w:r>
              <w:rPr>
                <w:rFonts w:ascii="宋体" w:cs="宋体"/>
                <w:color w:val="000000"/>
                <w:kern w:val="0"/>
                <w:sz w:val="24"/>
              </w:rPr>
              <w:t>满意度指标</w:t>
            </w:r>
          </w:p>
        </w:tc>
        <w:tc>
          <w:tcPr>
            <w:tcW w:w="1312" w:type="dxa"/>
            <w:tcBorders>
              <w:top w:val="single" w:sz="4" w:space="0" w:color="000000"/>
              <w:bottom w:val="single" w:sz="4" w:space="0" w:color="000000"/>
              <w:right w:val="single" w:sz="4" w:space="0" w:color="000000"/>
            </w:tcBorders>
            <w:noWrap/>
            <w:vAlign w:val="center"/>
          </w:tcPr>
          <w:p>
            <w:pPr>
              <w:spacing w:line="300" w:lineRule="exact"/>
            </w:pPr>
            <w:r>
              <w:rPr>
                <w:rFonts w:ascii="宋体" w:cs="宋体" w:hint="eastAsia"/>
                <w:color w:val="000000"/>
                <w:sz w:val="24"/>
              </w:rPr>
              <w:t>全体学生</w:t>
            </w:r>
          </w:p>
        </w:tc>
        <w:tc>
          <w:tcPr>
            <w:tcW w:w="1127"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r>
              <w:rPr>
                <w:rFonts w:ascii="宋体" w:cs="宋体" w:hint="eastAsia"/>
                <w:color w:val="000000"/>
                <w:sz w:val="24"/>
              </w:rPr>
              <w:t>≥</w:t>
            </w:r>
          </w:p>
        </w:tc>
        <w:tc>
          <w:tcPr>
            <w:tcW w:w="971"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r>
              <w:rPr>
                <w:rFonts w:ascii="宋体" w:cs="宋体" w:hint="eastAsia"/>
                <w:color w:val="000000"/>
                <w:sz w:val="24"/>
              </w:rPr>
              <w:t>345</w:t>
            </w:r>
          </w:p>
        </w:tc>
        <w:tc>
          <w:tcPr>
            <w:tcW w:w="1061"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r>
              <w:rPr>
                <w:rFonts w:ascii="宋体" w:cs="宋体" w:hint="eastAsia"/>
                <w:color w:val="000000"/>
                <w:sz w:val="24"/>
              </w:rPr>
              <w:t>人</w:t>
            </w:r>
          </w:p>
        </w:tc>
        <w:tc>
          <w:tcPr>
            <w:tcW w:w="938"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r>
              <w:rPr>
                <w:rFonts w:ascii="宋体" w:cs="宋体" w:hint="eastAsia"/>
                <w:color w:val="000000"/>
                <w:sz w:val="24"/>
              </w:rPr>
              <w:t>5%</w:t>
            </w:r>
          </w:p>
        </w:tc>
        <w:tc>
          <w:tcPr>
            <w:tcW w:w="1841"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r>
              <w:rPr>
                <w:rFonts w:ascii="宋体" w:cs="宋体" w:hint="eastAsia"/>
                <w:color w:val="000000"/>
                <w:sz w:val="24"/>
              </w:rPr>
              <w:t>345</w:t>
            </w:r>
          </w:p>
        </w:tc>
      </w:tr>
      <w:tr>
        <w:trPr>
          <w:trHeight w:val="461"/>
        </w:trPr>
        <w:tc>
          <w:tcPr>
            <w:tcW w:w="652" w:type="dxa"/>
            <w:vMerge/>
            <w:tcBorders>
              <w:top w:val="single" w:sz="4" w:space="0" w:color="000000"/>
              <w:left w:val="single" w:sz="4" w:space="0" w:color="000000"/>
              <w:bottom w:val="single" w:sz="4" w:space="0" w:color="000000"/>
            </w:tcBorders>
            <w:noWrap/>
            <w:vAlign w:val="center"/>
          </w:tcPr>
          <w:p/>
        </w:tc>
        <w:tc>
          <w:tcPr>
            <w:tcW w:w="1081" w:type="dxa"/>
            <w:vMerge/>
            <w:tcBorders>
              <w:top w:val="single" w:sz="4" w:space="0" w:color="000000"/>
              <w:left w:val="single" w:sz="4" w:space="0" w:color="000000"/>
              <w:bottom w:val="single" w:sz="4" w:space="0" w:color="000000"/>
              <w:right w:val="single" w:sz="4" w:space="0" w:color="000000"/>
            </w:tcBorders>
            <w:noWrap/>
            <w:vAlign w:val="center"/>
          </w:tcPr>
          <w:p/>
        </w:tc>
        <w:tc>
          <w:tcPr>
            <w:tcW w:w="1250" w:type="dxa"/>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hint="eastAsia"/>
                <w:color w:val="000000"/>
                <w:sz w:val="24"/>
              </w:rPr>
            </w:pPr>
            <w:r>
              <w:rPr>
                <w:rFonts w:ascii="宋体" w:cs="宋体" w:hint="eastAsia"/>
                <w:color w:val="000000"/>
                <w:sz w:val="24"/>
              </w:rPr>
              <w:t>满意度指标</w:t>
            </w:r>
          </w:p>
        </w:tc>
        <w:tc>
          <w:tcPr>
            <w:tcW w:w="1312" w:type="dxa"/>
            <w:tcBorders>
              <w:top w:val="single" w:sz="4" w:space="0" w:color="000000"/>
              <w:bottom w:val="single" w:sz="4" w:space="0" w:color="000000"/>
              <w:right w:val="single" w:sz="4" w:space="0" w:color="000000"/>
            </w:tcBorders>
            <w:noWrap/>
            <w:vAlign w:val="center"/>
          </w:tcPr>
          <w:p>
            <w:pPr>
              <w:spacing w:line="300" w:lineRule="exact"/>
              <w:rPr>
                <w:rFonts w:ascii="宋体" w:cs="宋体" w:hint="eastAsia"/>
                <w:color w:val="000000"/>
                <w:sz w:val="24"/>
              </w:rPr>
            </w:pPr>
            <w:r>
              <w:rPr>
                <w:rFonts w:ascii="宋体" w:cs="宋体" w:hint="eastAsia"/>
                <w:color w:val="000000"/>
                <w:sz w:val="24"/>
              </w:rPr>
              <w:t>学生教师</w:t>
            </w:r>
          </w:p>
        </w:tc>
        <w:tc>
          <w:tcPr>
            <w:tcW w:w="1127"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r>
              <w:rPr>
                <w:rFonts w:ascii="宋体" w:cs="宋体" w:hint="eastAsia"/>
                <w:color w:val="000000"/>
                <w:sz w:val="24"/>
              </w:rPr>
              <w:t>定性</w:t>
            </w:r>
          </w:p>
        </w:tc>
        <w:tc>
          <w:tcPr>
            <w:tcW w:w="971"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r>
              <w:rPr>
                <w:rFonts w:ascii="宋体" w:cs="宋体" w:hint="eastAsia"/>
                <w:color w:val="000000"/>
                <w:sz w:val="24"/>
              </w:rPr>
              <w:t>优</w:t>
            </w:r>
          </w:p>
        </w:tc>
        <w:tc>
          <w:tcPr>
            <w:tcW w:w="1061"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p>
        </w:tc>
        <w:tc>
          <w:tcPr>
            <w:tcW w:w="938"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r>
              <w:rPr>
                <w:rFonts w:ascii="宋体" w:cs="宋体" w:hint="eastAsia"/>
                <w:color w:val="000000"/>
                <w:sz w:val="24"/>
              </w:rPr>
              <w:t>5%</w:t>
            </w:r>
          </w:p>
        </w:tc>
        <w:tc>
          <w:tcPr>
            <w:tcW w:w="1841"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r>
              <w:rPr>
                <w:rFonts w:ascii="宋体" w:cs="宋体" w:hint="eastAsia"/>
                <w:color w:val="000000"/>
                <w:sz w:val="24"/>
              </w:rPr>
              <w:t>优</w:t>
            </w:r>
          </w:p>
        </w:tc>
      </w:tr>
    </w:tbl>
    <w:p>
      <w:pPr>
        <w:rPr>
          <w:lang w:val="zh-CN"/>
        </w:rPr>
      </w:pPr>
    </w:p>
    <w:p>
      <w:pPr>
        <w:snapToGrid w:val="0"/>
        <w:spacing w:line="520" w:lineRule="exact"/>
        <w:ind w:firstLineChars="200" w:firstLine="640"/>
        <w:jc w:val="center"/>
        <w:rPr>
          <w:rFonts w:ascii="黑体" w:eastAsia="黑体" w:cs="宋体"/>
          <w:kern w:val="0"/>
          <w:sz w:val="32"/>
          <w:szCs w:val="32"/>
        </w:rPr>
      </w:pPr>
    </w:p>
    <w:p>
      <w:pPr>
        <w:snapToGrid w:val="0"/>
        <w:spacing w:line="520" w:lineRule="exact"/>
        <w:ind w:firstLineChars="200" w:firstLine="640"/>
        <w:jc w:val="center"/>
        <w:rPr>
          <w:rFonts w:ascii="黑体" w:eastAsia="黑体" w:cs="宋体"/>
          <w:kern w:val="0"/>
          <w:sz w:val="32"/>
          <w:szCs w:val="32"/>
        </w:rPr>
      </w:pPr>
      <w:r>
        <w:rPr>
          <w:rFonts w:ascii="黑体" w:eastAsia="黑体" w:cs="宋体" w:hint="eastAsia"/>
          <w:kern w:val="0"/>
          <w:sz w:val="32"/>
          <w:szCs w:val="32"/>
        </w:rPr>
        <w:t>乡村教师生活补助及终生从教奖励金专项预算项目绩效自评报告</w:t>
      </w:r>
    </w:p>
    <w:p>
      <w:pPr>
        <w:adjustRightInd w:val="0"/>
        <w:snapToGrid w:val="0"/>
        <w:spacing w:line="578" w:lineRule="exact"/>
        <w:ind w:firstLineChars="200" w:firstLine="640"/>
        <w:outlineLvl w:val="0"/>
        <w:rPr>
          <w:rFonts w:eastAsia="黑体"/>
          <w:sz w:val="32"/>
          <w:szCs w:val="32"/>
          <w:lang w:val="zh-CN"/>
        </w:rPr>
      </w:pPr>
      <w:r>
        <w:rPr>
          <w:rFonts w:eastAsia="黑体" w:hint="eastAsia"/>
          <w:sz w:val="32"/>
          <w:szCs w:val="32"/>
        </w:rPr>
        <w:t>一、</w:t>
      </w:r>
      <w:r>
        <w:rPr>
          <w:rFonts w:eastAsia="黑体" w:hint="eastAsia"/>
          <w:sz w:val="32"/>
          <w:szCs w:val="32"/>
          <w:lang w:val="zh-CN"/>
        </w:rPr>
        <w:t>项目概况</w:t>
      </w:r>
    </w:p>
    <w:p>
      <w:pPr>
        <w:widowControl/>
        <w:adjustRightInd w:val="0"/>
        <w:snapToGrid w:val="0"/>
        <w:spacing w:line="578" w:lineRule="exact"/>
        <w:ind w:firstLineChars="200" w:firstLine="640"/>
        <w:contextualSpacing/>
        <w:jc w:val="left"/>
        <w:outlineLvl w:val="1"/>
        <w:rPr>
          <w:rFonts w:eastAsia="楷体_GB2312"/>
          <w:b/>
          <w:lang w:val="zh-CN"/>
        </w:rPr>
      </w:pPr>
      <w:r>
        <w:rPr>
          <w:rFonts w:eastAsia="楷体_GB2312" w:hint="eastAsia"/>
          <w:b/>
          <w:sz w:val="32"/>
          <w:szCs w:val="32"/>
          <w:lang w:val="zh-CN"/>
        </w:rPr>
        <w:t>（一）设立背景及基本情况</w:t>
      </w:r>
    </w:p>
    <w:p>
      <w:pPr>
        <w:tabs>
          <w:tab w:val="left" w:pos="1911"/>
        </w:tabs>
        <w:ind w:firstLineChars="200" w:firstLine="640"/>
        <w:jc w:val="left"/>
        <w:rPr>
          <w:rFonts w:ascii="仿宋" w:eastAsia="仿宋"/>
          <w:sz w:val="32"/>
          <w:szCs w:val="32"/>
        </w:rPr>
      </w:pPr>
      <w:r>
        <w:rPr>
          <w:rFonts w:ascii="仿宋" w:eastAsia="仿宋" w:hint="eastAsia"/>
          <w:sz w:val="32"/>
          <w:szCs w:val="32"/>
        </w:rPr>
        <w:t>根据四川省人民政府办公厅下发的《关于实施集中连片特殊困难地区和国家扶贫开发工作重点县农村教师生活补助政策的通知》（川办函〔2014〕86号）文件及《汶川教育局汶川县财政局关于统筹实施集中连片特殊困难地区和国家扶贫开发工作重点县农村教师生活补助政策的请示》（汶教〔2014〕261号）已于2014年县十三届人民政府第50次常务会议审议通过。</w:t>
      </w:r>
    </w:p>
    <w:p>
      <w:pPr>
        <w:tabs>
          <w:tab w:val="left" w:pos="1911"/>
        </w:tabs>
        <w:ind w:firstLineChars="200" w:firstLine="640"/>
        <w:jc w:val="left"/>
        <w:rPr>
          <w:rFonts w:ascii="仿宋" w:eastAsia="仿宋"/>
          <w:sz w:val="32"/>
          <w:szCs w:val="32"/>
        </w:rPr>
      </w:pPr>
      <w:r>
        <w:rPr>
          <w:rFonts w:ascii="仿宋" w:eastAsia="仿宋" w:hint="eastAsia"/>
          <w:sz w:val="32"/>
          <w:szCs w:val="32"/>
        </w:rPr>
        <w:t>为规范和加强乡村教师生活补助专项资金管理，提高资金使用效益，根据教育厅关于印发《财政部 教育部关于印发《城乡义务教育补助经费管理办法》的通知（财教〔2021〕56号）文件精神，汶川县教育局下达2025年度乡村教师生活补助专项资金，主要用于提高乡村教师的生活补助待遇，促进艰苦边远山区乡村教师工作积极性和主动性，进一步提高学校教育教学质量。紧紧围绕全县教育工作大局和重点，以发展学生、服务家长、成就教师为宗旨，以安全工作为主线，以师资队伍建设与内涵建设为重点，以促进学校全面发展为目的，扎实提高教育教学质量。</w:t>
      </w:r>
    </w:p>
    <w:p>
      <w:pPr>
        <w:adjustRightInd w:val="0"/>
        <w:snapToGrid w:val="0"/>
        <w:spacing w:line="578" w:lineRule="exact"/>
        <w:ind w:firstLineChars="200" w:firstLine="640"/>
        <w:outlineLvl w:val="1"/>
        <w:rPr>
          <w:rFonts w:eastAsia="楷体_GB2312"/>
          <w:b/>
        </w:rPr>
      </w:pPr>
      <w:r>
        <w:rPr>
          <w:rFonts w:eastAsia="楷体_GB2312" w:hint="eastAsia"/>
          <w:b/>
          <w:sz w:val="32"/>
          <w:szCs w:val="32"/>
          <w:lang w:val="zh-CN"/>
        </w:rPr>
        <w:t>（二）</w:t>
      </w:r>
      <w:r>
        <w:rPr>
          <w:rFonts w:eastAsia="楷体_GB2312"/>
          <w:b/>
          <w:sz w:val="32"/>
          <w:szCs w:val="32"/>
        </w:rPr>
        <w:t>实施目的及支持方向</w:t>
      </w:r>
    </w:p>
    <w:p>
      <w:pPr>
        <w:adjustRightInd w:val="0"/>
        <w:snapToGrid w:val="0"/>
        <w:spacing w:line="578" w:lineRule="exact"/>
        <w:ind w:firstLineChars="200" w:firstLine="640"/>
        <w:rPr>
          <w:rFonts w:ascii="仿宋" w:eastAsia="仿宋"/>
          <w:sz w:val="32"/>
          <w:szCs w:val="32"/>
        </w:rPr>
      </w:pPr>
      <w:r>
        <w:rPr>
          <w:rFonts w:ascii="仿宋" w:eastAsia="仿宋" w:hint="eastAsia"/>
          <w:sz w:val="32"/>
          <w:szCs w:val="32"/>
        </w:rPr>
        <w:t>通过实施乡村教师生活补助后，进一步提高了乡村教师的待遇，改善了乡村学校教师的生活，使他们更坚定长期扎根乡村学校工作的决心，促进乡村教师工作积极性，让乡村教师工作积极性更高，乡村教师队伍更加稳定，以促进全县教育的均衡发展及教育教学质量的提高。</w:t>
      </w:r>
    </w:p>
    <w:p>
      <w:pPr>
        <w:widowControl/>
        <w:adjustRightInd w:val="0"/>
        <w:snapToGrid w:val="0"/>
        <w:spacing w:line="578" w:lineRule="exact"/>
        <w:ind w:firstLineChars="200" w:firstLine="640"/>
        <w:contextualSpacing/>
        <w:jc w:val="left"/>
        <w:outlineLvl w:val="1"/>
        <w:rPr>
          <w:rFonts w:eastAsia="楷体_GB2312"/>
          <w:b/>
          <w:lang w:val="zh-CN"/>
        </w:rPr>
      </w:pPr>
      <w:r>
        <w:rPr>
          <w:rFonts w:eastAsia="楷体_GB2312" w:hint="eastAsia"/>
          <w:b/>
          <w:sz w:val="32"/>
          <w:szCs w:val="32"/>
          <w:lang w:val="zh-CN"/>
        </w:rPr>
        <w:t>（三）</w:t>
      </w:r>
      <w:r>
        <w:rPr>
          <w:rFonts w:eastAsia="楷体_GB2312"/>
          <w:b/>
          <w:sz w:val="32"/>
          <w:szCs w:val="32"/>
        </w:rPr>
        <w:t>预算安排及分配管理</w:t>
      </w:r>
    </w:p>
    <w:p>
      <w:pPr>
        <w:adjustRightInd w:val="0"/>
        <w:snapToGrid w:val="0"/>
        <w:spacing w:line="578" w:lineRule="exact"/>
        <w:ind w:firstLineChars="200" w:firstLine="640"/>
        <w:rPr>
          <w:rFonts w:ascii="仿宋" w:eastAsia="仿宋"/>
          <w:sz w:val="32"/>
          <w:szCs w:val="32"/>
        </w:rPr>
      </w:pPr>
      <w:bookmarkStart w:id="193" w:name="OLE_LINK46"/>
      <w:r>
        <w:rPr>
          <w:rFonts w:ascii="仿宋" w:eastAsia="仿宋" w:hint="eastAsia"/>
          <w:sz w:val="32"/>
          <w:szCs w:val="32"/>
        </w:rPr>
        <w:t>根据《汶川教育局汶川县财政局关于统筹实施集中连片特殊困难地区和国家扶贫开发工作重点县农村教师生活补助政策的请示》（汶教〔2014〕261号）《汶川县教育局关于2025年第一次预拨付十五年免费教育保障经费的函》（汶教（2025）55号）下达专项资金28.76万元；补贴标准为400元/人*月，乡村教师补助人数为58人。</w:t>
      </w:r>
    </w:p>
    <w:p>
      <w:pPr>
        <w:adjustRightInd w:val="0"/>
        <w:snapToGrid w:val="0"/>
        <w:spacing w:line="578" w:lineRule="exact"/>
        <w:ind w:firstLineChars="200" w:firstLine="640"/>
        <w:outlineLvl w:val="1"/>
        <w:rPr>
          <w:rFonts w:eastAsia="楷体_GB2312"/>
          <w:b/>
          <w:lang w:val="zh-CN"/>
        </w:rPr>
      </w:pPr>
      <w:bookmarkEnd w:id="193"/>
      <w:r>
        <w:rPr>
          <w:rFonts w:eastAsia="楷体_GB2312" w:hint="eastAsia"/>
          <w:b/>
          <w:sz w:val="32"/>
          <w:szCs w:val="32"/>
          <w:lang w:val="zh-CN"/>
        </w:rPr>
        <w:t>（四）项目绩效目标设置</w:t>
      </w:r>
    </w:p>
    <w:p>
      <w:pPr>
        <w:adjustRightInd w:val="0"/>
        <w:snapToGrid w:val="0"/>
        <w:spacing w:line="578" w:lineRule="exact"/>
        <w:ind w:firstLineChars="200" w:firstLine="640"/>
        <w:rPr>
          <w:rFonts w:ascii="仿宋" w:eastAsia="仿宋"/>
          <w:sz w:val="32"/>
          <w:szCs w:val="32"/>
        </w:rPr>
      </w:pPr>
      <w:bookmarkStart w:id="194" w:name="OLE_LINK47"/>
      <w:r>
        <w:rPr>
          <w:rFonts w:ascii="仿宋" w:eastAsia="仿宋" w:hint="eastAsia"/>
          <w:sz w:val="32"/>
          <w:szCs w:val="32"/>
        </w:rPr>
        <w:t>项目总体目标：通过乡村教师生活补助资金项目的实施，进一步提高了乡村教师的待遇，改善了乡村学校教师的生活，使他们更坚定长期扎根乡村学校工作的决心，让乡村教师工作积极性更高，乡村教师队伍更加稳定，以促进全县教育的均衡发展及教育教学质量的提高。</w:t>
      </w:r>
    </w:p>
    <w:p>
      <w:pPr>
        <w:adjustRightInd w:val="0"/>
        <w:snapToGrid w:val="0"/>
        <w:spacing w:line="578" w:lineRule="exact"/>
        <w:ind w:firstLineChars="200" w:firstLine="640"/>
        <w:outlineLvl w:val="0"/>
        <w:rPr>
          <w:rFonts w:eastAsia="黑体"/>
          <w:sz w:val="32"/>
          <w:szCs w:val="32"/>
        </w:rPr>
      </w:pPr>
      <w:bookmarkEnd w:id="194"/>
      <w:r>
        <w:rPr>
          <w:rFonts w:eastAsia="黑体" w:hint="eastAsia"/>
          <w:sz w:val="32"/>
          <w:szCs w:val="32"/>
        </w:rPr>
        <w:t>二、评价实施</w:t>
      </w:r>
    </w:p>
    <w:p>
      <w:pPr>
        <w:spacing w:line="578" w:lineRule="exact"/>
        <w:ind w:firstLine="640"/>
        <w:outlineLvl w:val="1"/>
        <w:rPr>
          <w:rFonts w:eastAsia="楷体_GB2312"/>
          <w:b/>
          <w:lang w:val="zh-CN"/>
        </w:rPr>
      </w:pPr>
      <w:r>
        <w:rPr>
          <w:rFonts w:eastAsia="楷体_GB2312" w:hint="eastAsia"/>
          <w:b/>
          <w:sz w:val="32"/>
          <w:szCs w:val="32"/>
          <w:lang w:val="zh-CN"/>
        </w:rPr>
        <w:t>（一）评价目的</w:t>
      </w:r>
    </w:p>
    <w:p>
      <w:pPr>
        <w:adjustRightInd w:val="0"/>
        <w:snapToGrid w:val="0"/>
        <w:spacing w:line="578" w:lineRule="exact"/>
        <w:ind w:firstLineChars="200" w:firstLine="640"/>
        <w:rPr>
          <w:rFonts w:ascii="仿宋" w:eastAsia="仿宋"/>
          <w:sz w:val="32"/>
          <w:szCs w:val="32"/>
        </w:rPr>
      </w:pPr>
      <w:r>
        <w:rPr>
          <w:rFonts w:ascii="仿宋" w:eastAsia="仿宋" w:hint="eastAsia"/>
          <w:sz w:val="32"/>
          <w:szCs w:val="32"/>
        </w:rPr>
        <w:t>项目单位开展绩效自评，检验其绩效目标的实现程度，发现项目实施中存在的问题，及时总结经验，提出解决问题的意见和建议，规划项目管理，保证项目资金安全和发挥效益，强化支出主体责任，实现财政资金使用效益最大化。</w:t>
      </w:r>
    </w:p>
    <w:p>
      <w:pPr>
        <w:adjustRightInd w:val="0"/>
        <w:snapToGrid w:val="0"/>
        <w:spacing w:line="578" w:lineRule="exact"/>
        <w:ind w:firstLineChars="200" w:firstLine="640"/>
        <w:outlineLvl w:val="1"/>
        <w:rPr>
          <w:rFonts w:eastAsia="楷体_GB2312"/>
          <w:b/>
          <w:lang w:val="zh-CN"/>
        </w:rPr>
      </w:pPr>
      <w:r>
        <w:rPr>
          <w:rFonts w:eastAsia="楷体_GB2312" w:hint="eastAsia"/>
          <w:b/>
          <w:sz w:val="32"/>
          <w:szCs w:val="32"/>
          <w:lang w:val="zh-CN"/>
        </w:rPr>
        <w:t>（二）预设问题及评价重点</w:t>
      </w:r>
    </w:p>
    <w:p>
      <w:pPr>
        <w:adjustRightInd w:val="0"/>
        <w:snapToGrid w:val="0"/>
        <w:spacing w:line="578" w:lineRule="exact"/>
        <w:ind w:firstLineChars="200" w:firstLine="640"/>
        <w:rPr>
          <w:rFonts w:ascii="仿宋" w:eastAsia="仿宋"/>
          <w:sz w:val="32"/>
          <w:szCs w:val="32"/>
        </w:rPr>
      </w:pPr>
      <w:r>
        <w:rPr>
          <w:rFonts w:ascii="仿宋" w:eastAsia="仿宋" w:hint="eastAsia"/>
          <w:sz w:val="32"/>
          <w:szCs w:val="32"/>
        </w:rPr>
        <w:t>按照“谁支出、谁自评”的原则，按照县财政部门通知要求，及时部署本辖区内专项预算项目资金绩效评价工作，做到应评尽评。</w:t>
      </w:r>
    </w:p>
    <w:p>
      <w:pPr>
        <w:adjustRightInd w:val="0"/>
        <w:snapToGrid w:val="0"/>
        <w:spacing w:line="578" w:lineRule="exact"/>
        <w:ind w:firstLineChars="200" w:firstLine="640"/>
        <w:outlineLvl w:val="1"/>
        <w:rPr>
          <w:rFonts w:eastAsia="楷体_GB2312"/>
          <w:b/>
          <w:lang w:val="zh-CN"/>
        </w:rPr>
      </w:pPr>
      <w:r>
        <w:rPr>
          <w:rFonts w:eastAsia="楷体_GB2312" w:hint="eastAsia"/>
          <w:b/>
          <w:sz w:val="32"/>
          <w:szCs w:val="32"/>
          <w:lang w:val="zh-CN"/>
        </w:rPr>
        <w:t>（三）评价选点</w:t>
      </w:r>
    </w:p>
    <w:p>
      <w:pPr>
        <w:adjustRightInd w:val="0"/>
        <w:snapToGrid w:val="0"/>
        <w:spacing w:line="578" w:lineRule="exact"/>
        <w:ind w:firstLineChars="200" w:firstLine="640"/>
        <w:rPr>
          <w:rFonts w:ascii="仿宋" w:eastAsia="仿宋"/>
          <w:sz w:val="32"/>
          <w:szCs w:val="32"/>
        </w:rPr>
      </w:pPr>
      <w:r>
        <w:rPr>
          <w:rFonts w:ascii="仿宋" w:eastAsia="仿宋" w:hint="eastAsia"/>
          <w:sz w:val="32"/>
          <w:szCs w:val="32"/>
        </w:rPr>
        <w:t>按照“全方位、全过程、全覆盖”预算绩效管理要求，本次绩效评价范围为乡村教师生活补助及终生从教奖励金项目。</w:t>
      </w:r>
    </w:p>
    <w:p>
      <w:pPr>
        <w:spacing w:line="578" w:lineRule="exact"/>
        <w:ind w:firstLine="640"/>
        <w:outlineLvl w:val="1"/>
        <w:rPr>
          <w:rFonts w:eastAsia="楷体_GB2312"/>
          <w:b/>
          <w:lang w:val="zh-CN"/>
        </w:rPr>
      </w:pPr>
      <w:r>
        <w:rPr>
          <w:rFonts w:eastAsia="楷体_GB2312" w:hint="eastAsia"/>
          <w:b/>
          <w:sz w:val="32"/>
          <w:szCs w:val="32"/>
          <w:lang w:val="zh-CN"/>
        </w:rPr>
        <w:t>（四）评价方法</w:t>
      </w:r>
    </w:p>
    <w:p>
      <w:pPr>
        <w:adjustRightInd w:val="0"/>
        <w:snapToGrid w:val="0"/>
        <w:spacing w:line="578" w:lineRule="exact"/>
        <w:ind w:firstLineChars="200" w:firstLine="640"/>
        <w:rPr>
          <w:rFonts w:ascii="仿宋" w:eastAsia="仿宋"/>
          <w:sz w:val="32"/>
          <w:szCs w:val="32"/>
        </w:rPr>
      </w:pPr>
      <w:r>
        <w:rPr>
          <w:rFonts w:ascii="仿宋" w:eastAsia="仿宋"/>
          <w:sz w:val="32"/>
          <w:szCs w:val="32"/>
        </w:rPr>
        <w:t>根据项目情况和评价重点，</w:t>
      </w:r>
      <w:r>
        <w:rPr>
          <w:rFonts w:ascii="仿宋" w:eastAsia="仿宋" w:hint="eastAsia"/>
          <w:sz w:val="32"/>
          <w:szCs w:val="32"/>
        </w:rPr>
        <w:t>用来</w:t>
      </w:r>
      <w:r>
        <w:rPr>
          <w:rFonts w:ascii="仿宋" w:eastAsia="仿宋"/>
          <w:sz w:val="32"/>
          <w:szCs w:val="32"/>
        </w:rPr>
        <w:t>收集相关材料和开展具体评价</w:t>
      </w:r>
      <w:r>
        <w:rPr>
          <w:rFonts w:ascii="仿宋" w:eastAsia="仿宋" w:hint="eastAsia"/>
          <w:sz w:val="32"/>
          <w:szCs w:val="32"/>
        </w:rPr>
        <w:t>的方法</w:t>
      </w:r>
      <w:r>
        <w:rPr>
          <w:rFonts w:ascii="仿宋" w:eastAsia="仿宋"/>
          <w:sz w:val="32"/>
          <w:szCs w:val="32"/>
        </w:rPr>
        <w:t>。</w:t>
      </w:r>
      <w:r>
        <w:rPr>
          <w:rFonts w:ascii="仿宋" w:eastAsia="仿宋" w:hint="eastAsia"/>
          <w:sz w:val="32"/>
          <w:szCs w:val="32"/>
        </w:rPr>
        <w:t>包括：</w:t>
      </w:r>
      <w:r>
        <w:rPr>
          <w:rFonts w:ascii="仿宋" w:eastAsia="仿宋"/>
          <w:sz w:val="32"/>
          <w:szCs w:val="32"/>
        </w:rPr>
        <w:t>采用</w:t>
      </w:r>
      <w:r>
        <w:rPr>
          <w:rFonts w:ascii="仿宋" w:eastAsia="仿宋" w:hint="eastAsia"/>
          <w:sz w:val="32"/>
          <w:szCs w:val="32"/>
        </w:rPr>
        <w:t>成本效益分析法、标杆管理法、</w:t>
      </w:r>
      <w:r>
        <w:rPr>
          <w:rFonts w:ascii="仿宋" w:eastAsia="仿宋"/>
          <w:sz w:val="32"/>
          <w:szCs w:val="32"/>
        </w:rPr>
        <w:t>案卷研究法、单位自评法、实地勘察法、问卷调查法、座谈调研法等多种方法</w:t>
      </w:r>
      <w:r>
        <w:rPr>
          <w:rFonts w:ascii="仿宋" w:eastAsia="仿宋" w:hint="eastAsia"/>
          <w:sz w:val="32"/>
          <w:szCs w:val="32"/>
        </w:rPr>
        <w:t>。</w:t>
      </w:r>
    </w:p>
    <w:p>
      <w:pPr>
        <w:spacing w:line="578" w:lineRule="exact"/>
        <w:ind w:firstLine="640"/>
        <w:outlineLvl w:val="1"/>
        <w:rPr>
          <w:rFonts w:eastAsia="楷体_GB2312"/>
          <w:b/>
          <w:lang w:val="zh-CN"/>
        </w:rPr>
      </w:pPr>
      <w:r>
        <w:rPr>
          <w:rFonts w:eastAsia="楷体_GB2312" w:hint="eastAsia"/>
          <w:b/>
          <w:sz w:val="32"/>
          <w:szCs w:val="32"/>
          <w:lang w:val="zh-CN"/>
        </w:rPr>
        <w:t>（五）评价组织</w:t>
      </w:r>
    </w:p>
    <w:p>
      <w:pPr>
        <w:spacing w:line="578" w:lineRule="exact"/>
        <w:ind w:firstLine="640"/>
        <w:rPr>
          <w:bCs/>
        </w:rPr>
      </w:pPr>
      <w:bookmarkStart w:id="195" w:name="OLE_LINK48"/>
      <w:r>
        <w:rPr>
          <w:rFonts w:ascii="仿宋" w:eastAsia="仿宋" w:hint="eastAsia"/>
          <w:sz w:val="32"/>
          <w:szCs w:val="32"/>
        </w:rPr>
        <w:t>我单位财务负责人展开绩效自评价。组织教师认真学习相关理论，了解本项目建设的目的意义。</w:t>
      </w:r>
      <w:bookmarkEnd w:id="195"/>
    </w:p>
    <w:p>
      <w:pPr>
        <w:adjustRightInd w:val="0"/>
        <w:snapToGrid w:val="0"/>
        <w:spacing w:line="578" w:lineRule="exact"/>
        <w:ind w:firstLineChars="200" w:firstLine="640"/>
        <w:outlineLvl w:val="0"/>
        <w:rPr>
          <w:lang w:val="zh-CN"/>
        </w:rPr>
      </w:pPr>
      <w:r>
        <w:rPr>
          <w:rFonts w:eastAsia="黑体" w:hint="eastAsia"/>
          <w:sz w:val="32"/>
          <w:szCs w:val="32"/>
        </w:rPr>
        <w:t>三、绩效分析</w:t>
      </w:r>
      <w:r>
        <w:rPr>
          <w:rFonts w:hint="eastAsia"/>
          <w:sz w:val="32"/>
          <w:szCs w:val="32"/>
          <w:lang w:val="zh-CN"/>
        </w:rPr>
        <w:tab/>
      </w:r>
    </w:p>
    <w:p>
      <w:pPr>
        <w:spacing w:line="578" w:lineRule="exact"/>
        <w:ind w:firstLine="640"/>
        <w:outlineLvl w:val="1"/>
        <w:rPr>
          <w:rFonts w:eastAsia="楷体_GB2312"/>
          <w:b/>
        </w:rPr>
      </w:pPr>
      <w:r>
        <w:rPr>
          <w:rFonts w:eastAsia="楷体_GB2312" w:hint="eastAsia"/>
          <w:b/>
          <w:sz w:val="32"/>
          <w:szCs w:val="32"/>
          <w:lang w:val="zh-CN"/>
        </w:rPr>
        <w:t>（一）</w:t>
      </w:r>
      <w:r>
        <w:rPr>
          <w:rFonts w:eastAsia="楷体_GB2312" w:hint="eastAsia"/>
          <w:b/>
          <w:sz w:val="32"/>
          <w:szCs w:val="32"/>
        </w:rPr>
        <w:t>通用指标</w:t>
      </w:r>
      <w:r>
        <w:rPr>
          <w:rFonts w:eastAsia="楷体_GB2312"/>
          <w:b/>
          <w:sz w:val="32"/>
          <w:szCs w:val="32"/>
        </w:rPr>
        <w:t>绩效分析</w:t>
      </w:r>
    </w:p>
    <w:p>
      <w:pPr>
        <w:spacing w:line="578" w:lineRule="exact"/>
        <w:ind w:firstLine="640"/>
        <w:outlineLvl w:val="2"/>
        <w:rPr>
          <w:rFonts w:ascii="仿宋" w:eastAsia="仿宋"/>
          <w:sz w:val="32"/>
          <w:szCs w:val="32"/>
        </w:rPr>
      </w:pPr>
      <w:r>
        <w:rPr>
          <w:rFonts w:ascii="仿宋" w:eastAsia="仿宋" w:hint="eastAsia"/>
          <w:sz w:val="32"/>
          <w:szCs w:val="32"/>
        </w:rPr>
        <w:t>1.项目决策</w:t>
      </w:r>
    </w:p>
    <w:p>
      <w:pPr>
        <w:spacing w:line="578" w:lineRule="exact"/>
        <w:ind w:firstLine="640"/>
        <w:outlineLvl w:val="2"/>
        <w:rPr>
          <w:rFonts w:ascii="仿宋" w:eastAsia="仿宋"/>
          <w:sz w:val="32"/>
          <w:szCs w:val="32"/>
        </w:rPr>
      </w:pPr>
      <w:r>
        <w:rPr>
          <w:rFonts w:ascii="仿宋" w:eastAsia="仿宋" w:hint="eastAsia"/>
          <w:sz w:val="32"/>
          <w:szCs w:val="32"/>
        </w:rPr>
        <w:t>（1）决策程序</w:t>
      </w:r>
    </w:p>
    <w:p>
      <w:pPr>
        <w:spacing w:line="578" w:lineRule="exact"/>
        <w:ind w:firstLine="640"/>
        <w:rPr>
          <w:rFonts w:ascii="仿宋" w:eastAsia="仿宋"/>
          <w:sz w:val="32"/>
          <w:szCs w:val="32"/>
        </w:rPr>
      </w:pPr>
      <w:r>
        <w:rPr>
          <w:rFonts w:ascii="仿宋" w:eastAsia="仿宋" w:hint="eastAsia"/>
          <w:sz w:val="32"/>
          <w:szCs w:val="32"/>
        </w:rPr>
        <w:t>经自查，项目立项依据充分，符合国家法律法规、国民经济发展规划和相关政策；符合行业发展规划和政策要求；与部门职责范围相符，属于部门履职所需；属于公共财政支持范围。综上所述，该指标得6分。</w:t>
      </w:r>
    </w:p>
    <w:p>
      <w:pPr>
        <w:spacing w:line="578" w:lineRule="exact"/>
        <w:ind w:firstLine="640"/>
        <w:outlineLvl w:val="2"/>
        <w:rPr>
          <w:rFonts w:ascii="仿宋" w:eastAsia="仿宋"/>
          <w:sz w:val="32"/>
          <w:szCs w:val="32"/>
        </w:rPr>
      </w:pPr>
      <w:r>
        <w:rPr>
          <w:rFonts w:ascii="仿宋" w:eastAsia="仿宋" w:hint="eastAsia"/>
          <w:sz w:val="32"/>
          <w:szCs w:val="32"/>
        </w:rPr>
        <w:t>（2）规划论证</w:t>
      </w:r>
    </w:p>
    <w:p>
      <w:pPr>
        <w:spacing w:line="578" w:lineRule="exact"/>
        <w:ind w:firstLine="640"/>
        <w:rPr>
          <w:rFonts w:ascii="仿宋" w:eastAsia="仿宋"/>
          <w:sz w:val="32"/>
          <w:szCs w:val="32"/>
        </w:rPr>
      </w:pPr>
      <w:r>
        <w:rPr>
          <w:rFonts w:ascii="仿宋" w:eastAsia="仿宋" w:hint="eastAsia"/>
          <w:sz w:val="32"/>
          <w:szCs w:val="32"/>
        </w:rPr>
        <w:t>项目立项程序规范，项目按照规定的程序申请设立；审批文件、材料符合相关要求；事前经过必要的可行性研究、专家论证、风险评估、绩效评估、集体决策。但指标设置不完整，绩效目标设定的完善程度有待提高。综上所述，该指标得2分。</w:t>
      </w:r>
    </w:p>
    <w:p>
      <w:pPr>
        <w:spacing w:line="578" w:lineRule="exact"/>
        <w:ind w:firstLine="640"/>
        <w:outlineLvl w:val="2"/>
        <w:rPr>
          <w:rFonts w:ascii="仿宋" w:eastAsia="仿宋"/>
          <w:sz w:val="32"/>
          <w:szCs w:val="32"/>
        </w:rPr>
      </w:pPr>
      <w:r>
        <w:rPr>
          <w:rFonts w:ascii="仿宋" w:eastAsia="仿宋" w:hint="eastAsia"/>
          <w:sz w:val="32"/>
          <w:szCs w:val="32"/>
        </w:rPr>
        <w:t>（3）资金投向</w:t>
      </w:r>
    </w:p>
    <w:p>
      <w:pPr>
        <w:spacing w:line="578" w:lineRule="exact"/>
        <w:ind w:firstLine="640"/>
        <w:rPr>
          <w:rFonts w:ascii="仿宋" w:eastAsia="仿宋"/>
          <w:sz w:val="32"/>
          <w:szCs w:val="32"/>
        </w:rPr>
      </w:pPr>
      <w:r>
        <w:rPr>
          <w:rFonts w:ascii="仿宋" w:eastAsia="仿宋" w:hint="eastAsia"/>
          <w:sz w:val="32"/>
          <w:szCs w:val="32"/>
        </w:rPr>
        <w:t>项目符合专项设立的基本规范和程序要求，属于部门职责相符，属于公共财政支持范围，符合地方事权支出责任划分原则，与相关部门同类项目或部门内部无相关项目重复。综上所述，该指标得6分。</w:t>
      </w:r>
    </w:p>
    <w:p>
      <w:pPr>
        <w:spacing w:line="578" w:lineRule="exact"/>
        <w:ind w:firstLine="640"/>
        <w:outlineLvl w:val="2"/>
        <w:rPr>
          <w:rFonts w:ascii="仿宋" w:eastAsia="仿宋"/>
          <w:sz w:val="32"/>
          <w:szCs w:val="32"/>
        </w:rPr>
      </w:pPr>
      <w:r>
        <w:rPr>
          <w:rFonts w:ascii="仿宋" w:eastAsia="仿宋" w:hint="eastAsia"/>
          <w:sz w:val="32"/>
          <w:szCs w:val="32"/>
        </w:rPr>
        <w:t>2.项目管理</w:t>
      </w:r>
    </w:p>
    <w:p>
      <w:pPr>
        <w:spacing w:line="578" w:lineRule="exact"/>
        <w:ind w:firstLine="640"/>
        <w:outlineLvl w:val="2"/>
        <w:rPr>
          <w:rFonts w:ascii="仿宋" w:eastAsia="仿宋"/>
          <w:sz w:val="32"/>
          <w:szCs w:val="32"/>
        </w:rPr>
      </w:pPr>
      <w:r>
        <w:rPr>
          <w:rFonts w:ascii="仿宋" w:eastAsia="仿宋" w:hint="eastAsia"/>
          <w:sz w:val="32"/>
          <w:szCs w:val="32"/>
        </w:rPr>
        <w:t>（1）制度办法</w:t>
      </w:r>
    </w:p>
    <w:p>
      <w:pPr>
        <w:spacing w:line="578" w:lineRule="exact"/>
        <w:ind w:firstLine="640"/>
        <w:outlineLvl w:val="2"/>
        <w:rPr>
          <w:rFonts w:ascii="仿宋" w:eastAsia="仿宋"/>
          <w:sz w:val="32"/>
          <w:szCs w:val="32"/>
        </w:rPr>
      </w:pPr>
      <w:r>
        <w:rPr>
          <w:rFonts w:ascii="仿宋" w:eastAsia="仿宋" w:hint="eastAsia"/>
          <w:sz w:val="32"/>
          <w:szCs w:val="32"/>
        </w:rPr>
        <w:t>严格按照教育厅关于印发《财政部 教育部关于印发《城乡义务教育补助经费管理办法》的通知（财教〔2021〕56号）执行，部门资金管理办法等管理制度体系健全完善，不存在管理制度缺失、管理办法过期情况。综上所述，该指标得2分。</w:t>
      </w:r>
    </w:p>
    <w:p>
      <w:pPr>
        <w:spacing w:line="578" w:lineRule="exact"/>
        <w:ind w:firstLine="640"/>
        <w:outlineLvl w:val="2"/>
        <w:rPr>
          <w:rFonts w:ascii="仿宋" w:eastAsia="仿宋"/>
          <w:sz w:val="32"/>
          <w:szCs w:val="32"/>
        </w:rPr>
      </w:pPr>
      <w:r>
        <w:rPr>
          <w:rFonts w:ascii="仿宋" w:eastAsia="仿宋" w:hint="eastAsia"/>
          <w:sz w:val="32"/>
          <w:szCs w:val="32"/>
        </w:rPr>
        <w:t>（2）分配管理</w:t>
      </w:r>
    </w:p>
    <w:p>
      <w:pPr>
        <w:spacing w:line="578" w:lineRule="exact"/>
        <w:ind w:firstLine="640"/>
        <w:outlineLvl w:val="2"/>
        <w:rPr>
          <w:rFonts w:ascii="仿宋" w:eastAsia="仿宋"/>
          <w:sz w:val="32"/>
          <w:szCs w:val="32"/>
        </w:rPr>
      </w:pPr>
      <w:r>
        <w:rPr>
          <w:rFonts w:ascii="仿宋" w:eastAsia="仿宋" w:hint="eastAsia"/>
          <w:sz w:val="32"/>
          <w:szCs w:val="32"/>
        </w:rPr>
        <w:t>部门按照其他分配法分配管理资金，资金分配严格按管理办法执行，决策程序符合管理要求，及时高效。综上所述，该指标得10分。</w:t>
      </w:r>
    </w:p>
    <w:p>
      <w:pPr>
        <w:spacing w:line="578" w:lineRule="exact"/>
        <w:ind w:firstLine="640"/>
        <w:outlineLvl w:val="2"/>
        <w:rPr>
          <w:rFonts w:ascii="仿宋" w:eastAsia="仿宋"/>
          <w:sz w:val="32"/>
          <w:szCs w:val="32"/>
        </w:rPr>
      </w:pPr>
      <w:r>
        <w:rPr>
          <w:rFonts w:ascii="仿宋" w:eastAsia="仿宋" w:hint="eastAsia"/>
          <w:sz w:val="32"/>
          <w:szCs w:val="32"/>
        </w:rPr>
        <w:t>（3）绩效监管</w:t>
      </w:r>
    </w:p>
    <w:p>
      <w:pPr>
        <w:spacing w:line="578" w:lineRule="exact"/>
        <w:ind w:firstLine="640"/>
        <w:outlineLvl w:val="2"/>
        <w:rPr>
          <w:rFonts w:ascii="仿宋" w:eastAsia="仿宋"/>
          <w:sz w:val="32"/>
          <w:szCs w:val="32"/>
        </w:rPr>
      </w:pPr>
      <w:r>
        <w:rPr>
          <w:rFonts w:ascii="仿宋" w:eastAsia="仿宋" w:hint="eastAsia"/>
          <w:sz w:val="32"/>
          <w:szCs w:val="32"/>
        </w:rPr>
        <w:t>项目按中省要求全面完成绩效目标（含事前评估）、绩效评价、以前年度问题整改等预算绩效管理工作；省级部门对市县主管部门预算绩效管理要求到位，不存在对市县资金分配和项目管理指导力度不够的情况。综上所述，该指标得6分。</w:t>
      </w:r>
    </w:p>
    <w:p>
      <w:pPr>
        <w:spacing w:line="578" w:lineRule="exact"/>
        <w:ind w:firstLine="640"/>
        <w:outlineLvl w:val="2"/>
        <w:rPr>
          <w:rFonts w:ascii="仿宋" w:eastAsia="仿宋"/>
          <w:sz w:val="32"/>
          <w:szCs w:val="32"/>
        </w:rPr>
      </w:pPr>
      <w:r>
        <w:rPr>
          <w:rFonts w:ascii="仿宋" w:eastAsia="仿宋" w:hint="eastAsia"/>
          <w:sz w:val="32"/>
          <w:szCs w:val="32"/>
        </w:rPr>
        <w:t>3.项目实施</w:t>
      </w:r>
    </w:p>
    <w:p>
      <w:pPr>
        <w:spacing w:line="578" w:lineRule="exact"/>
        <w:ind w:firstLine="640"/>
        <w:outlineLvl w:val="2"/>
        <w:rPr>
          <w:rFonts w:ascii="仿宋" w:eastAsia="仿宋"/>
          <w:sz w:val="32"/>
          <w:szCs w:val="32"/>
        </w:rPr>
      </w:pPr>
      <w:r>
        <w:rPr>
          <w:rFonts w:ascii="仿宋" w:eastAsia="仿宋" w:hint="eastAsia"/>
          <w:sz w:val="32"/>
          <w:szCs w:val="32"/>
        </w:rPr>
        <w:t>（1）预算执行</w:t>
      </w:r>
    </w:p>
    <w:p>
      <w:pPr>
        <w:ind w:firstLineChars="200" w:firstLine="640"/>
        <w:outlineLvl w:val="2"/>
        <w:rPr>
          <w:rFonts w:ascii="仿宋" w:eastAsia="仿宋"/>
          <w:sz w:val="32"/>
          <w:szCs w:val="32"/>
        </w:rPr>
      </w:pPr>
      <w:r>
        <w:rPr>
          <w:rFonts w:ascii="仿宋" w:eastAsia="仿宋" w:hint="eastAsia"/>
          <w:sz w:val="32"/>
          <w:szCs w:val="32"/>
        </w:rPr>
        <w:t>财政资金拨付率：已完成拨付指标金额÷财政资金实际下达总额28.92÷29.44*100%=98.23%。单位资金使用率：单位实际支付金额÷单位实际到位金额=28.92÷29.44*100%=98.23%该项指标得分=财政资金拨付率×100%×3+单位资金使用率×100%×3=100%×100%×3+98.23%×100%×3=5.95。综上所述，该指标得5.95分。</w:t>
      </w:r>
    </w:p>
    <w:p>
      <w:pPr>
        <w:spacing w:line="578" w:lineRule="exact"/>
        <w:ind w:firstLine="640"/>
        <w:outlineLvl w:val="2"/>
        <w:rPr>
          <w:rFonts w:ascii="仿宋" w:eastAsia="仿宋"/>
          <w:sz w:val="32"/>
          <w:szCs w:val="32"/>
        </w:rPr>
      </w:pPr>
      <w:r>
        <w:rPr>
          <w:rFonts w:ascii="仿宋" w:eastAsia="仿宋" w:hint="eastAsia"/>
          <w:sz w:val="32"/>
          <w:szCs w:val="32"/>
        </w:rPr>
        <w:t>（2）资金使用</w:t>
      </w:r>
    </w:p>
    <w:p>
      <w:pPr>
        <w:spacing w:line="578" w:lineRule="exact"/>
        <w:ind w:firstLine="640"/>
        <w:outlineLvl w:val="2"/>
        <w:rPr>
          <w:rFonts w:ascii="仿宋" w:eastAsia="仿宋"/>
          <w:sz w:val="32"/>
          <w:szCs w:val="32"/>
        </w:rPr>
      </w:pPr>
      <w:r>
        <w:rPr>
          <w:rFonts w:ascii="仿宋" w:eastAsia="仿宋" w:hint="eastAsia"/>
          <w:sz w:val="32"/>
          <w:szCs w:val="32"/>
        </w:rPr>
        <w:t>项目资金使用、拨付符合国家财经法规、财务管理制度及有关专项资金管理制度办法规定和审批程序，不存在超范围、超标准、超进度使用专项资金，不存在资金损失浪费、长期沉淀、截留、挤占、挪用、虚列支出等情况，项目实施严格遵守相关法律法规。综上所述，该指标得3分。</w:t>
      </w:r>
    </w:p>
    <w:p>
      <w:pPr>
        <w:spacing w:line="578" w:lineRule="exact"/>
        <w:ind w:firstLine="640"/>
        <w:outlineLvl w:val="2"/>
        <w:rPr>
          <w:rFonts w:ascii="仿宋" w:eastAsia="仿宋"/>
          <w:sz w:val="32"/>
          <w:szCs w:val="32"/>
        </w:rPr>
      </w:pPr>
      <w:r>
        <w:rPr>
          <w:rFonts w:ascii="仿宋" w:eastAsia="仿宋" w:hint="eastAsia"/>
          <w:sz w:val="32"/>
          <w:szCs w:val="32"/>
        </w:rPr>
        <w:t>4.项目结果</w:t>
      </w:r>
    </w:p>
    <w:p>
      <w:pPr>
        <w:spacing w:line="578" w:lineRule="exact"/>
        <w:ind w:firstLine="640"/>
        <w:outlineLvl w:val="2"/>
        <w:rPr>
          <w:rFonts w:ascii="仿宋" w:eastAsia="仿宋"/>
          <w:sz w:val="32"/>
          <w:szCs w:val="32"/>
        </w:rPr>
      </w:pPr>
      <w:r>
        <w:rPr>
          <w:rFonts w:ascii="仿宋" w:eastAsia="仿宋" w:hint="eastAsia"/>
          <w:sz w:val="32"/>
          <w:szCs w:val="32"/>
        </w:rPr>
        <w:t>（1）目标完成</w:t>
      </w:r>
    </w:p>
    <w:p>
      <w:pPr>
        <w:widowControl/>
        <w:adjustRightInd w:val="0"/>
        <w:snapToGrid w:val="0"/>
        <w:spacing w:line="578" w:lineRule="exact"/>
        <w:ind w:firstLineChars="200" w:firstLine="640"/>
        <w:contextualSpacing/>
        <w:jc w:val="left"/>
        <w:rPr>
          <w:rFonts w:ascii="仿宋" w:eastAsia="仿宋"/>
          <w:sz w:val="32"/>
          <w:szCs w:val="32"/>
        </w:rPr>
      </w:pPr>
      <w:r>
        <w:rPr>
          <w:rFonts w:ascii="仿宋" w:eastAsia="仿宋" w:hint="eastAsia"/>
          <w:sz w:val="32"/>
          <w:szCs w:val="32"/>
        </w:rPr>
        <w:t>根据已提供的项目绩效目标申报表，未设置具体的项目年度总体目标。综上所述，该指标得4分。</w:t>
      </w:r>
    </w:p>
    <w:p>
      <w:pPr>
        <w:spacing w:line="578" w:lineRule="exact"/>
        <w:ind w:firstLine="640"/>
        <w:outlineLvl w:val="2"/>
        <w:rPr>
          <w:rFonts w:ascii="仿宋" w:eastAsia="仿宋"/>
          <w:sz w:val="32"/>
          <w:szCs w:val="32"/>
        </w:rPr>
      </w:pPr>
      <w:r>
        <w:rPr>
          <w:rFonts w:ascii="仿宋" w:eastAsia="仿宋" w:hint="eastAsia"/>
          <w:sz w:val="32"/>
          <w:szCs w:val="32"/>
        </w:rPr>
        <w:t>（2）完成时效</w:t>
      </w:r>
    </w:p>
    <w:p>
      <w:pPr>
        <w:ind w:firstLineChars="200" w:firstLine="640"/>
        <w:rPr>
          <w:rFonts w:ascii="仿宋" w:eastAsia="仿宋"/>
          <w:sz w:val="32"/>
          <w:szCs w:val="32"/>
        </w:rPr>
      </w:pPr>
      <w:r>
        <w:rPr>
          <w:rFonts w:ascii="仿宋" w:eastAsia="仿宋"/>
          <w:sz w:val="32"/>
          <w:szCs w:val="32"/>
        </w:rPr>
        <w:t>乡村教师生活补助及县城学校工作奖励金下达资金</w:t>
      </w:r>
      <w:r>
        <w:rPr>
          <w:rFonts w:ascii="仿宋" w:eastAsia="仿宋" w:hint="eastAsia"/>
          <w:sz w:val="32"/>
          <w:szCs w:val="32"/>
        </w:rPr>
        <w:t>29.44</w:t>
      </w:r>
      <w:r>
        <w:rPr>
          <w:rFonts w:ascii="仿宋" w:eastAsia="仿宋"/>
          <w:sz w:val="32"/>
          <w:szCs w:val="32"/>
        </w:rPr>
        <w:t>万元使用</w:t>
      </w:r>
      <w:r>
        <w:rPr>
          <w:rFonts w:ascii="仿宋" w:eastAsia="仿宋" w:hint="eastAsia"/>
          <w:sz w:val="32"/>
          <w:szCs w:val="32"/>
        </w:rPr>
        <w:t>28.92</w:t>
      </w:r>
      <w:r>
        <w:rPr>
          <w:rFonts w:ascii="仿宋" w:eastAsia="仿宋"/>
          <w:sz w:val="32"/>
          <w:szCs w:val="32"/>
        </w:rPr>
        <w:t>万元结余0.</w:t>
      </w:r>
      <w:r>
        <w:rPr>
          <w:rFonts w:ascii="仿宋" w:eastAsia="仿宋" w:hint="eastAsia"/>
          <w:sz w:val="32"/>
          <w:szCs w:val="32"/>
        </w:rPr>
        <w:t>52</w:t>
      </w:r>
      <w:r>
        <w:rPr>
          <w:rFonts w:ascii="仿宋" w:eastAsia="仿宋"/>
          <w:sz w:val="32"/>
          <w:szCs w:val="32"/>
        </w:rPr>
        <w:t>万元，</w:t>
      </w:r>
      <w:r>
        <w:rPr>
          <w:rFonts w:ascii="仿宋" w:eastAsia="仿宋" w:hint="eastAsia"/>
          <w:sz w:val="32"/>
          <w:szCs w:val="32"/>
        </w:rPr>
        <w:t>用于教师生活补助结余资金年底财政收回。项目实际完成时间与计划完成时间均按照资金下达文件拨付，综上所述，该指标得3分。</w:t>
      </w:r>
    </w:p>
    <w:p>
      <w:pPr>
        <w:spacing w:line="578" w:lineRule="exact"/>
        <w:ind w:firstLineChars="200" w:firstLine="640"/>
        <w:outlineLvl w:val="1"/>
        <w:rPr>
          <w:rFonts w:eastAsia="楷体_GB2312" w:cs="楷体_GB2312"/>
          <w:lang w:val="zh-CN"/>
        </w:rPr>
      </w:pPr>
      <w:r>
        <w:rPr>
          <w:rFonts w:eastAsia="楷体_GB2312" w:hint="eastAsia"/>
          <w:b/>
          <w:sz w:val="32"/>
          <w:szCs w:val="32"/>
          <w:lang w:val="zh-CN"/>
        </w:rPr>
        <w:t>（二）</w:t>
      </w:r>
      <w:r>
        <w:rPr>
          <w:rFonts w:eastAsia="楷体_GB2312" w:hint="eastAsia"/>
          <w:b/>
          <w:sz w:val="32"/>
          <w:szCs w:val="32"/>
        </w:rPr>
        <w:t>专用指</w:t>
      </w:r>
      <w:r>
        <w:rPr>
          <w:rFonts w:eastAsia="楷体_GB2312" w:hint="eastAsia"/>
          <w:b/>
          <w:sz w:val="32"/>
          <w:szCs w:val="32"/>
          <w:lang w:val="zh-CN"/>
        </w:rPr>
        <w:t>标</w:t>
      </w:r>
      <w:r>
        <w:rPr>
          <w:rFonts w:eastAsia="楷体_GB2312"/>
          <w:b/>
          <w:sz w:val="32"/>
          <w:szCs w:val="32"/>
          <w:lang w:val="zh-CN"/>
        </w:rPr>
        <w:t>绩效分析</w:t>
      </w:r>
    </w:p>
    <w:p>
      <w:pPr>
        <w:spacing w:line="578" w:lineRule="exact"/>
        <w:ind w:firstLine="640"/>
        <w:outlineLvl w:val="1"/>
        <w:rPr>
          <w:rFonts w:ascii="楷体_GB2312" w:eastAsia="楷体_GB2312" w:cs="楷体_GB2312" w:hint="eastAsia"/>
          <w:sz w:val="32"/>
          <w:szCs w:val="32"/>
        </w:rPr>
      </w:pPr>
      <w:r>
        <w:rPr>
          <w:rFonts w:ascii="楷体_GB2312" w:eastAsia="楷体_GB2312" w:cs="楷体_GB2312" w:hint="eastAsia"/>
          <w:sz w:val="32"/>
          <w:szCs w:val="32"/>
        </w:rPr>
        <w:t>1.产业发展（30分）（不适用本项目）</w:t>
      </w:r>
    </w:p>
    <w:p>
      <w:pPr>
        <w:spacing w:line="578" w:lineRule="exact"/>
        <w:ind w:firstLine="640"/>
        <w:outlineLvl w:val="1"/>
        <w:rPr>
          <w:rFonts w:ascii="楷体_GB2312" w:eastAsia="楷体_GB2312" w:cs="楷体_GB2312" w:hint="eastAsia"/>
          <w:sz w:val="32"/>
          <w:szCs w:val="32"/>
        </w:rPr>
      </w:pPr>
      <w:r>
        <w:rPr>
          <w:rFonts w:ascii="楷体_GB2312" w:eastAsia="楷体_GB2312" w:cs="楷体_GB2312" w:hint="eastAsia"/>
          <w:sz w:val="32"/>
          <w:szCs w:val="32"/>
        </w:rPr>
        <w:t>2.民生保障（30分）</w:t>
      </w:r>
    </w:p>
    <w:p>
      <w:pPr>
        <w:spacing w:line="578" w:lineRule="exact"/>
        <w:ind w:firstLine="640"/>
        <w:outlineLvl w:val="1"/>
        <w:rPr>
          <w:rFonts w:ascii="楷体_GB2312" w:eastAsia="楷体_GB2312" w:cs="楷体_GB2312" w:hint="eastAsia"/>
          <w:sz w:val="32"/>
          <w:szCs w:val="32"/>
        </w:rPr>
      </w:pPr>
      <w:r>
        <w:rPr>
          <w:rFonts w:ascii="楷体_GB2312" w:eastAsia="楷体_GB2312" w:cs="楷体_GB2312" w:hint="eastAsia"/>
          <w:sz w:val="32"/>
          <w:szCs w:val="32"/>
        </w:rPr>
        <w:t>（1）区域均衡性</w:t>
      </w:r>
    </w:p>
    <w:p>
      <w:pPr>
        <w:spacing w:line="578" w:lineRule="exact"/>
        <w:ind w:firstLine="640"/>
        <w:outlineLvl w:val="1"/>
        <w:rPr>
          <w:rFonts w:ascii="仿宋" w:eastAsia="仿宋"/>
          <w:sz w:val="32"/>
          <w:szCs w:val="32"/>
        </w:rPr>
      </w:pPr>
      <w:r>
        <w:rPr>
          <w:rFonts w:ascii="仿宋" w:eastAsia="仿宋" w:hint="eastAsia"/>
          <w:sz w:val="32"/>
          <w:szCs w:val="32"/>
        </w:rPr>
        <w:t>优化教育环境，推动教育均衡发展，不断提高教育教学。</w:t>
      </w:r>
    </w:p>
    <w:p>
      <w:pPr>
        <w:spacing w:line="578" w:lineRule="exact"/>
        <w:ind w:firstLine="640"/>
        <w:outlineLvl w:val="1"/>
        <w:rPr>
          <w:rFonts w:ascii="仿宋" w:eastAsia="仿宋"/>
          <w:sz w:val="32"/>
          <w:szCs w:val="32"/>
        </w:rPr>
      </w:pPr>
      <w:r>
        <w:rPr>
          <w:rFonts w:ascii="仿宋" w:eastAsia="仿宋" w:hint="eastAsia"/>
          <w:sz w:val="32"/>
          <w:szCs w:val="32"/>
        </w:rPr>
        <w:t>该指标自评得分8分。</w:t>
      </w:r>
    </w:p>
    <w:p>
      <w:pPr>
        <w:spacing w:line="578" w:lineRule="exact"/>
        <w:ind w:firstLine="640"/>
        <w:outlineLvl w:val="1"/>
        <w:rPr>
          <w:rFonts w:ascii="楷体_GB2312" w:eastAsia="楷体_GB2312" w:cs="楷体_GB2312" w:hint="eastAsia"/>
          <w:sz w:val="32"/>
          <w:szCs w:val="32"/>
        </w:rPr>
      </w:pPr>
      <w:r>
        <w:rPr>
          <w:rFonts w:ascii="楷体_GB2312" w:eastAsia="楷体_GB2312" w:cs="楷体_GB2312" w:hint="eastAsia"/>
          <w:sz w:val="32"/>
          <w:szCs w:val="32"/>
        </w:rPr>
        <w:t xml:space="preserve">（2）对象精准性 </w:t>
      </w:r>
    </w:p>
    <w:p>
      <w:pPr>
        <w:spacing w:line="578" w:lineRule="exact"/>
        <w:ind w:firstLine="640"/>
        <w:outlineLvl w:val="1"/>
        <w:rPr>
          <w:rFonts w:ascii="楷体_GB2312" w:eastAsia="楷体_GB2312" w:cs="楷体_GB2312" w:hint="eastAsia"/>
        </w:rPr>
      </w:pPr>
      <w:r>
        <w:rPr>
          <w:rFonts w:ascii="仿宋" w:eastAsia="仿宋" w:hint="eastAsia"/>
          <w:sz w:val="32"/>
          <w:szCs w:val="32"/>
        </w:rPr>
        <w:t>改善义务教育乡村学校教师生活条件，为鼓励和吸引优秀人才在义务教育乡村学校长期任教、终生任教提供保障及时落实和享受到支持对象个人。该指标自评得分10分。</w:t>
      </w:r>
    </w:p>
    <w:p>
      <w:pPr>
        <w:spacing w:line="578" w:lineRule="exact"/>
        <w:ind w:firstLine="640"/>
        <w:outlineLvl w:val="1"/>
        <w:rPr>
          <w:rFonts w:ascii="楷体_GB2312" w:eastAsia="楷体_GB2312" w:cs="楷体_GB2312" w:hint="eastAsia"/>
          <w:sz w:val="32"/>
          <w:szCs w:val="32"/>
        </w:rPr>
      </w:pPr>
      <w:r>
        <w:rPr>
          <w:rFonts w:ascii="楷体_GB2312" w:eastAsia="楷体_GB2312" w:cs="楷体_GB2312" w:hint="eastAsia"/>
          <w:sz w:val="32"/>
          <w:szCs w:val="32"/>
        </w:rPr>
        <w:t>（3）标准合理性</w:t>
      </w:r>
    </w:p>
    <w:p>
      <w:pPr>
        <w:spacing w:line="578" w:lineRule="exact"/>
        <w:ind w:firstLine="640"/>
        <w:outlineLvl w:val="1"/>
        <w:rPr>
          <w:rFonts w:ascii="仿宋" w:eastAsia="仿宋"/>
          <w:sz w:val="32"/>
          <w:szCs w:val="32"/>
        </w:rPr>
      </w:pPr>
      <w:r>
        <w:rPr>
          <w:rFonts w:ascii="仿宋" w:eastAsia="仿宋" w:hint="eastAsia"/>
          <w:sz w:val="32"/>
          <w:szCs w:val="32"/>
        </w:rPr>
        <w:t>资金实际补贴标准符合资金管理办法规定的补助标准，补助资金及时按标准兑现教师个人，指标自评得分5分。</w:t>
      </w:r>
    </w:p>
    <w:p>
      <w:pPr>
        <w:spacing w:line="578" w:lineRule="exact"/>
        <w:ind w:firstLine="640"/>
        <w:outlineLvl w:val="1"/>
        <w:rPr>
          <w:rFonts w:ascii="楷体_GB2312" w:eastAsia="楷体_GB2312" w:cs="楷体_GB2312" w:hint="eastAsia"/>
          <w:sz w:val="32"/>
          <w:szCs w:val="32"/>
        </w:rPr>
      </w:pPr>
      <w:r>
        <w:rPr>
          <w:rFonts w:ascii="楷体_GB2312" w:eastAsia="楷体_GB2312" w:cs="楷体_GB2312" w:hint="eastAsia"/>
          <w:sz w:val="32"/>
          <w:szCs w:val="32"/>
        </w:rPr>
        <w:t>（4）群众满意度</w:t>
      </w:r>
    </w:p>
    <w:p>
      <w:pPr>
        <w:spacing w:line="578" w:lineRule="exact"/>
        <w:ind w:firstLine="640"/>
        <w:outlineLvl w:val="1"/>
        <w:rPr>
          <w:rFonts w:ascii="仿宋" w:eastAsia="仿宋"/>
          <w:sz w:val="32"/>
          <w:szCs w:val="32"/>
        </w:rPr>
      </w:pPr>
      <w:r>
        <w:rPr>
          <w:rFonts w:ascii="仿宋" w:eastAsia="仿宋" w:hint="eastAsia"/>
          <w:sz w:val="32"/>
          <w:szCs w:val="32"/>
        </w:rPr>
        <w:t>农村教师生活补助资金项目的投入提高了教师的积极性，涉及相关受益群体、支持对象的满意度调查情况，满意度高达95%， 该指标自评得分4.75分。</w:t>
      </w:r>
    </w:p>
    <w:p>
      <w:pPr>
        <w:spacing w:line="578" w:lineRule="exact"/>
        <w:ind w:firstLine="640"/>
        <w:outlineLvl w:val="1"/>
        <w:rPr>
          <w:rFonts w:ascii="楷体_GB2312" w:eastAsia="楷体_GB2312" w:cs="楷体_GB2312" w:hint="eastAsia"/>
          <w:sz w:val="32"/>
          <w:szCs w:val="32"/>
        </w:rPr>
      </w:pPr>
      <w:r>
        <w:rPr>
          <w:rFonts w:ascii="楷体_GB2312" w:eastAsia="楷体_GB2312" w:cs="楷体_GB2312" w:hint="eastAsia"/>
          <w:sz w:val="32"/>
          <w:szCs w:val="32"/>
        </w:rPr>
        <w:t>3.基础设施。（30分）（不适用本项目）</w:t>
      </w:r>
    </w:p>
    <w:p>
      <w:pPr>
        <w:spacing w:line="578" w:lineRule="exact"/>
        <w:ind w:firstLine="640"/>
        <w:outlineLvl w:val="1"/>
        <w:rPr>
          <w:rFonts w:ascii="楷体_GB2312" w:eastAsia="楷体_GB2312" w:cs="楷体_GB2312" w:hint="eastAsia"/>
          <w:sz w:val="32"/>
          <w:szCs w:val="32"/>
        </w:rPr>
      </w:pPr>
      <w:r>
        <w:rPr>
          <w:rFonts w:ascii="楷体_GB2312" w:eastAsia="楷体_GB2312" w:cs="楷体_GB2312" w:hint="eastAsia"/>
          <w:sz w:val="32"/>
          <w:szCs w:val="32"/>
        </w:rPr>
        <w:t>4.行政运转。（30分）（不适用本项目）</w:t>
      </w:r>
    </w:p>
    <w:p>
      <w:pPr>
        <w:spacing w:line="578" w:lineRule="exact"/>
        <w:ind w:firstLine="640"/>
        <w:outlineLvl w:val="1"/>
        <w:rPr>
          <w:rFonts w:eastAsia="楷体_GB2312"/>
          <w:b/>
          <w:bCs/>
          <w:color w:val="000000"/>
          <w:kern w:val="0"/>
          <w:shd w:val="clear" w:color="auto" w:fill="FFFFFF"/>
          <w:lang w:val="zh-CN"/>
        </w:rPr>
      </w:pPr>
      <w:r>
        <w:rPr>
          <w:rFonts w:eastAsia="楷体_GB2312" w:hint="eastAsia"/>
          <w:b/>
          <w:sz w:val="32"/>
          <w:szCs w:val="32"/>
          <w:lang w:val="zh-CN"/>
        </w:rPr>
        <w:t>（三）</w:t>
      </w:r>
      <w:r>
        <w:rPr>
          <w:rFonts w:eastAsia="楷体_GB2312" w:hint="eastAsia"/>
          <w:b/>
          <w:sz w:val="32"/>
          <w:szCs w:val="32"/>
        </w:rPr>
        <w:t>个性指标</w:t>
      </w:r>
      <w:r>
        <w:rPr>
          <w:rFonts w:eastAsia="楷体_GB2312"/>
          <w:b/>
          <w:sz w:val="32"/>
          <w:szCs w:val="32"/>
        </w:rPr>
        <w:t>绩效分析</w:t>
      </w:r>
    </w:p>
    <w:p>
      <w:pPr>
        <w:adjustRightInd w:val="0"/>
        <w:snapToGrid w:val="0"/>
        <w:spacing w:line="578" w:lineRule="exact"/>
        <w:ind w:firstLineChars="200" w:firstLine="640"/>
        <w:rPr>
          <w:rFonts w:ascii="仿宋" w:eastAsia="仿宋"/>
          <w:sz w:val="32"/>
          <w:szCs w:val="32"/>
        </w:rPr>
      </w:pPr>
      <w:r>
        <w:rPr>
          <w:rFonts w:ascii="仿宋" w:eastAsia="仿宋" w:hint="eastAsia"/>
          <w:sz w:val="32"/>
          <w:szCs w:val="32"/>
        </w:rPr>
        <w:t>通过本项目的实施，为了鼓励、</w:t>
      </w:r>
      <w:r>
        <w:rPr>
          <w:rFonts w:ascii="Courier New" w:eastAsia="仿宋" w:cs="Courier New" w:hAnsi="Courier New"/>
          <w:sz w:val="32"/>
          <w:szCs w:val="32"/>
        </w:rPr>
        <w:t>‌</w:t>
      </w:r>
      <w:r>
        <w:rPr>
          <w:rFonts w:ascii="仿宋" w:eastAsia="仿宋" w:cs="仿宋" w:hint="eastAsia"/>
          <w:sz w:val="32"/>
          <w:szCs w:val="32"/>
        </w:rPr>
        <w:t>吸引优秀教师到边远困难地区任教，</w:t>
      </w:r>
      <w:r>
        <w:rPr>
          <w:rFonts w:ascii="Courier New" w:eastAsia="仿宋" w:cs="Courier New" w:hAnsi="Courier New"/>
          <w:sz w:val="32"/>
          <w:szCs w:val="32"/>
        </w:rPr>
        <w:t>‌</w:t>
      </w:r>
      <w:r>
        <w:rPr>
          <w:rFonts w:ascii="仿宋" w:eastAsia="仿宋" w:cs="仿宋" w:hint="eastAsia"/>
          <w:sz w:val="32"/>
          <w:szCs w:val="32"/>
        </w:rPr>
        <w:t>鼓励乡村教师长期从教，</w:t>
      </w:r>
      <w:r>
        <w:rPr>
          <w:rFonts w:ascii="Courier New" w:eastAsia="仿宋" w:cs="Courier New" w:hAnsi="Courier New"/>
          <w:sz w:val="32"/>
          <w:szCs w:val="32"/>
        </w:rPr>
        <w:t>‌</w:t>
      </w:r>
      <w:r>
        <w:rPr>
          <w:rFonts w:ascii="仿宋" w:eastAsia="仿宋" w:cs="仿宋" w:hint="eastAsia"/>
          <w:sz w:val="32"/>
          <w:szCs w:val="32"/>
        </w:rPr>
        <w:t>推动城乡义务教育一体化发展，</w:t>
      </w:r>
      <w:r>
        <w:rPr>
          <w:rFonts w:ascii="Courier New" w:eastAsia="仿宋" w:cs="Courier New" w:hAnsi="Courier New"/>
          <w:sz w:val="32"/>
          <w:szCs w:val="32"/>
        </w:rPr>
        <w:t>‌</w:t>
      </w:r>
      <w:r>
        <w:rPr>
          <w:rFonts w:ascii="仿宋" w:eastAsia="仿宋" w:cs="仿宋" w:hint="eastAsia"/>
          <w:sz w:val="32"/>
          <w:szCs w:val="32"/>
        </w:rPr>
        <w:t>提高乡村教师整体综合素质，</w:t>
      </w:r>
      <w:r>
        <w:rPr>
          <w:rFonts w:ascii="Courier New" w:eastAsia="仿宋" w:cs="Courier New" w:hAnsi="Courier New"/>
          <w:sz w:val="32"/>
          <w:szCs w:val="32"/>
        </w:rPr>
        <w:t>‌</w:t>
      </w:r>
      <w:r>
        <w:rPr>
          <w:rFonts w:ascii="仿宋" w:eastAsia="仿宋" w:cs="仿宋" w:hint="eastAsia"/>
          <w:sz w:val="32"/>
          <w:szCs w:val="32"/>
        </w:rPr>
        <w:t>促进全县义务教育优质均衡发展。</w:t>
      </w:r>
      <w:r>
        <w:rPr>
          <w:rFonts w:ascii="仿宋" w:eastAsia="仿宋" w:hint="eastAsia"/>
          <w:sz w:val="32"/>
          <w:szCs w:val="32"/>
        </w:rPr>
        <w:t>综上所述，该指标得16分。</w:t>
      </w:r>
    </w:p>
    <w:p>
      <w:pPr>
        <w:pStyle w:val="17"/>
        <w:spacing w:beforeLines="0" w:before="93" w:line="600" w:lineRule="exact"/>
        <w:ind w:firstLineChars="200" w:firstLine="640"/>
        <w:outlineLvl w:val="0"/>
        <w:rPr>
          <w:rFonts w:ascii="Times New Roman" w:hAnsi="Times New Roman"/>
          <w:sz w:val="32"/>
          <w:szCs w:val="32"/>
        </w:rPr>
      </w:pPr>
      <w:r>
        <w:rPr>
          <w:rFonts w:ascii="Times New Roman" w:eastAsia="黑体" w:hAnsi="Times New Roman" w:hint="eastAsia"/>
          <w:sz w:val="32"/>
          <w:szCs w:val="32"/>
        </w:rPr>
        <w:t>四、评价结论</w:t>
      </w:r>
    </w:p>
    <w:p>
      <w:pPr>
        <w:widowControl/>
        <w:adjustRightInd w:val="0"/>
        <w:snapToGrid w:val="0"/>
        <w:spacing w:line="578" w:lineRule="exact"/>
        <w:ind w:firstLineChars="200" w:firstLine="640"/>
        <w:contextualSpacing/>
        <w:jc w:val="left"/>
        <w:rPr>
          <w:rFonts w:ascii="仿宋" w:eastAsia="仿宋"/>
          <w:sz w:val="32"/>
          <w:szCs w:val="32"/>
        </w:rPr>
      </w:pPr>
      <w:r>
        <w:rPr>
          <w:rFonts w:ascii="仿宋" w:eastAsia="仿宋" w:hint="eastAsia"/>
          <w:sz w:val="32"/>
          <w:szCs w:val="32"/>
        </w:rPr>
        <w:t>我校严格按照上级部门要求及时、准确、优质地完成预决算编制。我校预算执行情况良好，支出管理规范，未出现支付不及时和不到位的情况，未出现因违规支出受到相关监督部门批评或处理的情况；资金管理制度较为完善，会计核算和账务处理规范，会计资料完整。通过本项目的实施，为了鼓励、</w:t>
      </w:r>
      <w:r>
        <w:rPr>
          <w:rFonts w:ascii="Courier New" w:eastAsia="仿宋" w:cs="Courier New" w:hAnsi="Courier New"/>
          <w:sz w:val="32"/>
          <w:szCs w:val="32"/>
        </w:rPr>
        <w:t>‌</w:t>
      </w:r>
      <w:r>
        <w:rPr>
          <w:rFonts w:ascii="仿宋" w:eastAsia="仿宋" w:cs="仿宋" w:hint="eastAsia"/>
          <w:sz w:val="32"/>
          <w:szCs w:val="32"/>
        </w:rPr>
        <w:t>吸引优秀教师到边远困难地区任教，</w:t>
      </w:r>
      <w:r>
        <w:rPr>
          <w:rFonts w:ascii="Courier New" w:eastAsia="仿宋" w:cs="Courier New" w:hAnsi="Courier New"/>
          <w:sz w:val="32"/>
          <w:szCs w:val="32"/>
        </w:rPr>
        <w:t>‌</w:t>
      </w:r>
      <w:r>
        <w:rPr>
          <w:rFonts w:ascii="仿宋" w:eastAsia="仿宋" w:cs="仿宋" w:hint="eastAsia"/>
          <w:sz w:val="32"/>
          <w:szCs w:val="32"/>
        </w:rPr>
        <w:t>鼓励乡村教师长期从教，</w:t>
      </w:r>
      <w:r>
        <w:rPr>
          <w:rFonts w:ascii="Courier New" w:eastAsia="仿宋" w:cs="Courier New" w:hAnsi="Courier New"/>
          <w:sz w:val="32"/>
          <w:szCs w:val="32"/>
        </w:rPr>
        <w:t>‌</w:t>
      </w:r>
      <w:r>
        <w:rPr>
          <w:rFonts w:ascii="仿宋" w:eastAsia="仿宋" w:cs="仿宋" w:hint="eastAsia"/>
          <w:sz w:val="32"/>
          <w:szCs w:val="32"/>
        </w:rPr>
        <w:t>推动城乡义务教育一体化发展，</w:t>
      </w:r>
      <w:r>
        <w:rPr>
          <w:rFonts w:ascii="Courier New" w:eastAsia="仿宋" w:cs="Courier New" w:hAnsi="Courier New"/>
          <w:sz w:val="32"/>
          <w:szCs w:val="32"/>
        </w:rPr>
        <w:t>‌</w:t>
      </w:r>
      <w:r>
        <w:rPr>
          <w:rFonts w:ascii="仿宋" w:eastAsia="仿宋" w:cs="仿宋" w:hint="eastAsia"/>
          <w:sz w:val="32"/>
          <w:szCs w:val="32"/>
        </w:rPr>
        <w:t>提高乡村教师整体综合素质，</w:t>
      </w:r>
      <w:r>
        <w:rPr>
          <w:rFonts w:ascii="Courier New" w:eastAsia="仿宋" w:cs="Courier New" w:hAnsi="Courier New"/>
          <w:sz w:val="32"/>
          <w:szCs w:val="32"/>
        </w:rPr>
        <w:t>‌</w:t>
      </w:r>
      <w:r>
        <w:rPr>
          <w:rFonts w:ascii="仿宋" w:eastAsia="仿宋" w:cs="仿宋" w:hint="eastAsia"/>
          <w:sz w:val="32"/>
          <w:szCs w:val="32"/>
        </w:rPr>
        <w:t>促进全县义务教育优质均衡发展。</w:t>
      </w:r>
      <w:r>
        <w:rPr>
          <w:rFonts w:ascii="仿宋" w:eastAsia="仿宋" w:hint="eastAsia"/>
          <w:sz w:val="32"/>
          <w:szCs w:val="32"/>
        </w:rPr>
        <w:t>生活补助及工作奖励金项目预算绩效自评得分95.70分。</w:t>
      </w:r>
    </w:p>
    <w:p>
      <w:pPr>
        <w:pStyle w:val="17"/>
        <w:spacing w:beforeLines="0" w:before="93" w:line="600" w:lineRule="exact"/>
        <w:ind w:firstLineChars="200" w:firstLine="640"/>
        <w:outlineLvl w:val="0"/>
        <w:rPr>
          <w:rFonts w:ascii="Times New Roman" w:hAnsi="Times New Roman"/>
          <w:sz w:val="32"/>
          <w:szCs w:val="32"/>
        </w:rPr>
      </w:pPr>
      <w:r>
        <w:rPr>
          <w:rFonts w:ascii="Times New Roman" w:eastAsia="黑体" w:hAnsi="Times New Roman" w:hint="eastAsia"/>
          <w:sz w:val="32"/>
          <w:szCs w:val="32"/>
        </w:rPr>
        <w:t>五、存在主要问题</w:t>
      </w:r>
    </w:p>
    <w:p>
      <w:pPr>
        <w:pStyle w:val="17"/>
        <w:spacing w:beforeLines="0" w:before="93" w:line="600" w:lineRule="exact"/>
        <w:ind w:firstLineChars="200" w:firstLine="640"/>
        <w:rPr>
          <w:rFonts w:ascii="仿宋_GB2312" w:eastAsia="仿宋_GB2312" w:cs="仿宋_GB2312" w:hint="eastAsia"/>
          <w:sz w:val="32"/>
          <w:szCs w:val="32"/>
        </w:rPr>
      </w:pPr>
      <w:r>
        <w:rPr>
          <w:rFonts w:ascii="仿宋_GB2312" w:eastAsia="仿宋_GB2312" w:cs="仿宋_GB2312" w:hint="eastAsia"/>
          <w:sz w:val="32"/>
          <w:szCs w:val="32"/>
        </w:rPr>
        <w:t>生活补助及工作奖励金项目未设置具体的项目年度绩效目标。</w:t>
      </w:r>
    </w:p>
    <w:p>
      <w:pPr>
        <w:pStyle w:val="17"/>
        <w:spacing w:beforeLines="0" w:before="93" w:line="600" w:lineRule="exact"/>
        <w:ind w:firstLineChars="200" w:firstLine="640"/>
        <w:outlineLvl w:val="0"/>
        <w:rPr>
          <w:rFonts w:ascii="Times New Roman" w:hAnsi="Times New Roman"/>
          <w:sz w:val="32"/>
          <w:szCs w:val="32"/>
          <w:lang w:val="zh-CN"/>
        </w:rPr>
      </w:pPr>
      <w:r>
        <w:rPr>
          <w:rFonts w:ascii="Times New Roman" w:eastAsia="黑体" w:hAnsi="Times New Roman" w:hint="eastAsia"/>
          <w:position w:val="3"/>
          <w:sz w:val="32"/>
          <w:szCs w:val="32"/>
          <w:lang w:val="zh-CN"/>
        </w:rPr>
        <w:t>六、改进建议</w:t>
      </w:r>
    </w:p>
    <w:p>
      <w:pPr>
        <w:tabs>
          <w:tab w:val="left" w:pos="1911"/>
        </w:tabs>
        <w:ind w:firstLineChars="200" w:firstLine="640"/>
        <w:jc w:val="left"/>
        <w:rPr>
          <w:rFonts w:ascii="仿宋_GB2312" w:eastAsia="仿宋_GB2312" w:cs="仿宋_GB2312" w:hint="eastAsia"/>
          <w:kern w:val="0"/>
          <w:sz w:val="32"/>
          <w:szCs w:val="32"/>
        </w:rPr>
      </w:pPr>
      <w:r>
        <w:rPr>
          <w:rFonts w:ascii="仿宋_GB2312" w:eastAsia="仿宋_GB2312" w:cs="仿宋_GB2312" w:hint="eastAsia"/>
          <w:kern w:val="0"/>
          <w:sz w:val="32"/>
          <w:szCs w:val="32"/>
        </w:rPr>
        <w:t>设定项目年度绩效目标、增强科学合理性。建议项目主管部门按照项目相关文件及实施方案，设置项目年度绩效目标，各县（区）部门应按照省、市相关文件内容的规定作为资金分配的重要依据，并按照项目实际情况，提出科学合理的项目资金安排建议方案，并上报上级主管部门审核或备案。</w:t>
      </w:r>
    </w:p>
    <w:p>
      <w:pPr>
        <w:tabs>
          <w:tab w:val="left" w:pos="1911"/>
        </w:tabs>
        <w:jc w:val="left"/>
        <w:rPr>
          <w:rFonts w:ascii="仿宋_GB2312" w:eastAsia="仿宋_GB2312" w:cs="仿宋_GB2312" w:hint="eastAsia"/>
          <w:kern w:val="0"/>
          <w:sz w:val="32"/>
          <w:szCs w:val="32"/>
        </w:rPr>
      </w:pPr>
      <w:r>
        <w:rPr>
          <w:rFonts w:ascii="仿宋_GB2312" w:eastAsia="仿宋_GB2312" w:cs="仿宋_GB2312" w:hint="eastAsia"/>
          <w:kern w:val="0"/>
          <w:sz w:val="32"/>
          <w:szCs w:val="32"/>
        </w:rPr>
        <w:t>完善绩效申报工作，进一步量化绩效目标。在申请资金时，结合具体情况和发展趋势，合理设置绩效目标，如预期取得数量指标、质量指标、成本指标、社会效益、服务对象满意度等。做到科学、合理，对能够量化的尽量予以量化，不能量化的定性要分层分类明确便于实施。一来可督促受助对象提高资金绩效，二来可使验收考核和评价更具可操作性。</w:t>
      </w:r>
    </w:p>
    <w:p>
      <w:pPr>
        <w:tabs>
          <w:tab w:val="left" w:pos="1911"/>
        </w:tabs>
        <w:ind w:firstLineChars="150" w:firstLine="480"/>
        <w:jc w:val="left"/>
        <w:rPr>
          <w:rFonts w:ascii="仿宋" w:eastAsia="仿宋"/>
          <w:sz w:val="32"/>
          <w:szCs w:val="32"/>
        </w:rPr>
      </w:pPr>
    </w:p>
    <w:p>
      <w:pPr>
        <w:tabs>
          <w:tab w:val="left" w:pos="1911"/>
        </w:tabs>
        <w:ind w:firstLineChars="150" w:firstLine="480"/>
        <w:jc w:val="left"/>
        <w:rPr>
          <w:rFonts w:ascii="仿宋" w:eastAsia="仿宋"/>
          <w:sz w:val="32"/>
          <w:szCs w:val="32"/>
        </w:rPr>
      </w:pPr>
    </w:p>
    <w:p>
      <w:pPr>
        <w:tabs>
          <w:tab w:val="left" w:pos="1911"/>
        </w:tabs>
        <w:ind w:firstLineChars="150" w:firstLine="480"/>
        <w:jc w:val="left"/>
        <w:rPr>
          <w:rFonts w:ascii="仿宋" w:eastAsia="仿宋"/>
          <w:sz w:val="32"/>
          <w:szCs w:val="32"/>
        </w:rPr>
      </w:pPr>
    </w:p>
    <w:p>
      <w:pPr>
        <w:tabs>
          <w:tab w:val="left" w:pos="1911"/>
        </w:tabs>
        <w:ind w:firstLineChars="150" w:firstLine="480"/>
        <w:jc w:val="left"/>
        <w:rPr>
          <w:rFonts w:ascii="仿宋" w:eastAsia="仿宋"/>
          <w:sz w:val="32"/>
          <w:szCs w:val="32"/>
        </w:rPr>
      </w:pPr>
    </w:p>
    <w:p>
      <w:pPr>
        <w:tabs>
          <w:tab w:val="left" w:pos="1911"/>
        </w:tabs>
        <w:ind w:firstLineChars="150" w:firstLine="480"/>
        <w:jc w:val="left"/>
        <w:rPr>
          <w:rFonts w:ascii="仿宋" w:eastAsia="仿宋"/>
          <w:sz w:val="32"/>
          <w:szCs w:val="32"/>
        </w:rPr>
      </w:pPr>
    </w:p>
    <w:p>
      <w:pPr>
        <w:tabs>
          <w:tab w:val="left" w:pos="1911"/>
        </w:tabs>
        <w:ind w:firstLineChars="150" w:firstLine="480"/>
        <w:jc w:val="left"/>
        <w:rPr>
          <w:rFonts w:ascii="仿宋" w:eastAsia="仿宋"/>
          <w:sz w:val="32"/>
          <w:szCs w:val="32"/>
        </w:rPr>
      </w:pPr>
    </w:p>
    <w:p>
      <w:pPr>
        <w:tabs>
          <w:tab w:val="left" w:pos="1911"/>
        </w:tabs>
        <w:ind w:firstLineChars="150" w:firstLine="480"/>
        <w:jc w:val="left"/>
        <w:rPr>
          <w:rFonts w:ascii="仿宋" w:eastAsia="仿宋"/>
          <w:sz w:val="32"/>
          <w:szCs w:val="32"/>
        </w:rPr>
      </w:pPr>
    </w:p>
    <w:p>
      <w:pPr>
        <w:tabs>
          <w:tab w:val="left" w:pos="1911"/>
        </w:tabs>
        <w:ind w:firstLineChars="150" w:firstLine="480"/>
        <w:jc w:val="left"/>
        <w:rPr>
          <w:rFonts w:ascii="仿宋" w:eastAsia="仿宋"/>
          <w:sz w:val="32"/>
          <w:szCs w:val="32"/>
        </w:rPr>
      </w:pPr>
    </w:p>
    <w:p>
      <w:pPr>
        <w:tabs>
          <w:tab w:val="left" w:pos="1911"/>
        </w:tabs>
        <w:ind w:firstLineChars="150" w:firstLine="480"/>
        <w:jc w:val="left"/>
        <w:rPr>
          <w:rFonts w:ascii="仿宋" w:eastAsia="仿宋"/>
          <w:sz w:val="32"/>
          <w:szCs w:val="32"/>
        </w:rPr>
      </w:pPr>
    </w:p>
    <w:p>
      <w:pPr>
        <w:tabs>
          <w:tab w:val="left" w:pos="1911"/>
        </w:tabs>
        <w:ind w:firstLineChars="150" w:firstLine="480"/>
        <w:jc w:val="left"/>
        <w:rPr>
          <w:rFonts w:ascii="仿宋" w:eastAsia="仿宋"/>
          <w:sz w:val="32"/>
          <w:szCs w:val="32"/>
        </w:rPr>
      </w:pPr>
    </w:p>
    <w:p>
      <w:pPr>
        <w:tabs>
          <w:tab w:val="left" w:pos="1911"/>
        </w:tabs>
        <w:ind w:firstLineChars="150" w:firstLine="480"/>
        <w:jc w:val="left"/>
        <w:rPr>
          <w:rFonts w:ascii="仿宋" w:eastAsia="仿宋"/>
          <w:sz w:val="32"/>
          <w:szCs w:val="32"/>
        </w:rPr>
      </w:pPr>
    </w:p>
    <w:p>
      <w:pPr>
        <w:tabs>
          <w:tab w:val="left" w:pos="1911"/>
        </w:tabs>
        <w:ind w:firstLineChars="150" w:firstLine="480"/>
        <w:jc w:val="left"/>
        <w:rPr>
          <w:rFonts w:ascii="仿宋" w:eastAsia="仿宋"/>
          <w:sz w:val="32"/>
          <w:szCs w:val="32"/>
        </w:rPr>
      </w:pPr>
    </w:p>
    <w:p>
      <w:pPr>
        <w:tabs>
          <w:tab w:val="left" w:pos="1911"/>
        </w:tabs>
        <w:ind w:firstLineChars="150" w:firstLine="480"/>
        <w:jc w:val="left"/>
        <w:rPr>
          <w:rFonts w:ascii="仿宋" w:eastAsia="仿宋"/>
          <w:sz w:val="32"/>
          <w:szCs w:val="32"/>
        </w:rPr>
      </w:pPr>
    </w:p>
    <w:p>
      <w:pPr>
        <w:tabs>
          <w:tab w:val="left" w:pos="1911"/>
        </w:tabs>
        <w:ind w:firstLineChars="150" w:firstLine="480"/>
        <w:jc w:val="left"/>
        <w:rPr>
          <w:rFonts w:ascii="仿宋" w:eastAsia="仿宋"/>
          <w:sz w:val="32"/>
          <w:szCs w:val="32"/>
        </w:rPr>
      </w:pPr>
    </w:p>
    <w:p/>
    <w:tbl>
      <w:tblPr>
        <w:jc w:val="center"/>
        <w:tblW w:w="10233" w:type="dxa"/>
        <w:tblBorders>
          <w:top w:val="none" w:sz="0" w:space="0" w:color="auto"/>
          <w:left w:val="none" w:sz="0" w:space="0" w:color="auto"/>
          <w:bottom w:val="none" w:sz="0" w:space="0" w:color="auto"/>
          <w:right w:val="none" w:sz="0" w:space="0" w:color="auto"/>
        </w:tblBorders>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trPr>
          <w:trHeight w:val="576"/>
        </w:trPr>
        <w:tc>
          <w:tcPr>
            <w:tcW w:w="10233" w:type="dxa"/>
            <w:gridSpan w:val="9"/>
            <w:noWrap/>
            <w:vAlign w:val="center"/>
          </w:tcPr>
          <w:p>
            <w:pPr>
              <w:widowControl/>
              <w:spacing w:line="600" w:lineRule="exact"/>
              <w:jc w:val="center"/>
              <w:textAlignment w:val="center"/>
              <w:rPr>
                <w:rFonts w:ascii="黑体" w:eastAsia="黑体" w:cs="黑体" w:hint="eastAsia"/>
                <w:color w:val="000000"/>
                <w:sz w:val="30"/>
                <w:szCs w:val="30"/>
              </w:rPr>
            </w:pPr>
            <w:r>
              <w:rPr>
                <w:rFonts w:ascii="方正小标宋简体" w:eastAsia="方正小标宋简体" w:cs="方正小标宋简体" w:hint="eastAsia"/>
                <w:color w:val="000000"/>
                <w:kern w:val="0"/>
                <w:sz w:val="40"/>
                <w:szCs w:val="40"/>
              </w:rPr>
              <w:t>专项预算项目绩效目标完成情况自评表</w:t>
            </w:r>
          </w:p>
        </w:tc>
      </w:tr>
      <w:tr>
        <w:trPr>
          <w:trHeight w:val="23"/>
        </w:trPr>
        <w:tc>
          <w:tcPr>
            <w:tcW w:w="4295" w:type="dxa"/>
            <w:gridSpan w:val="4"/>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rFonts w:ascii="宋体" w:cs="宋体" w:hint="eastAsia"/>
                <w:color w:val="000000"/>
                <w:sz w:val="24"/>
              </w:rPr>
            </w:pPr>
            <w:r>
              <w:rPr>
                <w:rFonts w:ascii="宋体" w:cs="宋体"/>
                <w:color w:val="000000"/>
                <w:kern w:val="0"/>
                <w:sz w:val="24"/>
              </w:rPr>
              <w:t>项目名称</w:t>
            </w:r>
          </w:p>
        </w:tc>
        <w:tc>
          <w:tcPr>
            <w:tcW w:w="5938" w:type="dxa"/>
            <w:gridSpan w:val="5"/>
            <w:tcBorders>
              <w:top w:val="single" w:sz="4" w:space="0" w:color="000000"/>
              <w:left w:val="single" w:sz="4" w:space="0" w:color="000000"/>
              <w:bottom w:val="single" w:sz="4" w:space="0" w:color="000000"/>
              <w:right w:val="single" w:sz="4" w:space="0" w:color="000000"/>
            </w:tcBorders>
            <w:noWrap/>
            <w:vAlign w:val="center"/>
          </w:tcPr>
          <w:p>
            <w:pPr>
              <w:spacing w:line="300" w:lineRule="exact"/>
              <w:rPr>
                <w:rFonts w:ascii="宋体" w:cs="宋体" w:hint="eastAsia"/>
                <w:color w:val="000000"/>
                <w:sz w:val="24"/>
              </w:rPr>
            </w:pPr>
            <w:r>
              <w:rPr>
                <w:rFonts w:ascii="宋体" w:cs="宋体" w:hint="eastAsia"/>
                <w:color w:val="000000"/>
                <w:kern w:val="0"/>
                <w:sz w:val="18"/>
                <w:szCs w:val="18"/>
              </w:rPr>
              <w:t>乡村教师生活补助及县城学校工作奖励金</w:t>
            </w:r>
          </w:p>
        </w:tc>
      </w:tr>
      <w:tr>
        <w:trPr>
          <w:trHeight w:val="23"/>
        </w:trPr>
        <w:tc>
          <w:tcPr>
            <w:tcW w:w="4295" w:type="dxa"/>
            <w:gridSpan w:val="4"/>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rFonts w:ascii="宋体" w:cs="宋体" w:hint="eastAsia"/>
                <w:color w:val="000000"/>
                <w:sz w:val="24"/>
              </w:rPr>
            </w:pPr>
            <w:r>
              <w:rPr>
                <w:rFonts w:ascii="宋体" w:cs="宋体"/>
                <w:color w:val="000000"/>
                <w:kern w:val="0"/>
                <w:sz w:val="24"/>
              </w:rPr>
              <w:t>预算单位</w:t>
            </w:r>
          </w:p>
        </w:tc>
        <w:tc>
          <w:tcPr>
            <w:tcW w:w="5938" w:type="dxa"/>
            <w:gridSpan w:val="5"/>
            <w:tcBorders>
              <w:top w:val="single" w:sz="4" w:space="0" w:color="000000"/>
              <w:left w:val="single" w:sz="4" w:space="0" w:color="000000"/>
              <w:bottom w:val="single" w:sz="4" w:space="0" w:color="000000"/>
              <w:right w:val="single" w:sz="4" w:space="0" w:color="000000"/>
            </w:tcBorders>
            <w:noWrap/>
            <w:vAlign w:val="center"/>
          </w:tcPr>
          <w:p>
            <w:pPr>
              <w:spacing w:line="300" w:lineRule="exact"/>
              <w:rPr>
                <w:rFonts w:ascii="宋体" w:cs="宋体" w:hint="eastAsia"/>
                <w:color w:val="000000"/>
                <w:sz w:val="24"/>
              </w:rPr>
            </w:pPr>
            <w:r>
              <w:rPr>
                <w:rFonts w:ascii="宋体" w:cs="宋体" w:hint="eastAsia"/>
                <w:color w:val="000000"/>
                <w:sz w:val="18"/>
                <w:szCs w:val="18"/>
              </w:rPr>
              <w:t>汶川县漩口小学校</w:t>
            </w:r>
          </w:p>
        </w:tc>
      </w:tr>
      <w:tr>
        <w:trPr>
          <w:trHeight w:val="23"/>
        </w:trPr>
        <w:tc>
          <w:tcPr>
            <w:tcW w:w="4295" w:type="dxa"/>
            <w:gridSpan w:val="4"/>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rFonts w:ascii="宋体" w:cs="宋体" w:hint="eastAsia"/>
                <w:color w:val="000000"/>
                <w:sz w:val="24"/>
              </w:rPr>
            </w:pPr>
            <w:r>
              <w:rPr>
                <w:rFonts w:ascii="宋体" w:cs="宋体"/>
                <w:color w:val="000000"/>
                <w:kern w:val="0"/>
                <w:sz w:val="24"/>
              </w:rPr>
              <w:t>项目类型</w:t>
            </w:r>
          </w:p>
        </w:tc>
        <w:tc>
          <w:tcPr>
            <w:tcW w:w="5938" w:type="dxa"/>
            <w:gridSpan w:val="5"/>
            <w:tcBorders>
              <w:top w:val="single" w:sz="4" w:space="0" w:color="000000"/>
              <w:left w:val="single" w:sz="4" w:space="0" w:color="000000"/>
              <w:bottom w:val="single" w:sz="4" w:space="0" w:color="000000"/>
              <w:right w:val="single" w:sz="4" w:space="0" w:color="000000"/>
            </w:tcBorders>
            <w:noWrap/>
            <w:vAlign w:val="center"/>
          </w:tcPr>
          <w:p>
            <w:pPr>
              <w:spacing w:line="300" w:lineRule="exact"/>
              <w:jc w:val="left"/>
              <w:rPr>
                <w:rFonts w:ascii="宋体" w:cs="宋体" w:hint="eastAsia"/>
                <w:color w:val="000000"/>
                <w:sz w:val="24"/>
              </w:rPr>
            </w:pPr>
            <w:r>
              <w:rPr>
                <w:rFonts w:ascii="宋体" w:cs="宋体" w:hint="eastAsia"/>
                <w:color w:val="000000"/>
                <w:sz w:val="18"/>
                <w:szCs w:val="18"/>
              </w:rPr>
              <w:t>行政运转</w:t>
            </w:r>
          </w:p>
        </w:tc>
      </w:tr>
      <w:tr>
        <w:trPr>
          <w:trHeight w:val="23"/>
        </w:trPr>
        <w:tc>
          <w:tcPr>
            <w:tcW w:w="652" w:type="dxa"/>
            <w:vMerge w:val="restart"/>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hint="eastAsia"/>
                <w:color w:val="000000"/>
                <w:sz w:val="24"/>
              </w:rPr>
            </w:pPr>
            <w:r>
              <w:rPr>
                <w:rFonts w:ascii="宋体" w:cs="宋体"/>
                <w:color w:val="000000"/>
                <w:kern w:val="0"/>
                <w:sz w:val="24"/>
              </w:rPr>
              <w:t>项目 概况</w:t>
            </w:r>
          </w:p>
        </w:tc>
        <w:tc>
          <w:tcPr>
            <w:tcW w:w="3643" w:type="dxa"/>
            <w:gridSpan w:val="3"/>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rFonts w:ascii="宋体" w:cs="宋体" w:hint="eastAsia"/>
                <w:color w:val="000000"/>
                <w:kern w:val="0"/>
                <w:sz w:val="24"/>
              </w:rPr>
            </w:pPr>
            <w:r>
              <w:rPr>
                <w:rFonts w:ascii="宋体" w:cs="宋体"/>
                <w:color w:val="000000"/>
                <w:kern w:val="0"/>
                <w:sz w:val="24"/>
              </w:rPr>
              <w:t>中长期规划（名称、文号，仅指</w:t>
            </w:r>
          </w:p>
          <w:p>
            <w:pPr>
              <w:widowControl/>
              <w:spacing w:line="300" w:lineRule="exact"/>
              <w:jc w:val="left"/>
              <w:textAlignment w:val="center"/>
              <w:rPr>
                <w:rFonts w:ascii="宋体" w:cs="宋体" w:hint="eastAsia"/>
                <w:color w:val="000000"/>
                <w:sz w:val="24"/>
              </w:rPr>
            </w:pPr>
            <w:r>
              <w:rPr>
                <w:rFonts w:ascii="宋体" w:cs="宋体"/>
                <w:color w:val="000000"/>
                <w:kern w:val="0"/>
                <w:sz w:val="24"/>
              </w:rPr>
              <w:t>常年项目）</w:t>
            </w:r>
          </w:p>
        </w:tc>
        <w:tc>
          <w:tcPr>
            <w:tcW w:w="5938" w:type="dxa"/>
            <w:gridSpan w:val="5"/>
            <w:tcBorders>
              <w:top w:val="single" w:sz="4" w:space="0" w:color="000000"/>
              <w:left w:val="single" w:sz="4" w:space="0" w:color="000000"/>
              <w:bottom w:val="single" w:sz="4" w:space="0" w:color="000000"/>
              <w:right w:val="single" w:sz="4" w:space="0" w:color="000000"/>
            </w:tcBorders>
            <w:noWrap/>
            <w:vAlign w:val="center"/>
          </w:tcPr>
          <w:p>
            <w:pPr>
              <w:spacing w:line="300" w:lineRule="exact"/>
              <w:jc w:val="left"/>
              <w:rPr>
                <w:rFonts w:ascii="宋体" w:cs="宋体" w:hint="eastAsia"/>
                <w:color w:val="000000"/>
                <w:sz w:val="24"/>
              </w:rPr>
            </w:pPr>
            <w:r>
              <w:rPr>
                <w:rFonts w:ascii="宋体" w:cs="宋体"/>
                <w:color w:val="000000"/>
                <w:sz w:val="24"/>
              </w:rPr>
              <w:t>乡村教师生活补助及县城学校工作奖励金</w:t>
            </w:r>
          </w:p>
        </w:tc>
      </w:tr>
      <w:tr>
        <w:trPr>
          <w:trHeight w:val="23"/>
        </w:trPr>
        <w:tc>
          <w:tcPr>
            <w:tcW w:w="652" w:type="dxa"/>
            <w:vMerge/>
            <w:tcBorders>
              <w:top w:val="single" w:sz="4" w:space="0" w:color="000000"/>
              <w:left w:val="single" w:sz="4" w:space="0" w:color="000000"/>
              <w:bottom w:val="single" w:sz="4" w:space="0" w:color="000000"/>
              <w:right w:val="single" w:sz="4" w:space="0" w:color="000000"/>
            </w:tcBorders>
            <w:noWrap/>
            <w:vAlign w:val="center"/>
          </w:tcPr>
          <w:p/>
        </w:tc>
        <w:tc>
          <w:tcPr>
            <w:tcW w:w="3643" w:type="dxa"/>
            <w:gridSpan w:val="3"/>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rFonts w:ascii="宋体" w:cs="宋体" w:hint="eastAsia"/>
                <w:color w:val="000000"/>
                <w:sz w:val="24"/>
              </w:rPr>
            </w:pPr>
            <w:r>
              <w:rPr>
                <w:rFonts w:ascii="宋体" w:cs="宋体"/>
                <w:color w:val="000000"/>
                <w:kern w:val="0"/>
                <w:sz w:val="24"/>
              </w:rPr>
              <w:t>资金管理办法（名称、文号）</w:t>
            </w:r>
          </w:p>
        </w:tc>
        <w:tc>
          <w:tcPr>
            <w:tcW w:w="5938" w:type="dxa"/>
            <w:gridSpan w:val="5"/>
            <w:tcBorders>
              <w:top w:val="single" w:sz="4" w:space="0" w:color="000000"/>
              <w:left w:val="single" w:sz="4" w:space="0" w:color="000000"/>
              <w:bottom w:val="single" w:sz="4" w:space="0" w:color="000000"/>
              <w:right w:val="single" w:sz="4" w:space="0" w:color="000000"/>
            </w:tcBorders>
            <w:noWrap/>
            <w:vAlign w:val="center"/>
          </w:tcPr>
          <w:p>
            <w:pPr>
              <w:spacing w:line="300" w:lineRule="exact"/>
              <w:jc w:val="left"/>
              <w:rPr>
                <w:rFonts w:ascii="宋体" w:cs="宋体" w:hint="eastAsia"/>
                <w:color w:val="000000"/>
                <w:sz w:val="24"/>
              </w:rPr>
            </w:pPr>
            <w:r>
              <w:rPr>
                <w:rFonts w:ascii="宋体" w:cs="宋体" w:hint="eastAsia"/>
                <w:color w:val="000000"/>
                <w:sz w:val="24"/>
              </w:rPr>
              <w:t>财务管理制度</w:t>
            </w:r>
          </w:p>
        </w:tc>
      </w:tr>
      <w:tr>
        <w:trPr>
          <w:trHeight w:val="23"/>
        </w:trPr>
        <w:tc>
          <w:tcPr>
            <w:tcW w:w="652" w:type="dxa"/>
            <w:vMerge/>
            <w:tcBorders>
              <w:top w:val="single" w:sz="4" w:space="0" w:color="000000"/>
              <w:left w:val="single" w:sz="4" w:space="0" w:color="000000"/>
              <w:bottom w:val="single" w:sz="4" w:space="0" w:color="000000"/>
              <w:right w:val="single" w:sz="4" w:space="0" w:color="000000"/>
            </w:tcBorders>
            <w:noWrap/>
            <w:vAlign w:val="center"/>
          </w:tcPr>
          <w:p/>
        </w:tc>
        <w:tc>
          <w:tcPr>
            <w:tcW w:w="3643" w:type="dxa"/>
            <w:gridSpan w:val="3"/>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rFonts w:ascii="宋体" w:cs="宋体" w:hint="eastAsia"/>
                <w:color w:val="000000"/>
                <w:sz w:val="24"/>
              </w:rPr>
            </w:pPr>
            <w:r>
              <w:rPr>
                <w:rFonts w:ascii="宋体" w:cs="宋体"/>
                <w:color w:val="000000"/>
                <w:kern w:val="0"/>
                <w:sz w:val="24"/>
              </w:rPr>
              <w:t>绩效分配方式</w:t>
            </w:r>
          </w:p>
        </w:tc>
        <w:tc>
          <w:tcPr>
            <w:tcW w:w="1127" w:type="dxa"/>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rFonts w:ascii="Wingdings 2" w:eastAsia="Wingdings 2" w:cs="Wingdings 2" w:hAnsi="Wingdings 2"/>
                <w:color w:val="000000"/>
                <w:sz w:val="24"/>
              </w:rPr>
            </w:pPr>
            <w:r>
              <w:rPr>
                <w:rFonts w:ascii="Wingdings 2" w:eastAsia="Wingdings 2" w:cs="Wingdings 2" w:hAnsi="Wingdings 2"/>
                <w:color w:val="000000"/>
                <w:kern w:val="0"/>
                <w:sz w:val="24"/>
              </w:rPr>
              <w:t></w:t>
            </w:r>
            <w:r>
              <w:rPr>
                <w:rFonts w:ascii="宋体" w:cs="宋体"/>
                <w:color w:val="000000"/>
                <w:kern w:val="0"/>
                <w:sz w:val="24"/>
              </w:rPr>
              <w:t>因素法</w:t>
            </w:r>
          </w:p>
        </w:tc>
        <w:tc>
          <w:tcPr>
            <w:tcW w:w="2032" w:type="dxa"/>
            <w:gridSpan w:val="2"/>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Wingdings 2" w:eastAsia="Wingdings 2" w:cs="Wingdings 2" w:hAnsi="Wingdings 2"/>
                <w:color w:val="000000"/>
                <w:sz w:val="24"/>
              </w:rPr>
            </w:pPr>
            <w:r>
              <w:rPr>
                <w:rFonts w:ascii="Arial" w:eastAsia="Wingdings 2" w:cs="Arial" w:hAnsi="Arial"/>
                <w:color w:val="000000"/>
                <w:kern w:val="0"/>
                <w:sz w:val="24"/>
              </w:rPr>
              <w:t>√</w:t>
            </w:r>
            <w:r>
              <w:rPr>
                <w:rFonts w:ascii="Wingdings 2" w:eastAsia="Wingdings 2" w:cs="Wingdings 2" w:hAnsi="Wingdings 2"/>
                <w:color w:val="000000"/>
                <w:kern w:val="0"/>
                <w:sz w:val="24"/>
              </w:rPr>
              <w:t>项目法</w:t>
            </w:r>
          </w:p>
        </w:tc>
        <w:tc>
          <w:tcPr>
            <w:tcW w:w="938" w:type="dxa"/>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Wingdings 2" w:eastAsia="Wingdings 2" w:cs="Wingdings 2" w:hAnsi="Wingdings 2"/>
                <w:color w:val="000000"/>
                <w:sz w:val="24"/>
              </w:rPr>
            </w:pPr>
            <w:r>
              <w:rPr>
                <w:rFonts w:ascii="Wingdings 2" w:eastAsia="Wingdings 2" w:cs="Wingdings 2" w:hAnsi="Wingdings 2"/>
                <w:color w:val="000000"/>
                <w:kern w:val="0"/>
                <w:sz w:val="24"/>
              </w:rPr>
              <w:t></w:t>
            </w:r>
            <w:r>
              <w:rPr>
                <w:rFonts w:ascii="宋体" w:cs="宋体"/>
                <w:color w:val="000000"/>
                <w:kern w:val="0"/>
                <w:sz w:val="24"/>
              </w:rPr>
              <w:t>据实据效</w:t>
            </w:r>
          </w:p>
        </w:tc>
        <w:tc>
          <w:tcPr>
            <w:tcW w:w="1841" w:type="dxa"/>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Wingdings 2" w:eastAsia="Wingdings 2" w:cs="Wingdings 2" w:hAnsi="Wingdings 2"/>
                <w:color w:val="000000"/>
                <w:sz w:val="24"/>
              </w:rPr>
            </w:pPr>
            <w:r>
              <w:rPr>
                <w:rFonts w:ascii="Wingdings 2" w:eastAsia="Wingdings 2" w:cs="Wingdings 2" w:hAnsi="Wingdings 2"/>
                <w:color w:val="000000"/>
                <w:kern w:val="0"/>
                <w:sz w:val="24"/>
              </w:rPr>
              <w:t></w:t>
            </w:r>
            <w:r>
              <w:rPr>
                <w:rFonts w:ascii="宋体" w:cs="宋体"/>
                <w:color w:val="000000"/>
                <w:kern w:val="0"/>
                <w:sz w:val="24"/>
              </w:rPr>
              <w:t>因素法与项目法相结合</w:t>
            </w:r>
          </w:p>
        </w:tc>
      </w:tr>
      <w:tr>
        <w:trPr>
          <w:trHeight w:val="1286"/>
        </w:trPr>
        <w:tc>
          <w:tcPr>
            <w:tcW w:w="652" w:type="dxa"/>
            <w:vMerge/>
            <w:tcBorders>
              <w:top w:val="single" w:sz="4" w:space="0" w:color="000000"/>
              <w:left w:val="single" w:sz="4" w:space="0" w:color="000000"/>
              <w:bottom w:val="single" w:sz="4" w:space="0" w:color="000000"/>
              <w:right w:val="single" w:sz="4" w:space="0" w:color="000000"/>
            </w:tcBorders>
            <w:noWrap/>
            <w:vAlign w:val="center"/>
          </w:tcPr>
          <w:p/>
        </w:tc>
        <w:tc>
          <w:tcPr>
            <w:tcW w:w="3643" w:type="dxa"/>
            <w:gridSpan w:val="3"/>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rFonts w:ascii="宋体" w:cs="宋体" w:hint="eastAsia"/>
                <w:color w:val="000000"/>
                <w:sz w:val="24"/>
              </w:rPr>
            </w:pPr>
            <w:r>
              <w:rPr>
                <w:rFonts w:ascii="宋体" w:cs="宋体"/>
                <w:color w:val="000000"/>
                <w:kern w:val="0"/>
                <w:sz w:val="24"/>
              </w:rPr>
              <w:t>立项依据</w:t>
            </w:r>
          </w:p>
        </w:tc>
        <w:tc>
          <w:tcPr>
            <w:tcW w:w="5938" w:type="dxa"/>
            <w:gridSpan w:val="5"/>
            <w:tcBorders>
              <w:top w:val="single" w:sz="4" w:space="0" w:color="000000"/>
              <w:left w:val="single" w:sz="4" w:space="0" w:color="000000"/>
              <w:bottom w:val="single" w:sz="4" w:space="0" w:color="000000"/>
              <w:right w:val="single" w:sz="4" w:space="0" w:color="000000"/>
            </w:tcBorders>
            <w:noWrap/>
            <w:vAlign w:val="center"/>
          </w:tcPr>
          <w:p>
            <w:pPr>
              <w:spacing w:line="300" w:lineRule="exact"/>
              <w:jc w:val="left"/>
              <w:rPr>
                <w:rFonts w:ascii="仿宋_GB2312" w:cs="仿宋_GB2312" w:hAnsi="仿宋_GB2312" w:hint="eastAsia"/>
                <w:kern w:val="0"/>
                <w:sz w:val="24"/>
                <w:shd w:val="clear" w:color="auto" w:fill="FFFFFF"/>
                <w:lang w:val="zh-CN"/>
              </w:rPr>
            </w:pPr>
            <w:r>
              <w:rPr>
                <w:rFonts w:ascii="仿宋_GB2312" w:cs="仿宋_GB2312" w:hAnsi="仿宋_GB2312" w:hint="eastAsia"/>
                <w:kern w:val="0"/>
                <w:sz w:val="24"/>
                <w:shd w:val="clear" w:color="auto" w:fill="FFFFFF"/>
              </w:rPr>
              <w:t>进一步提高了义务教育乡村学校教师生活待遇，改善义务教育乡村学校教师生活条件，为鼓励和吸引优秀人才在义务教育乡村学校长期任教、终生任教提供保障，乡村学校教师整体素质不断提高，有效促进义务教育均衡发展。</w:t>
            </w:r>
          </w:p>
          <w:p>
            <w:pPr>
              <w:spacing w:line="300" w:lineRule="exact"/>
              <w:jc w:val="left"/>
              <w:rPr>
                <w:rFonts w:ascii="宋体" w:cs="宋体" w:hint="eastAsia"/>
                <w:color w:val="000000"/>
                <w:sz w:val="24"/>
              </w:rPr>
            </w:pPr>
          </w:p>
        </w:tc>
      </w:tr>
      <w:tr>
        <w:trPr>
          <w:trHeight w:val="23"/>
        </w:trPr>
        <w:tc>
          <w:tcPr>
            <w:tcW w:w="652" w:type="dxa"/>
            <w:vMerge/>
            <w:tcBorders>
              <w:top w:val="single" w:sz="4" w:space="0" w:color="000000"/>
              <w:left w:val="single" w:sz="4" w:space="0" w:color="000000"/>
              <w:bottom w:val="single" w:sz="4" w:space="0" w:color="000000"/>
              <w:right w:val="single" w:sz="4" w:space="0" w:color="000000"/>
            </w:tcBorders>
            <w:noWrap/>
            <w:vAlign w:val="center"/>
          </w:tcPr>
          <w:p/>
        </w:tc>
        <w:tc>
          <w:tcPr>
            <w:tcW w:w="3643" w:type="dxa"/>
            <w:gridSpan w:val="3"/>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rFonts w:ascii="宋体" w:cs="宋体" w:hint="eastAsia"/>
                <w:color w:val="000000"/>
                <w:sz w:val="24"/>
              </w:rPr>
            </w:pPr>
            <w:r>
              <w:rPr>
                <w:rFonts w:ascii="宋体" w:cs="宋体"/>
                <w:color w:val="000000"/>
                <w:kern w:val="0"/>
                <w:sz w:val="24"/>
              </w:rPr>
              <w:t>使用范围</w:t>
            </w:r>
          </w:p>
        </w:tc>
        <w:tc>
          <w:tcPr>
            <w:tcW w:w="5938" w:type="dxa"/>
            <w:gridSpan w:val="5"/>
            <w:tcBorders>
              <w:top w:val="single" w:sz="4" w:space="0" w:color="000000"/>
              <w:left w:val="single" w:sz="4" w:space="0" w:color="000000"/>
              <w:bottom w:val="single" w:sz="4" w:space="0" w:color="000000"/>
              <w:right w:val="single" w:sz="4" w:space="0" w:color="000000"/>
            </w:tcBorders>
            <w:noWrap/>
            <w:vAlign w:val="center"/>
          </w:tcPr>
          <w:p>
            <w:pPr>
              <w:spacing w:line="300" w:lineRule="exact"/>
              <w:jc w:val="left"/>
              <w:rPr>
                <w:rFonts w:ascii="宋体" w:cs="宋体" w:hint="eastAsia"/>
                <w:color w:val="000000"/>
                <w:sz w:val="24"/>
              </w:rPr>
            </w:pPr>
            <w:r>
              <w:rPr>
                <w:rFonts w:ascii="宋体" w:cs="宋体" w:hint="eastAsia"/>
                <w:color w:val="000000"/>
                <w:kern w:val="0"/>
                <w:sz w:val="18"/>
                <w:szCs w:val="18"/>
              </w:rPr>
              <w:t>乡村教师生活补助及县城学校工作奖励金</w:t>
            </w:r>
          </w:p>
        </w:tc>
      </w:tr>
      <w:tr>
        <w:trPr>
          <w:trHeight w:val="23"/>
        </w:trPr>
        <w:tc>
          <w:tcPr>
            <w:tcW w:w="652" w:type="dxa"/>
            <w:vMerge/>
            <w:tcBorders>
              <w:top w:val="single" w:sz="4" w:space="0" w:color="000000"/>
              <w:left w:val="single" w:sz="4" w:space="0" w:color="000000"/>
              <w:bottom w:val="single" w:sz="4" w:space="0" w:color="000000"/>
              <w:right w:val="single" w:sz="4" w:space="0" w:color="000000"/>
            </w:tcBorders>
            <w:noWrap/>
            <w:vAlign w:val="center"/>
          </w:tcPr>
          <w:p/>
        </w:tc>
        <w:tc>
          <w:tcPr>
            <w:tcW w:w="3643" w:type="dxa"/>
            <w:gridSpan w:val="3"/>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rFonts w:ascii="宋体" w:cs="宋体" w:hint="eastAsia"/>
                <w:color w:val="000000"/>
                <w:sz w:val="24"/>
              </w:rPr>
            </w:pPr>
            <w:r>
              <w:rPr>
                <w:rFonts w:ascii="宋体" w:cs="宋体"/>
                <w:color w:val="000000"/>
                <w:kern w:val="0"/>
                <w:sz w:val="24"/>
              </w:rPr>
              <w:t>申报（补助）条件</w:t>
            </w:r>
          </w:p>
        </w:tc>
        <w:tc>
          <w:tcPr>
            <w:tcW w:w="5938" w:type="dxa"/>
            <w:gridSpan w:val="5"/>
            <w:tcBorders>
              <w:top w:val="single" w:sz="4" w:space="0" w:color="000000"/>
              <w:left w:val="single" w:sz="4" w:space="0" w:color="000000"/>
              <w:bottom w:val="single" w:sz="4" w:space="0" w:color="000000"/>
              <w:right w:val="single" w:sz="4" w:space="0" w:color="000000"/>
            </w:tcBorders>
            <w:noWrap/>
            <w:vAlign w:val="center"/>
          </w:tcPr>
          <w:p>
            <w:pPr>
              <w:spacing w:line="300" w:lineRule="exact"/>
              <w:jc w:val="left"/>
              <w:rPr>
                <w:rFonts w:ascii="宋体" w:cs="宋体" w:hint="eastAsia"/>
                <w:color w:val="000000"/>
                <w:sz w:val="24"/>
              </w:rPr>
            </w:pPr>
            <w:r>
              <w:rPr>
                <w:rFonts w:ascii="宋体" w:cs="宋体" w:hint="eastAsia"/>
                <w:color w:val="000000"/>
                <w:sz w:val="24"/>
              </w:rPr>
              <w:t>生活补助</w:t>
            </w:r>
          </w:p>
        </w:tc>
      </w:tr>
      <w:tr>
        <w:trPr>
          <w:trHeight w:val="23"/>
        </w:trPr>
        <w:tc>
          <w:tcPr>
            <w:tcW w:w="652" w:type="dxa"/>
            <w:vMerge/>
            <w:tcBorders>
              <w:top w:val="single" w:sz="4" w:space="0" w:color="000000"/>
              <w:left w:val="single" w:sz="4" w:space="0" w:color="000000"/>
              <w:bottom w:val="single" w:sz="4" w:space="0" w:color="000000"/>
              <w:right w:val="single" w:sz="4" w:space="0" w:color="000000"/>
            </w:tcBorders>
            <w:noWrap/>
            <w:vAlign w:val="center"/>
          </w:tcPr>
          <w:p/>
        </w:tc>
        <w:tc>
          <w:tcPr>
            <w:tcW w:w="3643" w:type="dxa"/>
            <w:gridSpan w:val="3"/>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rFonts w:ascii="宋体" w:cs="宋体" w:hint="eastAsia"/>
                <w:color w:val="000000"/>
                <w:sz w:val="24"/>
              </w:rPr>
            </w:pPr>
            <w:r>
              <w:rPr>
                <w:rFonts w:ascii="宋体" w:cs="宋体"/>
                <w:color w:val="000000"/>
                <w:kern w:val="0"/>
                <w:sz w:val="24"/>
              </w:rPr>
              <w:t>项目起止年限</w:t>
            </w:r>
          </w:p>
        </w:tc>
        <w:tc>
          <w:tcPr>
            <w:tcW w:w="5938" w:type="dxa"/>
            <w:gridSpan w:val="5"/>
            <w:tcBorders>
              <w:top w:val="single" w:sz="4" w:space="0" w:color="000000"/>
              <w:left w:val="single" w:sz="4" w:space="0" w:color="000000"/>
              <w:bottom w:val="single" w:sz="4" w:space="0" w:color="000000"/>
              <w:right w:val="single" w:sz="4" w:space="0" w:color="000000"/>
            </w:tcBorders>
            <w:noWrap/>
            <w:vAlign w:val="center"/>
          </w:tcPr>
          <w:p>
            <w:pPr>
              <w:spacing w:line="300" w:lineRule="exact"/>
              <w:rPr>
                <w:rFonts w:ascii="宋体" w:cs="宋体" w:hint="eastAsia"/>
                <w:color w:val="000000"/>
                <w:sz w:val="24"/>
              </w:rPr>
            </w:pPr>
            <w:r>
              <w:rPr>
                <w:rFonts w:ascii="宋体" w:cs="宋体" w:hint="eastAsia"/>
                <w:color w:val="000000"/>
                <w:sz w:val="24"/>
              </w:rPr>
              <w:t>2025年</w:t>
            </w:r>
          </w:p>
        </w:tc>
      </w:tr>
      <w:tr>
        <w:trPr>
          <w:trHeight w:val="23"/>
        </w:trPr>
        <w:tc>
          <w:tcPr>
            <w:tcW w:w="1733" w:type="dxa"/>
            <w:gridSpan w:val="2"/>
            <w:vMerge w:val="restart"/>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hint="eastAsia"/>
                <w:color w:val="000000"/>
                <w:kern w:val="0"/>
                <w:sz w:val="24"/>
              </w:rPr>
            </w:pPr>
            <w:r>
              <w:rPr>
                <w:rFonts w:ascii="宋体" w:cs="宋体"/>
                <w:color w:val="000000"/>
                <w:kern w:val="0"/>
                <w:sz w:val="24"/>
              </w:rPr>
              <w:t>项目资金</w:t>
            </w:r>
          </w:p>
          <w:p>
            <w:pPr>
              <w:widowControl/>
              <w:spacing w:line="300" w:lineRule="exact"/>
              <w:jc w:val="center"/>
              <w:textAlignment w:val="center"/>
              <w:rPr>
                <w:rFonts w:ascii="宋体" w:cs="宋体" w:hint="eastAsia"/>
                <w:color w:val="000000"/>
                <w:sz w:val="24"/>
              </w:rPr>
            </w:pPr>
            <w:r>
              <w:rPr>
                <w:rFonts w:ascii="宋体" w:cs="宋体"/>
                <w:color w:val="000000"/>
                <w:kern w:val="0"/>
                <w:sz w:val="24"/>
              </w:rPr>
              <w:t>（万元）</w:t>
            </w:r>
          </w:p>
        </w:tc>
        <w:tc>
          <w:tcPr>
            <w:tcW w:w="2562" w:type="dxa"/>
            <w:gridSpan w:val="2"/>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rFonts w:ascii="宋体" w:cs="宋体" w:hint="eastAsia"/>
                <w:color w:val="000000"/>
                <w:sz w:val="24"/>
              </w:rPr>
            </w:pPr>
            <w:r>
              <w:rPr>
                <w:rFonts w:ascii="宋体" w:cs="宋体"/>
                <w:color w:val="000000"/>
                <w:kern w:val="0"/>
                <w:sz w:val="24"/>
              </w:rPr>
              <w:t xml:space="preserve">  年度资金总额：</w:t>
            </w:r>
          </w:p>
        </w:tc>
        <w:tc>
          <w:tcPr>
            <w:tcW w:w="5938" w:type="dxa"/>
            <w:gridSpan w:val="5"/>
            <w:tcBorders>
              <w:top w:val="single" w:sz="4" w:space="0" w:color="000000"/>
              <w:left w:val="single" w:sz="4" w:space="0" w:color="000000"/>
              <w:bottom w:val="single" w:sz="4" w:space="0" w:color="000000"/>
              <w:right w:val="single" w:sz="4" w:space="0" w:color="000000"/>
            </w:tcBorders>
            <w:noWrap/>
            <w:vAlign w:val="center"/>
          </w:tcPr>
          <w:p>
            <w:pPr>
              <w:spacing w:line="300" w:lineRule="exact"/>
              <w:jc w:val="right"/>
              <w:rPr>
                <w:rFonts w:ascii="宋体" w:cs="宋体" w:hint="eastAsia"/>
                <w:color w:val="000000"/>
                <w:sz w:val="24"/>
              </w:rPr>
            </w:pPr>
            <w:r>
              <w:rPr>
                <w:rFonts w:ascii="宋体" w:cs="宋体" w:hint="eastAsia"/>
                <w:color w:val="000000"/>
                <w:sz w:val="24"/>
              </w:rPr>
              <w:t>29.44</w:t>
            </w:r>
          </w:p>
        </w:tc>
      </w:tr>
      <w:tr>
        <w:trPr>
          <w:trHeight w:val="23"/>
        </w:trPr>
        <w:tc>
          <w:tcPr>
            <w:tcW w:w="1733" w:type="dxa"/>
            <w:gridSpan w:val="2"/>
            <w:vMerge/>
            <w:tcBorders>
              <w:top w:val="single" w:sz="4" w:space="0" w:color="000000"/>
              <w:left w:val="single" w:sz="4" w:space="0" w:color="000000"/>
              <w:bottom w:val="single" w:sz="4" w:space="0" w:color="000000"/>
              <w:right w:val="single" w:sz="4" w:space="0" w:color="000000"/>
            </w:tcBorders>
            <w:noWrap/>
            <w:vAlign w:val="center"/>
          </w:tcPr>
          <w:p/>
        </w:tc>
        <w:tc>
          <w:tcPr>
            <w:tcW w:w="2562" w:type="dxa"/>
            <w:gridSpan w:val="2"/>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rFonts w:ascii="宋体" w:cs="宋体" w:hint="eastAsia"/>
                <w:color w:val="000000"/>
                <w:sz w:val="24"/>
              </w:rPr>
            </w:pPr>
            <w:r>
              <w:rPr>
                <w:rFonts w:ascii="宋体" w:cs="宋体"/>
                <w:color w:val="000000"/>
                <w:kern w:val="0"/>
                <w:sz w:val="24"/>
              </w:rPr>
              <w:t xml:space="preserve">     </w:t>
            </w:r>
            <w:r>
              <w:rPr>
                <w:rFonts w:ascii="宋体" w:cs="宋体" w:hint="eastAsia"/>
                <w:color w:val="000000"/>
                <w:kern w:val="0"/>
                <w:sz w:val="24"/>
              </w:rPr>
              <w:t xml:space="preserve"> </w:t>
            </w:r>
            <w:r>
              <w:rPr>
                <w:rFonts w:ascii="宋体" w:cs="宋体"/>
                <w:color w:val="000000"/>
                <w:kern w:val="0"/>
                <w:sz w:val="24"/>
              </w:rPr>
              <w:t>其中：财政拨款</w:t>
            </w:r>
          </w:p>
        </w:tc>
        <w:tc>
          <w:tcPr>
            <w:tcW w:w="5938" w:type="dxa"/>
            <w:gridSpan w:val="5"/>
            <w:tcBorders>
              <w:top w:val="single" w:sz="4" w:space="0" w:color="000000"/>
              <w:left w:val="single" w:sz="4" w:space="0" w:color="000000"/>
              <w:bottom w:val="single" w:sz="4" w:space="0" w:color="000000"/>
              <w:right w:val="single" w:sz="4" w:space="0" w:color="000000"/>
            </w:tcBorders>
            <w:noWrap/>
            <w:vAlign w:val="center"/>
          </w:tcPr>
          <w:p>
            <w:pPr>
              <w:spacing w:line="300" w:lineRule="exact"/>
              <w:jc w:val="right"/>
              <w:rPr>
                <w:rFonts w:ascii="宋体" w:cs="宋体" w:hint="eastAsia"/>
                <w:color w:val="000000"/>
                <w:sz w:val="24"/>
              </w:rPr>
            </w:pPr>
            <w:r>
              <w:rPr>
                <w:rFonts w:ascii="宋体" w:cs="宋体" w:hint="eastAsia"/>
                <w:color w:val="000000"/>
                <w:sz w:val="24"/>
              </w:rPr>
              <w:t>28.92</w:t>
            </w:r>
          </w:p>
        </w:tc>
      </w:tr>
      <w:tr>
        <w:trPr>
          <w:trHeight w:val="23"/>
        </w:trPr>
        <w:tc>
          <w:tcPr>
            <w:tcW w:w="1733" w:type="dxa"/>
            <w:gridSpan w:val="2"/>
            <w:vMerge/>
            <w:tcBorders>
              <w:top w:val="single" w:sz="4" w:space="0" w:color="000000"/>
              <w:left w:val="single" w:sz="4" w:space="0" w:color="000000"/>
              <w:bottom w:val="single" w:sz="4" w:space="0" w:color="000000"/>
              <w:right w:val="single" w:sz="4" w:space="0" w:color="000000"/>
            </w:tcBorders>
            <w:noWrap/>
            <w:vAlign w:val="center"/>
          </w:tcPr>
          <w:p/>
        </w:tc>
        <w:tc>
          <w:tcPr>
            <w:tcW w:w="2562" w:type="dxa"/>
            <w:gridSpan w:val="2"/>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rFonts w:ascii="宋体" w:cs="宋体" w:hint="eastAsia"/>
                <w:color w:val="000000"/>
                <w:sz w:val="24"/>
              </w:rPr>
            </w:pPr>
            <w:r>
              <w:rPr>
                <w:rFonts w:ascii="宋体" w:cs="宋体"/>
                <w:color w:val="000000"/>
                <w:kern w:val="0"/>
                <w:sz w:val="24"/>
              </w:rPr>
              <w:t xml:space="preserve">            其他资金</w:t>
            </w:r>
          </w:p>
        </w:tc>
        <w:tc>
          <w:tcPr>
            <w:tcW w:w="5938" w:type="dxa"/>
            <w:gridSpan w:val="5"/>
            <w:tcBorders>
              <w:top w:val="single" w:sz="4" w:space="0" w:color="000000"/>
              <w:left w:val="single" w:sz="4" w:space="0" w:color="000000"/>
              <w:bottom w:val="single" w:sz="4" w:space="0" w:color="000000"/>
              <w:right w:val="single" w:sz="4" w:space="0" w:color="000000"/>
            </w:tcBorders>
            <w:noWrap/>
            <w:vAlign w:val="center"/>
          </w:tcPr>
          <w:p>
            <w:pPr>
              <w:spacing w:line="300" w:lineRule="exact"/>
              <w:jc w:val="right"/>
              <w:rPr>
                <w:rFonts w:ascii="宋体" w:cs="宋体" w:hint="eastAsia"/>
                <w:color w:val="000000"/>
                <w:sz w:val="24"/>
              </w:rPr>
            </w:pPr>
            <w:r>
              <w:rPr>
                <w:rFonts w:ascii="宋体" w:cs="宋体" w:hint="eastAsia"/>
                <w:color w:val="000000"/>
                <w:sz w:val="24"/>
              </w:rPr>
              <w:t>0</w:t>
            </w:r>
          </w:p>
        </w:tc>
      </w:tr>
      <w:tr>
        <w:trPr>
          <w:trHeight w:val="23"/>
        </w:trPr>
        <w:tc>
          <w:tcPr>
            <w:tcW w:w="652" w:type="dxa"/>
            <w:vMerge w:val="restart"/>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hint="eastAsia"/>
                <w:color w:val="000000"/>
                <w:sz w:val="24"/>
              </w:rPr>
            </w:pPr>
            <w:r>
              <w:rPr>
                <w:rFonts w:ascii="宋体" w:cs="宋体"/>
                <w:color w:val="000000"/>
                <w:kern w:val="0"/>
                <w:sz w:val="24"/>
              </w:rPr>
              <w:t>总体 目标</w:t>
            </w:r>
          </w:p>
        </w:tc>
        <w:tc>
          <w:tcPr>
            <w:tcW w:w="9581" w:type="dxa"/>
            <w:gridSpan w:val="8"/>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hint="eastAsia"/>
                <w:color w:val="000000"/>
                <w:sz w:val="24"/>
              </w:rPr>
            </w:pPr>
            <w:r>
              <w:rPr>
                <w:rFonts w:ascii="宋体" w:cs="宋体"/>
                <w:color w:val="000000"/>
                <w:kern w:val="0"/>
                <w:sz w:val="24"/>
              </w:rPr>
              <w:t>年度目标</w:t>
            </w:r>
          </w:p>
        </w:tc>
      </w:tr>
      <w:tr>
        <w:trPr>
          <w:trHeight w:val="23"/>
        </w:trPr>
        <w:tc>
          <w:tcPr>
            <w:tcW w:w="652" w:type="dxa"/>
            <w:vMerge/>
            <w:tcBorders>
              <w:top w:val="single" w:sz="4" w:space="0" w:color="000000"/>
              <w:left w:val="single" w:sz="4" w:space="0" w:color="000000"/>
              <w:bottom w:val="single" w:sz="4" w:space="0" w:color="000000"/>
              <w:right w:val="single" w:sz="4" w:space="0" w:color="000000"/>
            </w:tcBorders>
            <w:noWrap/>
            <w:vAlign w:val="center"/>
          </w:tcPr>
          <w:p/>
        </w:tc>
        <w:tc>
          <w:tcPr>
            <w:tcW w:w="9581" w:type="dxa"/>
            <w:gridSpan w:val="8"/>
            <w:tcBorders>
              <w:top w:val="single" w:sz="4" w:space="0" w:color="000000"/>
              <w:left w:val="single" w:sz="4" w:space="0" w:color="000000"/>
              <w:bottom w:val="single" w:sz="4" w:space="0" w:color="000000"/>
              <w:right w:val="single" w:sz="4" w:space="0" w:color="000000"/>
            </w:tcBorders>
            <w:noWrap/>
            <w:vAlign w:val="center"/>
          </w:tcPr>
          <w:p>
            <w:pPr>
              <w:spacing w:line="300" w:lineRule="exact"/>
              <w:rPr>
                <w:rFonts w:ascii="宋体" w:cs="宋体" w:hint="eastAsia"/>
                <w:color w:val="000000"/>
                <w:sz w:val="24"/>
              </w:rPr>
            </w:pPr>
            <w:r>
              <w:rPr>
                <w:rFonts w:ascii="宋体" w:cs="宋体"/>
                <w:color w:val="000000"/>
                <w:sz w:val="18"/>
                <w:szCs w:val="18"/>
              </w:rPr>
              <w:t>有效提高教师生活水平，教学质量提高，教师幸福指数提升。</w:t>
            </w:r>
          </w:p>
        </w:tc>
      </w:tr>
      <w:tr>
        <w:trPr>
          <w:trHeight w:val="23"/>
        </w:trPr>
        <w:tc>
          <w:tcPr>
            <w:tcW w:w="652" w:type="dxa"/>
            <w:vMerge w:val="restart"/>
            <w:tcBorders>
              <w:top w:val="single" w:sz="4" w:space="0" w:color="000000"/>
              <w:left w:val="single" w:sz="4" w:space="0" w:color="000000"/>
              <w:bottom w:val="single" w:sz="4" w:space="0" w:color="000000"/>
            </w:tcBorders>
            <w:noWrap/>
            <w:vAlign w:val="center"/>
          </w:tcPr>
          <w:p>
            <w:pPr>
              <w:widowControl/>
              <w:spacing w:line="300" w:lineRule="exact"/>
              <w:jc w:val="center"/>
              <w:textAlignment w:val="center"/>
              <w:rPr>
                <w:rFonts w:ascii="宋体" w:cs="宋体" w:hint="eastAsia"/>
                <w:color w:val="000000"/>
                <w:sz w:val="24"/>
              </w:rPr>
            </w:pPr>
            <w:r>
              <w:rPr>
                <w:rFonts w:ascii="宋体" w:cs="宋体"/>
                <w:color w:val="000000"/>
                <w:kern w:val="0"/>
                <w:sz w:val="24"/>
              </w:rPr>
              <w:t>绩效 指标</w:t>
            </w:r>
          </w:p>
        </w:tc>
        <w:tc>
          <w:tcPr>
            <w:tcW w:w="1081" w:type="dxa"/>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hint="eastAsia"/>
                <w:color w:val="000000"/>
                <w:sz w:val="24"/>
              </w:rPr>
            </w:pPr>
            <w:r>
              <w:rPr>
                <w:rFonts w:ascii="宋体" w:cs="宋体"/>
                <w:color w:val="000000"/>
                <w:kern w:val="0"/>
                <w:sz w:val="24"/>
              </w:rPr>
              <w:t>一级指标</w:t>
            </w:r>
          </w:p>
        </w:tc>
        <w:tc>
          <w:tcPr>
            <w:tcW w:w="1250" w:type="dxa"/>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hint="eastAsia"/>
                <w:color w:val="000000"/>
                <w:sz w:val="24"/>
              </w:rPr>
            </w:pPr>
            <w:r>
              <w:rPr>
                <w:rFonts w:ascii="宋体" w:cs="宋体"/>
                <w:color w:val="000000"/>
                <w:kern w:val="0"/>
                <w:sz w:val="24"/>
              </w:rPr>
              <w:t>二级指标</w:t>
            </w:r>
          </w:p>
        </w:tc>
        <w:tc>
          <w:tcPr>
            <w:tcW w:w="1312" w:type="dxa"/>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hint="eastAsia"/>
                <w:color w:val="000000"/>
                <w:sz w:val="24"/>
              </w:rPr>
            </w:pPr>
            <w:r>
              <w:rPr>
                <w:rFonts w:ascii="宋体" w:cs="宋体"/>
                <w:color w:val="000000"/>
                <w:kern w:val="0"/>
                <w:sz w:val="24"/>
              </w:rPr>
              <w:t>三级指标</w:t>
            </w:r>
          </w:p>
        </w:tc>
        <w:tc>
          <w:tcPr>
            <w:tcW w:w="1127" w:type="dxa"/>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hint="eastAsia"/>
                <w:color w:val="000000"/>
                <w:sz w:val="24"/>
              </w:rPr>
            </w:pPr>
            <w:r>
              <w:rPr>
                <w:rFonts w:ascii="宋体" w:cs="宋体"/>
                <w:color w:val="000000"/>
                <w:kern w:val="0"/>
                <w:sz w:val="24"/>
              </w:rPr>
              <w:t>指标性质</w:t>
            </w:r>
          </w:p>
        </w:tc>
        <w:tc>
          <w:tcPr>
            <w:tcW w:w="971" w:type="dxa"/>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hint="eastAsia"/>
                <w:color w:val="000000"/>
                <w:sz w:val="24"/>
              </w:rPr>
            </w:pPr>
            <w:r>
              <w:rPr>
                <w:rFonts w:ascii="宋体" w:cs="宋体"/>
                <w:color w:val="000000"/>
                <w:kern w:val="0"/>
                <w:sz w:val="24"/>
              </w:rPr>
              <w:t>指标值</w:t>
            </w:r>
          </w:p>
        </w:tc>
        <w:tc>
          <w:tcPr>
            <w:tcW w:w="1061" w:type="dxa"/>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hint="eastAsia"/>
                <w:color w:val="000000"/>
                <w:sz w:val="24"/>
              </w:rPr>
            </w:pPr>
            <w:r>
              <w:rPr>
                <w:rFonts w:ascii="宋体" w:cs="宋体"/>
                <w:color w:val="000000"/>
                <w:kern w:val="0"/>
                <w:sz w:val="24"/>
              </w:rPr>
              <w:t>度量单位</w:t>
            </w:r>
          </w:p>
        </w:tc>
        <w:tc>
          <w:tcPr>
            <w:tcW w:w="938" w:type="dxa"/>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hint="eastAsia"/>
                <w:color w:val="000000"/>
                <w:sz w:val="24"/>
              </w:rPr>
            </w:pPr>
            <w:r>
              <w:rPr>
                <w:rFonts w:ascii="宋体" w:cs="宋体"/>
                <w:color w:val="000000"/>
                <w:kern w:val="0"/>
                <w:sz w:val="24"/>
              </w:rPr>
              <w:t>权重</w:t>
            </w:r>
          </w:p>
        </w:tc>
        <w:tc>
          <w:tcPr>
            <w:tcW w:w="1841" w:type="dxa"/>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hint="eastAsia"/>
                <w:color w:val="000000"/>
                <w:sz w:val="24"/>
              </w:rPr>
            </w:pPr>
            <w:r>
              <w:rPr>
                <w:rFonts w:ascii="宋体" w:cs="宋体"/>
                <w:color w:val="000000"/>
                <w:kern w:val="0"/>
                <w:sz w:val="24"/>
              </w:rPr>
              <w:t>实际完成指标值</w:t>
            </w:r>
          </w:p>
        </w:tc>
      </w:tr>
      <w:tr>
        <w:trPr>
          <w:trHeight w:val="23"/>
        </w:trPr>
        <w:tc>
          <w:tcPr>
            <w:tcW w:w="652" w:type="dxa"/>
            <w:vMerge/>
            <w:tcBorders>
              <w:top w:val="single" w:sz="4" w:space="0" w:color="000000"/>
              <w:left w:val="single" w:sz="4" w:space="0" w:color="000000"/>
              <w:bottom w:val="single" w:sz="4" w:space="0" w:color="000000"/>
            </w:tcBorders>
            <w:noWrap/>
            <w:vAlign w:val="center"/>
          </w:tcPr>
          <w:p/>
        </w:tc>
        <w:tc>
          <w:tcPr>
            <w:tcW w:w="1081" w:type="dxa"/>
            <w:vMerge w:val="restart"/>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hint="eastAsia"/>
                <w:color w:val="000000"/>
                <w:sz w:val="24"/>
              </w:rPr>
            </w:pPr>
            <w:r>
              <w:rPr>
                <w:rFonts w:ascii="宋体" w:cs="宋体"/>
                <w:color w:val="000000"/>
                <w:kern w:val="0"/>
                <w:sz w:val="24"/>
              </w:rPr>
              <w:t>产出指标</w:t>
            </w:r>
          </w:p>
        </w:tc>
        <w:tc>
          <w:tcPr>
            <w:tcW w:w="1250" w:type="dxa"/>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hint="eastAsia"/>
                <w:color w:val="000000"/>
                <w:sz w:val="24"/>
              </w:rPr>
            </w:pPr>
            <w:r>
              <w:rPr>
                <w:rFonts w:ascii="宋体" w:cs="宋体"/>
                <w:color w:val="000000"/>
                <w:kern w:val="0"/>
                <w:sz w:val="24"/>
              </w:rPr>
              <w:t>数量指标</w:t>
            </w:r>
          </w:p>
        </w:tc>
        <w:tc>
          <w:tcPr>
            <w:tcW w:w="1312"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rPr>
                <w:rFonts w:ascii="宋体" w:cs="宋体" w:hint="eastAsia"/>
                <w:color w:val="000000"/>
                <w:sz w:val="24"/>
              </w:rPr>
            </w:pPr>
            <w:r>
              <w:rPr>
                <w:rFonts w:ascii="宋体" w:cs="宋体" w:hint="eastAsia"/>
                <w:color w:val="000000"/>
                <w:sz w:val="24"/>
              </w:rPr>
              <w:t>补助人数</w:t>
            </w:r>
          </w:p>
        </w:tc>
        <w:tc>
          <w:tcPr>
            <w:tcW w:w="1127"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r>
              <w:rPr>
                <w:rFonts w:ascii="宋体" w:cs="宋体" w:hint="eastAsia"/>
                <w:color w:val="000000"/>
                <w:sz w:val="24"/>
              </w:rPr>
              <w:t>≦</w:t>
            </w:r>
          </w:p>
        </w:tc>
        <w:tc>
          <w:tcPr>
            <w:tcW w:w="971"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r>
              <w:rPr>
                <w:rFonts w:ascii="宋体" w:cs="宋体" w:hint="eastAsia"/>
                <w:color w:val="000000"/>
                <w:sz w:val="24"/>
              </w:rPr>
              <w:t>63</w:t>
            </w:r>
          </w:p>
        </w:tc>
        <w:tc>
          <w:tcPr>
            <w:tcW w:w="1061"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r>
              <w:rPr>
                <w:rFonts w:ascii="宋体" w:cs="宋体" w:hint="eastAsia"/>
                <w:color w:val="000000"/>
                <w:sz w:val="24"/>
              </w:rPr>
              <w:t>人</w:t>
            </w:r>
          </w:p>
        </w:tc>
        <w:tc>
          <w:tcPr>
            <w:tcW w:w="938"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r>
              <w:rPr>
                <w:rFonts w:ascii="宋体" w:cs="宋体" w:hint="eastAsia"/>
                <w:color w:val="000000"/>
                <w:sz w:val="24"/>
              </w:rPr>
              <w:t>20%</w:t>
            </w:r>
          </w:p>
        </w:tc>
        <w:tc>
          <w:tcPr>
            <w:tcW w:w="1841"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r>
              <w:rPr>
                <w:rFonts w:ascii="宋体" w:cs="宋体" w:hint="eastAsia"/>
                <w:color w:val="000000"/>
                <w:sz w:val="24"/>
              </w:rPr>
              <w:t>63</w:t>
            </w:r>
          </w:p>
        </w:tc>
      </w:tr>
      <w:tr>
        <w:trPr>
          <w:trHeight w:val="23"/>
        </w:trPr>
        <w:tc>
          <w:tcPr>
            <w:tcW w:w="652" w:type="dxa"/>
            <w:vMerge/>
            <w:tcBorders>
              <w:top w:val="single" w:sz="4" w:space="0" w:color="000000"/>
              <w:left w:val="single" w:sz="4" w:space="0" w:color="000000"/>
              <w:bottom w:val="single" w:sz="4" w:space="0" w:color="000000"/>
            </w:tcBorders>
            <w:noWrap/>
            <w:vAlign w:val="center"/>
          </w:tcPr>
          <w:p/>
        </w:tc>
        <w:tc>
          <w:tcPr>
            <w:tcW w:w="1081" w:type="dxa"/>
            <w:vMerge/>
            <w:tcBorders>
              <w:top w:val="single" w:sz="4" w:space="0" w:color="000000"/>
              <w:left w:val="single" w:sz="4" w:space="0" w:color="000000"/>
              <w:bottom w:val="single" w:sz="4" w:space="0" w:color="000000"/>
              <w:right w:val="single" w:sz="4" w:space="0" w:color="000000"/>
            </w:tcBorders>
            <w:noWrap/>
            <w:vAlign w:val="center"/>
          </w:tcPr>
          <w:p/>
        </w:tc>
        <w:tc>
          <w:tcPr>
            <w:tcW w:w="1250" w:type="dxa"/>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hint="eastAsia"/>
                <w:color w:val="000000"/>
                <w:sz w:val="24"/>
              </w:rPr>
            </w:pPr>
            <w:r>
              <w:rPr>
                <w:rFonts w:ascii="宋体" w:cs="宋体"/>
                <w:color w:val="000000"/>
                <w:kern w:val="0"/>
                <w:sz w:val="24"/>
              </w:rPr>
              <w:t>质量指标</w:t>
            </w:r>
          </w:p>
        </w:tc>
        <w:tc>
          <w:tcPr>
            <w:tcW w:w="1312"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rPr>
                <w:rFonts w:ascii="宋体" w:cs="宋体" w:hint="eastAsia"/>
                <w:color w:val="000000"/>
                <w:sz w:val="24"/>
              </w:rPr>
            </w:pPr>
            <w:r>
              <w:rPr>
                <w:rFonts w:ascii="宋体" w:cs="宋体" w:hint="eastAsia"/>
                <w:color w:val="000000"/>
                <w:sz w:val="24"/>
              </w:rPr>
              <w:t>补助覆盖率</w:t>
            </w:r>
          </w:p>
        </w:tc>
        <w:tc>
          <w:tcPr>
            <w:tcW w:w="1127"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r>
              <w:rPr>
                <w:rFonts w:ascii="宋体" w:cs="宋体" w:hint="eastAsia"/>
                <w:color w:val="000000"/>
                <w:sz w:val="24"/>
              </w:rPr>
              <w:t>≥</w:t>
            </w:r>
          </w:p>
        </w:tc>
        <w:tc>
          <w:tcPr>
            <w:tcW w:w="971"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r>
              <w:rPr>
                <w:rFonts w:ascii="宋体" w:cs="宋体" w:hint="eastAsia"/>
                <w:color w:val="000000"/>
                <w:sz w:val="24"/>
              </w:rPr>
              <w:t>95</w:t>
            </w:r>
          </w:p>
        </w:tc>
        <w:tc>
          <w:tcPr>
            <w:tcW w:w="1061"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r>
              <w:rPr>
                <w:rFonts w:ascii="宋体" w:cs="宋体" w:hint="eastAsia"/>
                <w:color w:val="000000"/>
                <w:sz w:val="24"/>
              </w:rPr>
              <w:t>%</w:t>
            </w:r>
          </w:p>
        </w:tc>
        <w:tc>
          <w:tcPr>
            <w:tcW w:w="938"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r>
              <w:rPr>
                <w:rFonts w:ascii="宋体" w:cs="宋体" w:hint="eastAsia"/>
                <w:color w:val="000000"/>
                <w:sz w:val="24"/>
              </w:rPr>
              <w:t>10%</w:t>
            </w:r>
          </w:p>
        </w:tc>
        <w:tc>
          <w:tcPr>
            <w:tcW w:w="1841"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r>
              <w:rPr>
                <w:rFonts w:ascii="宋体" w:cs="宋体" w:hint="eastAsia"/>
                <w:color w:val="000000"/>
                <w:sz w:val="24"/>
              </w:rPr>
              <w:t>95%</w:t>
            </w:r>
          </w:p>
        </w:tc>
      </w:tr>
      <w:tr>
        <w:trPr>
          <w:trHeight w:val="23"/>
        </w:trPr>
        <w:tc>
          <w:tcPr>
            <w:tcW w:w="652" w:type="dxa"/>
            <w:vMerge/>
            <w:tcBorders>
              <w:top w:val="single" w:sz="4" w:space="0" w:color="000000"/>
              <w:left w:val="single" w:sz="4" w:space="0" w:color="000000"/>
              <w:bottom w:val="single" w:sz="4" w:space="0" w:color="000000"/>
            </w:tcBorders>
            <w:noWrap/>
            <w:vAlign w:val="center"/>
          </w:tcPr>
          <w:p/>
        </w:tc>
        <w:tc>
          <w:tcPr>
            <w:tcW w:w="1081" w:type="dxa"/>
            <w:vMerge/>
            <w:tcBorders>
              <w:top w:val="single" w:sz="4" w:space="0" w:color="000000"/>
              <w:left w:val="single" w:sz="4" w:space="0" w:color="000000"/>
              <w:bottom w:val="single" w:sz="4" w:space="0" w:color="000000"/>
              <w:right w:val="single" w:sz="4" w:space="0" w:color="000000"/>
            </w:tcBorders>
            <w:noWrap/>
            <w:vAlign w:val="center"/>
          </w:tcPr>
          <w:p/>
        </w:tc>
        <w:tc>
          <w:tcPr>
            <w:tcW w:w="1250" w:type="dxa"/>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hint="eastAsia"/>
                <w:color w:val="000000"/>
                <w:sz w:val="24"/>
              </w:rPr>
            </w:pPr>
            <w:r>
              <w:rPr>
                <w:rFonts w:ascii="宋体" w:cs="宋体"/>
                <w:color w:val="000000"/>
                <w:kern w:val="0"/>
                <w:sz w:val="24"/>
              </w:rPr>
              <w:t>时效指标</w:t>
            </w:r>
          </w:p>
        </w:tc>
        <w:tc>
          <w:tcPr>
            <w:tcW w:w="1312"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rPr>
                <w:rFonts w:ascii="宋体" w:cs="宋体" w:hint="eastAsia"/>
                <w:color w:val="000000"/>
                <w:sz w:val="24"/>
              </w:rPr>
            </w:pPr>
            <w:r>
              <w:rPr>
                <w:rFonts w:ascii="宋体" w:cs="宋体" w:hint="eastAsia"/>
                <w:color w:val="000000"/>
                <w:sz w:val="24"/>
              </w:rPr>
              <w:t>项目服务时间</w:t>
            </w:r>
          </w:p>
        </w:tc>
        <w:tc>
          <w:tcPr>
            <w:tcW w:w="1127"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r>
              <w:rPr>
                <w:rFonts w:ascii="宋体" w:cs="宋体" w:hint="eastAsia"/>
                <w:color w:val="000000"/>
                <w:sz w:val="24"/>
              </w:rPr>
              <w:t>=</w:t>
            </w:r>
          </w:p>
        </w:tc>
        <w:tc>
          <w:tcPr>
            <w:tcW w:w="971"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r>
              <w:rPr>
                <w:rFonts w:ascii="宋体" w:cs="宋体" w:hint="eastAsia"/>
                <w:color w:val="000000"/>
                <w:sz w:val="24"/>
              </w:rPr>
              <w:t>2025</w:t>
            </w:r>
          </w:p>
        </w:tc>
        <w:tc>
          <w:tcPr>
            <w:tcW w:w="1061"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r>
              <w:rPr>
                <w:rFonts w:ascii="宋体" w:cs="宋体" w:hint="eastAsia"/>
                <w:color w:val="000000"/>
                <w:sz w:val="24"/>
              </w:rPr>
              <w:t>年</w:t>
            </w:r>
          </w:p>
        </w:tc>
        <w:tc>
          <w:tcPr>
            <w:tcW w:w="938"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r>
              <w:rPr>
                <w:rFonts w:ascii="宋体" w:cs="宋体" w:hint="eastAsia"/>
                <w:color w:val="000000"/>
                <w:sz w:val="24"/>
              </w:rPr>
              <w:t>10%</w:t>
            </w:r>
          </w:p>
        </w:tc>
        <w:tc>
          <w:tcPr>
            <w:tcW w:w="1841"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r>
              <w:rPr>
                <w:rFonts w:ascii="宋体" w:cs="宋体" w:hint="eastAsia"/>
                <w:color w:val="000000"/>
                <w:sz w:val="24"/>
              </w:rPr>
              <w:t>2025年</w:t>
            </w:r>
          </w:p>
        </w:tc>
      </w:tr>
      <w:tr>
        <w:trPr>
          <w:trHeight w:val="23"/>
        </w:trPr>
        <w:tc>
          <w:tcPr>
            <w:tcW w:w="652" w:type="dxa"/>
            <w:vMerge/>
            <w:tcBorders>
              <w:top w:val="single" w:sz="4" w:space="0" w:color="000000"/>
              <w:left w:val="single" w:sz="4" w:space="0" w:color="000000"/>
              <w:bottom w:val="single" w:sz="4" w:space="0" w:color="000000"/>
            </w:tcBorders>
            <w:noWrap/>
            <w:vAlign w:val="center"/>
          </w:tcPr>
          <w:p/>
        </w:tc>
        <w:tc>
          <w:tcPr>
            <w:tcW w:w="1081" w:type="dxa"/>
            <w:vMerge w:val="restart"/>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hint="eastAsia"/>
                <w:color w:val="000000"/>
                <w:kern w:val="0"/>
                <w:sz w:val="24"/>
              </w:rPr>
            </w:pPr>
            <w:r>
              <w:rPr>
                <w:rFonts w:ascii="宋体" w:cs="宋体"/>
                <w:color w:val="000000"/>
                <w:kern w:val="0"/>
                <w:sz w:val="24"/>
              </w:rPr>
              <w:t>满意度</w:t>
            </w:r>
          </w:p>
          <w:p>
            <w:pPr>
              <w:widowControl/>
              <w:spacing w:line="300" w:lineRule="exact"/>
              <w:jc w:val="center"/>
              <w:textAlignment w:val="center"/>
              <w:rPr>
                <w:rFonts w:ascii="宋体" w:cs="宋体" w:hint="eastAsia"/>
                <w:color w:val="000000"/>
                <w:sz w:val="24"/>
              </w:rPr>
            </w:pPr>
            <w:r>
              <w:rPr>
                <w:rFonts w:ascii="宋体" w:cs="宋体"/>
                <w:color w:val="000000"/>
                <w:kern w:val="0"/>
                <w:sz w:val="24"/>
              </w:rPr>
              <w:t>指标</w:t>
            </w:r>
          </w:p>
        </w:tc>
        <w:tc>
          <w:tcPr>
            <w:tcW w:w="1250" w:type="dxa"/>
            <w:vMerge w:val="restart"/>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hint="eastAsia"/>
                <w:color w:val="000000"/>
                <w:sz w:val="24"/>
              </w:rPr>
            </w:pPr>
            <w:r>
              <w:rPr>
                <w:rFonts w:ascii="宋体" w:cs="宋体" w:hint="eastAsia"/>
                <w:color w:val="000000"/>
                <w:sz w:val="24"/>
              </w:rPr>
              <w:t>服务对象</w:t>
            </w:r>
          </w:p>
          <w:p>
            <w:pPr>
              <w:widowControl/>
              <w:spacing w:line="300" w:lineRule="exact"/>
              <w:jc w:val="center"/>
              <w:textAlignment w:val="center"/>
              <w:rPr>
                <w:rFonts w:ascii="宋体" w:cs="宋体" w:hint="eastAsia"/>
                <w:color w:val="000000"/>
                <w:sz w:val="24"/>
              </w:rPr>
            </w:pPr>
            <w:r>
              <w:rPr>
                <w:rFonts w:ascii="宋体" w:cs="宋体" w:hint="eastAsia"/>
                <w:color w:val="000000"/>
                <w:sz w:val="24"/>
              </w:rPr>
              <w:t>满意度指标</w:t>
            </w:r>
          </w:p>
        </w:tc>
        <w:tc>
          <w:tcPr>
            <w:tcW w:w="1312"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rPr>
                <w:rFonts w:ascii="宋体" w:cs="宋体" w:hint="eastAsia"/>
                <w:color w:val="000000"/>
                <w:sz w:val="24"/>
              </w:rPr>
            </w:pPr>
            <w:r>
              <w:rPr>
                <w:rFonts w:ascii="宋体" w:cs="宋体" w:hint="eastAsia"/>
                <w:color w:val="000000"/>
                <w:sz w:val="24"/>
              </w:rPr>
              <w:t>服务对象满意度</w:t>
            </w:r>
          </w:p>
        </w:tc>
        <w:tc>
          <w:tcPr>
            <w:tcW w:w="1127"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r>
              <w:rPr>
                <w:rFonts w:ascii="宋体" w:cs="宋体" w:hint="eastAsia"/>
                <w:color w:val="000000"/>
                <w:sz w:val="24"/>
              </w:rPr>
              <w:t>≥</w:t>
            </w:r>
          </w:p>
        </w:tc>
        <w:tc>
          <w:tcPr>
            <w:tcW w:w="971"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r>
              <w:rPr>
                <w:rFonts w:ascii="宋体" w:cs="宋体" w:hint="eastAsia"/>
                <w:color w:val="000000"/>
                <w:sz w:val="24"/>
              </w:rPr>
              <w:t>95</w:t>
            </w:r>
          </w:p>
        </w:tc>
        <w:tc>
          <w:tcPr>
            <w:tcW w:w="1061"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r>
              <w:rPr>
                <w:rFonts w:ascii="宋体" w:cs="宋体" w:hint="eastAsia"/>
                <w:color w:val="000000"/>
                <w:sz w:val="24"/>
              </w:rPr>
              <w:t>%</w:t>
            </w:r>
          </w:p>
        </w:tc>
        <w:tc>
          <w:tcPr>
            <w:tcW w:w="938"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r>
              <w:rPr>
                <w:rFonts w:ascii="宋体" w:cs="宋体" w:hint="eastAsia"/>
                <w:color w:val="000000"/>
                <w:sz w:val="24"/>
              </w:rPr>
              <w:t>10%</w:t>
            </w:r>
          </w:p>
        </w:tc>
        <w:tc>
          <w:tcPr>
            <w:tcW w:w="1841"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r>
              <w:rPr>
                <w:rFonts w:ascii="宋体" w:cs="宋体" w:hint="eastAsia"/>
                <w:color w:val="000000"/>
                <w:sz w:val="24"/>
              </w:rPr>
              <w:t>95%</w:t>
            </w:r>
          </w:p>
        </w:tc>
      </w:tr>
      <w:tr>
        <w:trPr>
          <w:trHeight w:val="537"/>
        </w:trPr>
        <w:tc>
          <w:tcPr>
            <w:tcW w:w="652" w:type="dxa"/>
            <w:vMerge/>
            <w:tcBorders>
              <w:top w:val="single" w:sz="4" w:space="0" w:color="000000"/>
              <w:left w:val="single" w:sz="4" w:space="0" w:color="000000"/>
              <w:bottom w:val="single" w:sz="4" w:space="0" w:color="000000"/>
            </w:tcBorders>
            <w:noWrap/>
            <w:vAlign w:val="center"/>
          </w:tcPr>
          <w:p/>
        </w:tc>
        <w:tc>
          <w:tcPr>
            <w:tcW w:w="1081" w:type="dxa"/>
            <w:vMerge/>
            <w:tcBorders>
              <w:top w:val="single" w:sz="4" w:space="0" w:color="000000"/>
              <w:left w:val="single" w:sz="4" w:space="0" w:color="000000"/>
              <w:bottom w:val="single" w:sz="4" w:space="0" w:color="000000"/>
              <w:right w:val="single" w:sz="4" w:space="0" w:color="000000"/>
            </w:tcBorders>
            <w:noWrap/>
            <w:vAlign w:val="center"/>
          </w:tcPr>
          <w:p/>
        </w:tc>
        <w:tc>
          <w:tcPr>
            <w:tcW w:w="1250" w:type="dxa"/>
            <w:vMerge/>
            <w:tcBorders>
              <w:top w:val="single" w:sz="4" w:space="0" w:color="000000"/>
              <w:left w:val="single" w:sz="4" w:space="0" w:color="000000"/>
              <w:right w:val="single" w:sz="4" w:space="0" w:color="000000"/>
            </w:tcBorders>
            <w:noWrap/>
            <w:vAlign w:val="center"/>
          </w:tcPr>
          <w:p/>
        </w:tc>
        <w:tc>
          <w:tcPr>
            <w:tcW w:w="1312"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rPr>
                <w:rFonts w:ascii="宋体" w:cs="宋体" w:hint="eastAsia"/>
                <w:color w:val="000000"/>
                <w:sz w:val="24"/>
              </w:rPr>
            </w:pPr>
            <w:r>
              <w:rPr>
                <w:rFonts w:ascii="宋体" w:cs="宋体" w:hint="eastAsia"/>
                <w:color w:val="000000"/>
                <w:sz w:val="24"/>
              </w:rPr>
              <w:t>享受补助教师</w:t>
            </w:r>
          </w:p>
        </w:tc>
        <w:tc>
          <w:tcPr>
            <w:tcW w:w="1127"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r>
              <w:rPr>
                <w:rFonts w:ascii="宋体" w:cs="宋体" w:hint="eastAsia"/>
                <w:color w:val="000000"/>
                <w:sz w:val="24"/>
              </w:rPr>
              <w:t>定性</w:t>
            </w:r>
          </w:p>
        </w:tc>
        <w:tc>
          <w:tcPr>
            <w:tcW w:w="971"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r>
              <w:rPr>
                <w:rFonts w:ascii="宋体" w:cs="宋体" w:hint="eastAsia"/>
                <w:color w:val="000000"/>
                <w:sz w:val="24"/>
              </w:rPr>
              <w:t>优</w:t>
            </w:r>
          </w:p>
        </w:tc>
        <w:tc>
          <w:tcPr>
            <w:tcW w:w="1061"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p>
        </w:tc>
        <w:tc>
          <w:tcPr>
            <w:tcW w:w="938"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r>
              <w:rPr>
                <w:rFonts w:ascii="宋体" w:cs="宋体" w:hint="eastAsia"/>
                <w:color w:val="000000"/>
                <w:sz w:val="24"/>
              </w:rPr>
              <w:t>10%</w:t>
            </w:r>
          </w:p>
        </w:tc>
        <w:tc>
          <w:tcPr>
            <w:tcW w:w="1841"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r>
              <w:rPr>
                <w:rFonts w:ascii="宋体" w:cs="宋体" w:hint="eastAsia"/>
                <w:color w:val="000000"/>
                <w:sz w:val="24"/>
              </w:rPr>
              <w:t>优</w:t>
            </w:r>
          </w:p>
        </w:tc>
      </w:tr>
      <w:tr>
        <w:trPr>
          <w:trHeight w:val="23"/>
        </w:trPr>
        <w:tc>
          <w:tcPr>
            <w:tcW w:w="652" w:type="dxa"/>
            <w:vMerge/>
            <w:tcBorders>
              <w:top w:val="single" w:sz="4" w:space="0" w:color="000000"/>
              <w:left w:val="single" w:sz="4" w:space="0" w:color="000000"/>
              <w:bottom w:val="single" w:sz="4" w:space="0" w:color="000000"/>
            </w:tcBorders>
            <w:noWrap/>
            <w:vAlign w:val="center"/>
          </w:tcPr>
          <w:p/>
        </w:tc>
        <w:tc>
          <w:tcPr>
            <w:tcW w:w="1081" w:type="dxa"/>
            <w:tcBorders>
              <w:top w:val="single" w:sz="4" w:space="0" w:color="000000"/>
              <w:left w:val="single" w:sz="4" w:space="0" w:color="000000"/>
              <w:right w:val="single" w:sz="4" w:space="0" w:color="000000"/>
            </w:tcBorders>
            <w:noWrap/>
            <w:vAlign w:val="center"/>
          </w:tcPr>
          <w:p>
            <w:pPr>
              <w:widowControl/>
              <w:spacing w:line="300" w:lineRule="exact"/>
              <w:jc w:val="center"/>
              <w:textAlignment w:val="center"/>
              <w:rPr>
                <w:rFonts w:ascii="宋体" w:cs="宋体" w:hint="eastAsia"/>
                <w:color w:val="000000"/>
                <w:sz w:val="24"/>
              </w:rPr>
            </w:pPr>
            <w:r>
              <w:rPr>
                <w:rFonts w:ascii="宋体" w:cs="宋体"/>
                <w:color w:val="000000"/>
                <w:kern w:val="0"/>
                <w:sz w:val="24"/>
              </w:rPr>
              <w:t>效益指标</w:t>
            </w:r>
          </w:p>
        </w:tc>
        <w:tc>
          <w:tcPr>
            <w:tcW w:w="1250" w:type="dxa"/>
            <w:tcBorders>
              <w:top w:val="single" w:sz="4" w:space="0" w:color="000000"/>
              <w:left w:val="single" w:sz="4" w:space="0" w:color="000000"/>
              <w:right w:val="single" w:sz="4" w:space="0" w:color="000000"/>
            </w:tcBorders>
            <w:noWrap/>
            <w:vAlign w:val="center"/>
          </w:tcPr>
          <w:p>
            <w:pPr>
              <w:widowControl/>
              <w:spacing w:line="300" w:lineRule="exact"/>
              <w:jc w:val="center"/>
              <w:textAlignment w:val="center"/>
              <w:rPr>
                <w:rFonts w:ascii="宋体" w:cs="宋体" w:hint="eastAsia"/>
                <w:color w:val="000000"/>
                <w:kern w:val="0"/>
                <w:sz w:val="24"/>
              </w:rPr>
            </w:pPr>
            <w:r>
              <w:rPr>
                <w:rFonts w:ascii="宋体" w:cs="宋体"/>
                <w:color w:val="000000"/>
                <w:kern w:val="0"/>
                <w:sz w:val="24"/>
              </w:rPr>
              <w:t>社会效益</w:t>
            </w:r>
          </w:p>
          <w:p>
            <w:pPr>
              <w:widowControl/>
              <w:spacing w:line="300" w:lineRule="exact"/>
              <w:jc w:val="center"/>
              <w:textAlignment w:val="center"/>
              <w:rPr>
                <w:rFonts w:ascii="宋体" w:cs="宋体" w:hint="eastAsia"/>
                <w:color w:val="000000"/>
                <w:sz w:val="24"/>
              </w:rPr>
            </w:pPr>
            <w:r>
              <w:rPr>
                <w:rFonts w:ascii="宋体" w:cs="宋体"/>
                <w:color w:val="000000"/>
                <w:kern w:val="0"/>
                <w:sz w:val="24"/>
              </w:rPr>
              <w:t>指标</w:t>
            </w:r>
          </w:p>
        </w:tc>
        <w:tc>
          <w:tcPr>
            <w:tcW w:w="1312"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rPr>
                <w:rFonts w:ascii="宋体" w:cs="宋体" w:hint="eastAsia"/>
                <w:color w:val="000000"/>
                <w:sz w:val="24"/>
              </w:rPr>
            </w:pPr>
            <w:r>
              <w:rPr>
                <w:rFonts w:ascii="宋体" w:cs="宋体" w:hint="eastAsia"/>
                <w:color w:val="000000"/>
                <w:sz w:val="24"/>
              </w:rPr>
              <w:t>学校教学质量</w:t>
            </w:r>
          </w:p>
        </w:tc>
        <w:tc>
          <w:tcPr>
            <w:tcW w:w="1127"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r>
              <w:rPr>
                <w:rFonts w:ascii="宋体" w:cs="宋体" w:hint="eastAsia"/>
                <w:color w:val="000000"/>
                <w:sz w:val="24"/>
              </w:rPr>
              <w:t>=</w:t>
            </w:r>
          </w:p>
        </w:tc>
        <w:tc>
          <w:tcPr>
            <w:tcW w:w="971"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r>
              <w:rPr>
                <w:rFonts w:ascii="宋体" w:cs="宋体" w:hint="eastAsia"/>
                <w:color w:val="000000"/>
                <w:sz w:val="24"/>
              </w:rPr>
              <w:t>提升</w:t>
            </w:r>
          </w:p>
        </w:tc>
        <w:tc>
          <w:tcPr>
            <w:tcW w:w="1061"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r>
              <w:rPr>
                <w:rFonts w:ascii="宋体" w:cs="宋体" w:hint="eastAsia"/>
                <w:color w:val="000000"/>
                <w:sz w:val="24"/>
              </w:rPr>
              <w:t>%</w:t>
            </w:r>
          </w:p>
        </w:tc>
        <w:tc>
          <w:tcPr>
            <w:tcW w:w="938"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r>
              <w:rPr>
                <w:rFonts w:ascii="宋体" w:cs="宋体" w:hint="eastAsia"/>
                <w:color w:val="000000"/>
                <w:sz w:val="24"/>
              </w:rPr>
              <w:t>10%</w:t>
            </w:r>
          </w:p>
        </w:tc>
        <w:tc>
          <w:tcPr>
            <w:tcW w:w="1841"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r>
              <w:rPr>
                <w:rFonts w:ascii="宋体" w:cs="宋体" w:hint="eastAsia"/>
                <w:color w:val="000000"/>
                <w:sz w:val="24"/>
              </w:rPr>
              <w:t>提升</w:t>
            </w:r>
          </w:p>
        </w:tc>
      </w:tr>
      <w:tr>
        <w:trPr>
          <w:trHeight w:val="23"/>
        </w:trPr>
        <w:tc>
          <w:tcPr>
            <w:tcW w:w="652" w:type="dxa"/>
            <w:vMerge/>
            <w:tcBorders>
              <w:top w:val="single" w:sz="4" w:space="0" w:color="000000"/>
              <w:left w:val="single" w:sz="4" w:space="0" w:color="000000"/>
              <w:bottom w:val="single" w:sz="4" w:space="0" w:color="000000"/>
            </w:tcBorders>
            <w:noWrap/>
            <w:vAlign w:val="center"/>
          </w:tcPr>
          <w:p/>
        </w:tc>
        <w:tc>
          <w:tcPr>
            <w:tcW w:w="1081" w:type="dxa"/>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hint="eastAsia"/>
                <w:color w:val="000000"/>
                <w:sz w:val="24"/>
              </w:rPr>
            </w:pPr>
            <w:r>
              <w:rPr>
                <w:rFonts w:ascii="宋体" w:cs="宋体"/>
                <w:color w:val="000000"/>
                <w:kern w:val="0"/>
                <w:sz w:val="24"/>
              </w:rPr>
              <w:t>成本指标</w:t>
            </w:r>
          </w:p>
        </w:tc>
        <w:tc>
          <w:tcPr>
            <w:tcW w:w="1250" w:type="dxa"/>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hint="eastAsia"/>
                <w:color w:val="000000"/>
                <w:kern w:val="0"/>
                <w:sz w:val="24"/>
              </w:rPr>
            </w:pPr>
            <w:r>
              <w:rPr>
                <w:rFonts w:ascii="宋体" w:cs="宋体"/>
                <w:color w:val="000000"/>
                <w:kern w:val="0"/>
                <w:sz w:val="24"/>
              </w:rPr>
              <w:t>经济成本</w:t>
            </w:r>
          </w:p>
          <w:p>
            <w:pPr>
              <w:widowControl/>
              <w:spacing w:line="300" w:lineRule="exact"/>
              <w:jc w:val="center"/>
              <w:textAlignment w:val="center"/>
              <w:rPr>
                <w:rFonts w:ascii="宋体" w:cs="宋体" w:hint="eastAsia"/>
                <w:color w:val="000000"/>
                <w:sz w:val="24"/>
              </w:rPr>
            </w:pPr>
            <w:r>
              <w:rPr>
                <w:rFonts w:ascii="宋体" w:cs="宋体"/>
                <w:color w:val="000000"/>
                <w:kern w:val="0"/>
                <w:sz w:val="24"/>
              </w:rPr>
              <w:t>指标</w:t>
            </w:r>
          </w:p>
        </w:tc>
        <w:tc>
          <w:tcPr>
            <w:tcW w:w="1312" w:type="dxa"/>
            <w:tcBorders>
              <w:top w:val="single" w:sz="4" w:space="0" w:color="000000"/>
              <w:bottom w:val="single" w:sz="4" w:space="0" w:color="000000"/>
              <w:right w:val="single" w:sz="4" w:space="0" w:color="000000"/>
            </w:tcBorders>
            <w:noWrap/>
            <w:vAlign w:val="center"/>
          </w:tcPr>
          <w:p>
            <w:pPr>
              <w:spacing w:line="300" w:lineRule="exact"/>
              <w:rPr>
                <w:rFonts w:ascii="宋体" w:cs="宋体" w:hint="eastAsia"/>
                <w:color w:val="000000"/>
                <w:sz w:val="24"/>
              </w:rPr>
            </w:pPr>
            <w:r>
              <w:rPr>
                <w:rFonts w:ascii="宋体" w:cs="宋体" w:hint="eastAsia"/>
                <w:color w:val="000000"/>
                <w:sz w:val="24"/>
              </w:rPr>
              <w:t>补助经费</w:t>
            </w:r>
          </w:p>
        </w:tc>
        <w:tc>
          <w:tcPr>
            <w:tcW w:w="1127"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r>
              <w:rPr>
                <w:rFonts w:ascii="宋体" w:cs="宋体" w:hint="eastAsia"/>
                <w:color w:val="000000"/>
                <w:sz w:val="24"/>
              </w:rPr>
              <w:t>　≦</w:t>
            </w:r>
          </w:p>
        </w:tc>
        <w:tc>
          <w:tcPr>
            <w:tcW w:w="971"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r>
              <w:rPr>
                <w:rFonts w:ascii="宋体" w:cs="宋体" w:hint="eastAsia"/>
                <w:color w:val="000000"/>
                <w:sz w:val="24"/>
              </w:rPr>
              <w:t>29.44</w:t>
            </w:r>
          </w:p>
        </w:tc>
        <w:tc>
          <w:tcPr>
            <w:tcW w:w="1061"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r>
              <w:rPr>
                <w:rFonts w:ascii="宋体" w:cs="宋体" w:hint="eastAsia"/>
                <w:color w:val="000000"/>
                <w:sz w:val="24"/>
              </w:rPr>
              <w:t>万元</w:t>
            </w:r>
          </w:p>
        </w:tc>
        <w:tc>
          <w:tcPr>
            <w:tcW w:w="938"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r>
              <w:rPr>
                <w:rFonts w:ascii="宋体" w:cs="宋体" w:hint="eastAsia"/>
                <w:color w:val="000000"/>
                <w:sz w:val="24"/>
              </w:rPr>
              <w:t>20%</w:t>
            </w:r>
          </w:p>
        </w:tc>
        <w:tc>
          <w:tcPr>
            <w:tcW w:w="1841"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r>
              <w:rPr>
                <w:rFonts w:ascii="宋体" w:cs="宋体" w:hint="eastAsia"/>
                <w:color w:val="000000"/>
                <w:sz w:val="24"/>
              </w:rPr>
              <w:t>29.44</w:t>
            </w:r>
          </w:p>
        </w:tc>
      </w:tr>
    </w:tbl>
    <w:p>
      <w:pPr>
        <w:tabs>
          <w:tab w:val="left" w:pos="1911"/>
        </w:tabs>
        <w:jc w:val="left"/>
        <w:rPr>
          <w:rFonts w:ascii="仿宋" w:eastAsia="仿宋"/>
          <w:sz w:val="32"/>
          <w:szCs w:val="32"/>
        </w:rPr>
      </w:pPr>
    </w:p>
    <w:p>
      <w:pPr>
        <w:tabs>
          <w:tab w:val="left" w:pos="1911"/>
        </w:tabs>
        <w:jc w:val="left"/>
        <w:rPr>
          <w:rFonts w:ascii="仿宋" w:eastAsia="仿宋"/>
          <w:sz w:val="32"/>
          <w:szCs w:val="32"/>
        </w:rPr>
      </w:pPr>
    </w:p>
    <w:p>
      <w:pPr>
        <w:jc w:val="center"/>
        <w:rPr>
          <w:rFonts w:ascii="黑体" w:eastAsia="黑体" w:cs="宋体"/>
          <w:kern w:val="0"/>
          <w:sz w:val="32"/>
          <w:szCs w:val="32"/>
        </w:rPr>
      </w:pPr>
    </w:p>
    <w:p>
      <w:pPr>
        <w:jc w:val="center"/>
        <w:rPr>
          <w:rFonts w:ascii="黑体" w:eastAsia="黑体" w:cs="宋体"/>
          <w:kern w:val="0"/>
          <w:sz w:val="32"/>
          <w:szCs w:val="32"/>
        </w:rPr>
      </w:pPr>
      <w:r>
        <w:rPr>
          <w:rFonts w:ascii="黑体" w:eastAsia="黑体" w:cs="宋体" w:hint="eastAsia"/>
          <w:kern w:val="0"/>
          <w:sz w:val="32"/>
          <w:szCs w:val="32"/>
        </w:rPr>
        <w:t>十五年免费教育项目</w:t>
      </w:r>
    </w:p>
    <w:p>
      <w:pPr>
        <w:jc w:val="center"/>
        <w:rPr>
          <w:rFonts w:ascii="黑体" w:eastAsia="黑体" w:cs="宋体"/>
          <w:kern w:val="0"/>
          <w:sz w:val="32"/>
          <w:szCs w:val="32"/>
        </w:rPr>
      </w:pPr>
      <w:r>
        <w:rPr>
          <w:rFonts w:ascii="黑体" w:eastAsia="黑体" w:cs="宋体" w:hint="eastAsia"/>
          <w:kern w:val="0"/>
          <w:sz w:val="32"/>
          <w:szCs w:val="32"/>
        </w:rPr>
        <w:t>绩效自评报告</w:t>
      </w:r>
    </w:p>
    <w:p>
      <w:pPr>
        <w:adjustRightInd w:val="0"/>
        <w:snapToGrid w:val="0"/>
        <w:spacing w:line="578" w:lineRule="exact"/>
        <w:ind w:firstLineChars="200" w:firstLine="640"/>
        <w:outlineLvl w:val="0"/>
        <w:rPr>
          <w:rFonts w:eastAsia="黑体"/>
          <w:sz w:val="32"/>
          <w:szCs w:val="32"/>
          <w:lang w:val="zh-CN"/>
        </w:rPr>
      </w:pPr>
      <w:r>
        <w:rPr>
          <w:rFonts w:eastAsia="黑体" w:hint="eastAsia"/>
          <w:sz w:val="32"/>
          <w:szCs w:val="32"/>
        </w:rPr>
        <w:t>一、</w:t>
      </w:r>
      <w:r>
        <w:rPr>
          <w:rFonts w:eastAsia="黑体" w:hint="eastAsia"/>
          <w:sz w:val="32"/>
          <w:szCs w:val="32"/>
          <w:lang w:val="zh-CN"/>
        </w:rPr>
        <w:t>项目概况</w:t>
      </w:r>
    </w:p>
    <w:p>
      <w:pPr>
        <w:widowControl/>
        <w:adjustRightInd w:val="0"/>
        <w:snapToGrid w:val="0"/>
        <w:spacing w:line="578" w:lineRule="exact"/>
        <w:ind w:firstLineChars="200" w:firstLine="640"/>
        <w:contextualSpacing/>
        <w:jc w:val="left"/>
        <w:outlineLvl w:val="1"/>
        <w:rPr>
          <w:rFonts w:eastAsia="楷体_GB2312"/>
          <w:b/>
          <w:lang w:val="zh-CN"/>
        </w:rPr>
      </w:pPr>
      <w:r>
        <w:rPr>
          <w:rFonts w:eastAsia="楷体_GB2312" w:hint="eastAsia"/>
          <w:b/>
          <w:sz w:val="32"/>
          <w:szCs w:val="32"/>
          <w:lang w:val="zh-CN"/>
        </w:rPr>
        <w:t>（一）设立背景及基本情况</w:t>
      </w:r>
    </w:p>
    <w:p>
      <w:pPr>
        <w:adjustRightInd w:val="0"/>
        <w:snapToGrid w:val="0"/>
        <w:spacing w:line="578" w:lineRule="exact"/>
        <w:ind w:firstLineChars="200" w:firstLine="640"/>
        <w:outlineLvl w:val="1"/>
        <w:rPr>
          <w:rFonts w:ascii="仿宋" w:eastAsia="仿宋"/>
          <w:sz w:val="32"/>
          <w:szCs w:val="32"/>
        </w:rPr>
      </w:pPr>
      <w:r>
        <w:rPr>
          <w:rFonts w:ascii="仿宋" w:eastAsia="仿宋"/>
          <w:sz w:val="32"/>
          <w:szCs w:val="32"/>
        </w:rPr>
        <w:t>《2025年家庭经济困难学生生活补助城乡义务教育补助经费》下达资金23.01万元，用于义务教育补助经费（寄宿制非寄宿制补助）；《2025年生均公用经费城乡义务教育补助经费》下达生均公用经费中央、省级资金23.21万元县级生均公用经费23.47万元，用于保障学校运转；《2025年（保教费）》下达资金12.66万元，用于保障学校运转；《2025年作业本费》下达资金0.82万元，用于作业本费；《学前教育午餐费》下达资金8.44万元，用于学前午餐费；《2025年营养餐城乡义务教育补助经费》下达营养餐中央资金26.08万元，用于义务教育营养餐。深化教育改革、‌优化教育资源配置、‌促进教育公平和质量提升，‌以及推动经济结构调整和产业转型升级。‌具体来说，‌这一政策的实施旨在通过加大教育投入，‌优化整合资金，‌向农村义务教育倾斜，‌以解决教育资源分配不均的问题，‌实现教育在更高层次的均衡发展。‌此外，‌这一政策还有利于深化财税体制改革，‌促进基本公共服务均等化，‌构建社会主义和谐社会。</w:t>
      </w:r>
    </w:p>
    <w:p>
      <w:pPr>
        <w:adjustRightInd w:val="0"/>
        <w:snapToGrid w:val="0"/>
        <w:spacing w:line="578" w:lineRule="exact"/>
        <w:ind w:firstLineChars="200" w:firstLine="640"/>
        <w:outlineLvl w:val="1"/>
        <w:rPr>
          <w:rFonts w:eastAsia="楷体_GB2312"/>
          <w:b/>
        </w:rPr>
      </w:pPr>
      <w:r>
        <w:rPr>
          <w:rFonts w:eastAsia="楷体_GB2312" w:hint="eastAsia"/>
          <w:b/>
          <w:sz w:val="32"/>
          <w:szCs w:val="32"/>
          <w:lang w:val="zh-CN"/>
        </w:rPr>
        <w:t>（二）</w:t>
      </w:r>
      <w:r>
        <w:rPr>
          <w:rFonts w:eastAsia="楷体_GB2312"/>
          <w:b/>
          <w:sz w:val="32"/>
          <w:szCs w:val="32"/>
        </w:rPr>
        <w:t>实施目的及支持方向</w:t>
      </w:r>
    </w:p>
    <w:p>
      <w:pPr>
        <w:adjustRightInd w:val="0"/>
        <w:snapToGrid w:val="0"/>
        <w:spacing w:line="578" w:lineRule="exact"/>
        <w:ind w:firstLineChars="200" w:firstLine="640"/>
        <w:rPr>
          <w:rFonts w:ascii="仿宋" w:eastAsia="仿宋"/>
          <w:sz w:val="32"/>
          <w:szCs w:val="32"/>
        </w:rPr>
      </w:pPr>
      <w:r>
        <w:rPr>
          <w:rFonts w:ascii="仿宋" w:eastAsia="仿宋" w:hint="eastAsia"/>
          <w:sz w:val="32"/>
          <w:szCs w:val="32"/>
        </w:rPr>
        <w:t>深化教育改革、</w:t>
      </w:r>
      <w:r>
        <w:rPr>
          <w:rFonts w:ascii="Courier New" w:eastAsia="仿宋" w:cs="Courier New" w:hAnsi="Courier New"/>
          <w:sz w:val="32"/>
          <w:szCs w:val="32"/>
        </w:rPr>
        <w:t>‌</w:t>
      </w:r>
      <w:r>
        <w:rPr>
          <w:rFonts w:ascii="仿宋" w:eastAsia="仿宋" w:cs="仿宋" w:hint="eastAsia"/>
          <w:sz w:val="32"/>
          <w:szCs w:val="32"/>
        </w:rPr>
        <w:t>优化教育资源配置、</w:t>
      </w:r>
      <w:r>
        <w:rPr>
          <w:rFonts w:ascii="Courier New" w:eastAsia="仿宋" w:cs="Courier New" w:hAnsi="Courier New"/>
          <w:sz w:val="32"/>
          <w:szCs w:val="32"/>
        </w:rPr>
        <w:t>‌</w:t>
      </w:r>
      <w:r>
        <w:rPr>
          <w:rFonts w:ascii="仿宋" w:eastAsia="仿宋" w:cs="仿宋" w:hint="eastAsia"/>
          <w:sz w:val="32"/>
          <w:szCs w:val="32"/>
        </w:rPr>
        <w:t>促进教育公平和质</w:t>
      </w:r>
      <w:r>
        <w:rPr>
          <w:rFonts w:ascii="仿宋" w:eastAsia="仿宋" w:hint="eastAsia"/>
          <w:sz w:val="32"/>
          <w:szCs w:val="32"/>
        </w:rPr>
        <w:t>量提升，</w:t>
      </w:r>
      <w:r>
        <w:rPr>
          <w:rFonts w:ascii="Courier New" w:eastAsia="仿宋" w:cs="Courier New" w:hAnsi="Courier New"/>
          <w:sz w:val="32"/>
          <w:szCs w:val="32"/>
        </w:rPr>
        <w:t>‌</w:t>
      </w:r>
      <w:r>
        <w:rPr>
          <w:rFonts w:ascii="仿宋" w:eastAsia="仿宋" w:cs="仿宋" w:hint="eastAsia"/>
          <w:sz w:val="32"/>
          <w:szCs w:val="32"/>
        </w:rPr>
        <w:t>以及推动经济结构调整和产业转型升级。</w:t>
      </w:r>
      <w:r>
        <w:rPr>
          <w:rFonts w:ascii="Courier New" w:eastAsia="仿宋" w:cs="Courier New" w:hAnsi="Courier New"/>
          <w:sz w:val="32"/>
          <w:szCs w:val="32"/>
        </w:rPr>
        <w:t>‌</w:t>
      </w:r>
      <w:r>
        <w:rPr>
          <w:rFonts w:ascii="仿宋" w:eastAsia="仿宋" w:cs="仿宋" w:hint="eastAsia"/>
          <w:sz w:val="32"/>
          <w:szCs w:val="32"/>
        </w:rPr>
        <w:t>具体来说，</w:t>
      </w:r>
      <w:r>
        <w:rPr>
          <w:rFonts w:ascii="Courier New" w:eastAsia="仿宋" w:cs="Courier New" w:hAnsi="Courier New"/>
          <w:sz w:val="32"/>
          <w:szCs w:val="32"/>
        </w:rPr>
        <w:t>‌</w:t>
      </w:r>
      <w:r>
        <w:rPr>
          <w:rFonts w:ascii="仿宋" w:eastAsia="仿宋" w:cs="仿宋" w:hint="eastAsia"/>
          <w:sz w:val="32"/>
          <w:szCs w:val="32"/>
        </w:rPr>
        <w:t>这一政策的实施旨在通过加大教育投入，</w:t>
      </w:r>
      <w:r>
        <w:rPr>
          <w:rFonts w:ascii="Courier New" w:eastAsia="仿宋" w:cs="Courier New" w:hAnsi="Courier New"/>
          <w:sz w:val="32"/>
          <w:szCs w:val="32"/>
        </w:rPr>
        <w:t>‌</w:t>
      </w:r>
      <w:r>
        <w:rPr>
          <w:rFonts w:ascii="仿宋" w:eastAsia="仿宋" w:cs="仿宋" w:hint="eastAsia"/>
          <w:sz w:val="32"/>
          <w:szCs w:val="32"/>
        </w:rPr>
        <w:t>优化整合资金，</w:t>
      </w:r>
      <w:r>
        <w:rPr>
          <w:rFonts w:ascii="Courier New" w:eastAsia="仿宋" w:cs="Courier New" w:hAnsi="Courier New"/>
          <w:sz w:val="32"/>
          <w:szCs w:val="32"/>
        </w:rPr>
        <w:t>‌</w:t>
      </w:r>
      <w:r>
        <w:rPr>
          <w:rFonts w:ascii="仿宋" w:eastAsia="仿宋" w:cs="仿宋" w:hint="eastAsia"/>
          <w:sz w:val="32"/>
          <w:szCs w:val="32"/>
        </w:rPr>
        <w:t>向农村义务教育倾斜，</w:t>
      </w:r>
      <w:r>
        <w:rPr>
          <w:rFonts w:ascii="Courier New" w:eastAsia="仿宋" w:cs="Courier New" w:hAnsi="Courier New"/>
          <w:sz w:val="32"/>
          <w:szCs w:val="32"/>
        </w:rPr>
        <w:t>‌</w:t>
      </w:r>
      <w:r>
        <w:rPr>
          <w:rFonts w:ascii="仿宋" w:eastAsia="仿宋" w:cs="仿宋" w:hint="eastAsia"/>
          <w:sz w:val="32"/>
          <w:szCs w:val="32"/>
        </w:rPr>
        <w:t>以解决教育资源分配不均的问题，</w:t>
      </w:r>
      <w:r>
        <w:rPr>
          <w:rFonts w:ascii="Courier New" w:eastAsia="仿宋" w:cs="Courier New" w:hAnsi="Courier New"/>
          <w:sz w:val="32"/>
          <w:szCs w:val="32"/>
        </w:rPr>
        <w:t>‌</w:t>
      </w:r>
      <w:r>
        <w:rPr>
          <w:rFonts w:ascii="仿宋" w:eastAsia="仿宋" w:cs="仿宋" w:hint="eastAsia"/>
          <w:sz w:val="32"/>
          <w:szCs w:val="32"/>
        </w:rPr>
        <w:t>实现教育在更高层次的均衡发展。</w:t>
      </w:r>
      <w:r>
        <w:rPr>
          <w:rFonts w:ascii="Courier New" w:eastAsia="仿宋" w:cs="Courier New" w:hAnsi="Courier New"/>
          <w:sz w:val="32"/>
          <w:szCs w:val="32"/>
        </w:rPr>
        <w:t>‌</w:t>
      </w:r>
      <w:r>
        <w:rPr>
          <w:rFonts w:ascii="仿宋" w:eastAsia="仿宋" w:cs="仿宋" w:hint="eastAsia"/>
          <w:sz w:val="32"/>
          <w:szCs w:val="32"/>
        </w:rPr>
        <w:t>此外，</w:t>
      </w:r>
      <w:r>
        <w:rPr>
          <w:rFonts w:ascii="Courier New" w:eastAsia="仿宋" w:cs="Courier New" w:hAnsi="Courier New"/>
          <w:sz w:val="32"/>
          <w:szCs w:val="32"/>
        </w:rPr>
        <w:t>‌</w:t>
      </w:r>
      <w:r>
        <w:rPr>
          <w:rFonts w:ascii="仿宋" w:eastAsia="仿宋" w:cs="仿宋" w:hint="eastAsia"/>
          <w:sz w:val="32"/>
          <w:szCs w:val="32"/>
        </w:rPr>
        <w:t>这一政策还有利于深化财税体制改革，</w:t>
      </w:r>
      <w:r>
        <w:rPr>
          <w:rFonts w:ascii="Courier New" w:eastAsia="仿宋" w:cs="Courier New" w:hAnsi="Courier New"/>
          <w:sz w:val="32"/>
          <w:szCs w:val="32"/>
        </w:rPr>
        <w:t>‌</w:t>
      </w:r>
      <w:r>
        <w:rPr>
          <w:rFonts w:ascii="仿宋" w:eastAsia="仿宋" w:cs="仿宋" w:hint="eastAsia"/>
          <w:sz w:val="32"/>
          <w:szCs w:val="32"/>
        </w:rPr>
        <w:t>促进基本公共服务均等化，</w:t>
      </w:r>
      <w:r>
        <w:rPr>
          <w:rFonts w:ascii="Courier New" w:eastAsia="仿宋" w:cs="Courier New" w:hAnsi="Courier New"/>
          <w:sz w:val="32"/>
          <w:szCs w:val="32"/>
        </w:rPr>
        <w:t>‌</w:t>
      </w:r>
      <w:r>
        <w:rPr>
          <w:rFonts w:ascii="仿宋" w:eastAsia="仿宋" w:cs="仿宋" w:hint="eastAsia"/>
          <w:sz w:val="32"/>
          <w:szCs w:val="32"/>
        </w:rPr>
        <w:t>构建社会主义和谐社会。</w:t>
      </w:r>
    </w:p>
    <w:p>
      <w:pPr>
        <w:widowControl/>
        <w:adjustRightInd w:val="0"/>
        <w:snapToGrid w:val="0"/>
        <w:spacing w:line="578" w:lineRule="exact"/>
        <w:ind w:firstLineChars="200" w:firstLine="640"/>
        <w:contextualSpacing/>
        <w:jc w:val="left"/>
        <w:outlineLvl w:val="1"/>
        <w:rPr>
          <w:rFonts w:eastAsia="楷体_GB2312"/>
          <w:b/>
          <w:lang w:val="zh-CN"/>
        </w:rPr>
      </w:pPr>
      <w:r>
        <w:rPr>
          <w:rFonts w:eastAsia="楷体_GB2312" w:hint="eastAsia"/>
          <w:b/>
          <w:sz w:val="32"/>
          <w:szCs w:val="32"/>
          <w:lang w:val="zh-CN"/>
        </w:rPr>
        <w:t>（三）</w:t>
      </w:r>
      <w:r>
        <w:rPr>
          <w:rFonts w:eastAsia="楷体_GB2312"/>
          <w:b/>
          <w:sz w:val="32"/>
          <w:szCs w:val="32"/>
        </w:rPr>
        <w:t>预算安排及分配管理</w:t>
      </w:r>
    </w:p>
    <w:p>
      <w:pPr>
        <w:adjustRightInd w:val="0"/>
        <w:snapToGrid w:val="0"/>
        <w:spacing w:line="578" w:lineRule="exact"/>
        <w:ind w:firstLineChars="200" w:firstLine="640"/>
        <w:outlineLvl w:val="1"/>
        <w:rPr>
          <w:rFonts w:ascii="仿宋" w:eastAsia="仿宋" w:cs="仿宋" w:hint="eastAsia"/>
          <w:sz w:val="32"/>
          <w:szCs w:val="32"/>
        </w:rPr>
      </w:pPr>
      <w:r>
        <w:rPr>
          <w:rFonts w:ascii="仿宋" w:eastAsia="仿宋" w:cs="仿宋"/>
          <w:sz w:val="32"/>
          <w:szCs w:val="32"/>
        </w:rPr>
        <w:t>《202</w:t>
      </w:r>
      <w:r>
        <w:rPr>
          <w:rFonts w:ascii="仿宋" w:eastAsia="仿宋" w:cs="仿宋" w:hint="eastAsia"/>
          <w:sz w:val="32"/>
          <w:szCs w:val="32"/>
        </w:rPr>
        <w:t>5</w:t>
      </w:r>
      <w:r>
        <w:rPr>
          <w:rFonts w:ascii="仿宋" w:eastAsia="仿宋" w:cs="仿宋"/>
          <w:sz w:val="32"/>
          <w:szCs w:val="32"/>
        </w:rPr>
        <w:t>年家庭经济困难学生生活补助城乡义务教育补助经费》下达资金</w:t>
      </w:r>
      <w:r>
        <w:rPr>
          <w:rFonts w:ascii="仿宋" w:eastAsia="仿宋" w:cs="仿宋" w:hint="eastAsia"/>
          <w:sz w:val="32"/>
          <w:szCs w:val="32"/>
        </w:rPr>
        <w:t>23.01</w:t>
      </w:r>
      <w:r>
        <w:rPr>
          <w:rFonts w:ascii="仿宋" w:eastAsia="仿宋" w:cs="仿宋"/>
          <w:sz w:val="32"/>
          <w:szCs w:val="32"/>
        </w:rPr>
        <w:t>万元，</w:t>
      </w:r>
      <w:r>
        <w:rPr>
          <w:rFonts w:ascii="仿宋" w:eastAsia="仿宋" w:cs="仿宋" w:hint="eastAsia"/>
          <w:sz w:val="32"/>
          <w:szCs w:val="32"/>
        </w:rPr>
        <w:t>用于义务教育补助经费（寄宿制非寄宿制补助）；</w:t>
      </w:r>
      <w:r>
        <w:rPr>
          <w:rFonts w:ascii="仿宋" w:eastAsia="仿宋" w:cs="仿宋"/>
          <w:sz w:val="32"/>
          <w:szCs w:val="32"/>
        </w:rPr>
        <w:t>《202</w:t>
      </w:r>
      <w:r>
        <w:rPr>
          <w:rFonts w:ascii="仿宋" w:eastAsia="仿宋" w:cs="仿宋" w:hint="eastAsia"/>
          <w:sz w:val="32"/>
          <w:szCs w:val="32"/>
        </w:rPr>
        <w:t>5</w:t>
      </w:r>
      <w:r>
        <w:rPr>
          <w:rFonts w:ascii="仿宋" w:eastAsia="仿宋" w:cs="仿宋"/>
          <w:sz w:val="32"/>
          <w:szCs w:val="32"/>
        </w:rPr>
        <w:t>年</w:t>
      </w:r>
      <w:r>
        <w:rPr>
          <w:rFonts w:ascii="仿宋" w:eastAsia="仿宋" w:cs="仿宋" w:hint="eastAsia"/>
          <w:sz w:val="32"/>
          <w:szCs w:val="32"/>
        </w:rPr>
        <w:t>生均公用经费</w:t>
      </w:r>
      <w:r>
        <w:rPr>
          <w:rFonts w:ascii="仿宋" w:eastAsia="仿宋" w:cs="仿宋"/>
          <w:sz w:val="32"/>
          <w:szCs w:val="32"/>
        </w:rPr>
        <w:t>城乡义务教育补助经费》下达生均公用经费中央</w:t>
      </w:r>
      <w:r>
        <w:rPr>
          <w:rFonts w:ascii="仿宋" w:eastAsia="仿宋" w:cs="仿宋" w:hint="eastAsia"/>
          <w:sz w:val="32"/>
          <w:szCs w:val="32"/>
        </w:rPr>
        <w:t>、省级</w:t>
      </w:r>
      <w:r>
        <w:rPr>
          <w:rFonts w:ascii="仿宋" w:eastAsia="仿宋" w:cs="仿宋"/>
          <w:sz w:val="32"/>
          <w:szCs w:val="32"/>
        </w:rPr>
        <w:t>资金</w:t>
      </w:r>
      <w:r>
        <w:rPr>
          <w:rFonts w:ascii="仿宋" w:eastAsia="仿宋" w:cs="仿宋" w:hint="eastAsia"/>
          <w:sz w:val="32"/>
          <w:szCs w:val="32"/>
        </w:rPr>
        <w:t>23.21</w:t>
      </w:r>
      <w:r>
        <w:rPr>
          <w:rFonts w:ascii="仿宋" w:eastAsia="仿宋" w:cs="仿宋"/>
          <w:sz w:val="32"/>
          <w:szCs w:val="32"/>
        </w:rPr>
        <w:t>万元县级生均公用经费</w:t>
      </w:r>
      <w:r>
        <w:rPr>
          <w:rFonts w:ascii="仿宋" w:eastAsia="仿宋" w:cs="仿宋" w:hint="eastAsia"/>
          <w:sz w:val="32"/>
          <w:szCs w:val="32"/>
        </w:rPr>
        <w:t>23.47</w:t>
      </w:r>
      <w:r>
        <w:rPr>
          <w:rFonts w:ascii="仿宋" w:eastAsia="仿宋" w:cs="仿宋"/>
          <w:sz w:val="32"/>
          <w:szCs w:val="32"/>
        </w:rPr>
        <w:t>万元，</w:t>
      </w:r>
      <w:r>
        <w:rPr>
          <w:rFonts w:ascii="仿宋" w:eastAsia="仿宋" w:cs="仿宋" w:hint="eastAsia"/>
          <w:sz w:val="32"/>
          <w:szCs w:val="32"/>
        </w:rPr>
        <w:t>用于保障学校运转；</w:t>
      </w:r>
      <w:r>
        <w:rPr>
          <w:rFonts w:ascii="仿宋" w:eastAsia="仿宋" w:cs="仿宋"/>
          <w:sz w:val="32"/>
          <w:szCs w:val="32"/>
        </w:rPr>
        <w:t>《202</w:t>
      </w:r>
      <w:r>
        <w:rPr>
          <w:rFonts w:ascii="仿宋" w:eastAsia="仿宋" w:cs="仿宋" w:hint="eastAsia"/>
          <w:sz w:val="32"/>
          <w:szCs w:val="32"/>
        </w:rPr>
        <w:t>5</w:t>
      </w:r>
      <w:r>
        <w:rPr>
          <w:rFonts w:ascii="仿宋" w:eastAsia="仿宋" w:cs="仿宋"/>
          <w:sz w:val="32"/>
          <w:szCs w:val="32"/>
        </w:rPr>
        <w:t>年（保教费）》下达资金</w:t>
      </w:r>
      <w:r>
        <w:rPr>
          <w:rFonts w:ascii="仿宋" w:eastAsia="仿宋" w:cs="仿宋" w:hint="eastAsia"/>
          <w:sz w:val="32"/>
          <w:szCs w:val="32"/>
        </w:rPr>
        <w:t>12.66</w:t>
      </w:r>
      <w:r>
        <w:rPr>
          <w:rFonts w:ascii="仿宋" w:eastAsia="仿宋" w:cs="仿宋"/>
          <w:sz w:val="32"/>
          <w:szCs w:val="32"/>
        </w:rPr>
        <w:t>万元，</w:t>
      </w:r>
      <w:r>
        <w:rPr>
          <w:rFonts w:ascii="仿宋" w:eastAsia="仿宋" w:cs="仿宋" w:hint="eastAsia"/>
          <w:sz w:val="32"/>
          <w:szCs w:val="32"/>
        </w:rPr>
        <w:t>用于保障学校运转；</w:t>
      </w:r>
      <w:r>
        <w:rPr>
          <w:rFonts w:ascii="仿宋" w:eastAsia="仿宋" w:cs="仿宋"/>
          <w:sz w:val="32"/>
          <w:szCs w:val="32"/>
        </w:rPr>
        <w:t>《202</w:t>
      </w:r>
      <w:r>
        <w:rPr>
          <w:rFonts w:ascii="仿宋" w:eastAsia="仿宋" w:cs="仿宋" w:hint="eastAsia"/>
          <w:sz w:val="32"/>
          <w:szCs w:val="32"/>
        </w:rPr>
        <w:t>5</w:t>
      </w:r>
      <w:r>
        <w:rPr>
          <w:rFonts w:ascii="仿宋" w:eastAsia="仿宋" w:cs="仿宋"/>
          <w:sz w:val="32"/>
          <w:szCs w:val="32"/>
        </w:rPr>
        <w:t>年作业本费》下达资金0.</w:t>
      </w:r>
      <w:r>
        <w:rPr>
          <w:rFonts w:ascii="仿宋" w:eastAsia="仿宋" w:cs="仿宋" w:hint="eastAsia"/>
          <w:sz w:val="32"/>
          <w:szCs w:val="32"/>
        </w:rPr>
        <w:t>82</w:t>
      </w:r>
      <w:r>
        <w:rPr>
          <w:rFonts w:ascii="仿宋" w:eastAsia="仿宋" w:cs="仿宋"/>
          <w:sz w:val="32"/>
          <w:szCs w:val="32"/>
        </w:rPr>
        <w:t>万元，</w:t>
      </w:r>
      <w:r>
        <w:rPr>
          <w:rFonts w:ascii="仿宋" w:eastAsia="仿宋" w:cs="仿宋" w:hint="eastAsia"/>
          <w:sz w:val="32"/>
          <w:szCs w:val="32"/>
        </w:rPr>
        <w:t>用于作业本费；</w:t>
      </w:r>
      <w:r>
        <w:rPr>
          <w:rFonts w:ascii="仿宋" w:eastAsia="仿宋" w:cs="仿宋"/>
          <w:sz w:val="32"/>
          <w:szCs w:val="32"/>
        </w:rPr>
        <w:t>《学前教育午餐费》下达资金</w:t>
      </w:r>
      <w:r>
        <w:rPr>
          <w:rFonts w:ascii="仿宋" w:eastAsia="仿宋" w:cs="仿宋" w:hint="eastAsia"/>
          <w:sz w:val="32"/>
          <w:szCs w:val="32"/>
        </w:rPr>
        <w:t>8.44</w:t>
      </w:r>
      <w:r>
        <w:rPr>
          <w:rFonts w:ascii="仿宋" w:eastAsia="仿宋" w:cs="仿宋"/>
          <w:sz w:val="32"/>
          <w:szCs w:val="32"/>
        </w:rPr>
        <w:t>万元，</w:t>
      </w:r>
      <w:r>
        <w:rPr>
          <w:rFonts w:ascii="仿宋" w:eastAsia="仿宋" w:cs="仿宋" w:hint="eastAsia"/>
          <w:sz w:val="32"/>
          <w:szCs w:val="32"/>
        </w:rPr>
        <w:t>用于学前午餐费；</w:t>
      </w:r>
      <w:r>
        <w:rPr>
          <w:rFonts w:ascii="仿宋" w:eastAsia="仿宋" w:cs="仿宋"/>
          <w:sz w:val="32"/>
          <w:szCs w:val="32"/>
        </w:rPr>
        <w:t>《202</w:t>
      </w:r>
      <w:r>
        <w:rPr>
          <w:rFonts w:ascii="仿宋" w:eastAsia="仿宋" w:cs="仿宋" w:hint="eastAsia"/>
          <w:sz w:val="32"/>
          <w:szCs w:val="32"/>
        </w:rPr>
        <w:t>5</w:t>
      </w:r>
      <w:r>
        <w:rPr>
          <w:rFonts w:ascii="仿宋" w:eastAsia="仿宋" w:cs="仿宋"/>
          <w:sz w:val="32"/>
          <w:szCs w:val="32"/>
        </w:rPr>
        <w:t>年营养餐城乡义务教育补助经费》下达营养餐中央资金</w:t>
      </w:r>
      <w:r>
        <w:rPr>
          <w:rFonts w:ascii="仿宋" w:eastAsia="仿宋" w:cs="仿宋" w:hint="eastAsia"/>
          <w:sz w:val="32"/>
          <w:szCs w:val="32"/>
        </w:rPr>
        <w:t>26.08</w:t>
      </w:r>
      <w:r>
        <w:rPr>
          <w:rFonts w:ascii="仿宋" w:eastAsia="仿宋" w:cs="仿宋"/>
          <w:sz w:val="32"/>
          <w:szCs w:val="32"/>
        </w:rPr>
        <w:t>万元</w:t>
      </w:r>
      <w:r>
        <w:rPr>
          <w:rFonts w:ascii="仿宋" w:eastAsia="仿宋" w:cs="仿宋" w:hint="eastAsia"/>
          <w:sz w:val="32"/>
          <w:szCs w:val="32"/>
        </w:rPr>
        <w:t>，用于义务教育营养餐。</w:t>
      </w:r>
    </w:p>
    <w:p>
      <w:pPr>
        <w:widowControl/>
        <w:adjustRightInd w:val="0"/>
        <w:snapToGrid w:val="0"/>
        <w:spacing w:line="578" w:lineRule="exact"/>
        <w:ind w:firstLineChars="200" w:firstLine="640"/>
        <w:contextualSpacing/>
        <w:jc w:val="left"/>
        <w:rPr>
          <w:rFonts w:ascii="仿宋" w:eastAsia="仿宋"/>
          <w:sz w:val="32"/>
          <w:szCs w:val="32"/>
        </w:rPr>
      </w:pPr>
      <w:r>
        <w:rPr>
          <w:rFonts w:ascii="仿宋" w:eastAsia="仿宋" w:hint="eastAsia"/>
          <w:sz w:val="32"/>
          <w:szCs w:val="32"/>
        </w:rPr>
        <w:t>主要用于学生十五年免费教育，2025年春季在校学生人数351人，其中幼儿学生86人，小学生265人；2025年秋季在校学生人数305人，其中幼儿学生65人，小学生240人。通过补助，确保学生能够获得必要的学习资源，提高学习效率和质量，为未来的职业发展和社会进步打下坚实的基础。</w:t>
      </w:r>
    </w:p>
    <w:p>
      <w:pPr>
        <w:adjustRightInd w:val="0"/>
        <w:snapToGrid w:val="0"/>
        <w:spacing w:line="578" w:lineRule="exact"/>
        <w:ind w:firstLineChars="200" w:firstLine="640"/>
        <w:outlineLvl w:val="1"/>
        <w:rPr>
          <w:rFonts w:eastAsia="楷体_GB2312"/>
          <w:b/>
          <w:lang w:val="zh-CN"/>
        </w:rPr>
      </w:pPr>
      <w:r>
        <w:rPr>
          <w:rFonts w:eastAsia="楷体_GB2312" w:hint="eastAsia"/>
          <w:b/>
          <w:sz w:val="32"/>
          <w:szCs w:val="32"/>
          <w:lang w:val="zh-CN"/>
        </w:rPr>
        <w:t>（四）项目绩效目标设置</w:t>
      </w:r>
    </w:p>
    <w:p>
      <w:pPr>
        <w:adjustRightInd w:val="0"/>
        <w:snapToGrid w:val="0"/>
        <w:spacing w:line="578" w:lineRule="exact"/>
        <w:ind w:firstLineChars="200" w:firstLine="640"/>
        <w:rPr>
          <w:rFonts w:ascii="仿宋_GB2312" w:cs="仿宋_GB2312" w:hAnsi="仿宋_GB2312" w:hint="eastAsia"/>
          <w:kern w:val="0"/>
          <w:shd w:val="clear" w:color="auto" w:fill="FFFFFF"/>
        </w:rPr>
      </w:pPr>
      <w:r>
        <w:rPr>
          <w:rFonts w:ascii="仿宋" w:eastAsia="仿宋" w:hint="eastAsia"/>
          <w:sz w:val="32"/>
          <w:szCs w:val="32"/>
        </w:rPr>
        <w:t>项目总体目标：深化教育改革、</w:t>
      </w:r>
      <w:r>
        <w:rPr>
          <w:rFonts w:ascii="Courier New" w:eastAsia="仿宋" w:cs="Courier New" w:hAnsi="Courier New"/>
          <w:sz w:val="32"/>
          <w:szCs w:val="32"/>
        </w:rPr>
        <w:t>‌</w:t>
      </w:r>
      <w:r>
        <w:rPr>
          <w:rFonts w:ascii="仿宋" w:eastAsia="仿宋" w:cs="仿宋" w:hint="eastAsia"/>
          <w:sz w:val="32"/>
          <w:szCs w:val="32"/>
        </w:rPr>
        <w:t>优化教育资源配置、</w:t>
      </w:r>
      <w:r>
        <w:rPr>
          <w:rFonts w:ascii="Courier New" w:eastAsia="仿宋" w:cs="Courier New" w:hAnsi="Courier New"/>
          <w:sz w:val="32"/>
          <w:szCs w:val="32"/>
        </w:rPr>
        <w:t>‌</w:t>
      </w:r>
      <w:r>
        <w:rPr>
          <w:rFonts w:ascii="仿宋" w:eastAsia="仿宋" w:cs="仿宋" w:hint="eastAsia"/>
          <w:sz w:val="32"/>
          <w:szCs w:val="32"/>
        </w:rPr>
        <w:t>促进教育公平和质量提升，</w:t>
      </w:r>
      <w:r>
        <w:rPr>
          <w:rFonts w:ascii="Courier New" w:eastAsia="仿宋" w:cs="Courier New" w:hAnsi="Courier New"/>
          <w:sz w:val="32"/>
          <w:szCs w:val="32"/>
        </w:rPr>
        <w:t>‌</w:t>
      </w:r>
      <w:r>
        <w:rPr>
          <w:rFonts w:ascii="仿宋" w:eastAsia="仿宋" w:cs="仿宋" w:hint="eastAsia"/>
          <w:sz w:val="32"/>
          <w:szCs w:val="32"/>
        </w:rPr>
        <w:t>以及推动经济结构调整和产业转型升级。</w:t>
      </w:r>
      <w:r>
        <w:rPr>
          <w:rFonts w:ascii="Courier New" w:eastAsia="仿宋" w:cs="Courier New" w:hAnsi="Courier New"/>
          <w:sz w:val="32"/>
          <w:szCs w:val="32"/>
        </w:rPr>
        <w:t>‌</w:t>
      </w:r>
      <w:r>
        <w:rPr>
          <w:rFonts w:ascii="仿宋" w:eastAsia="仿宋" w:cs="仿宋" w:hint="eastAsia"/>
          <w:sz w:val="32"/>
          <w:szCs w:val="32"/>
        </w:rPr>
        <w:t>具体来说，</w:t>
      </w:r>
      <w:r>
        <w:rPr>
          <w:rFonts w:ascii="Courier New" w:eastAsia="仿宋" w:cs="Courier New" w:hAnsi="Courier New"/>
          <w:sz w:val="32"/>
          <w:szCs w:val="32"/>
        </w:rPr>
        <w:t>‌</w:t>
      </w:r>
      <w:r>
        <w:rPr>
          <w:rFonts w:ascii="仿宋" w:eastAsia="仿宋" w:cs="仿宋" w:hint="eastAsia"/>
          <w:sz w:val="32"/>
          <w:szCs w:val="32"/>
        </w:rPr>
        <w:t>这一政策的实施旨在通过加大教育投入，</w:t>
      </w:r>
      <w:r>
        <w:rPr>
          <w:rFonts w:ascii="Courier New" w:eastAsia="仿宋" w:cs="Courier New" w:hAnsi="Courier New"/>
          <w:sz w:val="32"/>
          <w:szCs w:val="32"/>
        </w:rPr>
        <w:t>‌</w:t>
      </w:r>
      <w:r>
        <w:rPr>
          <w:rFonts w:ascii="仿宋" w:eastAsia="仿宋" w:cs="仿宋" w:hint="eastAsia"/>
          <w:sz w:val="32"/>
          <w:szCs w:val="32"/>
        </w:rPr>
        <w:t>优化整合资金，</w:t>
      </w:r>
      <w:r>
        <w:rPr>
          <w:rFonts w:ascii="Courier New" w:eastAsia="仿宋" w:cs="Courier New" w:hAnsi="Courier New"/>
          <w:sz w:val="32"/>
          <w:szCs w:val="32"/>
        </w:rPr>
        <w:t>‌</w:t>
      </w:r>
      <w:r>
        <w:rPr>
          <w:rFonts w:ascii="仿宋" w:eastAsia="仿宋" w:cs="仿宋" w:hint="eastAsia"/>
          <w:sz w:val="32"/>
          <w:szCs w:val="32"/>
        </w:rPr>
        <w:t>向农村义务教育倾斜，</w:t>
      </w:r>
      <w:r>
        <w:rPr>
          <w:rFonts w:ascii="Courier New" w:eastAsia="仿宋" w:cs="Courier New" w:hAnsi="Courier New"/>
          <w:sz w:val="32"/>
          <w:szCs w:val="32"/>
        </w:rPr>
        <w:t>‌</w:t>
      </w:r>
      <w:r>
        <w:rPr>
          <w:rFonts w:ascii="仿宋" w:eastAsia="仿宋" w:cs="仿宋" w:hint="eastAsia"/>
          <w:sz w:val="32"/>
          <w:szCs w:val="32"/>
        </w:rPr>
        <w:t>以解决教育资源分配不均的问题，</w:t>
      </w:r>
      <w:r>
        <w:rPr>
          <w:rFonts w:ascii="Courier New" w:eastAsia="仿宋" w:cs="Courier New" w:hAnsi="Courier New"/>
          <w:sz w:val="32"/>
          <w:szCs w:val="32"/>
        </w:rPr>
        <w:t>‌</w:t>
      </w:r>
      <w:r>
        <w:rPr>
          <w:rFonts w:ascii="仿宋" w:eastAsia="仿宋" w:cs="仿宋" w:hint="eastAsia"/>
          <w:sz w:val="32"/>
          <w:szCs w:val="32"/>
        </w:rPr>
        <w:t>实现教育在更高层次的均衡发展。</w:t>
      </w:r>
      <w:r>
        <w:rPr>
          <w:rFonts w:ascii="Courier New" w:eastAsia="仿宋" w:cs="Courier New" w:hAnsi="Courier New"/>
          <w:sz w:val="32"/>
          <w:szCs w:val="32"/>
        </w:rPr>
        <w:t>‌</w:t>
      </w:r>
      <w:r>
        <w:rPr>
          <w:rFonts w:ascii="仿宋" w:eastAsia="仿宋" w:cs="仿宋" w:hint="eastAsia"/>
          <w:sz w:val="32"/>
          <w:szCs w:val="32"/>
        </w:rPr>
        <w:t>此外，</w:t>
      </w:r>
      <w:r>
        <w:rPr>
          <w:rFonts w:ascii="Courier New" w:eastAsia="仿宋" w:cs="Courier New" w:hAnsi="Courier New"/>
          <w:sz w:val="32"/>
          <w:szCs w:val="32"/>
        </w:rPr>
        <w:t>‌</w:t>
      </w:r>
      <w:r>
        <w:rPr>
          <w:rFonts w:ascii="仿宋" w:eastAsia="仿宋" w:cs="仿宋" w:hint="eastAsia"/>
          <w:sz w:val="32"/>
          <w:szCs w:val="32"/>
        </w:rPr>
        <w:t>这一政策还有利于深化财税体制改革，</w:t>
      </w:r>
      <w:r>
        <w:rPr>
          <w:rFonts w:ascii="Courier New" w:eastAsia="仿宋" w:cs="Courier New" w:hAnsi="Courier New"/>
          <w:sz w:val="32"/>
          <w:szCs w:val="32"/>
        </w:rPr>
        <w:t>‌</w:t>
      </w:r>
      <w:r>
        <w:rPr>
          <w:rFonts w:ascii="仿宋" w:eastAsia="仿宋" w:cs="仿宋" w:hint="eastAsia"/>
          <w:sz w:val="32"/>
          <w:szCs w:val="32"/>
        </w:rPr>
        <w:t>促进基本公共服务均等化，</w:t>
      </w:r>
      <w:r>
        <w:rPr>
          <w:rFonts w:ascii="Courier New" w:eastAsia="仿宋" w:cs="Courier New" w:hAnsi="Courier New"/>
          <w:sz w:val="32"/>
          <w:szCs w:val="32"/>
        </w:rPr>
        <w:t>‌</w:t>
      </w:r>
      <w:r>
        <w:rPr>
          <w:rFonts w:ascii="仿宋" w:eastAsia="仿宋" w:cs="仿宋" w:hint="eastAsia"/>
          <w:sz w:val="32"/>
          <w:szCs w:val="32"/>
        </w:rPr>
        <w:t>构建社会主义和谐社会。</w:t>
      </w:r>
    </w:p>
    <w:p>
      <w:pPr>
        <w:adjustRightInd w:val="0"/>
        <w:snapToGrid w:val="0"/>
        <w:spacing w:line="578" w:lineRule="exact"/>
        <w:ind w:firstLineChars="200" w:firstLine="640"/>
        <w:outlineLvl w:val="0"/>
        <w:rPr>
          <w:rFonts w:eastAsia="黑体"/>
          <w:sz w:val="32"/>
          <w:szCs w:val="32"/>
        </w:rPr>
      </w:pPr>
      <w:r>
        <w:rPr>
          <w:rFonts w:eastAsia="黑体" w:hint="eastAsia"/>
          <w:sz w:val="32"/>
          <w:szCs w:val="32"/>
        </w:rPr>
        <w:t>二、评价实施</w:t>
      </w:r>
    </w:p>
    <w:p>
      <w:pPr>
        <w:spacing w:line="578" w:lineRule="exact"/>
        <w:ind w:firstLine="640"/>
        <w:outlineLvl w:val="1"/>
        <w:rPr>
          <w:rFonts w:eastAsia="楷体_GB2312"/>
          <w:b/>
          <w:lang w:val="zh-CN"/>
        </w:rPr>
      </w:pPr>
      <w:r>
        <w:rPr>
          <w:rFonts w:eastAsia="楷体_GB2312" w:hint="eastAsia"/>
          <w:b/>
          <w:sz w:val="32"/>
          <w:szCs w:val="32"/>
          <w:lang w:val="zh-CN"/>
        </w:rPr>
        <w:t>（一）评价目的</w:t>
      </w:r>
    </w:p>
    <w:p>
      <w:pPr>
        <w:adjustRightInd w:val="0"/>
        <w:snapToGrid w:val="0"/>
        <w:spacing w:line="578" w:lineRule="exact"/>
        <w:ind w:firstLineChars="200" w:firstLine="640"/>
        <w:rPr>
          <w:rFonts w:ascii="仿宋" w:eastAsia="仿宋" w:cs="仿宋" w:hint="eastAsia"/>
          <w:sz w:val="32"/>
          <w:szCs w:val="32"/>
        </w:rPr>
      </w:pPr>
      <w:r>
        <w:rPr>
          <w:rFonts w:ascii="仿宋" w:eastAsia="仿宋" w:cs="仿宋" w:hint="eastAsia"/>
          <w:sz w:val="32"/>
          <w:szCs w:val="32"/>
        </w:rPr>
        <w:t>通过汶川县财政局对专项预算项目单位绩效自评开展培训、指导辅导和形式审查，项目单位开展绩效自评，检验其绩效目标的实现程度，发现项目实施中存在的问题，及时总结经验，提出解决问题的意见和建议，规划项目管理，保证项目资金安全和发挥效益，强化支出主体责任，实现财政资金使用效益最大化。</w:t>
      </w:r>
    </w:p>
    <w:p>
      <w:pPr>
        <w:adjustRightInd w:val="0"/>
        <w:snapToGrid w:val="0"/>
        <w:spacing w:line="578" w:lineRule="exact"/>
        <w:ind w:firstLineChars="200" w:firstLine="640"/>
        <w:outlineLvl w:val="1"/>
        <w:rPr>
          <w:rFonts w:eastAsia="楷体_GB2312"/>
          <w:b/>
          <w:lang w:val="zh-CN"/>
        </w:rPr>
      </w:pPr>
      <w:r>
        <w:rPr>
          <w:rFonts w:eastAsia="楷体_GB2312" w:hint="eastAsia"/>
          <w:b/>
          <w:sz w:val="32"/>
          <w:szCs w:val="32"/>
          <w:lang w:val="zh-CN"/>
        </w:rPr>
        <w:t>（二）预设问题及评价重点</w:t>
      </w:r>
    </w:p>
    <w:p>
      <w:pPr>
        <w:adjustRightInd w:val="0"/>
        <w:snapToGrid w:val="0"/>
        <w:spacing w:line="578" w:lineRule="exact"/>
        <w:ind w:firstLineChars="200" w:firstLine="640"/>
        <w:rPr>
          <w:rFonts w:ascii="仿宋" w:eastAsia="仿宋"/>
          <w:sz w:val="32"/>
          <w:szCs w:val="32"/>
        </w:rPr>
      </w:pPr>
      <w:r>
        <w:rPr>
          <w:rFonts w:ascii="仿宋" w:eastAsia="仿宋" w:hint="eastAsia"/>
          <w:sz w:val="32"/>
          <w:szCs w:val="32"/>
        </w:rPr>
        <w:t>按照“谁支出、谁自评”的原则，按照县财政部门通知要求，及时部署本辖区内专项预算项目资金绩效评价工作，做到应评尽评。</w:t>
      </w:r>
    </w:p>
    <w:p>
      <w:pPr>
        <w:adjustRightInd w:val="0"/>
        <w:snapToGrid w:val="0"/>
        <w:spacing w:line="578" w:lineRule="exact"/>
        <w:ind w:firstLineChars="200" w:firstLine="640"/>
        <w:outlineLvl w:val="1"/>
        <w:rPr>
          <w:rFonts w:eastAsia="楷体_GB2312"/>
          <w:b/>
          <w:lang w:val="zh-CN"/>
        </w:rPr>
      </w:pPr>
      <w:r>
        <w:rPr>
          <w:rFonts w:eastAsia="楷体_GB2312" w:hint="eastAsia"/>
          <w:b/>
          <w:sz w:val="32"/>
          <w:szCs w:val="32"/>
          <w:lang w:val="zh-CN"/>
        </w:rPr>
        <w:t>（三）评价选点</w:t>
      </w:r>
    </w:p>
    <w:p>
      <w:pPr>
        <w:adjustRightInd w:val="0"/>
        <w:snapToGrid w:val="0"/>
        <w:spacing w:line="578" w:lineRule="exact"/>
        <w:ind w:firstLineChars="200" w:firstLine="640"/>
        <w:rPr>
          <w:rFonts w:ascii="仿宋" w:eastAsia="仿宋"/>
          <w:sz w:val="32"/>
          <w:szCs w:val="32"/>
        </w:rPr>
      </w:pPr>
      <w:r>
        <w:rPr>
          <w:rFonts w:ascii="仿宋" w:eastAsia="仿宋" w:hint="eastAsia"/>
          <w:sz w:val="32"/>
          <w:szCs w:val="32"/>
        </w:rPr>
        <w:t>按照“全方位、全过程、全覆盖”预算绩效管理要求，本次绩效评价范围为十五年免费教育专项资金项目。</w:t>
      </w:r>
    </w:p>
    <w:p>
      <w:pPr>
        <w:spacing w:line="578" w:lineRule="exact"/>
        <w:ind w:firstLine="640"/>
        <w:outlineLvl w:val="1"/>
        <w:rPr>
          <w:rFonts w:eastAsia="楷体_GB2312"/>
          <w:b/>
          <w:lang w:val="zh-CN"/>
        </w:rPr>
      </w:pPr>
      <w:r>
        <w:rPr>
          <w:rFonts w:eastAsia="楷体_GB2312" w:hint="eastAsia"/>
          <w:b/>
          <w:sz w:val="32"/>
          <w:szCs w:val="32"/>
          <w:lang w:val="zh-CN"/>
        </w:rPr>
        <w:t>（四）评价方法</w:t>
      </w:r>
    </w:p>
    <w:p>
      <w:pPr>
        <w:adjustRightInd w:val="0"/>
        <w:snapToGrid w:val="0"/>
        <w:spacing w:line="578" w:lineRule="exact"/>
        <w:ind w:firstLineChars="200" w:firstLine="640"/>
        <w:rPr>
          <w:rFonts w:ascii="仿宋" w:eastAsia="仿宋"/>
          <w:sz w:val="32"/>
          <w:szCs w:val="32"/>
        </w:rPr>
      </w:pPr>
      <w:r>
        <w:rPr>
          <w:rFonts w:ascii="仿宋" w:eastAsia="仿宋"/>
          <w:sz w:val="32"/>
          <w:szCs w:val="32"/>
        </w:rPr>
        <w:t>根据项目情况和评价重点，</w:t>
      </w:r>
      <w:r>
        <w:rPr>
          <w:rFonts w:ascii="仿宋" w:eastAsia="仿宋" w:hint="eastAsia"/>
          <w:sz w:val="32"/>
          <w:szCs w:val="32"/>
        </w:rPr>
        <w:t>用来</w:t>
      </w:r>
      <w:r>
        <w:rPr>
          <w:rFonts w:ascii="仿宋" w:eastAsia="仿宋"/>
          <w:sz w:val="32"/>
          <w:szCs w:val="32"/>
        </w:rPr>
        <w:t>收集相关材料和开展具体评价</w:t>
      </w:r>
      <w:r>
        <w:rPr>
          <w:rFonts w:ascii="仿宋" w:eastAsia="仿宋" w:hint="eastAsia"/>
          <w:sz w:val="32"/>
          <w:szCs w:val="32"/>
        </w:rPr>
        <w:t>的方法</w:t>
      </w:r>
      <w:r>
        <w:rPr>
          <w:rFonts w:ascii="仿宋" w:eastAsia="仿宋"/>
          <w:sz w:val="32"/>
          <w:szCs w:val="32"/>
        </w:rPr>
        <w:t>。</w:t>
      </w:r>
      <w:r>
        <w:rPr>
          <w:rFonts w:ascii="仿宋" w:eastAsia="仿宋" w:hint="eastAsia"/>
          <w:sz w:val="32"/>
          <w:szCs w:val="32"/>
        </w:rPr>
        <w:t>包括：</w:t>
      </w:r>
      <w:r>
        <w:rPr>
          <w:rFonts w:ascii="仿宋" w:eastAsia="仿宋"/>
          <w:sz w:val="32"/>
          <w:szCs w:val="32"/>
        </w:rPr>
        <w:t>采用</w:t>
      </w:r>
      <w:r>
        <w:rPr>
          <w:rFonts w:ascii="仿宋" w:eastAsia="仿宋" w:hint="eastAsia"/>
          <w:sz w:val="32"/>
          <w:szCs w:val="32"/>
        </w:rPr>
        <w:t>成本效益分析法、标杆管理法、</w:t>
      </w:r>
      <w:r>
        <w:rPr>
          <w:rFonts w:ascii="仿宋" w:eastAsia="仿宋"/>
          <w:sz w:val="32"/>
          <w:szCs w:val="32"/>
        </w:rPr>
        <w:t>案卷研究法、单位自评法、实地勘察法、问卷调查法、座谈调研法等多种方法</w:t>
      </w:r>
      <w:r>
        <w:rPr>
          <w:rFonts w:ascii="仿宋" w:eastAsia="仿宋" w:hint="eastAsia"/>
          <w:sz w:val="32"/>
          <w:szCs w:val="32"/>
        </w:rPr>
        <w:t>。</w:t>
      </w:r>
    </w:p>
    <w:p>
      <w:pPr>
        <w:spacing w:line="578" w:lineRule="exact"/>
        <w:ind w:firstLine="640"/>
        <w:outlineLvl w:val="1"/>
        <w:rPr>
          <w:rFonts w:eastAsia="楷体_GB2312"/>
          <w:b/>
          <w:lang w:val="zh-CN"/>
        </w:rPr>
      </w:pPr>
      <w:r>
        <w:rPr>
          <w:rFonts w:eastAsia="楷体_GB2312" w:hint="eastAsia"/>
          <w:b/>
          <w:sz w:val="32"/>
          <w:szCs w:val="32"/>
          <w:lang w:val="zh-CN"/>
        </w:rPr>
        <w:t>（五）评价组织</w:t>
      </w:r>
    </w:p>
    <w:p>
      <w:pPr>
        <w:adjustRightInd w:val="0"/>
        <w:snapToGrid w:val="0"/>
        <w:spacing w:line="578" w:lineRule="exact"/>
        <w:ind w:firstLineChars="200" w:firstLine="640"/>
        <w:rPr>
          <w:rFonts w:ascii="仿宋" w:eastAsia="仿宋"/>
          <w:sz w:val="32"/>
          <w:szCs w:val="32"/>
        </w:rPr>
      </w:pPr>
      <w:bookmarkStart w:id="196" w:name="OLE_LINK61"/>
      <w:r>
        <w:rPr>
          <w:rFonts w:ascii="仿宋" w:eastAsia="仿宋" w:hint="eastAsia"/>
          <w:sz w:val="32"/>
          <w:szCs w:val="32"/>
        </w:rPr>
        <w:t>我单位财务负责人展开绩效自评价。组织教师认真学习相关理论，了解本项目建设的目的意义。在理论学习与思想统一的基础上，进行合理分工，并列入学校工作计划。</w:t>
      </w:r>
    </w:p>
    <w:p>
      <w:pPr>
        <w:adjustRightInd w:val="0"/>
        <w:snapToGrid w:val="0"/>
        <w:spacing w:line="578" w:lineRule="exact"/>
        <w:ind w:firstLineChars="200" w:firstLine="640"/>
        <w:outlineLvl w:val="0"/>
        <w:rPr>
          <w:lang w:val="zh-CN"/>
        </w:rPr>
      </w:pPr>
      <w:bookmarkEnd w:id="196"/>
      <w:r>
        <w:rPr>
          <w:rFonts w:eastAsia="黑体" w:hint="eastAsia"/>
          <w:sz w:val="32"/>
          <w:szCs w:val="32"/>
        </w:rPr>
        <w:t>三、绩效分析</w:t>
      </w:r>
      <w:r>
        <w:rPr>
          <w:rFonts w:hint="eastAsia"/>
          <w:sz w:val="32"/>
          <w:szCs w:val="32"/>
          <w:lang w:val="zh-CN"/>
        </w:rPr>
        <w:tab/>
      </w:r>
    </w:p>
    <w:p>
      <w:pPr>
        <w:spacing w:line="578" w:lineRule="exact"/>
        <w:ind w:firstLine="640"/>
        <w:outlineLvl w:val="1"/>
        <w:rPr>
          <w:rFonts w:eastAsia="楷体_GB2312"/>
          <w:b/>
        </w:rPr>
      </w:pPr>
      <w:r>
        <w:rPr>
          <w:rFonts w:eastAsia="楷体_GB2312" w:hint="eastAsia"/>
          <w:b/>
          <w:sz w:val="32"/>
          <w:szCs w:val="32"/>
          <w:lang w:val="zh-CN"/>
        </w:rPr>
        <w:t>（一）</w:t>
      </w:r>
      <w:r>
        <w:rPr>
          <w:rFonts w:eastAsia="楷体_GB2312" w:hint="eastAsia"/>
          <w:b/>
          <w:sz w:val="32"/>
          <w:szCs w:val="32"/>
        </w:rPr>
        <w:t>通用指标</w:t>
      </w:r>
      <w:r>
        <w:rPr>
          <w:rFonts w:eastAsia="楷体_GB2312"/>
          <w:b/>
          <w:sz w:val="32"/>
          <w:szCs w:val="32"/>
        </w:rPr>
        <w:t>绩效分析</w:t>
      </w:r>
    </w:p>
    <w:p>
      <w:pPr>
        <w:spacing w:line="578" w:lineRule="exact"/>
        <w:ind w:firstLine="640"/>
        <w:outlineLvl w:val="2"/>
        <w:rPr>
          <w:rFonts w:ascii="楷体_GB2312" w:eastAsia="楷体_GB2312" w:cs="楷体_GB2312" w:hint="eastAsia"/>
          <w:sz w:val="32"/>
          <w:szCs w:val="32"/>
        </w:rPr>
      </w:pPr>
      <w:r>
        <w:rPr>
          <w:rFonts w:ascii="楷体_GB2312" w:eastAsia="楷体_GB2312" w:cs="楷体_GB2312" w:hint="eastAsia"/>
          <w:sz w:val="32"/>
          <w:szCs w:val="32"/>
        </w:rPr>
        <w:t>1.项目决策</w:t>
      </w:r>
    </w:p>
    <w:p>
      <w:pPr>
        <w:spacing w:line="578" w:lineRule="exact"/>
        <w:ind w:firstLine="640"/>
        <w:outlineLvl w:val="2"/>
        <w:rPr>
          <w:rFonts w:ascii="仿宋" w:eastAsia="仿宋"/>
          <w:sz w:val="32"/>
          <w:szCs w:val="32"/>
        </w:rPr>
      </w:pPr>
      <w:r>
        <w:rPr>
          <w:rFonts w:ascii="仿宋" w:eastAsia="仿宋" w:hint="eastAsia"/>
          <w:sz w:val="32"/>
          <w:szCs w:val="32"/>
        </w:rPr>
        <w:t>（1）决策程序</w:t>
      </w:r>
    </w:p>
    <w:p>
      <w:pPr>
        <w:spacing w:line="578" w:lineRule="exact"/>
        <w:ind w:firstLine="640"/>
        <w:rPr>
          <w:rFonts w:ascii="仿宋" w:eastAsia="仿宋"/>
          <w:sz w:val="32"/>
          <w:szCs w:val="32"/>
        </w:rPr>
      </w:pPr>
      <w:r>
        <w:rPr>
          <w:rFonts w:ascii="仿宋" w:eastAsia="仿宋" w:hint="eastAsia"/>
          <w:sz w:val="32"/>
          <w:szCs w:val="32"/>
        </w:rPr>
        <w:t>经自查，项目立项依据充分，符合国家法律法规、国民经济发展规划和相关政策；符合行业发展规划和政策要求；与部门职责范围相符，属于部门履职所需；属于公共财政支持范围。综上所述，该指标得6分。</w:t>
      </w:r>
    </w:p>
    <w:p>
      <w:pPr>
        <w:spacing w:line="578" w:lineRule="exact"/>
        <w:ind w:firstLine="640"/>
        <w:outlineLvl w:val="2"/>
        <w:rPr>
          <w:rFonts w:ascii="仿宋" w:eastAsia="仿宋"/>
          <w:sz w:val="32"/>
          <w:szCs w:val="32"/>
        </w:rPr>
      </w:pPr>
      <w:r>
        <w:rPr>
          <w:rFonts w:ascii="仿宋" w:eastAsia="仿宋" w:hint="eastAsia"/>
          <w:sz w:val="32"/>
          <w:szCs w:val="32"/>
        </w:rPr>
        <w:t>（2）规划论证</w:t>
      </w:r>
    </w:p>
    <w:p>
      <w:pPr>
        <w:spacing w:line="578" w:lineRule="exact"/>
        <w:ind w:firstLine="640"/>
        <w:rPr>
          <w:rFonts w:ascii="仿宋" w:eastAsia="仿宋"/>
          <w:sz w:val="32"/>
          <w:szCs w:val="32"/>
        </w:rPr>
      </w:pPr>
      <w:r>
        <w:rPr>
          <w:rFonts w:ascii="仿宋" w:eastAsia="仿宋" w:hint="eastAsia"/>
          <w:sz w:val="32"/>
          <w:szCs w:val="32"/>
        </w:rPr>
        <w:t>项目立项程序规范，项目按照规定的程序申请设立；审批文件、材料符合相关要求；事前经过必要的可行性研究、专家论证、风险评估、绩效评估、集体决策。综上所述，该指标得6分。</w:t>
      </w:r>
    </w:p>
    <w:p>
      <w:pPr>
        <w:spacing w:line="578" w:lineRule="exact"/>
        <w:ind w:firstLine="640"/>
        <w:outlineLvl w:val="2"/>
        <w:rPr>
          <w:rFonts w:ascii="仿宋" w:eastAsia="仿宋"/>
          <w:sz w:val="32"/>
          <w:szCs w:val="32"/>
        </w:rPr>
      </w:pPr>
      <w:r>
        <w:rPr>
          <w:rFonts w:ascii="仿宋" w:eastAsia="仿宋" w:hint="eastAsia"/>
          <w:sz w:val="32"/>
          <w:szCs w:val="32"/>
        </w:rPr>
        <w:t>（3）资金投向</w:t>
      </w:r>
    </w:p>
    <w:p>
      <w:pPr>
        <w:spacing w:line="578" w:lineRule="exact"/>
        <w:ind w:firstLine="640"/>
        <w:rPr>
          <w:rFonts w:ascii="仿宋" w:eastAsia="仿宋"/>
          <w:sz w:val="32"/>
          <w:szCs w:val="32"/>
        </w:rPr>
      </w:pPr>
      <w:r>
        <w:rPr>
          <w:rFonts w:ascii="仿宋" w:eastAsia="仿宋" w:hint="eastAsia"/>
          <w:sz w:val="32"/>
          <w:szCs w:val="32"/>
        </w:rPr>
        <w:t>项目符合专项设立的基本规范和程序要求，属于部门职责相符，属于公共财政支持范围，符合地方事权支出责任划分原则，与相关部门同类项目或部门内部无相关项目重复。综上所述，该指标得6分。</w:t>
      </w:r>
    </w:p>
    <w:p>
      <w:pPr>
        <w:spacing w:line="578" w:lineRule="exact"/>
        <w:ind w:firstLine="640"/>
        <w:outlineLvl w:val="2"/>
        <w:rPr>
          <w:rFonts w:ascii="楷体_GB2312" w:eastAsia="楷体_GB2312" w:cs="楷体_GB2312" w:hint="eastAsia"/>
          <w:sz w:val="32"/>
          <w:szCs w:val="32"/>
        </w:rPr>
      </w:pPr>
      <w:r>
        <w:rPr>
          <w:rFonts w:ascii="楷体_GB2312" w:eastAsia="楷体_GB2312" w:cs="楷体_GB2312" w:hint="eastAsia"/>
          <w:sz w:val="32"/>
          <w:szCs w:val="32"/>
        </w:rPr>
        <w:t>2.项目管理</w:t>
      </w:r>
    </w:p>
    <w:p>
      <w:pPr>
        <w:spacing w:line="578" w:lineRule="exact"/>
        <w:ind w:firstLine="640"/>
        <w:outlineLvl w:val="2"/>
        <w:rPr>
          <w:rFonts w:ascii="楷体_GB2312" w:eastAsia="楷体_GB2312" w:cs="楷体_GB2312" w:hint="eastAsia"/>
          <w:sz w:val="32"/>
          <w:szCs w:val="32"/>
        </w:rPr>
      </w:pPr>
      <w:r>
        <w:rPr>
          <w:rFonts w:ascii="楷体_GB2312" w:eastAsia="楷体_GB2312" w:cs="楷体_GB2312" w:hint="eastAsia"/>
          <w:sz w:val="32"/>
          <w:szCs w:val="32"/>
        </w:rPr>
        <w:t>（1）制度办法</w:t>
      </w:r>
    </w:p>
    <w:p>
      <w:pPr>
        <w:spacing w:line="578" w:lineRule="exact"/>
        <w:ind w:firstLine="640"/>
        <w:outlineLvl w:val="2"/>
        <w:rPr>
          <w:rFonts w:ascii="仿宋" w:eastAsia="仿宋" w:hint="eastAsia"/>
          <w:sz w:val="32"/>
          <w:szCs w:val="32"/>
        </w:rPr>
      </w:pPr>
      <w:r>
        <w:rPr>
          <w:rFonts w:ascii="仿宋" w:eastAsia="仿宋" w:hint="eastAsia"/>
          <w:sz w:val="32"/>
          <w:szCs w:val="32"/>
        </w:rPr>
        <w:t>部门资金管理办法等管理制度体系健全完善，不存在管理制度缺失、管理办法过期情况。综上所述，该指标得2分。</w:t>
      </w:r>
    </w:p>
    <w:p>
      <w:pPr>
        <w:spacing w:line="578" w:lineRule="exact"/>
        <w:ind w:firstLine="640"/>
        <w:outlineLvl w:val="2"/>
        <w:rPr>
          <w:rFonts w:ascii="仿宋" w:eastAsia="仿宋" w:hint="eastAsia"/>
          <w:sz w:val="32"/>
          <w:szCs w:val="32"/>
        </w:rPr>
      </w:pPr>
      <w:r>
        <w:rPr>
          <w:rFonts w:ascii="仿宋" w:eastAsia="仿宋" w:hint="eastAsia"/>
          <w:sz w:val="32"/>
          <w:szCs w:val="32"/>
        </w:rPr>
        <w:t>（2）分配管理</w:t>
      </w:r>
    </w:p>
    <w:p>
      <w:pPr>
        <w:spacing w:line="578" w:lineRule="exact"/>
        <w:ind w:firstLine="640"/>
        <w:outlineLvl w:val="2"/>
        <w:rPr>
          <w:rFonts w:ascii="仿宋" w:eastAsia="仿宋" w:hint="eastAsia"/>
          <w:sz w:val="32"/>
          <w:szCs w:val="32"/>
        </w:rPr>
      </w:pPr>
      <w:r>
        <w:rPr>
          <w:rFonts w:ascii="仿宋" w:eastAsia="仿宋" w:hint="eastAsia"/>
          <w:sz w:val="32"/>
          <w:szCs w:val="32"/>
        </w:rPr>
        <w:t>部门按照其他分配法分配管理资金，资金分配严格按管理办法执行，决策程序符合管理要求，及时高效。综上所述，该指标得10分。</w:t>
      </w:r>
    </w:p>
    <w:p>
      <w:pPr>
        <w:spacing w:line="578" w:lineRule="exact"/>
        <w:ind w:firstLine="640"/>
        <w:outlineLvl w:val="2"/>
        <w:rPr>
          <w:rFonts w:ascii="仿宋" w:eastAsia="仿宋" w:hint="eastAsia"/>
          <w:sz w:val="32"/>
          <w:szCs w:val="32"/>
        </w:rPr>
      </w:pPr>
      <w:r>
        <w:rPr>
          <w:rFonts w:ascii="仿宋" w:eastAsia="仿宋" w:hint="eastAsia"/>
          <w:sz w:val="32"/>
          <w:szCs w:val="32"/>
        </w:rPr>
        <w:t>（3）绩效监管</w:t>
      </w:r>
    </w:p>
    <w:p>
      <w:pPr>
        <w:spacing w:line="578" w:lineRule="exact"/>
        <w:ind w:firstLine="640"/>
        <w:outlineLvl w:val="2"/>
        <w:rPr>
          <w:rFonts w:ascii="仿宋" w:eastAsia="仿宋" w:hint="eastAsia"/>
          <w:sz w:val="32"/>
          <w:szCs w:val="32"/>
        </w:rPr>
      </w:pPr>
      <w:r>
        <w:rPr>
          <w:rFonts w:ascii="仿宋" w:eastAsia="仿宋" w:hint="eastAsia"/>
          <w:sz w:val="32"/>
          <w:szCs w:val="32"/>
        </w:rPr>
        <w:t>项目按中省要求全面完成绩效目标（含事前评估）、绩效评价、以前年度问题整改等预算绩效管理工作；省级部门对市县主管部门预算绩效管理要求到位，不存在对市县资金分配和项目管理指导力度不够的情况。综上所述，该指标得6分。</w:t>
      </w:r>
    </w:p>
    <w:p>
      <w:pPr>
        <w:ind w:firstLineChars="200" w:firstLine="640"/>
        <w:outlineLvl w:val="2"/>
        <w:rPr>
          <w:rFonts w:ascii="楷体_GB2312" w:eastAsia="楷体_GB2312" w:cs="楷体_GB2312" w:hint="eastAsia"/>
          <w:sz w:val="32"/>
          <w:szCs w:val="32"/>
        </w:rPr>
      </w:pPr>
      <w:r>
        <w:rPr>
          <w:rFonts w:ascii="楷体_GB2312" w:eastAsia="楷体_GB2312" w:cs="楷体_GB2312" w:hint="eastAsia"/>
          <w:sz w:val="32"/>
          <w:szCs w:val="32"/>
        </w:rPr>
        <w:t>3.项目实施</w:t>
      </w:r>
    </w:p>
    <w:p>
      <w:pPr>
        <w:spacing w:line="578" w:lineRule="exact"/>
        <w:ind w:firstLine="640"/>
        <w:outlineLvl w:val="2"/>
        <w:rPr>
          <w:rFonts w:ascii="仿宋" w:eastAsia="仿宋" w:hint="eastAsia"/>
          <w:sz w:val="32"/>
          <w:szCs w:val="32"/>
        </w:rPr>
      </w:pPr>
      <w:r>
        <w:rPr>
          <w:rFonts w:ascii="仿宋" w:eastAsia="仿宋" w:hint="eastAsia"/>
          <w:sz w:val="32"/>
          <w:szCs w:val="32"/>
        </w:rPr>
        <w:t>（1）预算执行</w:t>
      </w:r>
    </w:p>
    <w:p>
      <w:pPr>
        <w:spacing w:line="578" w:lineRule="exact"/>
        <w:ind w:firstLine="640"/>
        <w:outlineLvl w:val="2"/>
        <w:rPr>
          <w:rFonts w:ascii="仿宋" w:eastAsia="仿宋" w:hint="eastAsia"/>
          <w:sz w:val="32"/>
          <w:szCs w:val="32"/>
        </w:rPr>
      </w:pPr>
      <w:r>
        <w:rPr>
          <w:rFonts w:ascii="仿宋" w:eastAsia="仿宋" w:hint="eastAsia"/>
          <w:sz w:val="32"/>
          <w:szCs w:val="32"/>
        </w:rPr>
        <w:t>财政资金拨付率：已完成拨付指标金额÷财政资金实际下达总额=111.79÷117.74*100%=94.95%。单位资金使用率：单位实际支付金额÷单位实际到位金额=111.79÷117.74*100%=94.95%</w:t>
      </w:r>
    </w:p>
    <w:p>
      <w:pPr>
        <w:spacing w:line="578" w:lineRule="exact"/>
        <w:ind w:firstLine="640"/>
        <w:outlineLvl w:val="2"/>
        <w:rPr>
          <w:rFonts w:ascii="仿宋" w:eastAsia="仿宋" w:hint="eastAsia"/>
          <w:sz w:val="32"/>
          <w:szCs w:val="32"/>
        </w:rPr>
      </w:pPr>
      <w:r>
        <w:rPr>
          <w:rFonts w:ascii="仿宋" w:eastAsia="仿宋" w:hint="eastAsia"/>
          <w:sz w:val="32"/>
          <w:szCs w:val="32"/>
        </w:rPr>
        <w:t>该项指标得分=财政资金拨付率×100%×3+单位资金使用率×100%×3=100%×100%×3+94.95%×100%×3=5.85。</w:t>
      </w:r>
    </w:p>
    <w:p>
      <w:pPr>
        <w:spacing w:line="578" w:lineRule="exact"/>
        <w:ind w:firstLine="640"/>
        <w:outlineLvl w:val="2"/>
        <w:rPr>
          <w:rFonts w:ascii="仿宋" w:eastAsia="仿宋" w:hint="eastAsia"/>
          <w:sz w:val="32"/>
          <w:szCs w:val="32"/>
        </w:rPr>
      </w:pPr>
      <w:r>
        <w:rPr>
          <w:rFonts w:ascii="仿宋" w:eastAsia="仿宋" w:hint="eastAsia"/>
          <w:sz w:val="32"/>
          <w:szCs w:val="32"/>
        </w:rPr>
        <w:t>综上所述，该指标得5.85分。</w:t>
      </w:r>
    </w:p>
    <w:p>
      <w:pPr>
        <w:spacing w:line="578" w:lineRule="exact"/>
        <w:ind w:firstLine="640"/>
        <w:outlineLvl w:val="2"/>
        <w:rPr>
          <w:rFonts w:ascii="仿宋" w:eastAsia="仿宋" w:hint="eastAsia"/>
          <w:sz w:val="32"/>
          <w:szCs w:val="32"/>
        </w:rPr>
      </w:pPr>
      <w:r>
        <w:rPr>
          <w:rFonts w:ascii="仿宋" w:eastAsia="仿宋" w:hint="eastAsia"/>
          <w:sz w:val="32"/>
          <w:szCs w:val="32"/>
        </w:rPr>
        <w:t>（2）资金使用</w:t>
      </w:r>
    </w:p>
    <w:p>
      <w:pPr>
        <w:spacing w:line="578" w:lineRule="exact"/>
        <w:ind w:firstLine="640"/>
        <w:outlineLvl w:val="2"/>
        <w:rPr>
          <w:rFonts w:ascii="仿宋" w:eastAsia="仿宋" w:hint="eastAsia"/>
          <w:sz w:val="32"/>
          <w:szCs w:val="32"/>
        </w:rPr>
      </w:pPr>
      <w:r>
        <w:rPr>
          <w:rFonts w:ascii="仿宋" w:eastAsia="仿宋" w:hint="eastAsia"/>
          <w:sz w:val="32"/>
          <w:szCs w:val="32"/>
        </w:rPr>
        <w:t>项目资金使用、拨付符合国家财经法规、财务管理制度及有关专项资金管理制度办法规定和审批程序，不存在超范围、超标准、超进度使用专项资金，不存在资金损失浪费、长期沉淀、截留、挤占、挪用、虚列支出等情况，项目实施严格遵守相关法律法规。综上所述，该指标得3分。</w:t>
      </w:r>
    </w:p>
    <w:p>
      <w:pPr>
        <w:ind w:firstLineChars="200" w:firstLine="640"/>
        <w:outlineLvl w:val="2"/>
        <w:rPr>
          <w:rFonts w:ascii="楷体_GB2312" w:eastAsia="楷体_GB2312" w:cs="楷体_GB2312" w:hint="eastAsia"/>
          <w:sz w:val="32"/>
          <w:szCs w:val="32"/>
        </w:rPr>
      </w:pPr>
      <w:r>
        <w:rPr>
          <w:rFonts w:ascii="楷体_GB2312" w:eastAsia="楷体_GB2312" w:cs="楷体_GB2312" w:hint="eastAsia"/>
          <w:sz w:val="32"/>
          <w:szCs w:val="32"/>
        </w:rPr>
        <w:t>4.项目结果</w:t>
      </w:r>
    </w:p>
    <w:p>
      <w:pPr>
        <w:spacing w:line="578" w:lineRule="exact"/>
        <w:ind w:firstLine="640"/>
        <w:outlineLvl w:val="2"/>
        <w:rPr>
          <w:rFonts w:ascii="仿宋" w:eastAsia="仿宋" w:hint="eastAsia"/>
          <w:sz w:val="32"/>
          <w:szCs w:val="32"/>
        </w:rPr>
      </w:pPr>
      <w:r>
        <w:rPr>
          <w:rFonts w:ascii="仿宋" w:eastAsia="仿宋" w:hint="eastAsia"/>
          <w:sz w:val="32"/>
          <w:szCs w:val="32"/>
        </w:rPr>
        <w:t>（1）目标完成</w:t>
      </w:r>
    </w:p>
    <w:p>
      <w:pPr>
        <w:spacing w:line="578" w:lineRule="exact"/>
        <w:ind w:firstLine="640"/>
        <w:outlineLvl w:val="2"/>
        <w:rPr>
          <w:rFonts w:ascii="仿宋" w:eastAsia="仿宋" w:hint="eastAsia"/>
          <w:sz w:val="32"/>
          <w:szCs w:val="32"/>
        </w:rPr>
      </w:pPr>
      <w:r>
        <w:rPr>
          <w:rFonts w:ascii="仿宋" w:eastAsia="仿宋" w:hint="eastAsia"/>
          <w:sz w:val="32"/>
          <w:szCs w:val="32"/>
        </w:rPr>
        <w:t>根据已提供的项目绩效目标申报表，未设置项目年度总体目标。综上所述，该指标得2分。</w:t>
      </w:r>
    </w:p>
    <w:p>
      <w:pPr>
        <w:spacing w:line="578" w:lineRule="exact"/>
        <w:ind w:firstLine="640"/>
        <w:outlineLvl w:val="2"/>
        <w:rPr>
          <w:rFonts w:ascii="仿宋" w:eastAsia="仿宋" w:hint="eastAsia"/>
          <w:sz w:val="32"/>
          <w:szCs w:val="32"/>
        </w:rPr>
      </w:pPr>
      <w:r>
        <w:rPr>
          <w:rFonts w:ascii="仿宋" w:eastAsia="仿宋" w:hint="eastAsia"/>
          <w:sz w:val="32"/>
          <w:szCs w:val="32"/>
        </w:rPr>
        <w:t>（2）完成时效</w:t>
      </w:r>
    </w:p>
    <w:p>
      <w:pPr>
        <w:spacing w:line="578" w:lineRule="exact"/>
        <w:ind w:firstLine="640"/>
        <w:outlineLvl w:val="2"/>
        <w:rPr>
          <w:rFonts w:ascii="仿宋" w:eastAsia="仿宋" w:hint="eastAsia"/>
          <w:sz w:val="32"/>
          <w:szCs w:val="32"/>
        </w:rPr>
      </w:pPr>
      <w:r>
        <w:rPr>
          <w:rFonts w:ascii="仿宋" w:eastAsia="仿宋" w:hint="eastAsia"/>
          <w:sz w:val="32"/>
          <w:szCs w:val="32"/>
        </w:rPr>
        <w:t>项目实际完成时间与计划完成时间均按照资金下达文件拨付，综上所述，该指标得3分。</w:t>
      </w:r>
    </w:p>
    <w:p>
      <w:pPr>
        <w:spacing w:line="578" w:lineRule="exact"/>
        <w:ind w:firstLineChars="200" w:firstLine="640"/>
        <w:outlineLvl w:val="1"/>
        <w:rPr>
          <w:rFonts w:eastAsia="楷体_GB2312" w:cs="楷体_GB2312"/>
          <w:lang w:val="zh-CN"/>
        </w:rPr>
      </w:pPr>
      <w:r>
        <w:rPr>
          <w:rFonts w:eastAsia="楷体_GB2312" w:hint="eastAsia"/>
          <w:b/>
          <w:sz w:val="32"/>
          <w:szCs w:val="32"/>
          <w:lang w:val="zh-CN"/>
        </w:rPr>
        <w:t>（二）</w:t>
      </w:r>
      <w:r>
        <w:rPr>
          <w:rFonts w:eastAsia="楷体_GB2312" w:hint="eastAsia"/>
          <w:b/>
          <w:sz w:val="32"/>
          <w:szCs w:val="32"/>
        </w:rPr>
        <w:t>专用指标</w:t>
      </w:r>
      <w:r>
        <w:rPr>
          <w:rFonts w:eastAsia="楷体_GB2312"/>
          <w:b/>
          <w:sz w:val="32"/>
          <w:szCs w:val="32"/>
        </w:rPr>
        <w:t>绩效分析</w:t>
      </w:r>
    </w:p>
    <w:p>
      <w:pPr>
        <w:spacing w:line="578" w:lineRule="exact"/>
        <w:ind w:firstLineChars="200" w:firstLine="640"/>
        <w:rPr>
          <w:rFonts w:ascii="楷体_GB2312" w:eastAsia="楷体_GB2312" w:cs="楷体_GB2312" w:hint="eastAsia"/>
          <w:sz w:val="32"/>
          <w:szCs w:val="32"/>
        </w:rPr>
      </w:pPr>
      <w:r>
        <w:rPr>
          <w:rFonts w:ascii="楷体_GB2312" w:eastAsia="楷体_GB2312" w:cs="楷体_GB2312" w:hint="eastAsia"/>
          <w:sz w:val="32"/>
          <w:szCs w:val="32"/>
        </w:rPr>
        <w:t>1.产业发展（30分）（不适用本项目）</w:t>
      </w:r>
    </w:p>
    <w:p>
      <w:pPr>
        <w:ind w:firstLineChars="200" w:firstLine="640"/>
        <w:jc w:val="left"/>
        <w:rPr>
          <w:rFonts w:ascii="楷体_GB2312" w:eastAsia="楷体_GB2312" w:cs="楷体_GB2312" w:hint="eastAsia"/>
          <w:sz w:val="32"/>
          <w:szCs w:val="32"/>
        </w:rPr>
      </w:pPr>
      <w:r>
        <w:rPr>
          <w:rFonts w:ascii="楷体_GB2312" w:eastAsia="楷体_GB2312" w:cs="楷体_GB2312" w:hint="eastAsia"/>
          <w:sz w:val="32"/>
          <w:szCs w:val="32"/>
        </w:rPr>
        <w:t>2.民生保障（30分）</w:t>
      </w:r>
    </w:p>
    <w:p>
      <w:pPr>
        <w:ind w:firstLineChars="200" w:firstLine="420"/>
        <w:jc w:val="left"/>
        <w:rPr>
          <w:rFonts w:eastAsia="仿宋_GB2312"/>
          <w:sz w:val="32"/>
          <w:szCs w:val="32"/>
        </w:rPr>
      </w:pPr>
      <w:r>
        <w:rPr>
          <w:rFonts w:ascii="仿宋_GB2312" w:cs="仿宋_GB2312" w:hAnsi="仿宋_GB2312" w:hint="eastAsia"/>
        </w:rPr>
        <w:t>（</w:t>
      </w:r>
      <w:r>
        <w:rPr>
          <w:rFonts w:eastAsia="仿宋_GB2312" w:hint="eastAsia"/>
          <w:sz w:val="32"/>
          <w:szCs w:val="32"/>
        </w:rPr>
        <w:t>1）区域均衡性</w:t>
      </w:r>
    </w:p>
    <w:p>
      <w:pPr>
        <w:ind w:firstLineChars="200" w:firstLine="640"/>
        <w:jc w:val="left"/>
        <w:rPr>
          <w:rFonts w:eastAsia="仿宋_GB2312"/>
          <w:sz w:val="32"/>
          <w:szCs w:val="32"/>
        </w:rPr>
      </w:pPr>
      <w:r>
        <w:rPr>
          <w:rFonts w:eastAsia="仿宋_GB2312" w:hint="eastAsia"/>
          <w:sz w:val="32"/>
          <w:szCs w:val="32"/>
        </w:rPr>
        <w:t>学校区域均衡情况基本得到改善、区域间差距逐步缩小，该指标自评得分8分。</w:t>
      </w:r>
    </w:p>
    <w:p>
      <w:pPr>
        <w:ind w:firstLineChars="200" w:firstLine="640"/>
        <w:jc w:val="left"/>
        <w:rPr>
          <w:rFonts w:eastAsia="仿宋_GB2312"/>
          <w:sz w:val="32"/>
          <w:szCs w:val="32"/>
        </w:rPr>
      </w:pPr>
      <w:r>
        <w:rPr>
          <w:rFonts w:eastAsia="仿宋_GB2312" w:hint="eastAsia"/>
          <w:sz w:val="32"/>
          <w:szCs w:val="32"/>
        </w:rPr>
        <w:t xml:space="preserve">（2）对象精准性 </w:t>
      </w:r>
    </w:p>
    <w:p>
      <w:pPr>
        <w:ind w:firstLineChars="200" w:firstLine="640"/>
        <w:jc w:val="left"/>
        <w:rPr>
          <w:rFonts w:eastAsia="仿宋_GB2312"/>
          <w:sz w:val="32"/>
          <w:szCs w:val="32"/>
        </w:rPr>
      </w:pPr>
      <w:r>
        <w:rPr>
          <w:rFonts w:eastAsia="仿宋_GB2312" w:hint="eastAsia"/>
          <w:sz w:val="32"/>
          <w:szCs w:val="32"/>
        </w:rPr>
        <w:t>义务教育家庭经济困难学生生活补助、营养餐、午餐费等经费及时落实和享受到支持对象个人。该指标自评得分10分。</w:t>
      </w:r>
    </w:p>
    <w:p>
      <w:pPr>
        <w:numPr>
          <w:ilvl w:val="0"/>
          <w:numId w:val="1"/>
        </w:numPr>
        <w:ind w:left="0" w:firstLineChars="200" w:firstLine="640"/>
        <w:rPr>
          <w:rFonts w:eastAsia="仿宋_GB2312"/>
          <w:sz w:val="32"/>
          <w:szCs w:val="32"/>
        </w:rPr>
      </w:pPr>
      <w:r>
        <w:rPr>
          <w:rFonts w:eastAsia="仿宋_GB2312" w:hint="eastAsia"/>
          <w:sz w:val="32"/>
          <w:szCs w:val="32"/>
        </w:rPr>
        <w:t>标准合理性</w:t>
      </w:r>
    </w:p>
    <w:p>
      <w:pPr>
        <w:ind w:firstLineChars="200" w:firstLine="640"/>
        <w:jc w:val="left"/>
        <w:rPr>
          <w:rFonts w:eastAsia="仿宋_GB2312"/>
          <w:sz w:val="32"/>
          <w:szCs w:val="32"/>
        </w:rPr>
      </w:pPr>
      <w:r>
        <w:rPr>
          <w:rFonts w:eastAsia="仿宋_GB2312" w:hint="eastAsia"/>
          <w:sz w:val="32"/>
          <w:szCs w:val="32"/>
        </w:rPr>
        <w:t>资金实际补贴标准符合资金管理办法规定的补助标准，补助资金及时按标准兑现学生个人，指标自评得分5分。</w:t>
      </w:r>
    </w:p>
    <w:p>
      <w:pPr>
        <w:numPr>
          <w:ilvl w:val="0"/>
          <w:numId w:val="1"/>
        </w:numPr>
        <w:ind w:left="0" w:firstLineChars="200" w:firstLine="640"/>
        <w:rPr>
          <w:rFonts w:eastAsia="仿宋_GB2312"/>
          <w:sz w:val="32"/>
          <w:szCs w:val="32"/>
        </w:rPr>
      </w:pPr>
      <w:r>
        <w:rPr>
          <w:rFonts w:eastAsia="仿宋_GB2312" w:hint="eastAsia"/>
          <w:sz w:val="32"/>
          <w:szCs w:val="32"/>
        </w:rPr>
        <w:t>群众满意度</w:t>
      </w:r>
    </w:p>
    <w:p>
      <w:pPr>
        <w:ind w:firstLineChars="200" w:firstLine="640"/>
        <w:jc w:val="left"/>
        <w:rPr>
          <w:rFonts w:eastAsia="仿宋_GB2312"/>
          <w:sz w:val="32"/>
          <w:szCs w:val="32"/>
        </w:rPr>
      </w:pPr>
      <w:r>
        <w:rPr>
          <w:rFonts w:eastAsia="仿宋_GB2312" w:hint="eastAsia"/>
          <w:sz w:val="32"/>
          <w:szCs w:val="32"/>
        </w:rPr>
        <w:t>十五年免费教育专项资金项目涉及相关受益群体、支持对象的满意度调查情况，满意度高达95%， 该指标自评得分4.75分。</w:t>
      </w:r>
    </w:p>
    <w:p>
      <w:pPr>
        <w:spacing w:line="578" w:lineRule="exact"/>
        <w:ind w:firstLineChars="200" w:firstLine="640"/>
        <w:rPr>
          <w:rFonts w:ascii="楷体_GB2312" w:eastAsia="楷体_GB2312" w:cs="楷体_GB2312" w:hint="eastAsia"/>
          <w:sz w:val="32"/>
          <w:szCs w:val="32"/>
        </w:rPr>
      </w:pPr>
      <w:r>
        <w:rPr>
          <w:rFonts w:ascii="楷体_GB2312" w:eastAsia="楷体_GB2312" w:cs="楷体_GB2312" w:hint="eastAsia"/>
          <w:sz w:val="32"/>
          <w:szCs w:val="32"/>
        </w:rPr>
        <w:t>3.基础设施。（30分）（不适用本项目）</w:t>
      </w:r>
    </w:p>
    <w:p>
      <w:pPr>
        <w:spacing w:line="578" w:lineRule="exact"/>
        <w:ind w:firstLineChars="200" w:firstLine="640"/>
        <w:rPr>
          <w:rFonts w:ascii="楷体_GB2312" w:eastAsia="楷体_GB2312" w:cs="楷体_GB2312" w:hint="eastAsia"/>
          <w:sz w:val="32"/>
          <w:szCs w:val="32"/>
        </w:rPr>
      </w:pPr>
      <w:r>
        <w:rPr>
          <w:rFonts w:ascii="楷体_GB2312" w:eastAsia="楷体_GB2312" w:cs="楷体_GB2312" w:hint="eastAsia"/>
          <w:sz w:val="32"/>
          <w:szCs w:val="32"/>
        </w:rPr>
        <w:t>4.行政运转。（30分）（不适用本项目）</w:t>
      </w:r>
    </w:p>
    <w:p>
      <w:pPr>
        <w:ind w:firstLineChars="200" w:firstLine="640"/>
        <w:jc w:val="left"/>
        <w:rPr>
          <w:rFonts w:ascii="仿宋_GB2312" w:cs="仿宋_GB2312" w:hAnsi="仿宋_GB2312" w:hint="eastAsia"/>
          <w:kern w:val="0"/>
          <w:shd w:val="clear" w:color="auto" w:fill="FFFFFF"/>
        </w:rPr>
      </w:pPr>
      <w:r>
        <w:rPr>
          <w:rFonts w:eastAsia="仿宋_GB2312" w:hint="eastAsia"/>
          <w:sz w:val="32"/>
          <w:szCs w:val="32"/>
        </w:rPr>
        <w:t>综上所述，该指标得10分。</w:t>
      </w:r>
    </w:p>
    <w:p>
      <w:pPr>
        <w:spacing w:line="578" w:lineRule="exact"/>
        <w:ind w:firstLine="640"/>
        <w:outlineLvl w:val="1"/>
        <w:rPr>
          <w:rFonts w:eastAsia="楷体_GB2312"/>
          <w:b/>
          <w:bCs/>
          <w:color w:val="000000"/>
          <w:kern w:val="0"/>
          <w:shd w:val="clear" w:color="auto" w:fill="FFFFFF"/>
          <w:lang w:val="zh-CN"/>
        </w:rPr>
      </w:pPr>
      <w:r>
        <w:rPr>
          <w:rFonts w:eastAsia="楷体_GB2312" w:hint="eastAsia"/>
          <w:b/>
          <w:sz w:val="32"/>
          <w:szCs w:val="32"/>
          <w:lang w:val="zh-CN"/>
        </w:rPr>
        <w:t>（三）</w:t>
      </w:r>
      <w:r>
        <w:rPr>
          <w:rFonts w:eastAsia="楷体_GB2312" w:hint="eastAsia"/>
          <w:b/>
          <w:sz w:val="32"/>
          <w:szCs w:val="32"/>
        </w:rPr>
        <w:t>个性指标</w:t>
      </w:r>
      <w:r>
        <w:rPr>
          <w:rFonts w:eastAsia="楷体_GB2312"/>
          <w:b/>
          <w:sz w:val="32"/>
          <w:szCs w:val="32"/>
        </w:rPr>
        <w:t>绩效分析</w:t>
      </w:r>
    </w:p>
    <w:p>
      <w:pPr>
        <w:adjustRightInd w:val="0"/>
        <w:snapToGrid w:val="0"/>
        <w:spacing w:line="578" w:lineRule="exact"/>
        <w:ind w:firstLineChars="200" w:firstLine="640"/>
        <w:rPr>
          <w:rFonts w:ascii="仿宋" w:eastAsia="仿宋"/>
          <w:sz w:val="32"/>
          <w:szCs w:val="32"/>
        </w:rPr>
      </w:pPr>
      <w:r>
        <w:rPr>
          <w:rFonts w:ascii="仿宋" w:eastAsia="仿宋" w:hint="eastAsia"/>
          <w:sz w:val="32"/>
          <w:szCs w:val="32"/>
        </w:rPr>
        <w:t>通过本项目的实施，深化教育改革、</w:t>
      </w:r>
      <w:r>
        <w:rPr>
          <w:rFonts w:ascii="Courier New" w:eastAsia="仿宋" w:cs="Courier New" w:hAnsi="Courier New"/>
          <w:sz w:val="32"/>
          <w:szCs w:val="32"/>
        </w:rPr>
        <w:t>‌</w:t>
      </w:r>
      <w:r>
        <w:rPr>
          <w:rFonts w:ascii="仿宋" w:eastAsia="仿宋" w:cs="仿宋" w:hint="eastAsia"/>
          <w:sz w:val="32"/>
          <w:szCs w:val="32"/>
        </w:rPr>
        <w:t>优化教育资源配置、</w:t>
      </w:r>
      <w:r>
        <w:rPr>
          <w:rFonts w:ascii="Courier New" w:eastAsia="仿宋" w:cs="Courier New" w:hAnsi="Courier New"/>
          <w:sz w:val="32"/>
          <w:szCs w:val="32"/>
        </w:rPr>
        <w:t>‌</w:t>
      </w:r>
      <w:r>
        <w:rPr>
          <w:rFonts w:ascii="仿宋" w:eastAsia="仿宋" w:cs="仿宋" w:hint="eastAsia"/>
          <w:sz w:val="32"/>
          <w:szCs w:val="32"/>
        </w:rPr>
        <w:t>促进教育公平和质量提升，</w:t>
      </w:r>
      <w:r>
        <w:rPr>
          <w:rFonts w:ascii="Courier New" w:eastAsia="仿宋" w:cs="Courier New" w:hAnsi="Courier New"/>
          <w:sz w:val="32"/>
          <w:szCs w:val="32"/>
        </w:rPr>
        <w:t>‌</w:t>
      </w:r>
      <w:r>
        <w:rPr>
          <w:rFonts w:ascii="仿宋" w:eastAsia="仿宋" w:cs="仿宋" w:hint="eastAsia"/>
          <w:sz w:val="32"/>
          <w:szCs w:val="32"/>
        </w:rPr>
        <w:t>以及推动经济结构调整和产业转型升级。</w:t>
      </w:r>
      <w:r>
        <w:rPr>
          <w:rFonts w:ascii="Courier New" w:eastAsia="仿宋" w:cs="Courier New" w:hAnsi="Courier New"/>
          <w:sz w:val="32"/>
          <w:szCs w:val="32"/>
        </w:rPr>
        <w:t>‌</w:t>
      </w:r>
      <w:r>
        <w:rPr>
          <w:rFonts w:ascii="仿宋" w:eastAsia="仿宋" w:cs="仿宋" w:hint="eastAsia"/>
          <w:sz w:val="32"/>
          <w:szCs w:val="32"/>
        </w:rPr>
        <w:t>具体来说，</w:t>
      </w:r>
      <w:r>
        <w:rPr>
          <w:rFonts w:ascii="Courier New" w:eastAsia="仿宋" w:cs="Courier New" w:hAnsi="Courier New"/>
          <w:sz w:val="32"/>
          <w:szCs w:val="32"/>
        </w:rPr>
        <w:t>‌</w:t>
      </w:r>
      <w:r>
        <w:rPr>
          <w:rFonts w:ascii="仿宋" w:eastAsia="仿宋" w:cs="仿宋" w:hint="eastAsia"/>
          <w:sz w:val="32"/>
          <w:szCs w:val="32"/>
        </w:rPr>
        <w:t>这一政策的实施旨在通过加大教育投入，</w:t>
      </w:r>
      <w:r>
        <w:rPr>
          <w:rFonts w:ascii="Courier New" w:eastAsia="仿宋" w:cs="Courier New" w:hAnsi="Courier New"/>
          <w:sz w:val="32"/>
          <w:szCs w:val="32"/>
        </w:rPr>
        <w:t>‌</w:t>
      </w:r>
      <w:r>
        <w:rPr>
          <w:rFonts w:ascii="仿宋" w:eastAsia="仿宋" w:cs="仿宋" w:hint="eastAsia"/>
          <w:sz w:val="32"/>
          <w:szCs w:val="32"/>
        </w:rPr>
        <w:t>优化整合资金，</w:t>
      </w:r>
      <w:r>
        <w:rPr>
          <w:rFonts w:ascii="Courier New" w:eastAsia="仿宋" w:cs="Courier New" w:hAnsi="Courier New"/>
          <w:sz w:val="32"/>
          <w:szCs w:val="32"/>
        </w:rPr>
        <w:t>‌</w:t>
      </w:r>
      <w:r>
        <w:rPr>
          <w:rFonts w:ascii="仿宋" w:eastAsia="仿宋" w:cs="仿宋" w:hint="eastAsia"/>
          <w:sz w:val="32"/>
          <w:szCs w:val="32"/>
        </w:rPr>
        <w:t>向农村义务教育倾斜，</w:t>
      </w:r>
      <w:r>
        <w:rPr>
          <w:rFonts w:ascii="Courier New" w:eastAsia="仿宋" w:cs="Courier New" w:hAnsi="Courier New"/>
          <w:sz w:val="32"/>
          <w:szCs w:val="32"/>
        </w:rPr>
        <w:t>‌</w:t>
      </w:r>
      <w:r>
        <w:rPr>
          <w:rFonts w:ascii="仿宋" w:eastAsia="仿宋" w:cs="仿宋" w:hint="eastAsia"/>
          <w:sz w:val="32"/>
          <w:szCs w:val="32"/>
        </w:rPr>
        <w:t>以解决教育资源分配不均的问题，</w:t>
      </w:r>
      <w:r>
        <w:rPr>
          <w:rFonts w:ascii="Courier New" w:eastAsia="仿宋" w:cs="Courier New" w:hAnsi="Courier New"/>
          <w:sz w:val="32"/>
          <w:szCs w:val="32"/>
        </w:rPr>
        <w:t>‌</w:t>
      </w:r>
      <w:r>
        <w:rPr>
          <w:rFonts w:ascii="仿宋" w:eastAsia="仿宋" w:cs="仿宋" w:hint="eastAsia"/>
          <w:sz w:val="32"/>
          <w:szCs w:val="32"/>
        </w:rPr>
        <w:t>实现教育在更高层次的均衡发展。</w:t>
      </w:r>
      <w:r>
        <w:rPr>
          <w:rFonts w:ascii="Courier New" w:eastAsia="仿宋" w:cs="Courier New" w:hAnsi="Courier New"/>
          <w:sz w:val="32"/>
          <w:szCs w:val="32"/>
        </w:rPr>
        <w:t>‌</w:t>
      </w:r>
      <w:r>
        <w:rPr>
          <w:rFonts w:ascii="仿宋" w:eastAsia="仿宋" w:cs="仿宋" w:hint="eastAsia"/>
          <w:sz w:val="32"/>
          <w:szCs w:val="32"/>
        </w:rPr>
        <w:t>此外，</w:t>
      </w:r>
      <w:r>
        <w:rPr>
          <w:rFonts w:ascii="Courier New" w:eastAsia="仿宋" w:cs="Courier New" w:hAnsi="Courier New"/>
          <w:sz w:val="32"/>
          <w:szCs w:val="32"/>
        </w:rPr>
        <w:t>‌</w:t>
      </w:r>
      <w:r>
        <w:rPr>
          <w:rFonts w:ascii="仿宋" w:eastAsia="仿宋" w:cs="仿宋" w:hint="eastAsia"/>
          <w:sz w:val="32"/>
          <w:szCs w:val="32"/>
        </w:rPr>
        <w:t>这一政策还有利于深化财税体制改革，</w:t>
      </w:r>
      <w:r>
        <w:rPr>
          <w:rFonts w:ascii="Courier New" w:eastAsia="仿宋" w:cs="Courier New" w:hAnsi="Courier New"/>
          <w:sz w:val="32"/>
          <w:szCs w:val="32"/>
        </w:rPr>
        <w:t>‌</w:t>
      </w:r>
      <w:r>
        <w:rPr>
          <w:rFonts w:ascii="仿宋" w:eastAsia="仿宋" w:cs="仿宋" w:hint="eastAsia"/>
          <w:sz w:val="32"/>
          <w:szCs w:val="32"/>
        </w:rPr>
        <w:t>促进基本公共服务均等化，</w:t>
      </w:r>
      <w:r>
        <w:rPr>
          <w:rFonts w:ascii="Courier New" w:eastAsia="仿宋" w:cs="Courier New" w:hAnsi="Courier New"/>
          <w:sz w:val="32"/>
          <w:szCs w:val="32"/>
        </w:rPr>
        <w:t>‌</w:t>
      </w:r>
      <w:r>
        <w:rPr>
          <w:rFonts w:ascii="仿宋" w:eastAsia="仿宋" w:cs="仿宋" w:hint="eastAsia"/>
          <w:sz w:val="32"/>
          <w:szCs w:val="32"/>
        </w:rPr>
        <w:t>构建社会主义和谐社会。</w:t>
      </w:r>
      <w:r>
        <w:rPr>
          <w:rFonts w:ascii="仿宋" w:eastAsia="仿宋" w:hint="eastAsia"/>
          <w:sz w:val="32"/>
          <w:szCs w:val="32"/>
        </w:rPr>
        <w:t>综上所述，该指标得16分。</w:t>
      </w:r>
    </w:p>
    <w:p>
      <w:pPr>
        <w:spacing w:line="578" w:lineRule="exact"/>
        <w:ind w:firstLineChars="200" w:firstLine="640"/>
        <w:rPr>
          <w:sz w:val="32"/>
          <w:szCs w:val="32"/>
        </w:rPr>
      </w:pPr>
      <w:r>
        <w:rPr>
          <w:rFonts w:eastAsia="黑体" w:hint="eastAsia"/>
          <w:sz w:val="32"/>
          <w:szCs w:val="32"/>
        </w:rPr>
        <w:t>四、评价结论</w:t>
      </w:r>
    </w:p>
    <w:p>
      <w:pPr>
        <w:widowControl/>
        <w:adjustRightInd w:val="0"/>
        <w:snapToGrid w:val="0"/>
        <w:spacing w:line="578" w:lineRule="exact"/>
        <w:ind w:firstLineChars="200" w:firstLine="640"/>
        <w:contextualSpacing/>
        <w:jc w:val="left"/>
        <w:rPr>
          <w:rFonts w:ascii="仿宋" w:eastAsia="仿宋" w:cs="仿宋" w:hint="eastAsia"/>
          <w:sz w:val="32"/>
          <w:szCs w:val="32"/>
        </w:rPr>
      </w:pPr>
      <w:r>
        <w:rPr>
          <w:rFonts w:ascii="仿宋" w:eastAsia="仿宋" w:cs="仿宋" w:hint="eastAsia"/>
          <w:sz w:val="32"/>
          <w:szCs w:val="32"/>
        </w:rPr>
        <w:t>我校严格按照上级部门要求及时、准确、优质地完成预决算编制。我校预算执行情况良好，支出管理规范，未出现支付不及时和不到位的情况，未出现因违规支出受到相关监督部门批评或处理的情况；资金管理制度较为完善，会计核算和账务处理规范，会计资料完整。通过本项目的实施，深化教育改革、</w:t>
      </w:r>
      <w:r>
        <w:rPr>
          <w:rFonts w:ascii="Courier New" w:eastAsia="仿宋" w:cs="Courier New" w:hAnsi="Courier New"/>
          <w:sz w:val="32"/>
          <w:szCs w:val="32"/>
        </w:rPr>
        <w:t>‌</w:t>
      </w:r>
      <w:r>
        <w:rPr>
          <w:rFonts w:ascii="仿宋" w:eastAsia="仿宋" w:cs="仿宋" w:hint="eastAsia"/>
          <w:sz w:val="32"/>
          <w:szCs w:val="32"/>
        </w:rPr>
        <w:t>优化教育资源配置、</w:t>
      </w:r>
      <w:r>
        <w:rPr>
          <w:rFonts w:ascii="Courier New" w:eastAsia="仿宋" w:cs="Courier New" w:hAnsi="Courier New"/>
          <w:sz w:val="32"/>
          <w:szCs w:val="32"/>
        </w:rPr>
        <w:t>‌</w:t>
      </w:r>
      <w:r>
        <w:rPr>
          <w:rFonts w:ascii="仿宋" w:eastAsia="仿宋" w:cs="仿宋" w:hint="eastAsia"/>
          <w:sz w:val="32"/>
          <w:szCs w:val="32"/>
        </w:rPr>
        <w:t>促进教育公平和质量提升，</w:t>
      </w:r>
      <w:r>
        <w:rPr>
          <w:rFonts w:ascii="Courier New" w:eastAsia="仿宋" w:cs="Courier New" w:hAnsi="Courier New"/>
          <w:sz w:val="32"/>
          <w:szCs w:val="32"/>
        </w:rPr>
        <w:t>‌</w:t>
      </w:r>
      <w:r>
        <w:rPr>
          <w:rFonts w:ascii="仿宋" w:eastAsia="仿宋" w:cs="仿宋" w:hint="eastAsia"/>
          <w:sz w:val="32"/>
          <w:szCs w:val="32"/>
        </w:rPr>
        <w:t>以及推动经济结构调整和产业转型升级。</w:t>
      </w:r>
      <w:r>
        <w:rPr>
          <w:rFonts w:ascii="Courier New" w:eastAsia="仿宋" w:cs="Courier New" w:hAnsi="Courier New"/>
          <w:sz w:val="32"/>
          <w:szCs w:val="32"/>
        </w:rPr>
        <w:t>‌</w:t>
      </w:r>
      <w:r>
        <w:rPr>
          <w:rFonts w:ascii="仿宋" w:eastAsia="仿宋" w:cs="仿宋" w:hint="eastAsia"/>
          <w:sz w:val="32"/>
          <w:szCs w:val="32"/>
        </w:rPr>
        <w:t>具体来说，</w:t>
      </w:r>
      <w:r>
        <w:rPr>
          <w:rFonts w:ascii="Courier New" w:eastAsia="仿宋" w:cs="Courier New" w:hAnsi="Courier New"/>
          <w:sz w:val="32"/>
          <w:szCs w:val="32"/>
        </w:rPr>
        <w:t>‌</w:t>
      </w:r>
      <w:r>
        <w:rPr>
          <w:rFonts w:ascii="仿宋" w:eastAsia="仿宋" w:cs="仿宋" w:hint="eastAsia"/>
          <w:sz w:val="32"/>
          <w:szCs w:val="32"/>
        </w:rPr>
        <w:t>这一政策的实施旨在通过加大教育投入，</w:t>
      </w:r>
      <w:r>
        <w:rPr>
          <w:rFonts w:ascii="Courier New" w:eastAsia="仿宋" w:cs="Courier New" w:hAnsi="Courier New"/>
          <w:sz w:val="32"/>
          <w:szCs w:val="32"/>
        </w:rPr>
        <w:t>‌</w:t>
      </w:r>
      <w:r>
        <w:rPr>
          <w:rFonts w:ascii="仿宋" w:eastAsia="仿宋" w:cs="仿宋" w:hint="eastAsia"/>
          <w:sz w:val="32"/>
          <w:szCs w:val="32"/>
        </w:rPr>
        <w:t>优化整合资金，</w:t>
      </w:r>
      <w:r>
        <w:rPr>
          <w:rFonts w:ascii="Courier New" w:eastAsia="仿宋" w:cs="Courier New" w:hAnsi="Courier New"/>
          <w:sz w:val="32"/>
          <w:szCs w:val="32"/>
        </w:rPr>
        <w:t>‌</w:t>
      </w:r>
      <w:r>
        <w:rPr>
          <w:rFonts w:ascii="仿宋" w:eastAsia="仿宋" w:cs="仿宋" w:hint="eastAsia"/>
          <w:sz w:val="32"/>
          <w:szCs w:val="32"/>
        </w:rPr>
        <w:t>向农村义务教育倾斜，</w:t>
      </w:r>
      <w:r>
        <w:rPr>
          <w:rFonts w:ascii="Courier New" w:eastAsia="仿宋" w:cs="Courier New" w:hAnsi="Courier New"/>
          <w:sz w:val="32"/>
          <w:szCs w:val="32"/>
        </w:rPr>
        <w:t>‌</w:t>
      </w:r>
      <w:r>
        <w:rPr>
          <w:rFonts w:ascii="仿宋" w:eastAsia="仿宋" w:cs="仿宋" w:hint="eastAsia"/>
          <w:sz w:val="32"/>
          <w:szCs w:val="32"/>
        </w:rPr>
        <w:t>以解决教育资源分配不均的问题，</w:t>
      </w:r>
      <w:r>
        <w:rPr>
          <w:rFonts w:ascii="Courier New" w:eastAsia="仿宋" w:cs="Courier New" w:hAnsi="Courier New"/>
          <w:sz w:val="32"/>
          <w:szCs w:val="32"/>
        </w:rPr>
        <w:t>‌</w:t>
      </w:r>
      <w:r>
        <w:rPr>
          <w:rFonts w:ascii="仿宋" w:eastAsia="仿宋" w:cs="仿宋" w:hint="eastAsia"/>
          <w:sz w:val="32"/>
          <w:szCs w:val="32"/>
        </w:rPr>
        <w:t>实现教育在更高层次的均衡发展。</w:t>
      </w:r>
      <w:r>
        <w:rPr>
          <w:rFonts w:ascii="Courier New" w:eastAsia="仿宋" w:cs="Courier New" w:hAnsi="Courier New"/>
          <w:sz w:val="32"/>
          <w:szCs w:val="32"/>
        </w:rPr>
        <w:t>‌</w:t>
      </w:r>
      <w:r>
        <w:rPr>
          <w:rFonts w:ascii="仿宋" w:eastAsia="仿宋" w:cs="仿宋" w:hint="eastAsia"/>
          <w:sz w:val="32"/>
          <w:szCs w:val="32"/>
        </w:rPr>
        <w:t>此外，</w:t>
      </w:r>
      <w:r>
        <w:rPr>
          <w:rFonts w:ascii="Courier New" w:eastAsia="仿宋" w:cs="Courier New" w:hAnsi="Courier New"/>
          <w:sz w:val="32"/>
          <w:szCs w:val="32"/>
        </w:rPr>
        <w:t>‌</w:t>
      </w:r>
      <w:r>
        <w:rPr>
          <w:rFonts w:ascii="仿宋" w:eastAsia="仿宋" w:cs="仿宋" w:hint="eastAsia"/>
          <w:sz w:val="32"/>
          <w:szCs w:val="32"/>
        </w:rPr>
        <w:t>这一政策还有利于深化财税体制改革，</w:t>
      </w:r>
      <w:r>
        <w:rPr>
          <w:rFonts w:ascii="Courier New" w:eastAsia="仿宋" w:cs="Courier New" w:hAnsi="Courier New"/>
          <w:sz w:val="32"/>
          <w:szCs w:val="32"/>
        </w:rPr>
        <w:t>‌</w:t>
      </w:r>
      <w:r>
        <w:rPr>
          <w:rFonts w:ascii="仿宋" w:eastAsia="仿宋" w:cs="仿宋" w:hint="eastAsia"/>
          <w:sz w:val="32"/>
          <w:szCs w:val="32"/>
        </w:rPr>
        <w:t>促进基本公共服务均等化，</w:t>
      </w:r>
      <w:r>
        <w:rPr>
          <w:rFonts w:ascii="Courier New" w:eastAsia="仿宋" w:cs="Courier New" w:hAnsi="Courier New"/>
          <w:sz w:val="32"/>
          <w:szCs w:val="32"/>
        </w:rPr>
        <w:t>‌</w:t>
      </w:r>
      <w:r>
        <w:rPr>
          <w:rFonts w:ascii="仿宋" w:eastAsia="仿宋" w:cs="仿宋" w:hint="eastAsia"/>
          <w:sz w:val="32"/>
          <w:szCs w:val="32"/>
        </w:rPr>
        <w:t>构建社会主义和谐社会。十五年免费教育专项资金项目预算绩效自评得分90.60分。</w:t>
      </w:r>
    </w:p>
    <w:p>
      <w:pPr>
        <w:pStyle w:val="17"/>
        <w:spacing w:beforeLines="0" w:before="93" w:line="600" w:lineRule="exact"/>
        <w:ind w:firstLineChars="200" w:firstLine="640"/>
        <w:outlineLvl w:val="0"/>
        <w:rPr>
          <w:rFonts w:ascii="Times New Roman" w:hAnsi="Times New Roman"/>
          <w:sz w:val="32"/>
          <w:szCs w:val="32"/>
        </w:rPr>
      </w:pPr>
      <w:r>
        <w:rPr>
          <w:rFonts w:ascii="Times New Roman" w:eastAsia="黑体" w:hAnsi="Times New Roman" w:hint="eastAsia"/>
          <w:sz w:val="32"/>
          <w:szCs w:val="32"/>
        </w:rPr>
        <w:t>五、存在主要问题</w:t>
      </w:r>
    </w:p>
    <w:p>
      <w:pPr>
        <w:pStyle w:val="17"/>
        <w:spacing w:beforeLines="0" w:before="93" w:line="600" w:lineRule="exact"/>
        <w:ind w:firstLineChars="200" w:firstLine="640"/>
        <w:rPr>
          <w:rFonts w:ascii="仿宋_GB2312" w:eastAsia="仿宋_GB2312" w:cs="仿宋_GB2312" w:hint="eastAsia"/>
          <w:sz w:val="32"/>
          <w:szCs w:val="32"/>
        </w:rPr>
      </w:pPr>
      <w:r>
        <w:rPr>
          <w:rFonts w:ascii="仿宋_GB2312" w:eastAsia="仿宋_GB2312" w:cs="仿宋_GB2312" w:hint="eastAsia"/>
          <w:sz w:val="32"/>
          <w:szCs w:val="32"/>
        </w:rPr>
        <w:t>十五年免费教育专项资金项目未设置项目年度绩效目标。</w:t>
      </w:r>
    </w:p>
    <w:p>
      <w:pPr>
        <w:pStyle w:val="17"/>
        <w:spacing w:beforeLines="0" w:before="93" w:line="600" w:lineRule="exact"/>
        <w:ind w:firstLineChars="200" w:firstLine="640"/>
        <w:outlineLvl w:val="0"/>
        <w:rPr>
          <w:rFonts w:ascii="Times New Roman" w:hAnsi="Times New Roman"/>
          <w:sz w:val="32"/>
          <w:szCs w:val="32"/>
          <w:lang w:val="zh-CN"/>
        </w:rPr>
      </w:pPr>
      <w:r>
        <w:rPr>
          <w:rFonts w:ascii="Times New Roman" w:eastAsia="黑体" w:hAnsi="Times New Roman" w:hint="eastAsia"/>
          <w:position w:val="3"/>
          <w:sz w:val="32"/>
          <w:szCs w:val="32"/>
          <w:lang w:val="zh-CN"/>
        </w:rPr>
        <w:t>六、改进建议</w:t>
      </w:r>
    </w:p>
    <w:p>
      <w:pPr>
        <w:tabs>
          <w:tab w:val="left" w:pos="1911"/>
        </w:tabs>
        <w:jc w:val="left"/>
        <w:rPr>
          <w:rFonts w:ascii="仿宋_GB2312" w:eastAsia="仿宋_GB2312" w:cs="仿宋_GB2312" w:hint="eastAsia"/>
          <w:kern w:val="0"/>
          <w:sz w:val="32"/>
          <w:szCs w:val="32"/>
        </w:rPr>
      </w:pPr>
      <w:r>
        <w:rPr>
          <w:rFonts w:ascii="仿宋" w:eastAsia="仿宋" w:hint="eastAsia"/>
          <w:sz w:val="32"/>
          <w:szCs w:val="32"/>
        </w:rPr>
        <w:t xml:space="preserve"> </w:t>
      </w:r>
      <w:r>
        <w:rPr>
          <w:rFonts w:ascii="仿宋_GB2312" w:eastAsia="仿宋_GB2312" w:cs="仿宋_GB2312" w:hint="eastAsia"/>
          <w:kern w:val="0"/>
          <w:sz w:val="32"/>
          <w:szCs w:val="32"/>
        </w:rPr>
        <w:t>设定项目年度绩效目标、增强科学合理性。建议项目主管部门按照项目相关文件及实施方案，设置项目年度绩效目标，各县（区）部门应按照省、市相关文件内容的规定作为资金分配的重要依据，并按照项目实际情况，提出科学合理的项目资金安排建议方案，并上报上级主管部门审核或备案。</w:t>
      </w:r>
    </w:p>
    <w:p>
      <w:pPr>
        <w:tabs>
          <w:tab w:val="left" w:pos="1911"/>
        </w:tabs>
        <w:jc w:val="left"/>
        <w:rPr>
          <w:rFonts w:ascii="仿宋_GB2312" w:eastAsia="仿宋_GB2312" w:cs="仿宋_GB2312" w:hint="eastAsia"/>
          <w:kern w:val="0"/>
          <w:sz w:val="32"/>
          <w:szCs w:val="32"/>
        </w:rPr>
      </w:pPr>
      <w:r>
        <w:rPr>
          <w:rFonts w:ascii="仿宋_GB2312" w:eastAsia="仿宋_GB2312" w:cs="仿宋_GB2312" w:hint="eastAsia"/>
          <w:kern w:val="0"/>
          <w:sz w:val="32"/>
          <w:szCs w:val="32"/>
        </w:rPr>
        <w:t>完善绩效申报工作，进一步量化绩效目标。在申请资金时，结合具体情况和发展趋势，合理设置绩效目标，如预期取得数量指标、质量指标、成本指标、社会效益、服务对象满意度等。做到科学、合理，对能够量化的尽量予以量化，不能量化的定性要分层分类明确便于实施。一来可督促受助对象提高资金绩效，二来可使验收考核和评价更具可操作性。</w:t>
      </w:r>
    </w:p>
    <w:p>
      <w:pPr>
        <w:snapToGrid w:val="0"/>
        <w:spacing w:line="578" w:lineRule="exact"/>
        <w:ind w:firstLineChars="200" w:firstLine="420"/>
        <w:rPr>
          <w:color w:val="000000"/>
          <w:kern w:val="0"/>
          <w:shd w:val="clear" w:color="auto" w:fill="FFFFFF"/>
          <w:lang w:val="zh-CN"/>
        </w:rPr>
      </w:pPr>
    </w:p>
    <w:tbl>
      <w:tblPr>
        <w:jc w:val="center"/>
        <w:tblW w:w="10233" w:type="dxa"/>
        <w:tblBorders>
          <w:top w:val="none" w:sz="0" w:space="0" w:color="auto"/>
          <w:left w:val="none" w:sz="0" w:space="0" w:color="auto"/>
          <w:bottom w:val="none" w:sz="0" w:space="0" w:color="auto"/>
          <w:right w:val="none" w:sz="0" w:space="0" w:color="auto"/>
        </w:tblBorders>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trPr>
          <w:trHeight w:val="576"/>
        </w:trPr>
        <w:tc>
          <w:tcPr>
            <w:tcW w:w="10233" w:type="dxa"/>
            <w:gridSpan w:val="9"/>
            <w:noWrap/>
            <w:vAlign w:val="center"/>
          </w:tcPr>
          <w:p>
            <w:pPr>
              <w:widowControl/>
              <w:spacing w:line="600" w:lineRule="exact"/>
              <w:jc w:val="center"/>
              <w:textAlignment w:val="center"/>
              <w:rPr>
                <w:rFonts w:ascii="黑体" w:eastAsia="黑体" w:cs="黑体" w:hint="eastAsia"/>
                <w:color w:val="000000"/>
                <w:sz w:val="30"/>
                <w:szCs w:val="30"/>
              </w:rPr>
            </w:pPr>
            <w:r>
              <w:rPr>
                <w:rFonts w:ascii="方正小标宋简体" w:eastAsia="方正小标宋简体" w:cs="方正小标宋简体" w:hint="eastAsia"/>
                <w:color w:val="000000"/>
                <w:kern w:val="0"/>
                <w:sz w:val="40"/>
                <w:szCs w:val="40"/>
              </w:rPr>
              <w:t>专项预算项目绩效目标完成情况自评表</w:t>
            </w:r>
          </w:p>
        </w:tc>
      </w:tr>
      <w:tr>
        <w:trPr>
          <w:trHeight w:val="23"/>
        </w:trPr>
        <w:tc>
          <w:tcPr>
            <w:tcW w:w="4295" w:type="dxa"/>
            <w:gridSpan w:val="4"/>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rFonts w:ascii="宋体" w:cs="宋体" w:hint="eastAsia"/>
                <w:color w:val="000000"/>
                <w:sz w:val="24"/>
              </w:rPr>
            </w:pPr>
            <w:r>
              <w:rPr>
                <w:rFonts w:ascii="宋体" w:cs="宋体"/>
                <w:color w:val="000000"/>
                <w:kern w:val="0"/>
                <w:sz w:val="24"/>
              </w:rPr>
              <w:t>项目名称</w:t>
            </w:r>
          </w:p>
        </w:tc>
        <w:tc>
          <w:tcPr>
            <w:tcW w:w="5938" w:type="dxa"/>
            <w:gridSpan w:val="5"/>
            <w:tcBorders>
              <w:top w:val="single" w:sz="4" w:space="0" w:color="000000"/>
              <w:left w:val="single" w:sz="4" w:space="0" w:color="000000"/>
              <w:bottom w:val="single" w:sz="4" w:space="0" w:color="000000"/>
              <w:right w:val="single" w:sz="4" w:space="0" w:color="000000"/>
            </w:tcBorders>
            <w:noWrap/>
            <w:vAlign w:val="center"/>
          </w:tcPr>
          <w:p>
            <w:pPr>
              <w:spacing w:line="300" w:lineRule="exact"/>
              <w:rPr>
                <w:rFonts w:ascii="宋体" w:cs="宋体" w:hint="eastAsia"/>
                <w:color w:val="000000"/>
                <w:sz w:val="24"/>
              </w:rPr>
            </w:pPr>
            <w:r>
              <w:rPr>
                <w:rFonts w:ascii="宋体" w:cs="宋体" w:hint="eastAsia"/>
                <w:color w:val="000000"/>
                <w:sz w:val="24"/>
              </w:rPr>
              <w:t>十五年免费教育专项经费</w:t>
            </w:r>
          </w:p>
        </w:tc>
      </w:tr>
      <w:tr>
        <w:trPr>
          <w:trHeight w:val="23"/>
        </w:trPr>
        <w:tc>
          <w:tcPr>
            <w:tcW w:w="4295" w:type="dxa"/>
            <w:gridSpan w:val="4"/>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rFonts w:ascii="宋体" w:cs="宋体" w:hint="eastAsia"/>
                <w:color w:val="000000"/>
                <w:sz w:val="24"/>
              </w:rPr>
            </w:pPr>
            <w:r>
              <w:rPr>
                <w:rFonts w:ascii="宋体" w:cs="宋体"/>
                <w:color w:val="000000"/>
                <w:kern w:val="0"/>
                <w:sz w:val="24"/>
              </w:rPr>
              <w:t>预算单位</w:t>
            </w:r>
          </w:p>
        </w:tc>
        <w:tc>
          <w:tcPr>
            <w:tcW w:w="5938" w:type="dxa"/>
            <w:gridSpan w:val="5"/>
            <w:tcBorders>
              <w:top w:val="single" w:sz="4" w:space="0" w:color="000000"/>
              <w:left w:val="single" w:sz="4" w:space="0" w:color="000000"/>
              <w:bottom w:val="single" w:sz="4" w:space="0" w:color="000000"/>
              <w:right w:val="single" w:sz="4" w:space="0" w:color="000000"/>
            </w:tcBorders>
            <w:noWrap/>
            <w:vAlign w:val="center"/>
          </w:tcPr>
          <w:p>
            <w:pPr>
              <w:spacing w:line="300" w:lineRule="exact"/>
              <w:rPr>
                <w:rFonts w:ascii="宋体" w:cs="宋体" w:hint="eastAsia"/>
                <w:color w:val="000000"/>
                <w:sz w:val="24"/>
              </w:rPr>
            </w:pPr>
            <w:r>
              <w:rPr>
                <w:rFonts w:ascii="宋体" w:cs="宋体" w:hint="eastAsia"/>
                <w:color w:val="000000"/>
                <w:sz w:val="24"/>
              </w:rPr>
              <w:t>汶川县漩口校</w:t>
            </w:r>
          </w:p>
        </w:tc>
      </w:tr>
      <w:tr>
        <w:trPr>
          <w:trHeight w:val="23"/>
        </w:trPr>
        <w:tc>
          <w:tcPr>
            <w:tcW w:w="4295" w:type="dxa"/>
            <w:gridSpan w:val="4"/>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rFonts w:ascii="宋体" w:cs="宋体" w:hint="eastAsia"/>
                <w:color w:val="000000"/>
                <w:sz w:val="24"/>
              </w:rPr>
            </w:pPr>
            <w:r>
              <w:rPr>
                <w:rFonts w:ascii="宋体" w:cs="宋体"/>
                <w:color w:val="000000"/>
                <w:kern w:val="0"/>
                <w:sz w:val="24"/>
              </w:rPr>
              <w:t>项目类型</w:t>
            </w:r>
          </w:p>
        </w:tc>
        <w:tc>
          <w:tcPr>
            <w:tcW w:w="5938" w:type="dxa"/>
            <w:gridSpan w:val="5"/>
            <w:tcBorders>
              <w:top w:val="single" w:sz="4" w:space="0" w:color="000000"/>
              <w:left w:val="single" w:sz="4" w:space="0" w:color="000000"/>
              <w:bottom w:val="single" w:sz="4" w:space="0" w:color="000000"/>
              <w:right w:val="single" w:sz="4" w:space="0" w:color="000000"/>
            </w:tcBorders>
            <w:noWrap/>
            <w:vAlign w:val="center"/>
          </w:tcPr>
          <w:p>
            <w:pPr>
              <w:spacing w:line="300" w:lineRule="exact"/>
              <w:jc w:val="left"/>
              <w:rPr>
                <w:rFonts w:ascii="宋体" w:cs="宋体" w:hint="eastAsia"/>
                <w:color w:val="000000"/>
                <w:sz w:val="24"/>
              </w:rPr>
            </w:pPr>
            <w:r>
              <w:rPr>
                <w:rFonts w:ascii="宋体" w:cs="宋体" w:hint="eastAsia"/>
                <w:color w:val="000000"/>
                <w:sz w:val="24"/>
              </w:rPr>
              <w:t>行政运转</w:t>
            </w:r>
          </w:p>
        </w:tc>
      </w:tr>
      <w:tr>
        <w:trPr>
          <w:trHeight w:val="23"/>
        </w:trPr>
        <w:tc>
          <w:tcPr>
            <w:tcW w:w="652" w:type="dxa"/>
            <w:vMerge w:val="restart"/>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hint="eastAsia"/>
                <w:color w:val="000000"/>
                <w:sz w:val="24"/>
              </w:rPr>
            </w:pPr>
            <w:r>
              <w:rPr>
                <w:rFonts w:ascii="宋体" w:cs="宋体"/>
                <w:color w:val="000000"/>
                <w:kern w:val="0"/>
                <w:sz w:val="24"/>
              </w:rPr>
              <w:t>项目 概况</w:t>
            </w:r>
          </w:p>
        </w:tc>
        <w:tc>
          <w:tcPr>
            <w:tcW w:w="3643" w:type="dxa"/>
            <w:gridSpan w:val="3"/>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rFonts w:ascii="宋体" w:cs="宋体" w:hint="eastAsia"/>
                <w:color w:val="000000"/>
                <w:kern w:val="0"/>
                <w:sz w:val="24"/>
              </w:rPr>
            </w:pPr>
            <w:r>
              <w:rPr>
                <w:rFonts w:ascii="宋体" w:cs="宋体"/>
                <w:color w:val="000000"/>
                <w:kern w:val="0"/>
                <w:sz w:val="24"/>
              </w:rPr>
              <w:t>中长期规划（名称、文号，仅指</w:t>
            </w:r>
          </w:p>
          <w:p>
            <w:pPr>
              <w:widowControl/>
              <w:spacing w:line="300" w:lineRule="exact"/>
              <w:jc w:val="left"/>
              <w:textAlignment w:val="center"/>
              <w:rPr>
                <w:rFonts w:ascii="宋体" w:cs="宋体" w:hint="eastAsia"/>
                <w:color w:val="000000"/>
                <w:sz w:val="24"/>
              </w:rPr>
            </w:pPr>
            <w:r>
              <w:rPr>
                <w:rFonts w:ascii="宋体" w:cs="宋体"/>
                <w:color w:val="000000"/>
                <w:kern w:val="0"/>
                <w:sz w:val="24"/>
              </w:rPr>
              <w:t>常年项目）</w:t>
            </w:r>
          </w:p>
        </w:tc>
        <w:tc>
          <w:tcPr>
            <w:tcW w:w="5938" w:type="dxa"/>
            <w:gridSpan w:val="5"/>
            <w:tcBorders>
              <w:top w:val="single" w:sz="4" w:space="0" w:color="000000"/>
              <w:left w:val="single" w:sz="4" w:space="0" w:color="000000"/>
              <w:bottom w:val="single" w:sz="4" w:space="0" w:color="000000"/>
              <w:right w:val="single" w:sz="4" w:space="0" w:color="000000"/>
            </w:tcBorders>
            <w:noWrap/>
            <w:vAlign w:val="center"/>
          </w:tcPr>
          <w:p>
            <w:pPr>
              <w:spacing w:line="300" w:lineRule="exact"/>
              <w:jc w:val="left"/>
              <w:rPr>
                <w:rFonts w:ascii="宋体" w:cs="宋体" w:hint="eastAsia"/>
                <w:color w:val="000000"/>
                <w:sz w:val="24"/>
              </w:rPr>
            </w:pPr>
            <w:r>
              <w:rPr>
                <w:rFonts w:ascii="宋体" w:cs="宋体" w:hint="eastAsia"/>
                <w:color w:val="000000"/>
                <w:sz w:val="24"/>
              </w:rPr>
              <w:t>生均公用经费、家庭经济困难学生生活补助、营养改善计划、减免作业本费、保教费、午餐费</w:t>
            </w:r>
          </w:p>
        </w:tc>
      </w:tr>
      <w:tr>
        <w:trPr>
          <w:trHeight w:val="23"/>
        </w:trPr>
        <w:tc>
          <w:tcPr>
            <w:tcW w:w="652" w:type="dxa"/>
            <w:vMerge/>
            <w:tcBorders>
              <w:top w:val="single" w:sz="4" w:space="0" w:color="000000"/>
              <w:left w:val="single" w:sz="4" w:space="0" w:color="000000"/>
              <w:bottom w:val="single" w:sz="4" w:space="0" w:color="000000"/>
              <w:right w:val="single" w:sz="4" w:space="0" w:color="000000"/>
            </w:tcBorders>
            <w:noWrap/>
            <w:vAlign w:val="center"/>
          </w:tcPr>
          <w:p/>
        </w:tc>
        <w:tc>
          <w:tcPr>
            <w:tcW w:w="3643" w:type="dxa"/>
            <w:gridSpan w:val="3"/>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rFonts w:ascii="宋体" w:cs="宋体" w:hint="eastAsia"/>
                <w:color w:val="000000"/>
                <w:sz w:val="24"/>
              </w:rPr>
            </w:pPr>
            <w:r>
              <w:rPr>
                <w:rFonts w:ascii="宋体" w:cs="宋体"/>
                <w:color w:val="000000"/>
                <w:kern w:val="0"/>
                <w:sz w:val="24"/>
              </w:rPr>
              <w:t>资金管理办法（名称、文号）</w:t>
            </w:r>
          </w:p>
        </w:tc>
        <w:tc>
          <w:tcPr>
            <w:tcW w:w="5938" w:type="dxa"/>
            <w:gridSpan w:val="5"/>
            <w:tcBorders>
              <w:top w:val="single" w:sz="4" w:space="0" w:color="000000"/>
              <w:left w:val="single" w:sz="4" w:space="0" w:color="000000"/>
              <w:bottom w:val="single" w:sz="4" w:space="0" w:color="000000"/>
              <w:right w:val="single" w:sz="4" w:space="0" w:color="000000"/>
            </w:tcBorders>
            <w:noWrap/>
            <w:vAlign w:val="center"/>
          </w:tcPr>
          <w:p>
            <w:pPr>
              <w:spacing w:line="300" w:lineRule="exact"/>
              <w:jc w:val="left"/>
              <w:rPr>
                <w:rFonts w:ascii="宋体" w:cs="宋体" w:hint="eastAsia"/>
                <w:color w:val="000000"/>
                <w:sz w:val="24"/>
              </w:rPr>
            </w:pPr>
            <w:r>
              <w:rPr>
                <w:rFonts w:ascii="宋体" w:cs="宋体" w:hint="eastAsia"/>
                <w:color w:val="000000"/>
                <w:sz w:val="24"/>
              </w:rPr>
              <w:t>财务管理制度</w:t>
            </w:r>
          </w:p>
        </w:tc>
      </w:tr>
      <w:tr>
        <w:trPr>
          <w:trHeight w:val="23"/>
        </w:trPr>
        <w:tc>
          <w:tcPr>
            <w:tcW w:w="652" w:type="dxa"/>
            <w:vMerge/>
            <w:tcBorders>
              <w:top w:val="single" w:sz="4" w:space="0" w:color="000000"/>
              <w:left w:val="single" w:sz="4" w:space="0" w:color="000000"/>
              <w:bottom w:val="single" w:sz="4" w:space="0" w:color="000000"/>
              <w:right w:val="single" w:sz="4" w:space="0" w:color="000000"/>
            </w:tcBorders>
            <w:noWrap/>
            <w:vAlign w:val="center"/>
          </w:tcPr>
          <w:p/>
        </w:tc>
        <w:tc>
          <w:tcPr>
            <w:tcW w:w="3643" w:type="dxa"/>
            <w:gridSpan w:val="3"/>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rFonts w:ascii="宋体" w:cs="宋体" w:hint="eastAsia"/>
                <w:color w:val="000000"/>
                <w:sz w:val="24"/>
              </w:rPr>
            </w:pPr>
            <w:r>
              <w:rPr>
                <w:rFonts w:ascii="宋体" w:cs="宋体"/>
                <w:color w:val="000000"/>
                <w:kern w:val="0"/>
                <w:sz w:val="24"/>
              </w:rPr>
              <w:t>绩效分配方式</w:t>
            </w:r>
          </w:p>
        </w:tc>
        <w:tc>
          <w:tcPr>
            <w:tcW w:w="1127" w:type="dxa"/>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rFonts w:ascii="Wingdings 2" w:eastAsia="Wingdings 2" w:cs="Wingdings 2" w:hAnsi="Wingdings 2"/>
                <w:color w:val="000000"/>
                <w:sz w:val="24"/>
              </w:rPr>
            </w:pPr>
            <w:r>
              <w:rPr>
                <w:rFonts w:ascii="Wingdings 2" w:eastAsia="Wingdings 2" w:cs="Wingdings 2" w:hAnsi="Wingdings 2"/>
                <w:color w:val="000000"/>
                <w:kern w:val="0"/>
                <w:sz w:val="24"/>
              </w:rPr>
              <w:t></w:t>
            </w:r>
            <w:r>
              <w:rPr>
                <w:rFonts w:ascii="宋体" w:cs="宋体"/>
                <w:color w:val="000000"/>
                <w:kern w:val="0"/>
                <w:sz w:val="24"/>
              </w:rPr>
              <w:t>因素法</w:t>
            </w:r>
          </w:p>
        </w:tc>
        <w:tc>
          <w:tcPr>
            <w:tcW w:w="2032" w:type="dxa"/>
            <w:gridSpan w:val="2"/>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Wingdings 2" w:eastAsia="Wingdings 2" w:cs="Wingdings 2" w:hAnsi="Wingdings 2"/>
                <w:color w:val="000000"/>
                <w:sz w:val="24"/>
              </w:rPr>
            </w:pPr>
            <w:r>
              <w:rPr>
                <w:rFonts w:ascii="Wingdings 2" w:eastAsia="Wingdings 2" w:cs="Wingdings 2" w:hAnsi="Wingdings 2"/>
                <w:color w:val="000000"/>
                <w:kern w:val="0"/>
                <w:sz w:val="24"/>
              </w:rPr>
              <w:sym w:font="Wingdings 2" w:char="52"/>
            </w:r>
            <w:r>
              <w:rPr>
                <w:rFonts w:ascii="Wingdings 2" w:eastAsia="Wingdings 2" w:cs="Wingdings 2" w:hAnsi="Wingdings 2"/>
                <w:color w:val="000000"/>
                <w:kern w:val="0"/>
                <w:sz w:val="24"/>
              </w:rPr>
              <w:t>项目法</w:t>
            </w:r>
          </w:p>
        </w:tc>
        <w:tc>
          <w:tcPr>
            <w:tcW w:w="938" w:type="dxa"/>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Wingdings 2" w:eastAsia="Wingdings 2" w:cs="Wingdings 2" w:hAnsi="Wingdings 2"/>
                <w:color w:val="000000"/>
                <w:sz w:val="24"/>
              </w:rPr>
            </w:pPr>
            <w:r>
              <w:rPr>
                <w:rFonts w:ascii="Wingdings 2" w:eastAsia="Wingdings 2" w:cs="Wingdings 2" w:hAnsi="Wingdings 2"/>
                <w:color w:val="000000"/>
                <w:kern w:val="0"/>
                <w:sz w:val="24"/>
              </w:rPr>
              <w:t></w:t>
            </w:r>
            <w:r>
              <w:rPr>
                <w:rFonts w:ascii="宋体" w:cs="宋体"/>
                <w:color w:val="000000"/>
                <w:kern w:val="0"/>
                <w:sz w:val="24"/>
              </w:rPr>
              <w:t>据实据效</w:t>
            </w:r>
          </w:p>
        </w:tc>
        <w:tc>
          <w:tcPr>
            <w:tcW w:w="1841" w:type="dxa"/>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Wingdings 2" w:eastAsia="Wingdings 2" w:cs="Wingdings 2" w:hAnsi="Wingdings 2"/>
                <w:color w:val="000000"/>
                <w:sz w:val="24"/>
              </w:rPr>
            </w:pPr>
            <w:r>
              <w:rPr>
                <w:rFonts w:ascii="Wingdings 2" w:eastAsia="Wingdings 2" w:cs="Wingdings 2" w:hAnsi="Wingdings 2"/>
                <w:color w:val="000000"/>
                <w:kern w:val="0"/>
                <w:sz w:val="24"/>
              </w:rPr>
              <w:t></w:t>
            </w:r>
            <w:r>
              <w:rPr>
                <w:rFonts w:ascii="宋体" w:cs="宋体"/>
                <w:color w:val="000000"/>
                <w:kern w:val="0"/>
                <w:sz w:val="24"/>
              </w:rPr>
              <w:t>因素法与项目法相结合</w:t>
            </w:r>
          </w:p>
        </w:tc>
      </w:tr>
      <w:tr>
        <w:trPr>
          <w:trHeight w:val="23"/>
        </w:trPr>
        <w:tc>
          <w:tcPr>
            <w:tcW w:w="652" w:type="dxa"/>
            <w:vMerge/>
            <w:tcBorders>
              <w:top w:val="single" w:sz="4" w:space="0" w:color="000000"/>
              <w:left w:val="single" w:sz="4" w:space="0" w:color="000000"/>
              <w:bottom w:val="single" w:sz="4" w:space="0" w:color="000000"/>
              <w:right w:val="single" w:sz="4" w:space="0" w:color="000000"/>
            </w:tcBorders>
            <w:noWrap/>
            <w:vAlign w:val="center"/>
          </w:tcPr>
          <w:p/>
        </w:tc>
        <w:tc>
          <w:tcPr>
            <w:tcW w:w="3643" w:type="dxa"/>
            <w:gridSpan w:val="3"/>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rFonts w:ascii="宋体" w:cs="宋体" w:hint="eastAsia"/>
                <w:color w:val="000000"/>
                <w:sz w:val="24"/>
              </w:rPr>
            </w:pPr>
            <w:r>
              <w:rPr>
                <w:rFonts w:ascii="宋体" w:cs="宋体"/>
                <w:color w:val="000000"/>
                <w:kern w:val="0"/>
                <w:sz w:val="24"/>
              </w:rPr>
              <w:t>立项依据</w:t>
            </w:r>
          </w:p>
        </w:tc>
        <w:tc>
          <w:tcPr>
            <w:tcW w:w="5938" w:type="dxa"/>
            <w:gridSpan w:val="5"/>
            <w:tcBorders>
              <w:top w:val="single" w:sz="4" w:space="0" w:color="000000"/>
              <w:left w:val="single" w:sz="4" w:space="0" w:color="000000"/>
              <w:bottom w:val="single" w:sz="4" w:space="0" w:color="000000"/>
              <w:right w:val="single" w:sz="4" w:space="0" w:color="000000"/>
            </w:tcBorders>
            <w:noWrap/>
            <w:vAlign w:val="center"/>
          </w:tcPr>
          <w:p>
            <w:pPr>
              <w:spacing w:line="300" w:lineRule="exact"/>
              <w:jc w:val="left"/>
              <w:rPr>
                <w:rFonts w:ascii="宋体" w:cs="宋体" w:hint="eastAsia"/>
                <w:color w:val="000000"/>
                <w:sz w:val="24"/>
              </w:rPr>
            </w:pPr>
            <w:r>
              <w:rPr>
                <w:rFonts w:ascii="宋体" w:cs="宋体" w:hint="eastAsia"/>
                <w:color w:val="000000"/>
                <w:sz w:val="24"/>
              </w:rPr>
              <w:t>生均公用经费、家庭经济困难学生生活补助、营养改善计划、减免作业本费、教费、午餐费</w:t>
            </w:r>
          </w:p>
        </w:tc>
      </w:tr>
      <w:tr>
        <w:trPr>
          <w:trHeight w:val="23"/>
        </w:trPr>
        <w:tc>
          <w:tcPr>
            <w:tcW w:w="652" w:type="dxa"/>
            <w:vMerge/>
            <w:tcBorders>
              <w:top w:val="single" w:sz="4" w:space="0" w:color="000000"/>
              <w:left w:val="single" w:sz="4" w:space="0" w:color="000000"/>
              <w:bottom w:val="single" w:sz="4" w:space="0" w:color="000000"/>
              <w:right w:val="single" w:sz="4" w:space="0" w:color="000000"/>
            </w:tcBorders>
            <w:noWrap/>
            <w:vAlign w:val="center"/>
          </w:tcPr>
          <w:p/>
        </w:tc>
        <w:tc>
          <w:tcPr>
            <w:tcW w:w="3643" w:type="dxa"/>
            <w:gridSpan w:val="3"/>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rFonts w:ascii="宋体" w:cs="宋体" w:hint="eastAsia"/>
                <w:color w:val="000000"/>
                <w:sz w:val="24"/>
              </w:rPr>
            </w:pPr>
            <w:r>
              <w:rPr>
                <w:rFonts w:ascii="宋体" w:cs="宋体"/>
                <w:color w:val="000000"/>
                <w:kern w:val="0"/>
                <w:sz w:val="24"/>
              </w:rPr>
              <w:t>使用范围</w:t>
            </w:r>
          </w:p>
        </w:tc>
        <w:tc>
          <w:tcPr>
            <w:tcW w:w="5938" w:type="dxa"/>
            <w:gridSpan w:val="5"/>
            <w:tcBorders>
              <w:top w:val="single" w:sz="4" w:space="0" w:color="000000"/>
              <w:left w:val="single" w:sz="4" w:space="0" w:color="000000"/>
              <w:bottom w:val="single" w:sz="4" w:space="0" w:color="000000"/>
              <w:right w:val="single" w:sz="4" w:space="0" w:color="000000"/>
            </w:tcBorders>
            <w:noWrap/>
            <w:vAlign w:val="center"/>
          </w:tcPr>
          <w:p>
            <w:pPr>
              <w:spacing w:line="300" w:lineRule="exact"/>
              <w:jc w:val="left"/>
              <w:rPr>
                <w:rFonts w:ascii="宋体" w:cs="宋体" w:hint="eastAsia"/>
                <w:color w:val="000000"/>
                <w:sz w:val="24"/>
              </w:rPr>
            </w:pPr>
            <w:r>
              <w:rPr>
                <w:rFonts w:ascii="宋体" w:cs="宋体" w:hint="eastAsia"/>
                <w:color w:val="000000"/>
                <w:sz w:val="24"/>
              </w:rPr>
              <w:t>十五年免费教育专项资金</w:t>
            </w:r>
          </w:p>
        </w:tc>
      </w:tr>
      <w:tr>
        <w:trPr>
          <w:trHeight w:val="23"/>
        </w:trPr>
        <w:tc>
          <w:tcPr>
            <w:tcW w:w="652" w:type="dxa"/>
            <w:vMerge/>
            <w:tcBorders>
              <w:top w:val="single" w:sz="4" w:space="0" w:color="000000"/>
              <w:left w:val="single" w:sz="4" w:space="0" w:color="000000"/>
              <w:bottom w:val="single" w:sz="4" w:space="0" w:color="000000"/>
              <w:right w:val="single" w:sz="4" w:space="0" w:color="000000"/>
            </w:tcBorders>
            <w:noWrap/>
            <w:vAlign w:val="center"/>
          </w:tcPr>
          <w:p/>
        </w:tc>
        <w:tc>
          <w:tcPr>
            <w:tcW w:w="3643" w:type="dxa"/>
            <w:gridSpan w:val="3"/>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rFonts w:ascii="宋体" w:cs="宋体" w:hint="eastAsia"/>
                <w:color w:val="000000"/>
                <w:sz w:val="24"/>
              </w:rPr>
            </w:pPr>
            <w:r>
              <w:rPr>
                <w:rFonts w:ascii="宋体" w:cs="宋体"/>
                <w:color w:val="000000"/>
                <w:kern w:val="0"/>
                <w:sz w:val="24"/>
              </w:rPr>
              <w:t>申报（补助）条件</w:t>
            </w:r>
          </w:p>
        </w:tc>
        <w:tc>
          <w:tcPr>
            <w:tcW w:w="5938" w:type="dxa"/>
            <w:gridSpan w:val="5"/>
            <w:tcBorders>
              <w:top w:val="single" w:sz="4" w:space="0" w:color="000000"/>
              <w:left w:val="single" w:sz="4" w:space="0" w:color="000000"/>
              <w:bottom w:val="single" w:sz="4" w:space="0" w:color="000000"/>
              <w:right w:val="single" w:sz="4" w:space="0" w:color="000000"/>
            </w:tcBorders>
            <w:noWrap/>
            <w:vAlign w:val="center"/>
          </w:tcPr>
          <w:p>
            <w:pPr>
              <w:spacing w:line="300" w:lineRule="exact"/>
              <w:jc w:val="left"/>
              <w:rPr>
                <w:rFonts w:ascii="宋体" w:cs="宋体" w:hint="eastAsia"/>
                <w:color w:val="000000"/>
                <w:sz w:val="24"/>
              </w:rPr>
            </w:pPr>
            <w:r>
              <w:rPr>
                <w:rFonts w:ascii="宋体" w:cs="宋体" w:hint="eastAsia"/>
                <w:color w:val="000000"/>
                <w:sz w:val="24"/>
              </w:rPr>
              <w:t>义务教育</w:t>
            </w:r>
          </w:p>
        </w:tc>
      </w:tr>
      <w:tr>
        <w:trPr>
          <w:trHeight w:val="23"/>
        </w:trPr>
        <w:tc>
          <w:tcPr>
            <w:tcW w:w="652" w:type="dxa"/>
            <w:vMerge/>
            <w:tcBorders>
              <w:top w:val="single" w:sz="4" w:space="0" w:color="000000"/>
              <w:left w:val="single" w:sz="4" w:space="0" w:color="000000"/>
              <w:bottom w:val="single" w:sz="4" w:space="0" w:color="000000"/>
              <w:right w:val="single" w:sz="4" w:space="0" w:color="000000"/>
            </w:tcBorders>
            <w:noWrap/>
            <w:vAlign w:val="center"/>
          </w:tcPr>
          <w:p/>
        </w:tc>
        <w:tc>
          <w:tcPr>
            <w:tcW w:w="3643" w:type="dxa"/>
            <w:gridSpan w:val="3"/>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rFonts w:ascii="宋体" w:cs="宋体" w:hint="eastAsia"/>
                <w:color w:val="000000"/>
                <w:sz w:val="24"/>
              </w:rPr>
            </w:pPr>
            <w:r>
              <w:rPr>
                <w:rFonts w:ascii="宋体" w:cs="宋体"/>
                <w:color w:val="000000"/>
                <w:kern w:val="0"/>
                <w:sz w:val="24"/>
              </w:rPr>
              <w:t>项目起止年限</w:t>
            </w:r>
          </w:p>
        </w:tc>
        <w:tc>
          <w:tcPr>
            <w:tcW w:w="5938" w:type="dxa"/>
            <w:gridSpan w:val="5"/>
            <w:tcBorders>
              <w:top w:val="single" w:sz="4" w:space="0" w:color="000000"/>
              <w:left w:val="single" w:sz="4" w:space="0" w:color="000000"/>
              <w:bottom w:val="single" w:sz="4" w:space="0" w:color="000000"/>
              <w:right w:val="single" w:sz="4" w:space="0" w:color="000000"/>
            </w:tcBorders>
            <w:noWrap/>
            <w:vAlign w:val="center"/>
          </w:tcPr>
          <w:p>
            <w:pPr>
              <w:spacing w:line="300" w:lineRule="exact"/>
              <w:rPr>
                <w:rFonts w:ascii="宋体" w:cs="宋体" w:hint="eastAsia"/>
                <w:color w:val="000000"/>
                <w:sz w:val="24"/>
              </w:rPr>
            </w:pPr>
            <w:r>
              <w:rPr>
                <w:rFonts w:ascii="宋体" w:cs="宋体" w:hint="eastAsia"/>
                <w:color w:val="000000"/>
                <w:sz w:val="24"/>
              </w:rPr>
              <w:t>2025年</w:t>
            </w:r>
          </w:p>
        </w:tc>
      </w:tr>
      <w:tr>
        <w:trPr>
          <w:trHeight w:val="23"/>
        </w:trPr>
        <w:tc>
          <w:tcPr>
            <w:tcW w:w="1733" w:type="dxa"/>
            <w:gridSpan w:val="2"/>
            <w:vMerge w:val="restart"/>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hint="eastAsia"/>
                <w:color w:val="000000"/>
                <w:kern w:val="0"/>
                <w:sz w:val="24"/>
              </w:rPr>
            </w:pPr>
            <w:r>
              <w:rPr>
                <w:rFonts w:ascii="宋体" w:cs="宋体"/>
                <w:color w:val="000000"/>
                <w:kern w:val="0"/>
                <w:sz w:val="24"/>
              </w:rPr>
              <w:t>项目资金</w:t>
            </w:r>
          </w:p>
          <w:p>
            <w:pPr>
              <w:widowControl/>
              <w:spacing w:line="300" w:lineRule="exact"/>
              <w:jc w:val="center"/>
              <w:textAlignment w:val="center"/>
              <w:rPr>
                <w:rFonts w:ascii="宋体" w:cs="宋体" w:hint="eastAsia"/>
                <w:color w:val="000000"/>
                <w:sz w:val="24"/>
              </w:rPr>
            </w:pPr>
            <w:r>
              <w:rPr>
                <w:rFonts w:ascii="宋体" w:cs="宋体"/>
                <w:color w:val="000000"/>
                <w:kern w:val="0"/>
                <w:sz w:val="24"/>
              </w:rPr>
              <w:t>（万元）</w:t>
            </w:r>
          </w:p>
        </w:tc>
        <w:tc>
          <w:tcPr>
            <w:tcW w:w="2562" w:type="dxa"/>
            <w:gridSpan w:val="2"/>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rFonts w:ascii="宋体" w:cs="宋体" w:hint="eastAsia"/>
                <w:color w:val="000000"/>
                <w:sz w:val="24"/>
              </w:rPr>
            </w:pPr>
            <w:r>
              <w:rPr>
                <w:rFonts w:ascii="宋体" w:cs="宋体"/>
                <w:color w:val="000000"/>
                <w:kern w:val="0"/>
                <w:sz w:val="24"/>
              </w:rPr>
              <w:t xml:space="preserve">  年度资金总额：</w:t>
            </w:r>
          </w:p>
        </w:tc>
        <w:tc>
          <w:tcPr>
            <w:tcW w:w="5938" w:type="dxa"/>
            <w:gridSpan w:val="5"/>
            <w:tcBorders>
              <w:top w:val="single" w:sz="4" w:space="0" w:color="000000"/>
              <w:left w:val="single" w:sz="4" w:space="0" w:color="000000"/>
              <w:bottom w:val="single" w:sz="4" w:space="0" w:color="000000"/>
              <w:right w:val="single" w:sz="4" w:space="0" w:color="000000"/>
            </w:tcBorders>
            <w:noWrap/>
            <w:vAlign w:val="center"/>
          </w:tcPr>
          <w:p>
            <w:pPr>
              <w:spacing w:line="300" w:lineRule="exact"/>
              <w:jc w:val="right"/>
              <w:rPr>
                <w:rFonts w:ascii="宋体" w:cs="宋体" w:hint="eastAsia"/>
                <w:color w:val="000000"/>
                <w:sz w:val="24"/>
              </w:rPr>
            </w:pPr>
            <w:r>
              <w:rPr>
                <w:rFonts w:ascii="宋体" w:cs="宋体" w:hint="eastAsia"/>
                <w:color w:val="000000"/>
                <w:sz w:val="24"/>
              </w:rPr>
              <w:t>117.74</w:t>
            </w:r>
          </w:p>
        </w:tc>
      </w:tr>
      <w:tr>
        <w:trPr>
          <w:trHeight w:val="23"/>
        </w:trPr>
        <w:tc>
          <w:tcPr>
            <w:tcW w:w="1733" w:type="dxa"/>
            <w:gridSpan w:val="2"/>
            <w:vMerge/>
            <w:tcBorders>
              <w:top w:val="single" w:sz="4" w:space="0" w:color="000000"/>
              <w:left w:val="single" w:sz="4" w:space="0" w:color="000000"/>
              <w:bottom w:val="single" w:sz="4" w:space="0" w:color="000000"/>
              <w:right w:val="single" w:sz="4" w:space="0" w:color="000000"/>
            </w:tcBorders>
            <w:noWrap/>
            <w:vAlign w:val="center"/>
          </w:tcPr>
          <w:p/>
        </w:tc>
        <w:tc>
          <w:tcPr>
            <w:tcW w:w="2562" w:type="dxa"/>
            <w:gridSpan w:val="2"/>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rFonts w:ascii="宋体" w:cs="宋体" w:hint="eastAsia"/>
                <w:color w:val="000000"/>
                <w:sz w:val="24"/>
              </w:rPr>
            </w:pPr>
            <w:r>
              <w:rPr>
                <w:rFonts w:ascii="宋体" w:cs="宋体"/>
                <w:color w:val="000000"/>
                <w:kern w:val="0"/>
                <w:sz w:val="24"/>
              </w:rPr>
              <w:t xml:space="preserve">     </w:t>
            </w:r>
            <w:r>
              <w:rPr>
                <w:rFonts w:ascii="宋体" w:cs="宋体" w:hint="eastAsia"/>
                <w:color w:val="000000"/>
                <w:kern w:val="0"/>
                <w:sz w:val="24"/>
              </w:rPr>
              <w:t xml:space="preserve"> </w:t>
            </w:r>
            <w:r>
              <w:rPr>
                <w:rFonts w:ascii="宋体" w:cs="宋体"/>
                <w:color w:val="000000"/>
                <w:kern w:val="0"/>
                <w:sz w:val="24"/>
              </w:rPr>
              <w:t>其中：财政拨款</w:t>
            </w:r>
          </w:p>
        </w:tc>
        <w:tc>
          <w:tcPr>
            <w:tcW w:w="5938" w:type="dxa"/>
            <w:gridSpan w:val="5"/>
            <w:tcBorders>
              <w:top w:val="single" w:sz="4" w:space="0" w:color="000000"/>
              <w:left w:val="single" w:sz="4" w:space="0" w:color="000000"/>
              <w:bottom w:val="single" w:sz="4" w:space="0" w:color="000000"/>
              <w:right w:val="single" w:sz="4" w:space="0" w:color="000000"/>
            </w:tcBorders>
            <w:noWrap/>
            <w:vAlign w:val="center"/>
          </w:tcPr>
          <w:p>
            <w:pPr>
              <w:spacing w:line="300" w:lineRule="exact"/>
              <w:jc w:val="right"/>
              <w:rPr>
                <w:rFonts w:ascii="宋体" w:cs="宋体" w:hint="eastAsia"/>
                <w:color w:val="000000"/>
                <w:sz w:val="24"/>
              </w:rPr>
            </w:pPr>
            <w:r>
              <w:rPr>
                <w:rFonts w:ascii="宋体" w:cs="宋体" w:hint="eastAsia"/>
                <w:color w:val="000000"/>
                <w:sz w:val="24"/>
              </w:rPr>
              <w:t>111.79</w:t>
            </w:r>
          </w:p>
        </w:tc>
      </w:tr>
      <w:tr>
        <w:trPr>
          <w:trHeight w:val="23"/>
        </w:trPr>
        <w:tc>
          <w:tcPr>
            <w:tcW w:w="1733" w:type="dxa"/>
            <w:gridSpan w:val="2"/>
            <w:vMerge/>
            <w:tcBorders>
              <w:top w:val="single" w:sz="4" w:space="0" w:color="000000"/>
              <w:left w:val="single" w:sz="4" w:space="0" w:color="000000"/>
              <w:bottom w:val="single" w:sz="4" w:space="0" w:color="000000"/>
              <w:right w:val="single" w:sz="4" w:space="0" w:color="000000"/>
            </w:tcBorders>
            <w:noWrap/>
            <w:vAlign w:val="center"/>
          </w:tcPr>
          <w:p/>
        </w:tc>
        <w:tc>
          <w:tcPr>
            <w:tcW w:w="2562" w:type="dxa"/>
            <w:gridSpan w:val="2"/>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rFonts w:ascii="宋体" w:cs="宋体" w:hint="eastAsia"/>
                <w:color w:val="000000"/>
                <w:sz w:val="24"/>
              </w:rPr>
            </w:pPr>
            <w:r>
              <w:rPr>
                <w:rFonts w:ascii="宋体" w:cs="宋体"/>
                <w:color w:val="000000"/>
                <w:kern w:val="0"/>
                <w:sz w:val="24"/>
              </w:rPr>
              <w:t xml:space="preserve">            其他资金</w:t>
            </w:r>
          </w:p>
        </w:tc>
        <w:tc>
          <w:tcPr>
            <w:tcW w:w="5938" w:type="dxa"/>
            <w:gridSpan w:val="5"/>
            <w:tcBorders>
              <w:top w:val="single" w:sz="4" w:space="0" w:color="000000"/>
              <w:left w:val="single" w:sz="4" w:space="0" w:color="000000"/>
              <w:bottom w:val="single" w:sz="4" w:space="0" w:color="000000"/>
              <w:right w:val="single" w:sz="4" w:space="0" w:color="000000"/>
            </w:tcBorders>
            <w:noWrap/>
            <w:vAlign w:val="center"/>
          </w:tcPr>
          <w:p>
            <w:pPr>
              <w:spacing w:line="300" w:lineRule="exact"/>
              <w:jc w:val="right"/>
              <w:rPr>
                <w:rFonts w:ascii="宋体" w:cs="宋体" w:hint="eastAsia"/>
                <w:color w:val="000000"/>
                <w:sz w:val="24"/>
              </w:rPr>
            </w:pPr>
            <w:r>
              <w:rPr>
                <w:rFonts w:ascii="宋体" w:cs="宋体" w:hint="eastAsia"/>
                <w:color w:val="000000"/>
                <w:sz w:val="24"/>
              </w:rPr>
              <w:t>0</w:t>
            </w:r>
          </w:p>
        </w:tc>
      </w:tr>
      <w:tr>
        <w:trPr>
          <w:trHeight w:val="23"/>
        </w:trPr>
        <w:tc>
          <w:tcPr>
            <w:tcW w:w="652" w:type="dxa"/>
            <w:vMerge w:val="restart"/>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hint="eastAsia"/>
                <w:color w:val="000000"/>
                <w:sz w:val="24"/>
              </w:rPr>
            </w:pPr>
            <w:r>
              <w:rPr>
                <w:rFonts w:ascii="宋体" w:cs="宋体"/>
                <w:color w:val="000000"/>
                <w:kern w:val="0"/>
                <w:sz w:val="24"/>
              </w:rPr>
              <w:t>总体 目标</w:t>
            </w:r>
          </w:p>
        </w:tc>
        <w:tc>
          <w:tcPr>
            <w:tcW w:w="9581" w:type="dxa"/>
            <w:gridSpan w:val="8"/>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hint="eastAsia"/>
                <w:color w:val="000000"/>
                <w:sz w:val="24"/>
              </w:rPr>
            </w:pPr>
            <w:r>
              <w:rPr>
                <w:rFonts w:ascii="宋体" w:cs="宋体"/>
                <w:color w:val="000000"/>
                <w:kern w:val="0"/>
                <w:sz w:val="24"/>
              </w:rPr>
              <w:t>年度目标</w:t>
            </w:r>
          </w:p>
        </w:tc>
      </w:tr>
      <w:tr>
        <w:trPr>
          <w:trHeight w:val="23"/>
        </w:trPr>
        <w:tc>
          <w:tcPr>
            <w:tcW w:w="652" w:type="dxa"/>
            <w:vMerge/>
            <w:tcBorders>
              <w:top w:val="single" w:sz="4" w:space="0" w:color="000000"/>
              <w:left w:val="single" w:sz="4" w:space="0" w:color="000000"/>
              <w:bottom w:val="single" w:sz="4" w:space="0" w:color="000000"/>
              <w:right w:val="single" w:sz="4" w:space="0" w:color="000000"/>
            </w:tcBorders>
            <w:noWrap/>
            <w:vAlign w:val="center"/>
          </w:tcPr>
          <w:p/>
        </w:tc>
        <w:tc>
          <w:tcPr>
            <w:tcW w:w="9581" w:type="dxa"/>
            <w:gridSpan w:val="8"/>
            <w:tcBorders>
              <w:top w:val="single" w:sz="4" w:space="0" w:color="000000"/>
              <w:left w:val="single" w:sz="4" w:space="0" w:color="000000"/>
              <w:bottom w:val="single" w:sz="4" w:space="0" w:color="000000"/>
              <w:right w:val="single" w:sz="4" w:space="0" w:color="000000"/>
            </w:tcBorders>
            <w:noWrap/>
            <w:vAlign w:val="center"/>
          </w:tcPr>
          <w:p>
            <w:pPr>
              <w:spacing w:line="300" w:lineRule="exact"/>
              <w:rPr>
                <w:rFonts w:ascii="宋体" w:cs="宋体" w:hint="eastAsia"/>
                <w:color w:val="000000"/>
                <w:sz w:val="24"/>
              </w:rPr>
            </w:pPr>
            <w:r>
              <w:rPr>
                <w:rFonts w:ascii="宋体" w:cs="宋体" w:hint="eastAsia"/>
                <w:color w:val="000000"/>
                <w:sz w:val="24"/>
              </w:rPr>
              <w:t>深入开展教育教学实践研究，有效推进教育教学改革，全面提升教育教学质量。</w:t>
            </w:r>
          </w:p>
        </w:tc>
      </w:tr>
      <w:tr>
        <w:trPr>
          <w:trHeight w:val="23"/>
        </w:trPr>
        <w:tc>
          <w:tcPr>
            <w:tcW w:w="652" w:type="dxa"/>
            <w:vMerge w:val="restart"/>
            <w:tcBorders>
              <w:top w:val="single" w:sz="4" w:space="0" w:color="000000"/>
              <w:left w:val="single" w:sz="4" w:space="0" w:color="000000"/>
              <w:bottom w:val="single" w:sz="4" w:space="0" w:color="000000"/>
            </w:tcBorders>
            <w:noWrap/>
            <w:vAlign w:val="center"/>
          </w:tcPr>
          <w:p>
            <w:pPr>
              <w:widowControl/>
              <w:spacing w:line="300" w:lineRule="exact"/>
              <w:jc w:val="center"/>
              <w:textAlignment w:val="center"/>
              <w:rPr>
                <w:rFonts w:ascii="宋体" w:cs="宋体" w:hint="eastAsia"/>
                <w:color w:val="000000"/>
                <w:sz w:val="24"/>
              </w:rPr>
            </w:pPr>
            <w:r>
              <w:rPr>
                <w:rFonts w:ascii="宋体" w:cs="宋体"/>
                <w:color w:val="000000"/>
                <w:kern w:val="0"/>
                <w:sz w:val="24"/>
              </w:rPr>
              <w:t>绩效 指标</w:t>
            </w:r>
          </w:p>
        </w:tc>
        <w:tc>
          <w:tcPr>
            <w:tcW w:w="1081" w:type="dxa"/>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hint="eastAsia"/>
                <w:color w:val="000000"/>
                <w:sz w:val="24"/>
              </w:rPr>
            </w:pPr>
            <w:r>
              <w:rPr>
                <w:rFonts w:ascii="宋体" w:cs="宋体"/>
                <w:color w:val="000000"/>
                <w:kern w:val="0"/>
                <w:sz w:val="24"/>
              </w:rPr>
              <w:t>一级指标</w:t>
            </w:r>
          </w:p>
        </w:tc>
        <w:tc>
          <w:tcPr>
            <w:tcW w:w="1250" w:type="dxa"/>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hint="eastAsia"/>
                <w:color w:val="000000"/>
                <w:sz w:val="24"/>
              </w:rPr>
            </w:pPr>
            <w:r>
              <w:rPr>
                <w:rFonts w:ascii="宋体" w:cs="宋体"/>
                <w:color w:val="000000"/>
                <w:kern w:val="0"/>
                <w:sz w:val="24"/>
              </w:rPr>
              <w:t>二级指标</w:t>
            </w:r>
          </w:p>
        </w:tc>
        <w:tc>
          <w:tcPr>
            <w:tcW w:w="1312" w:type="dxa"/>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hint="eastAsia"/>
                <w:color w:val="000000"/>
                <w:sz w:val="24"/>
              </w:rPr>
            </w:pPr>
            <w:r>
              <w:rPr>
                <w:rFonts w:ascii="宋体" w:cs="宋体"/>
                <w:color w:val="000000"/>
                <w:kern w:val="0"/>
                <w:sz w:val="24"/>
              </w:rPr>
              <w:t>三级指标</w:t>
            </w:r>
          </w:p>
        </w:tc>
        <w:tc>
          <w:tcPr>
            <w:tcW w:w="1127" w:type="dxa"/>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hint="eastAsia"/>
                <w:color w:val="000000"/>
                <w:sz w:val="24"/>
              </w:rPr>
            </w:pPr>
            <w:r>
              <w:rPr>
                <w:rFonts w:ascii="宋体" w:cs="宋体"/>
                <w:color w:val="000000"/>
                <w:kern w:val="0"/>
                <w:sz w:val="24"/>
              </w:rPr>
              <w:t>指标性质</w:t>
            </w:r>
          </w:p>
        </w:tc>
        <w:tc>
          <w:tcPr>
            <w:tcW w:w="971" w:type="dxa"/>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hint="eastAsia"/>
                <w:color w:val="000000"/>
                <w:sz w:val="24"/>
              </w:rPr>
            </w:pPr>
            <w:r>
              <w:rPr>
                <w:rFonts w:ascii="宋体" w:cs="宋体"/>
                <w:color w:val="000000"/>
                <w:kern w:val="0"/>
                <w:sz w:val="24"/>
              </w:rPr>
              <w:t>指标值</w:t>
            </w:r>
          </w:p>
        </w:tc>
        <w:tc>
          <w:tcPr>
            <w:tcW w:w="1061" w:type="dxa"/>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hint="eastAsia"/>
                <w:color w:val="000000"/>
                <w:sz w:val="24"/>
              </w:rPr>
            </w:pPr>
            <w:r>
              <w:rPr>
                <w:rFonts w:ascii="宋体" w:cs="宋体"/>
                <w:color w:val="000000"/>
                <w:kern w:val="0"/>
                <w:sz w:val="24"/>
              </w:rPr>
              <w:t>度量单位</w:t>
            </w:r>
          </w:p>
        </w:tc>
        <w:tc>
          <w:tcPr>
            <w:tcW w:w="938" w:type="dxa"/>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hint="eastAsia"/>
                <w:color w:val="000000"/>
                <w:sz w:val="24"/>
              </w:rPr>
            </w:pPr>
            <w:r>
              <w:rPr>
                <w:rFonts w:ascii="宋体" w:cs="宋体"/>
                <w:color w:val="000000"/>
                <w:kern w:val="0"/>
                <w:sz w:val="24"/>
              </w:rPr>
              <w:t>权重</w:t>
            </w:r>
          </w:p>
        </w:tc>
        <w:tc>
          <w:tcPr>
            <w:tcW w:w="1841" w:type="dxa"/>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hint="eastAsia"/>
                <w:color w:val="000000"/>
                <w:sz w:val="24"/>
              </w:rPr>
            </w:pPr>
            <w:r>
              <w:rPr>
                <w:rFonts w:ascii="宋体" w:cs="宋体"/>
                <w:color w:val="000000"/>
                <w:kern w:val="0"/>
                <w:sz w:val="24"/>
              </w:rPr>
              <w:t>实际完成指标值</w:t>
            </w:r>
          </w:p>
        </w:tc>
      </w:tr>
      <w:tr>
        <w:trPr>
          <w:trHeight w:val="23"/>
        </w:trPr>
        <w:tc>
          <w:tcPr>
            <w:tcW w:w="652" w:type="dxa"/>
            <w:vMerge/>
            <w:tcBorders>
              <w:top w:val="single" w:sz="4" w:space="0" w:color="000000"/>
              <w:left w:val="single" w:sz="4" w:space="0" w:color="000000"/>
              <w:bottom w:val="single" w:sz="4" w:space="0" w:color="000000"/>
            </w:tcBorders>
            <w:noWrap/>
            <w:vAlign w:val="center"/>
          </w:tcPr>
          <w:p/>
        </w:tc>
        <w:tc>
          <w:tcPr>
            <w:tcW w:w="1081" w:type="dxa"/>
            <w:vMerge w:val="restart"/>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hint="eastAsia"/>
                <w:color w:val="000000"/>
                <w:sz w:val="24"/>
              </w:rPr>
            </w:pPr>
            <w:r>
              <w:rPr>
                <w:rFonts w:ascii="宋体" w:cs="宋体"/>
                <w:color w:val="000000"/>
                <w:kern w:val="0"/>
                <w:sz w:val="24"/>
              </w:rPr>
              <w:t>产出指标</w:t>
            </w:r>
          </w:p>
        </w:tc>
        <w:tc>
          <w:tcPr>
            <w:tcW w:w="1250" w:type="dxa"/>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hint="eastAsia"/>
                <w:color w:val="000000"/>
                <w:sz w:val="24"/>
              </w:rPr>
            </w:pPr>
            <w:r>
              <w:rPr>
                <w:rFonts w:ascii="宋体" w:cs="宋体"/>
                <w:color w:val="000000"/>
                <w:kern w:val="0"/>
                <w:sz w:val="24"/>
              </w:rPr>
              <w:t>数量指标</w:t>
            </w:r>
          </w:p>
        </w:tc>
        <w:tc>
          <w:tcPr>
            <w:tcW w:w="1312"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rPr>
                <w:rFonts w:ascii="宋体" w:cs="宋体" w:hint="eastAsia"/>
                <w:color w:val="000000"/>
                <w:sz w:val="24"/>
              </w:rPr>
            </w:pPr>
            <w:r>
              <w:rPr>
                <w:rFonts w:ascii="宋体" w:cs="宋体" w:hint="eastAsia"/>
                <w:color w:val="000000"/>
                <w:sz w:val="24"/>
              </w:rPr>
              <w:t>全体学生</w:t>
            </w:r>
          </w:p>
        </w:tc>
        <w:tc>
          <w:tcPr>
            <w:tcW w:w="1127"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r>
              <w:rPr>
                <w:rFonts w:ascii="宋体" w:cs="宋体" w:hint="eastAsia"/>
                <w:color w:val="000000"/>
                <w:sz w:val="24"/>
              </w:rPr>
              <w:t>≦</w:t>
            </w:r>
          </w:p>
        </w:tc>
        <w:tc>
          <w:tcPr>
            <w:tcW w:w="971"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r>
              <w:rPr>
                <w:rFonts w:ascii="宋体" w:cs="宋体" w:hint="eastAsia"/>
                <w:color w:val="000000"/>
                <w:sz w:val="24"/>
              </w:rPr>
              <w:t>354</w:t>
            </w:r>
          </w:p>
        </w:tc>
        <w:tc>
          <w:tcPr>
            <w:tcW w:w="1061"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r>
              <w:rPr>
                <w:rFonts w:ascii="宋体" w:cs="宋体" w:hint="eastAsia"/>
                <w:color w:val="000000"/>
                <w:sz w:val="24"/>
              </w:rPr>
              <w:t>人</w:t>
            </w:r>
          </w:p>
        </w:tc>
        <w:tc>
          <w:tcPr>
            <w:tcW w:w="938"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r>
              <w:rPr>
                <w:rFonts w:ascii="宋体" w:cs="宋体" w:hint="eastAsia"/>
                <w:color w:val="000000"/>
                <w:sz w:val="24"/>
              </w:rPr>
              <w:t>20%</w:t>
            </w:r>
          </w:p>
        </w:tc>
        <w:tc>
          <w:tcPr>
            <w:tcW w:w="1841"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r>
              <w:rPr>
                <w:rFonts w:ascii="宋体" w:cs="宋体" w:hint="eastAsia"/>
                <w:color w:val="000000"/>
                <w:sz w:val="24"/>
              </w:rPr>
              <w:t>354</w:t>
            </w:r>
          </w:p>
        </w:tc>
      </w:tr>
      <w:tr>
        <w:trPr>
          <w:trHeight w:val="23"/>
        </w:trPr>
        <w:tc>
          <w:tcPr>
            <w:tcW w:w="652" w:type="dxa"/>
            <w:vMerge/>
            <w:tcBorders>
              <w:top w:val="single" w:sz="4" w:space="0" w:color="000000"/>
              <w:left w:val="single" w:sz="4" w:space="0" w:color="000000"/>
              <w:bottom w:val="single" w:sz="4" w:space="0" w:color="000000"/>
            </w:tcBorders>
            <w:noWrap/>
            <w:vAlign w:val="center"/>
          </w:tcPr>
          <w:p/>
        </w:tc>
        <w:tc>
          <w:tcPr>
            <w:tcW w:w="1081" w:type="dxa"/>
            <w:vMerge/>
            <w:tcBorders>
              <w:top w:val="single" w:sz="4" w:space="0" w:color="000000"/>
              <w:left w:val="single" w:sz="4" w:space="0" w:color="000000"/>
              <w:bottom w:val="single" w:sz="4" w:space="0" w:color="000000"/>
              <w:right w:val="single" w:sz="4" w:space="0" w:color="000000"/>
            </w:tcBorders>
            <w:noWrap/>
            <w:vAlign w:val="center"/>
          </w:tcPr>
          <w:p/>
        </w:tc>
        <w:tc>
          <w:tcPr>
            <w:tcW w:w="1250" w:type="dxa"/>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hint="eastAsia"/>
                <w:color w:val="000000"/>
                <w:sz w:val="24"/>
              </w:rPr>
            </w:pPr>
            <w:r>
              <w:rPr>
                <w:rFonts w:ascii="宋体" w:cs="宋体"/>
                <w:color w:val="000000"/>
                <w:kern w:val="0"/>
                <w:sz w:val="24"/>
              </w:rPr>
              <w:t>质量指标</w:t>
            </w:r>
          </w:p>
        </w:tc>
        <w:tc>
          <w:tcPr>
            <w:tcW w:w="1312"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rPr>
                <w:rFonts w:ascii="宋体" w:cs="宋体" w:hint="eastAsia"/>
                <w:color w:val="000000"/>
                <w:sz w:val="24"/>
              </w:rPr>
            </w:pPr>
            <w:r>
              <w:rPr>
                <w:rFonts w:ascii="宋体" w:cs="宋体" w:hint="eastAsia"/>
                <w:color w:val="000000"/>
                <w:sz w:val="24"/>
              </w:rPr>
              <w:t>补助覆盖率率</w:t>
            </w:r>
          </w:p>
        </w:tc>
        <w:tc>
          <w:tcPr>
            <w:tcW w:w="1127"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r>
              <w:rPr>
                <w:rFonts w:ascii="宋体" w:cs="宋体" w:hint="eastAsia"/>
                <w:color w:val="000000"/>
                <w:sz w:val="24"/>
              </w:rPr>
              <w:t>≥</w:t>
            </w:r>
          </w:p>
        </w:tc>
        <w:tc>
          <w:tcPr>
            <w:tcW w:w="971"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r>
              <w:rPr>
                <w:rFonts w:ascii="宋体" w:cs="宋体" w:hint="eastAsia"/>
                <w:color w:val="000000"/>
                <w:sz w:val="24"/>
              </w:rPr>
              <w:t>98</w:t>
            </w:r>
          </w:p>
        </w:tc>
        <w:tc>
          <w:tcPr>
            <w:tcW w:w="1061"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r>
              <w:rPr>
                <w:rFonts w:ascii="宋体" w:cs="宋体" w:hint="eastAsia"/>
                <w:color w:val="000000"/>
                <w:sz w:val="24"/>
              </w:rPr>
              <w:t>%</w:t>
            </w:r>
          </w:p>
        </w:tc>
        <w:tc>
          <w:tcPr>
            <w:tcW w:w="938"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r>
              <w:rPr>
                <w:rFonts w:ascii="宋体" w:cs="宋体" w:hint="eastAsia"/>
                <w:color w:val="000000"/>
                <w:sz w:val="24"/>
              </w:rPr>
              <w:t>10%</w:t>
            </w:r>
          </w:p>
        </w:tc>
        <w:tc>
          <w:tcPr>
            <w:tcW w:w="1841"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r>
              <w:rPr>
                <w:rFonts w:ascii="宋体" w:cs="宋体" w:hint="eastAsia"/>
                <w:color w:val="000000"/>
                <w:sz w:val="24"/>
              </w:rPr>
              <w:t>98%</w:t>
            </w:r>
          </w:p>
        </w:tc>
      </w:tr>
      <w:tr>
        <w:trPr>
          <w:trHeight w:val="329"/>
        </w:trPr>
        <w:tc>
          <w:tcPr>
            <w:tcW w:w="652" w:type="dxa"/>
            <w:vMerge/>
            <w:tcBorders>
              <w:top w:val="single" w:sz="4" w:space="0" w:color="000000"/>
              <w:left w:val="single" w:sz="4" w:space="0" w:color="000000"/>
              <w:bottom w:val="single" w:sz="4" w:space="0" w:color="000000"/>
            </w:tcBorders>
            <w:noWrap/>
            <w:vAlign w:val="center"/>
          </w:tcPr>
          <w:p/>
        </w:tc>
        <w:tc>
          <w:tcPr>
            <w:tcW w:w="1081" w:type="dxa"/>
            <w:vMerge/>
            <w:tcBorders>
              <w:top w:val="single" w:sz="4" w:space="0" w:color="000000"/>
              <w:left w:val="single" w:sz="4" w:space="0" w:color="000000"/>
              <w:bottom w:val="single" w:sz="4" w:space="0" w:color="000000"/>
              <w:right w:val="single" w:sz="4" w:space="0" w:color="000000"/>
            </w:tcBorders>
            <w:noWrap/>
            <w:vAlign w:val="center"/>
          </w:tcPr>
          <w:p/>
        </w:tc>
        <w:tc>
          <w:tcPr>
            <w:tcW w:w="1250" w:type="dxa"/>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hint="eastAsia"/>
                <w:color w:val="000000"/>
                <w:sz w:val="24"/>
              </w:rPr>
            </w:pPr>
            <w:r>
              <w:rPr>
                <w:rFonts w:ascii="宋体" w:cs="宋体"/>
                <w:color w:val="000000"/>
                <w:kern w:val="0"/>
                <w:sz w:val="24"/>
              </w:rPr>
              <w:t>时效指标</w:t>
            </w:r>
          </w:p>
        </w:tc>
        <w:tc>
          <w:tcPr>
            <w:tcW w:w="1312"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rPr>
                <w:rFonts w:ascii="宋体" w:cs="宋体" w:hint="eastAsia"/>
                <w:color w:val="000000"/>
                <w:sz w:val="24"/>
              </w:rPr>
            </w:pPr>
            <w:r>
              <w:rPr>
                <w:rFonts w:ascii="宋体" w:cs="宋体" w:hint="eastAsia"/>
                <w:color w:val="000000"/>
                <w:sz w:val="24"/>
              </w:rPr>
              <w:t>补助时间</w:t>
            </w:r>
          </w:p>
        </w:tc>
        <w:tc>
          <w:tcPr>
            <w:tcW w:w="1127"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r>
              <w:rPr>
                <w:rFonts w:ascii="宋体" w:cs="宋体" w:hint="eastAsia"/>
                <w:color w:val="000000"/>
                <w:sz w:val="24"/>
              </w:rPr>
              <w:t>=</w:t>
            </w:r>
          </w:p>
        </w:tc>
        <w:tc>
          <w:tcPr>
            <w:tcW w:w="971"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r>
              <w:rPr>
                <w:rFonts w:ascii="宋体" w:cs="宋体" w:hint="eastAsia"/>
                <w:color w:val="000000"/>
                <w:sz w:val="24"/>
              </w:rPr>
              <w:t>2025</w:t>
            </w:r>
          </w:p>
        </w:tc>
        <w:tc>
          <w:tcPr>
            <w:tcW w:w="1061"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r>
              <w:rPr>
                <w:rFonts w:ascii="宋体" w:cs="宋体" w:hint="eastAsia"/>
                <w:color w:val="000000"/>
                <w:sz w:val="24"/>
              </w:rPr>
              <w:t>年</w:t>
            </w:r>
          </w:p>
        </w:tc>
        <w:tc>
          <w:tcPr>
            <w:tcW w:w="938"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r>
              <w:rPr>
                <w:rFonts w:ascii="宋体" w:cs="宋体" w:hint="eastAsia"/>
                <w:color w:val="000000"/>
                <w:sz w:val="24"/>
              </w:rPr>
              <w:t>10%</w:t>
            </w:r>
          </w:p>
        </w:tc>
        <w:tc>
          <w:tcPr>
            <w:tcW w:w="1841"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r>
              <w:rPr>
                <w:rFonts w:ascii="宋体" w:cs="宋体" w:hint="eastAsia"/>
                <w:color w:val="000000"/>
                <w:sz w:val="24"/>
              </w:rPr>
              <w:t>2025年</w:t>
            </w:r>
          </w:p>
        </w:tc>
      </w:tr>
      <w:tr>
        <w:trPr>
          <w:trHeight w:val="23"/>
        </w:trPr>
        <w:tc>
          <w:tcPr>
            <w:tcW w:w="652" w:type="dxa"/>
            <w:vMerge/>
            <w:tcBorders>
              <w:top w:val="single" w:sz="4" w:space="0" w:color="000000"/>
              <w:left w:val="single" w:sz="4" w:space="0" w:color="000000"/>
              <w:bottom w:val="single" w:sz="4" w:space="0" w:color="000000"/>
            </w:tcBorders>
            <w:noWrap/>
            <w:vAlign w:val="center"/>
          </w:tcPr>
          <w:p/>
        </w:tc>
        <w:tc>
          <w:tcPr>
            <w:tcW w:w="1081" w:type="dxa"/>
            <w:vMerge w:val="restart"/>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hint="eastAsia"/>
                <w:color w:val="000000"/>
                <w:sz w:val="24"/>
              </w:rPr>
            </w:pPr>
            <w:r>
              <w:rPr>
                <w:rFonts w:ascii="宋体" w:cs="宋体" w:hint="eastAsia"/>
                <w:color w:val="000000"/>
                <w:kern w:val="0"/>
                <w:sz w:val="24"/>
              </w:rPr>
              <w:t>满意度</w:t>
            </w:r>
            <w:r>
              <w:rPr>
                <w:rFonts w:ascii="宋体" w:cs="宋体"/>
                <w:color w:val="000000"/>
                <w:kern w:val="0"/>
                <w:sz w:val="24"/>
              </w:rPr>
              <w:t>指标</w:t>
            </w:r>
          </w:p>
        </w:tc>
        <w:tc>
          <w:tcPr>
            <w:tcW w:w="1250" w:type="dxa"/>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hint="eastAsia"/>
                <w:color w:val="000000"/>
                <w:kern w:val="0"/>
                <w:sz w:val="24"/>
              </w:rPr>
            </w:pPr>
            <w:r>
              <w:rPr>
                <w:rFonts w:ascii="宋体" w:cs="宋体"/>
                <w:color w:val="000000"/>
                <w:kern w:val="0"/>
                <w:sz w:val="24"/>
              </w:rPr>
              <w:t>服务对象</w:t>
            </w:r>
          </w:p>
          <w:p>
            <w:pPr>
              <w:widowControl/>
              <w:spacing w:line="300" w:lineRule="exact"/>
              <w:jc w:val="center"/>
              <w:textAlignment w:val="center"/>
              <w:rPr>
                <w:rFonts w:ascii="宋体" w:cs="宋体" w:hint="eastAsia"/>
                <w:color w:val="000000"/>
                <w:sz w:val="24"/>
              </w:rPr>
            </w:pPr>
            <w:r>
              <w:rPr>
                <w:rFonts w:ascii="宋体" w:cs="宋体"/>
                <w:color w:val="000000"/>
                <w:kern w:val="0"/>
                <w:sz w:val="24"/>
              </w:rPr>
              <w:t>满意度指标</w:t>
            </w:r>
          </w:p>
        </w:tc>
        <w:tc>
          <w:tcPr>
            <w:tcW w:w="1312"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rPr>
                <w:rFonts w:ascii="宋体" w:cs="宋体" w:hint="eastAsia"/>
                <w:color w:val="000000"/>
                <w:sz w:val="24"/>
              </w:rPr>
            </w:pPr>
            <w:r>
              <w:rPr>
                <w:rFonts w:ascii="宋体" w:cs="宋体" w:hint="eastAsia"/>
                <w:color w:val="000000"/>
                <w:sz w:val="24"/>
              </w:rPr>
              <w:t>全体学生</w:t>
            </w:r>
          </w:p>
        </w:tc>
        <w:tc>
          <w:tcPr>
            <w:tcW w:w="1127"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r>
              <w:rPr>
                <w:rFonts w:ascii="宋体" w:cs="宋体" w:hint="eastAsia"/>
                <w:color w:val="000000"/>
                <w:sz w:val="24"/>
              </w:rPr>
              <w:t>≥</w:t>
            </w:r>
          </w:p>
        </w:tc>
        <w:tc>
          <w:tcPr>
            <w:tcW w:w="971"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r>
              <w:rPr>
                <w:rFonts w:ascii="宋体" w:cs="宋体" w:hint="eastAsia"/>
                <w:color w:val="000000"/>
                <w:sz w:val="24"/>
              </w:rPr>
              <w:t>95</w:t>
            </w:r>
          </w:p>
        </w:tc>
        <w:tc>
          <w:tcPr>
            <w:tcW w:w="1061"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r>
              <w:rPr>
                <w:rFonts w:ascii="宋体" w:cs="宋体" w:hint="eastAsia"/>
                <w:color w:val="000000"/>
                <w:sz w:val="24"/>
              </w:rPr>
              <w:t>%</w:t>
            </w:r>
          </w:p>
        </w:tc>
        <w:tc>
          <w:tcPr>
            <w:tcW w:w="938"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r>
              <w:rPr>
                <w:rFonts w:ascii="宋体" w:cs="宋体"/>
                <w:color w:val="000000"/>
                <w:sz w:val="24"/>
              </w:rPr>
              <w:t>10</w:t>
            </w:r>
            <w:r>
              <w:rPr>
                <w:rFonts w:ascii="宋体" w:cs="宋体" w:hint="eastAsia"/>
                <w:color w:val="000000"/>
                <w:sz w:val="24"/>
              </w:rPr>
              <w:t>%</w:t>
            </w:r>
          </w:p>
        </w:tc>
        <w:tc>
          <w:tcPr>
            <w:tcW w:w="1841"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r>
              <w:rPr>
                <w:rFonts w:ascii="宋体" w:cs="宋体" w:hint="eastAsia"/>
                <w:color w:val="000000"/>
                <w:sz w:val="24"/>
              </w:rPr>
              <w:t>95%</w:t>
            </w:r>
          </w:p>
        </w:tc>
      </w:tr>
      <w:tr>
        <w:trPr>
          <w:trHeight w:val="23"/>
        </w:trPr>
        <w:tc>
          <w:tcPr>
            <w:tcW w:w="652" w:type="dxa"/>
            <w:vMerge/>
            <w:tcBorders>
              <w:top w:val="single" w:sz="4" w:space="0" w:color="000000"/>
              <w:left w:val="single" w:sz="4" w:space="0" w:color="000000"/>
              <w:bottom w:val="single" w:sz="4" w:space="0" w:color="000000"/>
            </w:tcBorders>
            <w:noWrap/>
            <w:vAlign w:val="center"/>
          </w:tcPr>
          <w:p/>
        </w:tc>
        <w:tc>
          <w:tcPr>
            <w:tcW w:w="1081" w:type="dxa"/>
            <w:vMerge/>
            <w:tcBorders>
              <w:top w:val="single" w:sz="4" w:space="0" w:color="000000"/>
              <w:left w:val="single" w:sz="4" w:space="0" w:color="000000"/>
              <w:bottom w:val="single" w:sz="4" w:space="0" w:color="000000"/>
              <w:right w:val="single" w:sz="4" w:space="0" w:color="000000"/>
            </w:tcBorders>
            <w:noWrap/>
            <w:vAlign w:val="center"/>
          </w:tcPr>
          <w:p/>
        </w:tc>
        <w:tc>
          <w:tcPr>
            <w:tcW w:w="1250" w:type="dxa"/>
            <w:tcBorders>
              <w:top w:val="single" w:sz="4" w:space="0" w:color="000000"/>
              <w:left w:val="single" w:sz="4" w:space="0" w:color="000000"/>
              <w:right w:val="single" w:sz="4" w:space="0" w:color="000000"/>
            </w:tcBorders>
            <w:noWrap/>
            <w:vAlign w:val="center"/>
          </w:tcPr>
          <w:p>
            <w:pPr>
              <w:widowControl/>
              <w:spacing w:line="300" w:lineRule="exact"/>
              <w:jc w:val="center"/>
              <w:textAlignment w:val="center"/>
              <w:rPr>
                <w:rFonts w:ascii="宋体" w:cs="宋体" w:hint="eastAsia"/>
                <w:color w:val="000000"/>
                <w:sz w:val="24"/>
              </w:rPr>
            </w:pPr>
            <w:r>
              <w:rPr>
                <w:rFonts w:ascii="宋体" w:cs="宋体"/>
                <w:color w:val="000000"/>
                <w:kern w:val="0"/>
                <w:sz w:val="24"/>
              </w:rPr>
              <w:t>满意度指标</w:t>
            </w:r>
          </w:p>
        </w:tc>
        <w:tc>
          <w:tcPr>
            <w:tcW w:w="1312"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rPr>
                <w:rFonts w:ascii="宋体" w:cs="宋体" w:hint="eastAsia"/>
                <w:color w:val="000000"/>
                <w:sz w:val="24"/>
              </w:rPr>
            </w:pPr>
            <w:r>
              <w:rPr>
                <w:rFonts w:ascii="宋体" w:cs="宋体" w:hint="eastAsia"/>
                <w:color w:val="000000"/>
                <w:sz w:val="24"/>
              </w:rPr>
              <w:t>学生家长</w:t>
            </w:r>
          </w:p>
        </w:tc>
        <w:tc>
          <w:tcPr>
            <w:tcW w:w="1127"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r>
              <w:rPr>
                <w:rFonts w:ascii="宋体" w:cs="宋体" w:hint="eastAsia"/>
                <w:color w:val="000000"/>
                <w:sz w:val="24"/>
              </w:rPr>
              <w:t>≥</w:t>
            </w:r>
          </w:p>
        </w:tc>
        <w:tc>
          <w:tcPr>
            <w:tcW w:w="971"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r>
              <w:rPr>
                <w:rFonts w:ascii="宋体" w:cs="宋体" w:hint="eastAsia"/>
                <w:color w:val="000000"/>
                <w:sz w:val="24"/>
              </w:rPr>
              <w:t>95</w:t>
            </w:r>
          </w:p>
        </w:tc>
        <w:tc>
          <w:tcPr>
            <w:tcW w:w="1061"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r>
              <w:rPr>
                <w:rFonts w:ascii="宋体" w:cs="宋体" w:hint="eastAsia"/>
                <w:color w:val="000000"/>
                <w:sz w:val="24"/>
              </w:rPr>
              <w:t>%</w:t>
            </w:r>
          </w:p>
        </w:tc>
        <w:tc>
          <w:tcPr>
            <w:tcW w:w="938"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r>
              <w:rPr>
                <w:rFonts w:ascii="宋体" w:cs="宋体" w:hint="eastAsia"/>
                <w:color w:val="000000"/>
                <w:sz w:val="24"/>
              </w:rPr>
              <w:t>10%</w:t>
            </w:r>
          </w:p>
        </w:tc>
        <w:tc>
          <w:tcPr>
            <w:tcW w:w="1841"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r>
              <w:rPr>
                <w:rFonts w:ascii="宋体" w:cs="宋体" w:hint="eastAsia"/>
                <w:color w:val="000000"/>
                <w:sz w:val="24"/>
              </w:rPr>
              <w:t>95%</w:t>
            </w:r>
          </w:p>
        </w:tc>
      </w:tr>
      <w:tr>
        <w:trPr>
          <w:trHeight w:val="23"/>
        </w:trPr>
        <w:tc>
          <w:tcPr>
            <w:tcW w:w="652" w:type="dxa"/>
            <w:vMerge/>
            <w:tcBorders>
              <w:top w:val="single" w:sz="4" w:space="0" w:color="000000"/>
              <w:left w:val="single" w:sz="4" w:space="0" w:color="000000"/>
              <w:bottom w:val="single" w:sz="4" w:space="0" w:color="000000"/>
            </w:tcBorders>
            <w:noWrap/>
            <w:vAlign w:val="center"/>
          </w:tcPr>
          <w:p/>
        </w:tc>
        <w:tc>
          <w:tcPr>
            <w:tcW w:w="1081" w:type="dxa"/>
            <w:tcBorders>
              <w:top w:val="single" w:sz="4" w:space="0" w:color="000000"/>
              <w:left w:val="single" w:sz="4" w:space="0" w:color="000000"/>
              <w:right w:val="single" w:sz="4" w:space="0" w:color="000000"/>
            </w:tcBorders>
            <w:noWrap/>
            <w:vAlign w:val="center"/>
          </w:tcPr>
          <w:p>
            <w:pPr>
              <w:widowControl/>
              <w:spacing w:line="300" w:lineRule="exact"/>
              <w:jc w:val="center"/>
              <w:textAlignment w:val="center"/>
              <w:rPr>
                <w:rFonts w:ascii="宋体" w:cs="宋体" w:hint="eastAsia"/>
                <w:color w:val="000000"/>
                <w:sz w:val="24"/>
              </w:rPr>
            </w:pPr>
            <w:r>
              <w:rPr>
                <w:rFonts w:ascii="宋体" w:cs="宋体"/>
                <w:color w:val="000000"/>
                <w:kern w:val="0"/>
                <w:sz w:val="24"/>
              </w:rPr>
              <w:t>效益指标</w:t>
            </w:r>
          </w:p>
        </w:tc>
        <w:tc>
          <w:tcPr>
            <w:tcW w:w="1250" w:type="dxa"/>
            <w:tcBorders>
              <w:top w:val="single" w:sz="4" w:space="0" w:color="000000"/>
              <w:left w:val="single" w:sz="4" w:space="0" w:color="000000"/>
              <w:right w:val="single" w:sz="4" w:space="0" w:color="000000"/>
            </w:tcBorders>
            <w:noWrap/>
            <w:vAlign w:val="center"/>
          </w:tcPr>
          <w:p>
            <w:pPr>
              <w:widowControl/>
              <w:spacing w:line="300" w:lineRule="exact"/>
              <w:jc w:val="center"/>
              <w:textAlignment w:val="center"/>
              <w:rPr>
                <w:rFonts w:ascii="宋体" w:cs="宋体" w:hint="eastAsia"/>
                <w:color w:val="000000"/>
                <w:kern w:val="0"/>
                <w:sz w:val="24"/>
              </w:rPr>
            </w:pPr>
            <w:r>
              <w:rPr>
                <w:rFonts w:ascii="宋体" w:cs="宋体"/>
                <w:color w:val="000000"/>
                <w:kern w:val="0"/>
                <w:sz w:val="24"/>
              </w:rPr>
              <w:t>社会效益</w:t>
            </w:r>
          </w:p>
          <w:p>
            <w:pPr>
              <w:widowControl/>
              <w:spacing w:line="300" w:lineRule="exact"/>
              <w:jc w:val="center"/>
              <w:textAlignment w:val="center"/>
              <w:rPr>
                <w:rFonts w:ascii="宋体" w:cs="宋体" w:hint="eastAsia"/>
                <w:color w:val="000000"/>
                <w:sz w:val="24"/>
              </w:rPr>
            </w:pPr>
            <w:r>
              <w:rPr>
                <w:rFonts w:ascii="宋体" w:cs="宋体"/>
                <w:color w:val="000000"/>
                <w:kern w:val="0"/>
                <w:sz w:val="24"/>
              </w:rPr>
              <w:t>指标</w:t>
            </w:r>
          </w:p>
        </w:tc>
        <w:tc>
          <w:tcPr>
            <w:tcW w:w="1312"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rPr>
                <w:rFonts w:ascii="宋体" w:cs="宋体" w:hint="eastAsia"/>
                <w:color w:val="000000"/>
                <w:sz w:val="24"/>
              </w:rPr>
            </w:pPr>
            <w:r>
              <w:rPr>
                <w:rFonts w:ascii="宋体" w:cs="宋体" w:hint="eastAsia"/>
                <w:color w:val="000000"/>
                <w:sz w:val="24"/>
              </w:rPr>
              <w:t>学校教学质量</w:t>
            </w:r>
          </w:p>
        </w:tc>
        <w:tc>
          <w:tcPr>
            <w:tcW w:w="1127"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r>
              <w:rPr>
                <w:rFonts w:ascii="宋体" w:cs="宋体" w:hint="eastAsia"/>
                <w:color w:val="000000"/>
                <w:sz w:val="24"/>
              </w:rPr>
              <w:t>定性</w:t>
            </w:r>
          </w:p>
        </w:tc>
        <w:tc>
          <w:tcPr>
            <w:tcW w:w="971"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r>
              <w:rPr>
                <w:rFonts w:ascii="宋体" w:cs="宋体" w:hint="eastAsia"/>
                <w:color w:val="000000"/>
                <w:sz w:val="24"/>
              </w:rPr>
              <w:t>提升</w:t>
            </w:r>
          </w:p>
        </w:tc>
        <w:tc>
          <w:tcPr>
            <w:tcW w:w="1061"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p>
        </w:tc>
        <w:tc>
          <w:tcPr>
            <w:tcW w:w="938"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r>
              <w:rPr>
                <w:rFonts w:ascii="宋体" w:cs="宋体" w:hint="eastAsia"/>
                <w:color w:val="000000"/>
                <w:sz w:val="24"/>
              </w:rPr>
              <w:t>10%</w:t>
            </w:r>
          </w:p>
        </w:tc>
        <w:tc>
          <w:tcPr>
            <w:tcW w:w="1841"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r>
              <w:rPr>
                <w:rFonts w:ascii="宋体" w:cs="宋体" w:hint="eastAsia"/>
                <w:color w:val="000000"/>
                <w:sz w:val="24"/>
              </w:rPr>
              <w:t>提升</w:t>
            </w:r>
          </w:p>
        </w:tc>
      </w:tr>
      <w:tr>
        <w:trPr>
          <w:trHeight w:val="23"/>
        </w:trPr>
        <w:tc>
          <w:tcPr>
            <w:tcW w:w="652" w:type="dxa"/>
            <w:vMerge/>
            <w:tcBorders>
              <w:top w:val="single" w:sz="4" w:space="0" w:color="000000"/>
              <w:left w:val="single" w:sz="4" w:space="0" w:color="000000"/>
              <w:bottom w:val="single" w:sz="4" w:space="0" w:color="000000"/>
            </w:tcBorders>
            <w:noWrap/>
            <w:vAlign w:val="center"/>
          </w:tcPr>
          <w:p/>
        </w:tc>
        <w:tc>
          <w:tcPr>
            <w:tcW w:w="1081" w:type="dxa"/>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hint="eastAsia"/>
                <w:color w:val="000000"/>
                <w:sz w:val="24"/>
              </w:rPr>
            </w:pPr>
            <w:r>
              <w:rPr>
                <w:rFonts w:ascii="宋体" w:cs="宋体"/>
                <w:color w:val="000000"/>
                <w:kern w:val="0"/>
                <w:sz w:val="24"/>
              </w:rPr>
              <w:t>成本指标</w:t>
            </w:r>
          </w:p>
        </w:tc>
        <w:tc>
          <w:tcPr>
            <w:tcW w:w="1250" w:type="dxa"/>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hint="eastAsia"/>
                <w:color w:val="000000"/>
                <w:kern w:val="0"/>
                <w:sz w:val="24"/>
              </w:rPr>
            </w:pPr>
            <w:r>
              <w:rPr>
                <w:rFonts w:ascii="宋体" w:cs="宋体"/>
                <w:color w:val="000000"/>
                <w:kern w:val="0"/>
                <w:sz w:val="24"/>
              </w:rPr>
              <w:t>经济成本</w:t>
            </w:r>
          </w:p>
          <w:p>
            <w:pPr>
              <w:widowControl/>
              <w:spacing w:line="300" w:lineRule="exact"/>
              <w:jc w:val="center"/>
              <w:textAlignment w:val="center"/>
              <w:rPr>
                <w:rFonts w:ascii="宋体" w:cs="宋体" w:hint="eastAsia"/>
                <w:color w:val="000000"/>
                <w:sz w:val="24"/>
              </w:rPr>
            </w:pPr>
            <w:r>
              <w:rPr>
                <w:rFonts w:ascii="宋体" w:cs="宋体"/>
                <w:color w:val="000000"/>
                <w:kern w:val="0"/>
                <w:sz w:val="24"/>
              </w:rPr>
              <w:t>指标</w:t>
            </w:r>
          </w:p>
        </w:tc>
        <w:tc>
          <w:tcPr>
            <w:tcW w:w="1312" w:type="dxa"/>
            <w:tcBorders>
              <w:top w:val="single" w:sz="4" w:space="0" w:color="000000"/>
              <w:bottom w:val="single" w:sz="4" w:space="0" w:color="000000"/>
              <w:right w:val="single" w:sz="4" w:space="0" w:color="000000"/>
            </w:tcBorders>
            <w:noWrap/>
            <w:vAlign w:val="center"/>
          </w:tcPr>
          <w:p>
            <w:pPr>
              <w:spacing w:line="300" w:lineRule="exact"/>
              <w:rPr>
                <w:rFonts w:ascii="宋体" w:cs="宋体" w:hint="eastAsia"/>
                <w:color w:val="000000"/>
                <w:sz w:val="24"/>
              </w:rPr>
            </w:pPr>
            <w:r>
              <w:rPr>
                <w:rFonts w:ascii="宋体" w:cs="宋体" w:hint="eastAsia"/>
                <w:color w:val="000000"/>
                <w:sz w:val="24"/>
              </w:rPr>
              <w:t>补助金额</w:t>
            </w:r>
          </w:p>
        </w:tc>
        <w:tc>
          <w:tcPr>
            <w:tcW w:w="1127"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r>
              <w:rPr>
                <w:rFonts w:ascii="宋体" w:cs="宋体" w:hint="eastAsia"/>
                <w:color w:val="000000"/>
                <w:sz w:val="24"/>
              </w:rPr>
              <w:t>≦</w:t>
            </w:r>
          </w:p>
        </w:tc>
        <w:tc>
          <w:tcPr>
            <w:tcW w:w="971"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r>
              <w:rPr>
                <w:rFonts w:ascii="宋体" w:cs="宋体" w:hint="eastAsia"/>
                <w:color w:val="000000"/>
                <w:sz w:val="24"/>
              </w:rPr>
              <w:t>117.74</w:t>
            </w:r>
          </w:p>
        </w:tc>
        <w:tc>
          <w:tcPr>
            <w:tcW w:w="1061"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r>
              <w:rPr>
                <w:rFonts w:ascii="宋体" w:cs="宋体" w:hint="eastAsia"/>
                <w:color w:val="000000"/>
                <w:sz w:val="24"/>
              </w:rPr>
              <w:t>万元</w:t>
            </w:r>
          </w:p>
        </w:tc>
        <w:tc>
          <w:tcPr>
            <w:tcW w:w="938"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r>
              <w:rPr>
                <w:rFonts w:ascii="宋体" w:cs="宋体" w:hint="eastAsia"/>
                <w:color w:val="000000"/>
                <w:sz w:val="24"/>
              </w:rPr>
              <w:t>20%</w:t>
            </w:r>
          </w:p>
        </w:tc>
        <w:tc>
          <w:tcPr>
            <w:tcW w:w="1841"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hint="eastAsia"/>
                <w:color w:val="000000"/>
                <w:sz w:val="24"/>
              </w:rPr>
            </w:pPr>
            <w:r>
              <w:rPr>
                <w:rFonts w:ascii="宋体" w:cs="宋体" w:hint="eastAsia"/>
                <w:color w:val="000000"/>
                <w:sz w:val="24"/>
              </w:rPr>
              <w:t>117.74</w:t>
            </w:r>
          </w:p>
        </w:tc>
      </w:tr>
    </w:tbl>
    <w:p>
      <w:pPr>
        <w:spacing w:line="600" w:lineRule="exact"/>
        <w:jc w:val="center"/>
        <w:outlineLvl w:val="0"/>
        <w:rPr>
          <w:rFonts w:ascii="黑体" w:eastAsia="黑体"/>
          <w:sz w:val="44"/>
          <w:szCs w:val="44"/>
        </w:rPr>
      </w:pPr>
      <w:bookmarkStart w:id="197" w:name="_Toc7324"/>
      <w:bookmarkStart w:id="198" w:name="_Toc11757"/>
      <w:bookmarkStart w:id="199" w:name="_Toc6510"/>
      <w:bookmarkStart w:id="200" w:name="_Toc22324"/>
      <w:bookmarkStart w:id="201" w:name="_Toc15178"/>
      <w:bookmarkEnd w:id="189"/>
      <w:bookmarkEnd w:id="190"/>
    </w:p>
    <w:p>
      <w:pPr>
        <w:spacing w:line="600" w:lineRule="exact"/>
        <w:jc w:val="center"/>
        <w:outlineLvl w:val="0"/>
        <w:rPr>
          <w:rFonts w:ascii="黑体" w:eastAsia="黑体"/>
          <w:sz w:val="44"/>
          <w:szCs w:val="44"/>
        </w:rPr>
      </w:pPr>
    </w:p>
    <w:p>
      <w:pPr>
        <w:spacing w:line="600" w:lineRule="exact"/>
        <w:jc w:val="center"/>
        <w:outlineLvl w:val="0"/>
        <w:rPr>
          <w:rFonts w:ascii="黑体" w:eastAsia="黑体"/>
          <w:sz w:val="44"/>
          <w:szCs w:val="44"/>
        </w:rPr>
      </w:pPr>
    </w:p>
    <w:p>
      <w:pPr>
        <w:spacing w:line="600" w:lineRule="exact"/>
        <w:jc w:val="center"/>
        <w:outlineLvl w:val="0"/>
        <w:rPr>
          <w:rFonts w:ascii="黑体" w:eastAsia="黑体"/>
          <w:sz w:val="44"/>
          <w:szCs w:val="44"/>
        </w:rPr>
      </w:pPr>
    </w:p>
    <w:p>
      <w:pPr>
        <w:spacing w:line="600" w:lineRule="exact"/>
        <w:jc w:val="center"/>
        <w:outlineLvl w:val="0"/>
        <w:rPr>
          <w:rFonts w:ascii="黑体" w:eastAsia="黑体"/>
          <w:sz w:val="44"/>
          <w:szCs w:val="44"/>
        </w:rPr>
      </w:pPr>
    </w:p>
    <w:p>
      <w:pPr>
        <w:spacing w:line="600" w:lineRule="exact"/>
        <w:jc w:val="center"/>
        <w:outlineLvl w:val="0"/>
        <w:rPr>
          <w:rFonts w:ascii="仿宋" w:eastAsia="仿宋"/>
        </w:rPr>
      </w:pPr>
      <w:r>
        <w:rPr>
          <w:rFonts w:ascii="黑体" w:eastAsia="黑体" w:hint="eastAsia"/>
          <w:sz w:val="44"/>
          <w:szCs w:val="44"/>
        </w:rPr>
        <w:t>第</w:t>
      </w:r>
      <w:r>
        <w:rPr>
          <w:rFonts w:ascii="黑体" w:eastAsia="黑体" w:hint="eastAsia"/>
          <w:bCs/>
          <w:kern w:val="44"/>
          <w:sz w:val="44"/>
          <w:szCs w:val="44"/>
        </w:rPr>
        <w:t>五部分 附表</w:t>
      </w:r>
    </w:p>
    <w:p>
      <w:pPr>
        <w:pStyle w:val="2"/>
        <w:shd w:val="clear" w:color="auto" w:fill="FFFFFF"/>
        <w:spacing w:before="100" w:beforeAutospacing="1" w:after="100" w:afterAutospacing="1" w:line="577" w:lineRule="exact"/>
        <w:ind w:firstLineChars="100" w:firstLine="320"/>
        <w:rPr>
          <w:rFonts w:ascii="仿宋" w:eastAsia="仿宋" w:cs="仿宋" w:hint="eastAsia"/>
          <w:b w:val="0"/>
          <w:bCs w:val="0"/>
        </w:rPr>
      </w:pPr>
      <w:r>
        <w:rPr>
          <w:rFonts w:ascii="仿宋" w:eastAsia="仿宋" w:cs="仿宋" w:hint="eastAsia"/>
          <w:b w:val="0"/>
          <w:bCs w:val="0"/>
        </w:rPr>
        <w:t>一、收入支出决算总表</w:t>
      </w:r>
      <w:bookmarkEnd w:id="197"/>
      <w:bookmarkEnd w:id="198"/>
      <w:bookmarkEnd w:id="199"/>
      <w:bookmarkEnd w:id="200"/>
      <w:bookmarkEnd w:id="201"/>
    </w:p>
    <w:p>
      <w:pPr>
        <w:pStyle w:val="2"/>
        <w:shd w:val="clear" w:color="auto" w:fill="FFFFFF"/>
        <w:spacing w:before="100" w:beforeAutospacing="1" w:after="100" w:afterAutospacing="1" w:line="577" w:lineRule="exact"/>
        <w:ind w:firstLineChars="100" w:firstLine="320"/>
        <w:rPr>
          <w:rFonts w:ascii="仿宋" w:eastAsia="仿宋" w:cs="仿宋" w:hint="eastAsia"/>
          <w:b w:val="0"/>
          <w:bCs w:val="0"/>
        </w:rPr>
      </w:pPr>
      <w:bookmarkStart w:id="202" w:name="_Toc26138"/>
      <w:bookmarkStart w:id="203" w:name="_Toc5345"/>
      <w:bookmarkStart w:id="204" w:name="_Toc25915"/>
      <w:bookmarkStart w:id="205" w:name="_Toc30636"/>
      <w:bookmarkStart w:id="206" w:name="_Toc4827"/>
      <w:r>
        <w:rPr>
          <w:rFonts w:ascii="仿宋" w:eastAsia="仿宋" w:cs="仿宋" w:hint="eastAsia"/>
          <w:b w:val="0"/>
          <w:bCs w:val="0"/>
        </w:rPr>
        <w:t>二、收入决算表</w:t>
      </w:r>
      <w:bookmarkEnd w:id="202"/>
      <w:bookmarkEnd w:id="203"/>
      <w:bookmarkEnd w:id="204"/>
      <w:bookmarkEnd w:id="205"/>
      <w:bookmarkEnd w:id="206"/>
    </w:p>
    <w:p>
      <w:pPr>
        <w:pStyle w:val="2"/>
        <w:shd w:val="clear" w:color="auto" w:fill="FFFFFF"/>
        <w:spacing w:before="100" w:beforeAutospacing="1" w:after="100" w:afterAutospacing="1" w:line="577" w:lineRule="exact"/>
        <w:ind w:firstLineChars="100" w:firstLine="320"/>
        <w:rPr>
          <w:rFonts w:ascii="仿宋" w:eastAsia="仿宋" w:cs="仿宋" w:hint="eastAsia"/>
          <w:b w:val="0"/>
          <w:bCs w:val="0"/>
        </w:rPr>
      </w:pPr>
      <w:bookmarkStart w:id="207" w:name="_Toc1405"/>
      <w:bookmarkStart w:id="208" w:name="_Toc25035"/>
      <w:bookmarkStart w:id="209" w:name="_Toc4635"/>
      <w:bookmarkStart w:id="210" w:name="_Toc14846"/>
      <w:bookmarkStart w:id="211" w:name="_Toc32423"/>
      <w:r>
        <w:rPr>
          <w:rFonts w:ascii="仿宋" w:eastAsia="仿宋" w:cs="仿宋" w:hint="eastAsia"/>
          <w:b w:val="0"/>
          <w:bCs w:val="0"/>
        </w:rPr>
        <w:t>三、支出决算表</w:t>
      </w:r>
      <w:bookmarkEnd w:id="207"/>
      <w:bookmarkEnd w:id="208"/>
      <w:bookmarkEnd w:id="209"/>
      <w:bookmarkEnd w:id="210"/>
      <w:bookmarkEnd w:id="211"/>
    </w:p>
    <w:p>
      <w:pPr>
        <w:pStyle w:val="2"/>
        <w:shd w:val="clear" w:color="auto" w:fill="FFFFFF"/>
        <w:spacing w:before="100" w:beforeAutospacing="1" w:after="100" w:afterAutospacing="1" w:line="577" w:lineRule="exact"/>
        <w:ind w:firstLineChars="100" w:firstLine="320"/>
        <w:rPr>
          <w:rFonts w:ascii="仿宋" w:eastAsia="仿宋" w:cs="仿宋" w:hint="eastAsia"/>
          <w:b w:val="0"/>
          <w:bCs w:val="0"/>
        </w:rPr>
      </w:pPr>
      <w:bookmarkStart w:id="212" w:name="_Toc17226"/>
      <w:bookmarkStart w:id="213" w:name="_Toc32229"/>
      <w:bookmarkStart w:id="214" w:name="_Toc16125"/>
      <w:bookmarkStart w:id="215" w:name="_Toc9546"/>
      <w:bookmarkStart w:id="216" w:name="_Toc22448"/>
      <w:r>
        <w:rPr>
          <w:rFonts w:ascii="仿宋" w:eastAsia="仿宋" w:cs="仿宋" w:hint="eastAsia"/>
          <w:b w:val="0"/>
          <w:bCs w:val="0"/>
        </w:rPr>
        <w:t>四、财政拨款收入支出决算总表</w:t>
      </w:r>
      <w:bookmarkEnd w:id="212"/>
      <w:bookmarkEnd w:id="213"/>
      <w:bookmarkEnd w:id="214"/>
      <w:bookmarkEnd w:id="215"/>
      <w:bookmarkEnd w:id="216"/>
    </w:p>
    <w:p>
      <w:pPr>
        <w:pStyle w:val="2"/>
        <w:shd w:val="clear" w:color="auto" w:fill="FFFFFF"/>
        <w:spacing w:before="100" w:beforeAutospacing="1" w:after="100" w:afterAutospacing="1" w:line="577" w:lineRule="exact"/>
        <w:ind w:firstLineChars="100" w:firstLine="320"/>
        <w:rPr>
          <w:rFonts w:ascii="仿宋" w:eastAsia="仿宋" w:cs="仿宋" w:hint="eastAsia"/>
          <w:b w:val="0"/>
          <w:bCs w:val="0"/>
        </w:rPr>
      </w:pPr>
      <w:bookmarkStart w:id="217" w:name="_Toc22992"/>
      <w:bookmarkStart w:id="218" w:name="_Toc6728"/>
      <w:bookmarkStart w:id="219" w:name="_Toc18262"/>
      <w:bookmarkStart w:id="220" w:name="_Toc10728"/>
      <w:bookmarkStart w:id="221" w:name="_Toc27425"/>
      <w:r>
        <w:rPr>
          <w:rFonts w:ascii="仿宋" w:eastAsia="仿宋" w:cs="仿宋" w:hint="eastAsia"/>
          <w:b w:val="0"/>
          <w:bCs w:val="0"/>
        </w:rPr>
        <w:t>五、财政拨款支出决算明细表</w:t>
      </w:r>
      <w:bookmarkEnd w:id="217"/>
      <w:bookmarkEnd w:id="218"/>
      <w:bookmarkEnd w:id="219"/>
      <w:bookmarkEnd w:id="220"/>
      <w:bookmarkEnd w:id="221"/>
    </w:p>
    <w:p>
      <w:pPr>
        <w:pStyle w:val="2"/>
        <w:shd w:val="clear" w:color="auto" w:fill="FFFFFF"/>
        <w:spacing w:before="100" w:beforeAutospacing="1" w:after="100" w:afterAutospacing="1" w:line="577" w:lineRule="exact"/>
        <w:ind w:firstLineChars="100" w:firstLine="320"/>
        <w:rPr>
          <w:rFonts w:ascii="仿宋" w:eastAsia="仿宋" w:cs="仿宋" w:hint="eastAsia"/>
          <w:b w:val="0"/>
          <w:bCs w:val="0"/>
        </w:rPr>
      </w:pPr>
      <w:bookmarkStart w:id="222" w:name="_Toc19034"/>
      <w:bookmarkStart w:id="223" w:name="_Toc30538"/>
      <w:bookmarkStart w:id="224" w:name="_Toc17590"/>
      <w:bookmarkStart w:id="225" w:name="_Toc29037"/>
      <w:bookmarkStart w:id="226" w:name="_Toc14771"/>
      <w:r>
        <w:rPr>
          <w:rFonts w:ascii="仿宋" w:eastAsia="仿宋" w:cs="仿宋" w:hint="eastAsia"/>
          <w:b w:val="0"/>
          <w:bCs w:val="0"/>
        </w:rPr>
        <w:t>六、一般公共预算财政拨款支出决算表</w:t>
      </w:r>
      <w:bookmarkEnd w:id="222"/>
      <w:bookmarkEnd w:id="223"/>
      <w:bookmarkEnd w:id="224"/>
      <w:bookmarkEnd w:id="225"/>
      <w:bookmarkEnd w:id="226"/>
    </w:p>
    <w:p>
      <w:pPr>
        <w:pStyle w:val="2"/>
        <w:shd w:val="clear" w:color="auto" w:fill="FFFFFF"/>
        <w:spacing w:before="100" w:beforeAutospacing="1" w:after="100" w:afterAutospacing="1" w:line="577" w:lineRule="exact"/>
        <w:ind w:firstLineChars="100" w:firstLine="320"/>
        <w:rPr>
          <w:rFonts w:ascii="仿宋" w:eastAsia="仿宋" w:cs="仿宋" w:hint="eastAsia"/>
          <w:b w:val="0"/>
          <w:bCs w:val="0"/>
        </w:rPr>
      </w:pPr>
      <w:bookmarkStart w:id="227" w:name="_Toc22149"/>
      <w:bookmarkStart w:id="228" w:name="_Toc445"/>
      <w:bookmarkStart w:id="229" w:name="_Toc21248"/>
      <w:bookmarkStart w:id="230" w:name="_Toc5588"/>
      <w:bookmarkStart w:id="231" w:name="_Toc4528"/>
      <w:r>
        <w:rPr>
          <w:rFonts w:ascii="仿宋" w:eastAsia="仿宋" w:cs="仿宋" w:hint="eastAsia"/>
          <w:b w:val="0"/>
          <w:bCs w:val="0"/>
        </w:rPr>
        <w:t>七、一般公共预算财政拨款支出决算明细表</w:t>
      </w:r>
      <w:bookmarkEnd w:id="227"/>
      <w:bookmarkEnd w:id="228"/>
      <w:bookmarkEnd w:id="229"/>
      <w:bookmarkEnd w:id="230"/>
      <w:bookmarkEnd w:id="231"/>
    </w:p>
    <w:p>
      <w:pPr>
        <w:pStyle w:val="2"/>
        <w:shd w:val="clear" w:color="auto" w:fill="FFFFFF"/>
        <w:spacing w:before="100" w:beforeAutospacing="1" w:after="100" w:afterAutospacing="1" w:line="577" w:lineRule="exact"/>
        <w:ind w:firstLineChars="100" w:firstLine="320"/>
        <w:rPr>
          <w:rFonts w:ascii="仿宋" w:eastAsia="仿宋" w:cs="仿宋" w:hint="eastAsia"/>
          <w:b w:val="0"/>
          <w:bCs w:val="0"/>
        </w:rPr>
      </w:pPr>
      <w:bookmarkStart w:id="232" w:name="_Toc613"/>
      <w:bookmarkStart w:id="233" w:name="_Toc22782"/>
      <w:bookmarkStart w:id="234" w:name="_Toc6319"/>
      <w:bookmarkStart w:id="235" w:name="_Toc10058"/>
      <w:bookmarkStart w:id="236" w:name="_Toc18165"/>
      <w:r>
        <w:rPr>
          <w:rFonts w:ascii="仿宋" w:eastAsia="仿宋" w:cs="仿宋" w:hint="eastAsia"/>
          <w:b w:val="0"/>
          <w:bCs w:val="0"/>
        </w:rPr>
        <w:t>八、一般公共预算财政拨款基本支出决算表</w:t>
      </w:r>
      <w:bookmarkEnd w:id="232"/>
      <w:bookmarkEnd w:id="233"/>
      <w:bookmarkEnd w:id="234"/>
      <w:bookmarkEnd w:id="235"/>
      <w:bookmarkEnd w:id="236"/>
    </w:p>
    <w:p>
      <w:pPr>
        <w:pStyle w:val="2"/>
        <w:shd w:val="clear" w:color="auto" w:fill="FFFFFF"/>
        <w:spacing w:before="100" w:beforeAutospacing="1" w:after="100" w:afterAutospacing="1" w:line="577" w:lineRule="exact"/>
        <w:ind w:firstLineChars="100" w:firstLine="320"/>
        <w:rPr>
          <w:rFonts w:ascii="仿宋" w:eastAsia="仿宋" w:cs="仿宋" w:hint="eastAsia"/>
          <w:b w:val="0"/>
          <w:bCs w:val="0"/>
        </w:rPr>
      </w:pPr>
      <w:bookmarkStart w:id="237" w:name="_Toc1411"/>
      <w:bookmarkStart w:id="238" w:name="_Toc28292"/>
      <w:bookmarkStart w:id="239" w:name="_Toc20643"/>
      <w:bookmarkStart w:id="240" w:name="_Toc24410"/>
      <w:bookmarkStart w:id="241" w:name="_Toc13324"/>
      <w:r>
        <w:rPr>
          <w:rFonts w:ascii="仿宋" w:eastAsia="仿宋" w:cs="仿宋" w:hint="eastAsia"/>
          <w:b w:val="0"/>
          <w:bCs w:val="0"/>
        </w:rPr>
        <w:t>九、一般公共预算财政拨款项目支出决算表</w:t>
      </w:r>
      <w:bookmarkEnd w:id="237"/>
      <w:bookmarkEnd w:id="238"/>
      <w:bookmarkEnd w:id="239"/>
      <w:bookmarkEnd w:id="240"/>
      <w:bookmarkEnd w:id="241"/>
    </w:p>
    <w:p>
      <w:pPr>
        <w:pStyle w:val="2"/>
        <w:shd w:val="clear" w:color="auto" w:fill="FFFFFF"/>
        <w:spacing w:before="100" w:beforeAutospacing="1" w:after="100" w:afterAutospacing="1" w:line="577" w:lineRule="exact"/>
        <w:ind w:firstLineChars="100" w:firstLine="320"/>
        <w:rPr>
          <w:rFonts w:ascii="仿宋" w:eastAsia="仿宋" w:cs="仿宋" w:hint="eastAsia"/>
          <w:b w:val="0"/>
          <w:bCs w:val="0"/>
        </w:rPr>
      </w:pPr>
      <w:bookmarkStart w:id="242" w:name="_Toc30833"/>
      <w:bookmarkStart w:id="243" w:name="_Toc11130"/>
      <w:bookmarkStart w:id="244" w:name="_Toc22048"/>
      <w:bookmarkStart w:id="245" w:name="_Toc8164"/>
      <w:bookmarkStart w:id="246" w:name="_Toc13234"/>
      <w:r>
        <w:rPr>
          <w:rFonts w:ascii="仿宋" w:eastAsia="仿宋" w:cs="仿宋" w:hint="eastAsia"/>
          <w:b w:val="0"/>
          <w:bCs w:val="0"/>
        </w:rPr>
        <w:t>十、政府性基金预算财政拨款收入支出决算表</w:t>
      </w:r>
      <w:bookmarkEnd w:id="242"/>
      <w:bookmarkEnd w:id="243"/>
      <w:bookmarkEnd w:id="244"/>
      <w:bookmarkEnd w:id="245"/>
      <w:bookmarkEnd w:id="246"/>
    </w:p>
    <w:p>
      <w:pPr>
        <w:pStyle w:val="2"/>
        <w:shd w:val="clear" w:color="auto" w:fill="FFFFFF"/>
        <w:spacing w:before="100" w:beforeAutospacing="1" w:after="100" w:afterAutospacing="1" w:line="577" w:lineRule="exact"/>
        <w:ind w:firstLineChars="100" w:firstLine="320"/>
        <w:rPr>
          <w:rFonts w:ascii="仿宋" w:eastAsia="仿宋" w:cs="仿宋" w:hint="eastAsia"/>
          <w:b w:val="0"/>
          <w:bCs w:val="0"/>
        </w:rPr>
      </w:pPr>
      <w:bookmarkStart w:id="247" w:name="_Toc30471"/>
      <w:bookmarkStart w:id="248" w:name="_Toc15519"/>
      <w:bookmarkStart w:id="249" w:name="_Toc909"/>
      <w:bookmarkStart w:id="250" w:name="_Toc22306"/>
      <w:bookmarkStart w:id="251" w:name="_Toc20063"/>
      <w:r>
        <w:rPr>
          <w:rFonts w:ascii="仿宋" w:eastAsia="仿宋" w:cs="仿宋" w:hint="eastAsia"/>
          <w:b w:val="0"/>
          <w:bCs w:val="0"/>
        </w:rPr>
        <w:t>十一、国有资本经营预算财政拨款收入支出决算表</w:t>
      </w:r>
      <w:bookmarkEnd w:id="247"/>
      <w:bookmarkEnd w:id="248"/>
      <w:bookmarkEnd w:id="249"/>
      <w:bookmarkEnd w:id="250"/>
      <w:bookmarkEnd w:id="251"/>
    </w:p>
    <w:p>
      <w:pPr>
        <w:pStyle w:val="2"/>
        <w:shd w:val="clear" w:color="auto" w:fill="FFFFFF"/>
        <w:spacing w:before="100" w:beforeAutospacing="1" w:after="100" w:afterAutospacing="1" w:line="577" w:lineRule="exact"/>
        <w:ind w:firstLineChars="100" w:firstLine="320"/>
        <w:rPr>
          <w:rFonts w:ascii="仿宋" w:eastAsia="仿宋" w:cs="仿宋" w:hint="eastAsia"/>
          <w:b w:val="0"/>
          <w:bCs w:val="0"/>
        </w:rPr>
      </w:pPr>
      <w:bookmarkStart w:id="252" w:name="_Toc9501"/>
      <w:bookmarkStart w:id="253" w:name="_Toc12230"/>
      <w:bookmarkStart w:id="254" w:name="_Toc32718"/>
      <w:bookmarkStart w:id="255" w:name="_Toc13481"/>
      <w:bookmarkStart w:id="256" w:name="_Toc14919"/>
      <w:r>
        <w:rPr>
          <w:rFonts w:ascii="仿宋" w:eastAsia="仿宋" w:cs="仿宋" w:hint="eastAsia"/>
          <w:b w:val="0"/>
          <w:bCs w:val="0"/>
        </w:rPr>
        <w:t>十二、国有资本经营预算财政拨款支出决算表</w:t>
      </w:r>
      <w:bookmarkEnd w:id="252"/>
      <w:bookmarkEnd w:id="253"/>
      <w:bookmarkEnd w:id="254"/>
      <w:bookmarkEnd w:id="255"/>
      <w:bookmarkEnd w:id="256"/>
    </w:p>
    <w:p>
      <w:pPr>
        <w:pStyle w:val="2"/>
        <w:shd w:val="clear" w:color="auto" w:fill="FFFFFF"/>
        <w:spacing w:before="100" w:beforeAutospacing="1" w:after="100" w:afterAutospacing="1" w:line="577" w:lineRule="exact"/>
        <w:ind w:firstLineChars="100" w:firstLine="320"/>
        <w:rPr>
          <w:rFonts w:ascii="仿宋" w:eastAsia="仿宋" w:cs="仿宋" w:hint="eastAsia"/>
          <w:b w:val="0"/>
          <w:bCs w:val="0"/>
        </w:rPr>
      </w:pPr>
      <w:bookmarkStart w:id="257" w:name="_Toc32759"/>
      <w:bookmarkStart w:id="258" w:name="_Toc9805"/>
      <w:bookmarkStart w:id="259" w:name="_Toc783"/>
      <w:bookmarkStart w:id="260" w:name="_Toc29685"/>
      <w:bookmarkStart w:id="261" w:name="_Toc19138"/>
      <w:r>
        <w:rPr>
          <w:rFonts w:ascii="仿宋" w:eastAsia="仿宋" w:cs="仿宋" w:hint="eastAsia"/>
          <w:b w:val="0"/>
          <w:bCs w:val="0"/>
        </w:rPr>
        <w:t>十三、财政拨款“三公”经费支出决算表</w:t>
      </w:r>
      <w:bookmarkEnd w:id="257"/>
      <w:bookmarkEnd w:id="258"/>
      <w:bookmarkEnd w:id="259"/>
      <w:bookmarkEnd w:id="260"/>
      <w:bookmarkEnd w:id="261"/>
    </w:p>
    <w:p>
      <w:pPr>
        <w:ind w:leftChars="200" w:left="420"/>
        <w:rPr>
          <w:rFonts w:ascii="仿宋" w:eastAsia="仿宋" w:cs="仿宋" w:hint="eastAsia"/>
          <w:sz w:val="32"/>
          <w:szCs w:val="32"/>
        </w:rPr>
      </w:pPr>
    </w:p>
    <w:sectPr>
      <w:headerReference w:type="default" r:id="rId6"/>
      <w:footerReference w:type="default" r:id="rId7"/>
      <w:footerReference w:type="first" r:id="rId8"/>
      <w:pgSz w:w="11906" w:h="16838"/>
      <w:pgMar w:top="1440" w:right="1800" w:bottom="1440" w:left="1800" w:header="851" w:footer="992" w:gutter="0"/>
      <w:pgNumType w:start="1"/>
      <w:titlePg/>
      <w:docGrid w:type="lines" w:linePitch="312" w:charSpace="0"/>
    </w:sectPr>
  </w:body>
</w:document>
</file>

<file path=word/fontTable.xml><?xml version="1.0" encoding="utf-8"?>
<w:fonts xmlns:w="http://schemas.openxmlformats.org/wordprocessingml/2006/main" xmlns:r="http://schemas.openxmlformats.org/officeDocument/2006/relationships">
  <w:font w:name="仿宋">
    <w:panose1 w:val="02010609060101010101"/>
    <w:charset w:val="86"/>
    <w:family w:val="modern"/>
    <w:pitch w:val="variable"/>
    <w:sig w:usb0="800002BF" w:usb1="38CF7CFA" w:usb2="00000016" w:usb3="00000000" w:csb0="00040001" w:csb1="00000000"/>
  </w:font>
  <w:font w:name="方正小标宋简体">
    <w:altName w:val="黑体"/>
    <w:panose1 w:val="00000000000000000000"/>
    <w:charset w:val="86"/>
    <w:family w:val="script"/>
    <w:pitch w:val="variable"/>
    <w:sig w:usb0="00000000" w:usb1="00000000" w:usb2="00000010" w:usb3="00000000" w:csb0="00040000" w:csb1="00000000"/>
  </w:font>
  <w:font w:name="宋体">
    <w:panose1 w:val="02010600030101010101"/>
    <w:charset w:val="86"/>
    <w:family w:val="auto"/>
    <w:pitch w:val="variable"/>
    <w:sig w:usb0="00000203" w:usb1="288F0000" w:usb2="00000006" w:usb3="00000000" w:csb0="00040001" w:csb1="00000000"/>
  </w:font>
  <w:font w:name="仿宋_GB2312">
    <w:altName w:val="仿宋"/>
    <w:panose1 w:val="02010609030101010101"/>
    <w:charset w:val="86"/>
    <w:family w:val="modern"/>
    <w:pitch w:val="variable"/>
    <w:sig w:usb0="00000000" w:usb1="00000000" w:usb2="00000000" w:usb3="00000000" w:csb0="00040000" w:csb1="00000000"/>
  </w:font>
  <w:font w:name="黑体">
    <w:panose1 w:val="02010609060101010101"/>
    <w:charset w:val="86"/>
    <w:family w:val="auto"/>
    <w:pitch w:val="variable"/>
    <w:sig w:usb0="800002BF" w:usb1="38CF7CFA" w:usb2="00000016" w:usb3="00000000" w:csb0="00040001" w:csb1="00000000"/>
  </w:font>
  <w:font w:name="Times New Roman">
    <w:panose1 w:val="02020603050405020304"/>
    <w:charset w:val="00"/>
    <w:family w:val="roman"/>
    <w:pitch w:val="variable"/>
    <w:sig w:usb0="20007A87" w:usb1="80000000" w:usb2="00000008" w:usb3="00000000" w:csb0="000001FF" w:csb1="00000000"/>
  </w:font>
  <w:font w:name="楷体_GB2312">
    <w:altName w:val="楷体"/>
    <w:panose1 w:val="02010609030101010101"/>
    <w:charset w:val="86"/>
    <w:family w:val="modern"/>
    <w:pitch w:val="variable"/>
    <w:sig w:usb0="00000000" w:usb1="00000000" w:usb2="00000000" w:usb3="00000000" w:csb0="00040000" w:csb1="00000000"/>
  </w:font>
  <w:font w:name="Arial">
    <w:panose1 w:val="020B0604020202020204"/>
    <w:charset w:val="01"/>
    <w:family w:val="swiss"/>
    <w:pitch w:val="variable"/>
    <w:sig w:usb0="E0002EFF" w:usb1="C000785B" w:usb2="00000009" w:usb3="00000000" w:csb0="400001FF" w:csb1="FFFF0000"/>
  </w:font>
  <w:font w:name="楷体">
    <w:panose1 w:val="02010609060101010101"/>
    <w:charset w:val="86"/>
    <w:family w:val="modern"/>
    <w:pitch w:val="variable"/>
    <w:sig w:usb0="800002BF" w:usb1="38CF7CFA" w:usb2="00000016" w:usb3="00000000" w:csb0="00040001" w:csb1="00000000"/>
  </w:font>
  <w:font w:name="Calibri">
    <w:panose1 w:val="020F0502020204030204"/>
    <w:charset w:val="00"/>
    <w:family w:val="swiss"/>
    <w:pitch w:val="variable"/>
    <w:sig w:usb0="E4002EFF" w:usb1="C000247B" w:usb2="00000009" w:usb3="00000000" w:csb0="200001FF" w:csb1="00000000"/>
  </w:font>
  <w:font w:name="Courier New">
    <w:panose1 w:val="02070309020205020404"/>
    <w:charset w:val="01"/>
    <w:family w:val="modern"/>
    <w:pitch w:val="variable"/>
    <w:sig w:usb0="E0002EFF" w:usb1="C0007843" w:usb2="00000009" w:usb3="00000000" w:csb0="400001FF" w:csb1="FFFF0000"/>
  </w:font>
  <w:font w:name="Wingdings 2">
    <w:altName w:val="Wingdings"/>
    <w:panose1 w:val="05020102010507070707"/>
    <w:charset w:val="02"/>
    <w:family w:val="roman"/>
    <w:pitch w:val="variable"/>
    <w:sig w:usb0="00000000" w:usb1="00000000" w:usb2="00000000" w:usb3="00000000" w:csb0="80000000" w:csb1="00000000"/>
  </w:font>
  <w:font w:name="Cambria">
    <w:panose1 w:val="02040503050406030204"/>
    <w:charset w:val="00"/>
    <w:family w:val="roman"/>
    <w:pitch w:val="variable"/>
    <w:sig w:usb0="E00006FF" w:usb1="420024FF" w:usb2="02000000" w:usb3="00000000" w:csb0="2000019F" w:csb1="00000000"/>
  </w:font>
  <w:font w:name="??">
    <w:altName w:val="Cambria"/>
    <w:panose1 w:val="00000000000000000000"/>
    <w:charset w:val="00"/>
    <w:family w:val="roman"/>
    <w:pitch w:val="variable"/>
    <w:sig w:usb0="00000000" w:usb1="00000000" w:usb2="00000000" w:usb3="00000000" w:csb0="00040001"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3"/>
      <w:tabs>
        <w:tab w:val="center" w:pos="4153"/>
        <w:tab w:val="right" w:pos="8306"/>
      </w:tabs>
      <w:jc w:val="center"/>
    </w:pPr>
    <w:sdt>
      <w:sdtPr>
        <w:id w:val="1993253117"/>
      </w:sdtPr>
      <w:sdtContent/>
    </w:sdt>
  </w:p>
  <w:p>
    <w:pPr>
      <w:pStyle w:val="23"/>
      <w:tabs>
        <w:tab w:val="center" w:pos="4153"/>
        <w:tab w:val="right" w:pos="8306"/>
      </w:tabs>
    </w:pP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3"/>
      <w:tabs>
        <w:tab w:val="center" w:pos="4153"/>
        <w:tab w:val="right" w:pos="8306"/>
      </w:tabs>
      <w:jc w:val="center"/>
    </w:pPr>
    <w:sdt>
      <w:sdtPr>
        <w:id w:val="712140166"/>
      </w:sdtPr>
      <w:sdtContent/>
    </w:sdt>
  </w:p>
  <w:p>
    <w:pPr>
      <w:pStyle w:val="23"/>
      <w:tabs>
        <w:tab w:val="center" w:pos="4153"/>
        <w:tab w:val="right" w:pos="8306"/>
      </w:tabs>
    </w:pPr>
  </w:p>
</w:ftr>
</file>

<file path=word/footer3.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3"/>
      <w:tabs>
        <w:tab w:val="center" w:pos="4153"/>
        <w:tab w:val="right" w:pos="8306"/>
      </w:tabs>
    </w:pPr>
    <w:r>
      <mc:AlternateContent>
        <mc:Choice Requires="wps">
          <w:drawing>
            <wp:anchor distT="0" distB="0" distL="114298" distR="114298" simplePos="0" relativeHeight="32" behindDoc="0" locked="0" layoutInCell="1" hidden="0" allowOverlap="1">
              <wp:simplePos x="0" y="0"/>
              <wp:positionH relativeFrom="margin">
                <wp:align>center</wp:align>
              </wp:positionH>
              <wp:positionV relativeFrom="paragraph">
                <wp:posOffset>0</wp:posOffset>
              </wp:positionV>
              <wp:extent cx="179565" cy="139560"/>
              <wp:effectExtent l="0" t="0" r="0" b="0"/>
              <wp:wrapNone/>
              <wp:docPr id="1" name="文本框 2"/>
              <wp:cNvGraphicFramePr>
                <a:graphicFrameLocks noChangeAspect="0"/>
              </wp:cNvGraphicFramePr>
              <a:graphic>
                <a:graphicData uri="http://schemas.microsoft.com/office/word/2010/wordprocessingShape">
                  <wps:wsp>
                    <wps:cNvSpPr/>
                    <wps:spPr>
                      <a:xfrm rot="0">
                        <a:off x="0" y="0"/>
                        <a:ext cx="179565" cy="139560"/>
                      </a:xfrm>
                      <a:prstGeom prst="rect"/>
                      <a:noFill/>
                      <a:ln w="6350" cmpd="sng" cap="flat">
                        <a:noFill/>
                        <a:prstDash val="solid"/>
                        <a:round/>
                      </a:ln>
                    </wps:spPr>
                    <wps:txbx id="2">
                      <w:txbxContent>
                        <w:p>
                          <w:pPr>
                            <w:pStyle w:val="23"/>
                            <w:tabs>
                              <w:tab w:val="center" w:pos="4153"/>
                              <w:tab w:val="right" w:pos="8306"/>
                            </w:tabs>
                          </w:pPr>
                          <w:r>
                            <w:fldChar w:fldCharType="begin"/>
                          </w:r>
                          <w:r>
                            <w:instrText xml:space="preserve"> PAGE  \* MERGEFORMAT </w:instrText>
                          </w:r>
                          <w:r>
                            <w:fldChar w:fldCharType="separate"/>
                          </w:r>
                          <w:r>
                            <w:t>- 1 -</w:t>
                          </w:r>
                          <w:r>
                            <w:fldChar w:fldCharType="end"/>
                          </w:r>
                        </w:p>
                      </w:txbxContent>
                    </wps:txbx>
                    <wps:bodyPr vert="horz" wrap="none" lIns="0" tIns="0" rIns="0" bIns="0" anchor="t" anchorCtr="0" upright="0">
                      <a:spAutoFit/>
                    </wps:bodyPr>
                  </wps:wsp>
                </a:graphicData>
              </a:graphic>
            </wp:anchor>
          </w:drawing>
        </mc:Choice>
        <mc:Fallback>
          <w:pict>
            <v:shape type="#_x0000_t202" id="文本框 2 3" o:spid="_x0000_s3" filled="f" stroked="f" strokeweight="0.5pt" style="position:absolute;margin-left:0.0pt;margin-top:0.0pt;width:14.139006pt;height:10.988999pt;z-index:32;mso-position-horizontal:center;mso-position-horizontal-relative:margin;mso-position-vertical:absolute;mso-wrap-distance-left:8.999863pt;mso-wrap-distance-right:8.999863pt;mso-wrap-style:none;">
              <v:stroke color="#000000"/>
              <v:textbox id="854" inset="0mm,0mm,0mm,0mm" o:insetmode="custom" style="layout-flow:horizontal;v-text-anchor:top;mso-fit-shape-to-text:t;">
                <w:txbxContent>
                  <w:p>
                    <w:pPr>
                      <w:pStyle w:val="23"/>
                      <w:tabs>
                        <w:tab w:val="center" w:pos="4153"/>
                        <w:tab w:val="right" w:pos="8306"/>
                      </w:tabs>
                    </w:pPr>
                    <w:r>
                      <w:fldChar w:fldCharType="begin"/>
                    </w:r>
                    <w:r>
                      <w:instrText xml:space="preserve"> PAGE  \* MERGEFORMAT </w:instrText>
                    </w:r>
                    <w:r>
                      <w:fldChar w:fldCharType="separate"/>
                    </w:r>
                    <w:r>
                      <w:t>- 1 -</w:t>
                    </w:r>
                    <w:r>
                      <w:fldChar w:fldCharType="end"/>
                    </w:r>
                  </w:p>
                </w:txbxContent>
              </v:textbox>
            </v:shape>
          </w:pict>
        </mc:Fallback>
      </mc:AlternateContent>
    </w:r>
    <w:r>
      <w:rPr>
        <w:rFonts w:hint="eastAsia"/>
      </w:rPr>
      <w:tab/>
    </w:r>
  </w:p>
</w:ftr>
</file>

<file path=word/footer4.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3"/>
      <w:tabs>
        <w:tab w:val="center" w:pos="4153"/>
        <w:tab w:val="center" w:pos="4482"/>
        <w:tab w:val="left" w:pos="5065"/>
        <w:tab w:val="right" w:pos="8306"/>
      </w:tabs>
    </w:pPr>
    <w:r>
      <mc:AlternateContent>
        <mc:Choice Requires="wps">
          <w:drawing>
            <wp:anchor distT="0" distB="0" distL="114298" distR="114298" simplePos="0" relativeHeight="34" behindDoc="0" locked="0" layoutInCell="1" hidden="0" allowOverlap="1">
              <wp:simplePos x="0" y="0"/>
              <wp:positionH relativeFrom="margin">
                <wp:align>center</wp:align>
              </wp:positionH>
              <wp:positionV relativeFrom="paragraph">
                <wp:posOffset>0</wp:posOffset>
              </wp:positionV>
              <wp:extent cx="437083" cy="139560"/>
              <wp:effectExtent l="0" t="0" r="0" b="0"/>
              <wp:wrapNone/>
              <wp:docPr id="4" name="文本框 9"/>
              <wp:cNvGraphicFramePr>
                <a:graphicFrameLocks noChangeAspect="0"/>
              </wp:cNvGraphicFramePr>
              <a:graphic>
                <a:graphicData uri="http://schemas.microsoft.com/office/word/2010/wordprocessingShape">
                  <wps:wsp>
                    <wps:cNvSpPr/>
                    <wps:spPr>
                      <a:xfrm rot="0">
                        <a:off x="0" y="0"/>
                        <a:ext cx="437083" cy="139560"/>
                      </a:xfrm>
                      <a:prstGeom prst="rect"/>
                      <a:noFill/>
                      <a:ln w="6350" cmpd="sng" cap="flat">
                        <a:noFill/>
                        <a:prstDash val="solid"/>
                        <a:round/>
                      </a:ln>
                    </wps:spPr>
                    <wps:txbx id="5">
                      <w:txbxContent>
                        <w:p>
                          <w:pPr>
                            <w:pStyle w:val="23"/>
                            <w:tabs>
                              <w:tab w:val="center" w:pos="4153"/>
                              <w:tab w:val="right" w:pos="8306"/>
                            </w:tabs>
                          </w:pPr>
                          <w:r>
                            <w:t xml:space="preserve">— </w:t>
                          </w:r>
                          <w:r>
                            <w:fldChar w:fldCharType="begin"/>
                          </w:r>
                          <w:r>
                            <w:instrText xml:space="preserve"> PAGE  \* MERGEFORMAT </w:instrText>
                          </w:r>
                          <w:r>
                            <w:fldChar w:fldCharType="separate"/>
                          </w:r>
                          <w:r>
                            <w:t>47</w:t>
                          </w:r>
                          <w:r>
                            <w:fldChar w:fldCharType="end"/>
                          </w:r>
                          <w:r>
                            <w:t xml:space="preserve"> —</w:t>
                          </w:r>
                        </w:p>
                      </w:txbxContent>
                    </wps:txbx>
                    <wps:bodyPr vert="horz" wrap="none" lIns="0" tIns="0" rIns="0" bIns="0" anchor="t" anchorCtr="0" upright="0">
                      <a:spAutoFit/>
                    </wps:bodyPr>
                  </wps:wsp>
                </a:graphicData>
              </a:graphic>
            </wp:anchor>
          </w:drawing>
        </mc:Choice>
        <mc:Fallback>
          <w:pict>
            <v:shape type="#_x0000_t202" id="文本框 9 6" o:spid="_x0000_s6" filled="f" stroked="f" strokeweight="0.5pt" style="position:absolute;margin-left:0.0pt;margin-top:0.0pt;width:34.416004pt;height:10.988999pt;z-index:34;mso-position-horizontal:center;mso-position-horizontal-relative:margin;mso-position-vertical:absolute;mso-wrap-distance-left:8.999863pt;mso-wrap-distance-right:8.999863pt;mso-wrap-style:none;">
              <v:stroke color="#000000"/>
              <v:textbox id="855" inset="0mm,0mm,0mm,0mm" o:insetmode="custom" style="layout-flow:horizontal;v-text-anchor:top;mso-fit-shape-to-text:t;">
                <w:txbxContent>
                  <w:p>
                    <w:pPr>
                      <w:pStyle w:val="23"/>
                      <w:tabs>
                        <w:tab w:val="center" w:pos="4153"/>
                        <w:tab w:val="right" w:pos="8306"/>
                      </w:tabs>
                    </w:pPr>
                    <w:r>
                      <w:t xml:space="preserve">— </w:t>
                    </w:r>
                    <w:r>
                      <w:fldChar w:fldCharType="begin"/>
                    </w:r>
                    <w:r>
                      <w:instrText xml:space="preserve"> PAGE  \* MERGEFORMAT </w:instrText>
                    </w:r>
                    <w:r>
                      <w:fldChar w:fldCharType="separate"/>
                    </w:r>
                    <w:r>
                      <w:t>47</w:t>
                    </w:r>
                    <w:r>
                      <w:fldChar w:fldCharType="end"/>
                    </w:r>
                    <w:r>
                      <w:t xml:space="preserve"> —</w:t>
                    </w:r>
                  </w:p>
                </w:txbxContent>
              </v:textbox>
            </v:shape>
          </w:pict>
        </mc:Fallback>
      </mc:AlternateContent>
    </w:r>
    <w:r>
      <w:rPr>
        <w:rFonts w:hint="eastAsia"/>
      </w:rPr>
      <w:tab/>
      <w:tab/>
      <w:tab/>
    </w:r>
  </w:p>
  <w:p>
    <w:pPr>
      <w:pStyle w:val="23"/>
      <w:tabs>
        <w:tab w:val="center" w:pos="4153"/>
        <w:tab w:val="right" w:pos="8306"/>
      </w:tabs>
    </w:pPr>
  </w:p>
</w:ftr>
</file>

<file path=word/footer5.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3"/>
      <w:tabs>
        <w:tab w:val="center" w:pos="4153"/>
        <w:tab w:val="right" w:pos="8306"/>
      </w:tabs>
    </w:pPr>
    <w:r>
      <mc:AlternateContent>
        <mc:Choice Requires="wps">
          <w:drawing>
            <wp:anchor distT="0" distB="0" distL="114298" distR="114298" simplePos="0" relativeHeight="36" behindDoc="0" locked="0" layoutInCell="1" hidden="0" allowOverlap="1">
              <wp:simplePos x="0" y="0"/>
              <wp:positionH relativeFrom="margin">
                <wp:align>center</wp:align>
              </wp:positionH>
              <wp:positionV relativeFrom="paragraph">
                <wp:posOffset>0</wp:posOffset>
              </wp:positionV>
              <wp:extent cx="57950" cy="139560"/>
              <wp:effectExtent l="0" t="0" r="0" b="0"/>
              <wp:wrapNone/>
              <wp:docPr id="7" name="文本框 8"/>
              <wp:cNvGraphicFramePr>
                <a:graphicFrameLocks noChangeAspect="0"/>
              </wp:cNvGraphicFramePr>
              <a:graphic>
                <a:graphicData uri="http://schemas.microsoft.com/office/word/2010/wordprocessingShape">
                  <wps:wsp>
                    <wps:cNvSpPr/>
                    <wps:spPr>
                      <a:xfrm rot="0">
                        <a:off x="0" y="0"/>
                        <a:ext cx="57950" cy="139560"/>
                      </a:xfrm>
                      <a:prstGeom prst="rect"/>
                      <a:noFill/>
                      <a:ln w="6350" cmpd="sng" cap="flat">
                        <a:noFill/>
                        <a:prstDash val="solid"/>
                        <a:round/>
                      </a:ln>
                    </wps:spPr>
                    <wps:txbx id="8">
                      <w:txbxContent>
                        <w:p>
                          <w:pPr>
                            <w:pStyle w:val="23"/>
                            <w:tabs>
                              <w:tab w:val="center" w:pos="4153"/>
                              <w:tab w:val="right" w:pos="8306"/>
                            </w:tabs>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type="#_x0000_t202" id="文本框 8 9" o:spid="_x0000_s9" filled="f" stroked="f" strokeweight="0.5pt" style="position:absolute;margin-left:0.0pt;margin-top:0.0pt;width:4.562999pt;height:10.988999pt;z-index:36;mso-position-horizontal:center;mso-position-horizontal-relative:margin;mso-position-vertical:absolute;mso-wrap-distance-left:8.999863pt;mso-wrap-distance-right:8.999863pt;mso-wrap-style:none;">
              <v:stroke color="#000000"/>
              <v:textbox id="856" inset="0mm,0mm,0mm,0mm" o:insetmode="custom" style="layout-flow:horizontal;v-text-anchor:top;mso-fit-shape-to-text:t;">
                <w:txbxContent>
                  <w:p>
                    <w:pPr>
                      <w:pStyle w:val="23"/>
                      <w:tabs>
                        <w:tab w:val="center" w:pos="4153"/>
                        <w:tab w:val="right" w:pos="8306"/>
                      </w:tabs>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rPr>
      <w:tab/>
    </w:r>
  </w:p>
</w:ftr>
</file>

<file path=word/header1.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4"/>
      <w:pBdr>
        <w:bottom w:val="none" w:sz="0" w:space="0" w:color="auto"/>
      </w:pBdr>
      <w:tabs>
        <w:tab w:val="center" w:pos="4153"/>
        <w:tab w:val="right" w:pos="8306"/>
      </w:tabs>
    </w:pPr>
  </w:p>
</w:hdr>
</file>

<file path=word/header2.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4"/>
      <w:pBdr>
        <w:bottom w:val="none" w:sz="0" w:space="0" w:color="auto"/>
      </w:pBdr>
      <w:tabs>
        <w:tab w:val="center" w:pos="4153"/>
        <w:tab w:val="right" w:pos="8306"/>
      </w:tabs>
    </w:pPr>
  </w:p>
</w:hd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nsid w:val="4D6539DA"/>
    <w:multiLevelType w:val="singleLevel"/>
    <w:tmpl w:val="4D6539DA"/>
    <w:lvl w:ilvl="0">
      <w:start w:val="3"/>
      <w:numFmt w:val="decimal"/>
      <w:lvlRestart w:val="0"/>
      <w:suff w:val="nothing"/>
      <w:lvlText w:val="（%1）"/>
      <w:lvlJc w:val="left"/>
      <w:pPr>
        <w:ind w:left="0" w:hanging="0"/>
      </w:pPr>
    </w:lvl>
  </w:abstractNum>
  <w:num w:numId="1">
    <w:abstractNumId w:val="0"/>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10"/>
  <w:bordersDoNotSurroundHeader/>
  <w:bordersDoNotSurroundFooter/>
  <w:documentProtection w:edit="readOnly" w:enforcement="0"/>
  <w:defaultTabStop w:val="420"/>
  <w:drawingGridHorizontalSpacing w:val="105"/>
  <w:drawingGridVerticalSpacing w:val="156"/>
  <w:displayHorizontalDrawingGridEvery w:val="0"/>
  <w:displayVerticalDrawingGridEvery w:val="1"/>
  <w:noPunctuationKerning/>
  <w:characterSpacingControl w:val="compressPunctuation"/>
  <w:compat>
    <w:spaceForUL/>
    <w:balanceSingleByteDoubleByteWidth/>
    <w:ulTrailSpace/>
    <w:doNotExpandShiftReturn/>
    <w:adjustLineHeightInTable/>
    <w:compatSetting w:name="compatibilityMode" w:uri="http://schemas.microsoft.com/office/word" w:val="14"/>
  </w:compat>
  <w:docVars>
    <w:docVar w:name="commondata" w:val="eyJoZGlkIjoiYTZhZmVkOTk3ODM1MzQ5MjBmZDhjZTY2OWI5NzVlZjUifQ=="/>
    <w:docVar w:name="KSO_WPS_MARK_KEY" w:val="83c27613-bb6c-446c-a126-079530a871a0"/>
  </w:docVar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Times New Roman" w:eastAsia="宋体" w:cs="Times New Roman" w:hAnsi="Times New Roman"/>
      <w:kern w:val="2"/>
      <w:sz w:val="21"/>
      <w:szCs w:val="24"/>
      <w:lang w:val="en-US" w:eastAsia="zh-CN" w:bidi="ar-SA"/>
    </w:rPr>
  </w:style>
  <w:style w:type="paragraph" w:styleId="1">
    <w:name w:val="heading 1"/>
    <w:basedOn w:val="0"/>
    <w:next w:val="0"/>
    <w:link w:val="1Char"/>
    <w:pPr>
      <w:keepNext/>
      <w:keepLines/>
      <w:widowControl w:val="0"/>
      <w:spacing w:before="340" w:after="330" w:line="578" w:lineRule="auto"/>
      <w:outlineLvl w:val="0"/>
    </w:pPr>
    <w:rPr>
      <w:b/>
      <w:bCs/>
      <w:kern w:val="44"/>
      <w:sz w:val="44"/>
      <w:szCs w:val="44"/>
    </w:rPr>
  </w:style>
  <w:style w:type="character" w:customStyle="1" w:styleId="1Char">
    <w:name w:val="heading 1 Char"/>
    <w:basedOn w:val="10"/>
    <w:link w:val="1"/>
    <w:rPr>
      <w:rFonts w:ascii="Times New Roman" w:eastAsia="宋体" w:cs="Times New Roman" w:hAnsi="Times New Roman"/>
      <w:b/>
      <w:bCs/>
      <w:kern w:val="44"/>
      <w:sz w:val="44"/>
      <w:szCs w:val="44"/>
      <w:lang w:val="en-US" w:eastAsia="zh-CN" w:bidi="ar-SA"/>
    </w:rPr>
  </w:style>
  <w:style w:type="paragraph" w:styleId="2">
    <w:name w:val="heading 2"/>
    <w:basedOn w:val="0"/>
    <w:next w:val="0"/>
    <w:link w:val="2Char"/>
    <w:pPr>
      <w:keepNext/>
      <w:keepLines/>
      <w:widowControl w:val="0"/>
      <w:spacing w:before="260" w:after="260" w:line="415" w:lineRule="auto"/>
      <w:outlineLvl w:val="1"/>
    </w:pPr>
    <w:rPr>
      <w:rFonts w:ascii="Cambria" w:eastAsia="宋体" w:cs="Times New Roman" w:hAnsi="Cambria"/>
      <w:b/>
      <w:bCs/>
      <w:sz w:val="32"/>
      <w:szCs w:val="32"/>
    </w:rPr>
  </w:style>
  <w:style w:type="character" w:customStyle="1" w:styleId="2Char">
    <w:name w:val="heading 2 Char"/>
    <w:basedOn w:val="10"/>
    <w:link w:val="2"/>
    <w:rPr>
      <w:rFonts w:ascii="Cambria" w:eastAsia="宋体" w:cs="Times New Roman" w:hAnsi="Cambria"/>
      <w:b/>
      <w:bCs/>
      <w:kern w:val="2"/>
      <w:sz w:val="32"/>
      <w:szCs w:val="32"/>
      <w:lang w:val="en-US" w:eastAsia="zh-CN" w:bidi="ar-SA"/>
    </w:rPr>
  </w:style>
  <w:style w:type="paragraph" w:styleId="3">
    <w:name w:val="heading 3"/>
    <w:basedOn w:val="0"/>
    <w:next w:val="0"/>
    <w:pPr>
      <w:keepNext/>
      <w:keepLines/>
      <w:widowControl w:val="0"/>
      <w:spacing w:before="260" w:after="260" w:line="415" w:lineRule="auto"/>
      <w:outlineLvl w:val="2"/>
    </w:pPr>
    <w:rPr>
      <w:b/>
      <w:bCs/>
      <w:sz w:val="32"/>
      <w:szCs w:val="32"/>
    </w:rPr>
  </w:style>
  <w:style w:type="character" w:default="1" w:styleId="10">
    <w:name w:val="Default Paragraph Font"/>
  </w:style>
  <w:style w:type="paragraph" w:styleId="15">
    <w:name w:val="toc 7"/>
    <w:basedOn w:val="0"/>
    <w:autoRedefine/>
    <w:next w:val="0"/>
    <w:pPr>
      <w:spacing w:after="160" w:line="278" w:lineRule="auto"/>
      <w:ind w:leftChars="1200" w:left="1200"/>
      <w:jc w:val="left"/>
    </w:pPr>
    <w:rPr>
      <w:rFonts w:ascii="Calibri" w:eastAsia="宋体" w:cs="Arial" w:hAnsi="Calibri"/>
      <w:sz w:val="22"/>
    </w:rPr>
  </w:style>
  <w:style w:type="paragraph" w:styleId="16">
    <w:name w:val="Normal Indent"/>
    <w:basedOn w:val="0"/>
    <w:next w:val="0"/>
    <w:pPr>
      <w:spacing w:afterLines="50" w:after="50"/>
      <w:outlineLvl w:val="3"/>
    </w:pPr>
    <w:rPr>
      <w:szCs w:val="22"/>
    </w:rPr>
  </w:style>
  <w:style w:type="paragraph" w:styleId="17">
    <w:name w:val="Body Text"/>
    <w:basedOn w:val="0"/>
    <w:pPr>
      <w:spacing w:beforeLines="30" w:before="30"/>
    </w:pPr>
    <w:rPr>
      <w:rFonts w:ascii="仿宋" w:eastAsia="仿宋"/>
      <w:kern w:val="0"/>
      <w:sz w:val="30"/>
    </w:rPr>
  </w:style>
  <w:style w:type="paragraph" w:styleId="18">
    <w:name w:val="Body Text Indent"/>
    <w:basedOn w:val="0"/>
    <w:pPr>
      <w:tabs>
        <w:tab w:val="left" w:pos="960"/>
      </w:tabs>
      <w:spacing w:line="540" w:lineRule="exact"/>
      <w:ind w:firstLineChars="1700" w:firstLine="1700"/>
    </w:pPr>
    <w:rPr>
      <w:sz w:val="32"/>
      <w:szCs w:val="32"/>
    </w:rPr>
  </w:style>
  <w:style w:type="paragraph" w:styleId="19">
    <w:name w:val="toc 5"/>
    <w:basedOn w:val="0"/>
    <w:autoRedefine/>
    <w:next w:val="0"/>
    <w:pPr>
      <w:spacing w:after="160" w:line="278" w:lineRule="auto"/>
      <w:ind w:leftChars="800" w:left="800"/>
      <w:jc w:val="left"/>
    </w:pPr>
    <w:rPr>
      <w:rFonts w:ascii="Calibri" w:eastAsia="宋体" w:cs="Arial" w:hAnsi="Calibri"/>
      <w:sz w:val="22"/>
    </w:rPr>
  </w:style>
  <w:style w:type="paragraph" w:styleId="20">
    <w:name w:val="toc 3"/>
    <w:basedOn w:val="0"/>
    <w:next w:val="0"/>
    <w:pPr>
      <w:tabs>
        <w:tab w:val="right" w:leader="dot" w:pos="8296"/>
      </w:tabs>
      <w:ind w:leftChars="400" w:left="400"/>
    </w:pPr>
  </w:style>
  <w:style w:type="paragraph" w:styleId="21">
    <w:name w:val="toc 8"/>
    <w:basedOn w:val="0"/>
    <w:autoRedefine/>
    <w:next w:val="0"/>
    <w:pPr>
      <w:spacing w:after="160" w:line="278" w:lineRule="auto"/>
      <w:ind w:leftChars="1400" w:left="1400"/>
      <w:jc w:val="left"/>
    </w:pPr>
    <w:rPr>
      <w:rFonts w:ascii="Calibri" w:eastAsia="宋体" w:cs="Arial" w:hAnsi="Calibri"/>
      <w:sz w:val="22"/>
    </w:rPr>
  </w:style>
  <w:style w:type="paragraph" w:styleId="22">
    <w:name w:val="Balloon Text"/>
    <w:basedOn w:val="0"/>
    <w:rPr>
      <w:sz w:val="18"/>
      <w:szCs w:val="18"/>
    </w:rPr>
  </w:style>
  <w:style w:type="paragraph" w:styleId="23">
    <w:name w:val="footer"/>
    <w:basedOn w:val="0"/>
    <w:pPr>
      <w:tabs>
        <w:tab w:val="center" w:pos="4153"/>
        <w:tab w:val="right" w:pos="8306"/>
      </w:tabs>
      <w:snapToGrid w:val="0"/>
      <w:jc w:val="left"/>
    </w:pPr>
    <w:rPr>
      <w:rFonts w:ascii="Calibri" w:hAnsi="Calibri"/>
      <w:kern w:val="0"/>
      <w:sz w:val="18"/>
      <w:szCs w:val="18"/>
    </w:rPr>
  </w:style>
  <w:style w:type="paragraph" w:styleId="24">
    <w:name w:val="header"/>
    <w:basedOn w:val="0"/>
    <w:pPr>
      <w:pBdr>
        <w:bottom w:val="single" w:sz="6" w:space="1" w:color="auto"/>
      </w:pBdr>
      <w:tabs>
        <w:tab w:val="center" w:pos="4153"/>
        <w:tab w:val="right" w:pos="8306"/>
      </w:tabs>
      <w:snapToGrid w:val="0"/>
      <w:jc w:val="center"/>
    </w:pPr>
    <w:rPr>
      <w:rFonts w:ascii="Calibri" w:hAnsi="Calibri"/>
      <w:kern w:val="0"/>
      <w:sz w:val="18"/>
      <w:szCs w:val="18"/>
    </w:rPr>
  </w:style>
  <w:style w:type="paragraph" w:styleId="25">
    <w:name w:val="toc 1"/>
    <w:basedOn w:val="0"/>
    <w:next w:val="0"/>
    <w:pPr>
      <w:tabs>
        <w:tab w:val="right" w:leader="dot" w:pos="8296"/>
      </w:tabs>
      <w:spacing w:before="93"/>
      <w:jc w:val="center"/>
    </w:pPr>
    <w:rPr>
      <w:rFonts w:ascii="仿宋" w:eastAsia="仿宋"/>
      <w:sz w:val="28"/>
      <w:szCs w:val="28"/>
    </w:rPr>
  </w:style>
  <w:style w:type="paragraph" w:styleId="26">
    <w:name w:val="toc 4"/>
    <w:basedOn w:val="0"/>
    <w:autoRedefine/>
    <w:next w:val="0"/>
    <w:pPr>
      <w:spacing w:after="160" w:line="278" w:lineRule="auto"/>
      <w:ind w:leftChars="600" w:left="600"/>
      <w:jc w:val="left"/>
    </w:pPr>
    <w:rPr>
      <w:rFonts w:ascii="Calibri" w:eastAsia="宋体" w:cs="Arial" w:hAnsi="Calibri"/>
      <w:sz w:val="22"/>
    </w:rPr>
  </w:style>
  <w:style w:type="paragraph" w:styleId="27">
    <w:name w:val="toc 6"/>
    <w:basedOn w:val="0"/>
    <w:autoRedefine/>
    <w:next w:val="0"/>
    <w:pPr>
      <w:spacing w:after="160" w:line="278" w:lineRule="auto"/>
      <w:ind w:leftChars="1000" w:left="1000"/>
      <w:jc w:val="left"/>
    </w:pPr>
    <w:rPr>
      <w:rFonts w:ascii="Calibri" w:eastAsia="宋体" w:cs="Arial" w:hAnsi="Calibri"/>
      <w:sz w:val="22"/>
    </w:rPr>
  </w:style>
  <w:style w:type="paragraph" w:styleId="28">
    <w:name w:val="toc 2"/>
    <w:basedOn w:val="0"/>
    <w:next w:val="0"/>
    <w:pPr>
      <w:tabs>
        <w:tab w:val="right" w:leader="dot" w:pos="8296"/>
      </w:tabs>
      <w:ind w:leftChars="200" w:left="200"/>
    </w:pPr>
  </w:style>
  <w:style w:type="paragraph" w:styleId="29">
    <w:name w:val="toc 9"/>
    <w:basedOn w:val="0"/>
    <w:autoRedefine/>
    <w:next w:val="0"/>
    <w:pPr>
      <w:spacing w:after="160" w:line="278" w:lineRule="auto"/>
      <w:ind w:leftChars="1600" w:left="1600"/>
      <w:jc w:val="left"/>
    </w:pPr>
    <w:rPr>
      <w:rFonts w:ascii="Calibri" w:eastAsia="宋体" w:cs="Arial" w:hAnsi="Calibri"/>
      <w:sz w:val="22"/>
    </w:rPr>
  </w:style>
  <w:style w:type="paragraph" w:styleId="30">
    <w:name w:val="Normal (Web)"/>
    <w:basedOn w:val="0"/>
    <w:pPr>
      <w:widowControl/>
      <w:spacing w:before="100" w:beforeAutospacing="1" w:after="100" w:afterAutospacing="1"/>
      <w:jc w:val="left"/>
    </w:pPr>
    <w:rPr>
      <w:rFonts w:ascii="宋体" w:cs="宋体"/>
      <w:kern w:val="0"/>
      <w:sz w:val="24"/>
    </w:rPr>
  </w:style>
  <w:style w:type="paragraph" w:styleId="31">
    <w:name w:val="Body Text First Indent 2"/>
    <w:basedOn w:val="18"/>
    <w:pPr>
      <w:tabs>
        <w:tab w:val="left" w:pos="960"/>
      </w:tabs>
      <w:ind w:firstLineChars="200" w:firstLine="200"/>
    </w:pPr>
  </w:style>
  <w:style w:type="character" w:styleId="32">
    <w:name w:val="Strong"/>
    <w:basedOn w:val="10"/>
    <w:rPr>
      <w:b/>
    </w:rPr>
  </w:style>
  <w:style w:type="character" w:styleId="33">
    <w:name w:val="Hyperlink"/>
    <w:basedOn w:val="10"/>
    <w:rPr>
      <w:color w:val="0000FF"/>
      <w:u w:val="single"/>
    </w:rPr>
  </w:style>
  <w:style w:type="paragraph" w:customStyle="1" w:styleId="34">
    <w:name w:val="标题 5（有编号）（绿盟科技）"/>
    <w:next w:val="0"/>
    <w:pPr>
      <w:keepNext/>
      <w:keepLines/>
      <w:widowControl w:val="0"/>
      <w:spacing w:before="280" w:after="156" w:line="377" w:lineRule="auto"/>
      <w:outlineLvl w:val="4"/>
    </w:pPr>
    <w:rPr>
      <w:rFonts w:ascii="Arial" w:eastAsia="黑体" w:cs="Times New Roman" w:hAnsi="Arial"/>
      <w:b/>
      <w:kern w:val="2"/>
      <w:sz w:val="24"/>
      <w:szCs w:val="28"/>
      <w:lang w:val="en-US" w:eastAsia="zh-CN" w:bidi="ar-SA"/>
    </w:rPr>
  </w:style>
  <w:style w:type="character" w:customStyle="1" w:styleId="35">
    <w:name w:val="Header Char"/>
    <w:basedOn w:val="10"/>
    <w:rPr>
      <w:rFonts w:ascii="Times New Roman" w:hAnsi="Times New Roman"/>
      <w:sz w:val="18"/>
      <w:szCs w:val="18"/>
    </w:rPr>
  </w:style>
  <w:style w:type="character" w:customStyle="1" w:styleId="36">
    <w:name w:val="Footer Char"/>
    <w:basedOn w:val="10"/>
    <w:rPr>
      <w:rFonts w:ascii="Times New Roman" w:hAnsi="Times New Roman"/>
      <w:sz w:val="18"/>
      <w:szCs w:val="18"/>
    </w:rPr>
  </w:style>
  <w:style w:type="character" w:customStyle="1" w:styleId="37">
    <w:name w:val="Body Text Char"/>
    <w:basedOn w:val="10"/>
    <w:rPr>
      <w:rFonts w:ascii="Times New Roman" w:hAnsi="Times New Roman"/>
      <w:szCs w:val="24"/>
    </w:rPr>
  </w:style>
  <w:style w:type="paragraph" w:customStyle="1" w:styleId="38">
    <w:name w:val="Default"/>
    <w:pPr>
      <w:widowControl w:val="0"/>
      <w:autoSpaceDE w:val="0"/>
      <w:autoSpaceDN w:val="0"/>
      <w:adjustRightInd w:val="0"/>
    </w:pPr>
    <w:rPr>
      <w:rFonts w:ascii="仿宋" w:eastAsia="仿宋" w:cs="仿宋"/>
      <w:color w:val="000000"/>
      <w:sz w:val="24"/>
      <w:szCs w:val="24"/>
      <w:lang w:val="en-US" w:eastAsia="zh-CN" w:bidi="ar-SA"/>
    </w:rPr>
  </w:style>
  <w:style w:type="paragraph" w:styleId="39">
    <w:name w:val="List Paragraph"/>
    <w:basedOn w:val="0"/>
    <w:pPr>
      <w:ind w:firstLineChars="200" w:firstLine="200"/>
    </w:pPr>
  </w:style>
  <w:style w:type="character" w:customStyle="1" w:styleId="40">
    <w:name w:val="标题 1 Char"/>
    <w:basedOn w:val="10"/>
    <w:rPr>
      <w:rFonts w:ascii="Times New Roman" w:hAnsi="Times New Roman"/>
      <w:b/>
      <w:bCs/>
      <w:kern w:val="44"/>
      <w:sz w:val="44"/>
      <w:szCs w:val="44"/>
    </w:rPr>
  </w:style>
  <w:style w:type="paragraph" w:customStyle="1" w:styleId="41">
    <w:name w:val="TOC 标题1"/>
    <w:basedOn w:val="1"/>
    <w:next w:val="0"/>
    <w:pPr>
      <w:keepNext/>
      <w:keepLines/>
      <w:widowControl/>
      <w:spacing w:before="480" w:after="0" w:line="276" w:lineRule="auto"/>
      <w:jc w:val="left"/>
      <w:outlineLvl w:val="9"/>
    </w:pPr>
    <w:rPr>
      <w:rFonts w:ascii="Cambria" w:eastAsia="宋体" w:cs="Times New Roman" w:hAnsi="Cambria"/>
      <w:color w:val="376092"/>
      <w:kern w:val="0"/>
      <w:sz w:val="28"/>
      <w:szCs w:val="28"/>
    </w:rPr>
  </w:style>
  <w:style w:type="paragraph" w:customStyle="1" w:styleId="42">
    <w:name w:val="TOC 标题2"/>
    <w:basedOn w:val="1"/>
    <w:next w:val="0"/>
    <w:pPr>
      <w:keepNext/>
      <w:keepLines/>
      <w:widowControl/>
      <w:spacing w:before="480" w:after="0" w:line="276" w:lineRule="auto"/>
      <w:jc w:val="left"/>
      <w:outlineLvl w:val="9"/>
    </w:pPr>
    <w:rPr>
      <w:rFonts w:ascii="Cambria" w:eastAsia="宋体" w:cs="Times New Roman" w:hAnsi="Cambria"/>
      <w:color w:val="376092"/>
      <w:kern w:val="0"/>
      <w:sz w:val="28"/>
      <w:szCs w:val="28"/>
    </w:rPr>
  </w:style>
  <w:style w:type="paragraph" w:customStyle="1" w:styleId="43">
    <w:name w:val="WPSOffice手动目录 1"/>
    <w:rPr>
      <w:rFonts w:ascii="Times New Roman" w:eastAsia="宋体" w:cs="Times New Roman" w:hAnsi="Times New Roman"/>
      <w:sz w:val="20"/>
      <w:szCs w:val="20"/>
      <w:lang w:val="en-US" w:eastAsia="zh-CN" w:bidi="ar-SA"/>
    </w:rPr>
  </w:style>
  <w:style w:type="paragraph" w:customStyle="1" w:styleId="44">
    <w:name w:val="WPSOffice手动目录 2"/>
    <w:pPr>
      <w:ind w:leftChars="200" w:left="200"/>
    </w:pPr>
    <w:rPr>
      <w:rFonts w:ascii="Times New Roman" w:eastAsia="宋体" w:cs="Times New Roman" w:hAnsi="Times New Roman"/>
      <w:sz w:val="20"/>
      <w:szCs w:val="20"/>
      <w:lang w:val="en-US" w:eastAsia="zh-CN" w:bidi="ar-SA"/>
    </w:rPr>
  </w:style>
  <w:style w:type="paragraph" w:customStyle="1" w:styleId="45">
    <w:name w:val="WPSOffice手动目录 3"/>
    <w:pPr>
      <w:ind w:leftChars="400" w:left="400"/>
    </w:pPr>
    <w:rPr>
      <w:rFonts w:ascii="Times New Roman" w:eastAsia="宋体" w:cs="Times New Roman" w:hAnsi="Times New Roman"/>
      <w:sz w:val="20"/>
      <w:szCs w:val="20"/>
      <w:lang w:val="en-US" w:eastAsia="zh-CN" w:bidi="ar-SA"/>
    </w:rPr>
  </w:style>
  <w:style w:type="paragraph" w:customStyle="1" w:styleId="46">
    <w:name w:val="四号正文"/>
    <w:basedOn w:val="0"/>
    <w:pPr>
      <w:spacing w:line="360" w:lineRule="auto"/>
    </w:pPr>
    <w:rPr>
      <w:rFonts w:ascii="??" w:hAnsi="??"/>
      <w:color w:val="000000"/>
      <w:kern w:val="0"/>
      <w:sz w:val="28"/>
      <w:szCs w:val="21"/>
      <w:lang w:val="zh-CN"/>
    </w:rPr>
  </w:style>
  <w:style w:type="character" w:customStyle="1" w:styleId="47">
    <w:name w:val="Unresolved Mention"/>
    <w:basedOn w:val="10"/>
    <w:rPr>
      <w:color w:val="605E5C"/>
      <w:shd w:val="clear" w:color="auto" w:fill="E1DFDD"/>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footer" Target="footer3.xml"/><Relationship Id="rId6" Type="http://schemas.openxmlformats.org/officeDocument/2006/relationships/header" Target="header2.xml"/><Relationship Id="rId7" Type="http://schemas.openxmlformats.org/officeDocument/2006/relationships/footer" Target="footer4.xml"/><Relationship Id="rId8" Type="http://schemas.openxmlformats.org/officeDocument/2006/relationships/footer" Target="footer5.xml"/><Relationship Id="rId9" Type="http://schemas.openxmlformats.org/officeDocument/2006/relationships/chart" Target="charts/chart1.xml"/><Relationship Id="rId10" Type="http://schemas.openxmlformats.org/officeDocument/2006/relationships/chart" Target="charts/chart2.xml"/><Relationship Id="rId11" Type="http://schemas.openxmlformats.org/officeDocument/2006/relationships/chart" Target="charts/chart3.xml"/><Relationship Id="rId12" Type="http://schemas.openxmlformats.org/officeDocument/2006/relationships/chart" Target="charts/chart4.xml"/><Relationship Id="rId13" Type="http://schemas.openxmlformats.org/officeDocument/2006/relationships/chart" Target="charts/chart5.xml"/><Relationship Id="rId14" Type="http://schemas.openxmlformats.org/officeDocument/2006/relationships/chart" Target="charts/chart6.xml"/><Relationship Id="rId15" Type="http://schemas.openxmlformats.org/officeDocument/2006/relationships/styles" Target="styles.xml"/><Relationship Id="rId16" Type="http://schemas.openxmlformats.org/officeDocument/2006/relationships/numbering" Target="numbering.xml"/><Relationship Id="rId17"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char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char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char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char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char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chart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333333"/>
                </a:solidFill>
                <a:latin typeface="宋体"/>
                <a:ea typeface="宋体"/>
                <a:cs typeface="Arial"/>
              </a:defRPr>
            </a:pPr>
            <a:r>
              <a:rPr lang="zh-CN"/>
              <a:t>2024年与2025年收、支决算总计变动情况图（单位：万元）</a:t>
            </a:r>
          </a:p>
        </c:rich>
      </c:tx>
      <c:layout/>
      <c:overlay val="0"/>
      <c:spPr>
        <a:noFill/>
        <a:ln>
          <a:noFill/>
        </a:ln>
      </c:spPr>
    </c:title>
    <c:autoTitleDeleted val="1"/>
    <c:plotArea>
      <c:layout/>
      <c:barChart>
        <c:barDir val="col"/>
        <c:grouping val="clustered"/>
        <c:varyColors val="0"/>
        <c:ser>
          <c:idx val="0"/>
          <c:order val="0"/>
          <c:tx>
            <c:v>2024年</c:v>
          </c:tx>
          <c:spPr>
            <a:solidFill>
              <a:srgbClr val="5B9BD5"/>
            </a:solidFill>
            <a:ln>
              <a:noFill/>
            </a:ln>
          </c:spPr>
          <c:invertIfNegative val="0"/>
          <c:dLbls>
            <c:spPr>
              <a:noFill/>
              <a:ln>
                <a:noFill/>
              </a:ln>
            </c:spPr>
            <c:txPr>
              <a:bodyPr vert="horz"/>
              <a:lstStyle/>
              <a:p>
                <a:pPr>
                  <a:defRPr sz="1000" b="0" i="0" u="none" strike="noStrike" baseline="0">
                    <a:solidFill>
                      <a:srgbClr val="333333"/>
                    </a:solidFill>
                    <a:latin typeface="宋体"/>
                    <a:ea typeface="宋体"/>
                    <a:cs typeface="Arial"/>
                  </a:defRPr>
                </a:pPr>
                <a:endParaRPr lang="zh-CN"/>
              </a:p>
            </c:txPr>
            <c:numFmt formatCode="General" sourceLinked="0"/>
            <c:dLblPos val="outEnd"/>
            <c:showLegendKey val="0"/>
            <c:showVal val="1"/>
            <c:showCatName val="0"/>
            <c:showSerName val="0"/>
            <c:showPercent val="0"/>
            <c:showBubbleSize val="0"/>
            <c:showLeaderLines val="0"/>
          </c:dLbls>
          <c:cat>
            <c:strLit>
              <c:ptCount val="2"/>
              <c:pt idx="0">
                <c:v>收入</c:v>
              </c:pt>
              <c:pt idx="1">
                <c:v>支出</c:v>
              </c:pt>
            </c:strLit>
          </c:cat>
          <c:val>
            <c:numRef>
              <c:f/>
              <c:numCache>
                <c:formatCode>General</c:formatCode>
                <c:ptCount val="2"/>
                <c:pt idx="0">
                  <c:v>1910.6</c:v>
                </c:pt>
                <c:pt idx="1">
                  <c:v>1910.6</c:v>
                </c:pt>
              </c:numCache>
            </c:numRef>
          </c:val>
        </c:ser>
        <c:ser>
          <c:idx val="1"/>
          <c:order val="1"/>
          <c:tx>
            <c:v>2025年</c:v>
          </c:tx>
          <c:spPr>
            <a:solidFill>
              <a:srgbClr val="ED7D31"/>
            </a:solidFill>
            <a:ln>
              <a:noFill/>
            </a:ln>
          </c:spPr>
          <c:invertIfNegative val="0"/>
          <c:dLbls>
            <c:spPr>
              <a:noFill/>
              <a:ln>
                <a:noFill/>
              </a:ln>
            </c:spPr>
            <c:txPr>
              <a:bodyPr vert="horz"/>
              <a:lstStyle/>
              <a:p>
                <a:pPr>
                  <a:defRPr sz="1000" b="0" i="0" u="none" strike="noStrike" baseline="0">
                    <a:solidFill>
                      <a:srgbClr val="333333"/>
                    </a:solidFill>
                    <a:latin typeface="宋体"/>
                    <a:ea typeface="宋体"/>
                    <a:cs typeface="Arial"/>
                  </a:defRPr>
                </a:pPr>
                <a:endParaRPr lang="zh-CN"/>
              </a:p>
            </c:txPr>
            <c:numFmt formatCode="#,##0.00" sourceLinked="0"/>
            <c:dLblPos val="outEnd"/>
            <c:showLegendKey val="0"/>
            <c:showVal val="1"/>
            <c:showCatName val="0"/>
            <c:showSerName val="0"/>
            <c:showPercent val="0"/>
            <c:showBubbleSize val="0"/>
            <c:showLeaderLines val="0"/>
          </c:dLbls>
          <c:cat>
            <c:strLit>
              <c:ptCount val="2"/>
              <c:pt idx="0">
                <c:v>收入</c:v>
              </c:pt>
              <c:pt idx="1">
                <c:v>支出</c:v>
              </c:pt>
            </c:strLit>
          </c:cat>
          <c:val>
            <c:numRef>
              <c:f/>
              <c:numCache>
                <c:formatCode>General</c:formatCode>
                <c:ptCount val="2"/>
                <c:pt idx="0">
                  <c:v>1943.37</c:v>
                </c:pt>
                <c:pt idx="1">
                  <c:v>1943.37</c:v>
                </c:pt>
              </c:numCache>
            </c:numRef>
          </c:val>
        </c:ser>
        <c:overlap val="-28"/>
        <c:gapWidth val="246"/>
        <c:axId val="0"/>
        <c:axId val="1"/>
      </c:barChart>
      <c:catAx>
        <c:axId val="0"/>
        <c:scaling>
          <c:orientation val="minMax"/>
        </c:scaling>
        <c:delete val="0"/>
        <c:axPos val="b"/>
        <c:numFmt formatCode="General" sourceLinked="0"/>
        <c:majorTickMark val="none"/>
        <c:minorTickMark val="none"/>
        <c:tickLblPos val="nextTo"/>
        <c:spPr>
          <a:ln w="6350">
            <a:solidFill>
              <a:srgbClr val="D9D9D9"/>
            </a:solidFill>
            <a:prstDash val="solid"/>
          </a:ln>
        </c:spPr>
        <c:txPr>
          <a:bodyPr rot="0" vert="horz" anchor="t" anchorCtr="0"/>
          <a:lstStyle/>
          <a:p>
            <a:pPr>
              <a:defRPr sz="900" b="0" i="0" u="none" strike="noStrike" baseline="0">
                <a:solidFill>
                  <a:srgbClr val="333333"/>
                </a:solidFill>
                <a:latin typeface="宋体"/>
                <a:ea typeface="宋体"/>
                <a:cs typeface="Arial"/>
              </a:defRPr>
            </a:pPr>
            <a:endParaRPr lang="zh-CN"/>
          </a:p>
        </c:txPr>
        <c:crosses val="autoZero"/>
        <c:auto val="1"/>
        <c:lblOffset val="100"/>
        <c:lblAlgn val="ctr"/>
        <c:noMultiLvlLbl val="0"/>
        <c:crossAx val="1"/>
      </c:catAx>
      <c:valAx>
        <c:axId val="1"/>
        <c:scaling>
          <c:orientation val="minMax"/>
        </c:scaling>
        <c:delete val="0"/>
        <c:axPos val="l"/>
        <c:majorGridlines>
          <c:spPr>
            <a:ln w="6350">
              <a:solidFill>
                <a:srgbClr val="E6E6E6"/>
              </a:solidFill>
              <a:prstDash val="solid"/>
            </a:ln>
          </c:spPr>
        </c:majorGridlines>
        <c:numFmt formatCode="General" sourceLinked="1"/>
        <c:majorTickMark val="none"/>
        <c:minorTickMark val="none"/>
        <c:tickLblPos val="nextTo"/>
        <c:spPr>
          <a:ln>
            <a:noFill/>
          </a:ln>
        </c:spPr>
        <c:txPr>
          <a:bodyPr rot="0" vert="horz" anchor="t" anchorCtr="0"/>
          <a:lstStyle/>
          <a:p>
            <a:pPr>
              <a:defRPr sz="900" b="0" i="0" u="none" strike="noStrike" baseline="0">
                <a:solidFill>
                  <a:srgbClr val="333333"/>
                </a:solidFill>
                <a:latin typeface="宋体"/>
                <a:ea typeface="宋体"/>
                <a:cs typeface="Arial"/>
              </a:defRPr>
            </a:pPr>
            <a:endParaRPr lang="zh-CN"/>
          </a:p>
        </c:txPr>
        <c:crossesAt val="1.0"/>
        <c:crossBetween val="between"/>
        <c:crossAx val="0"/>
      </c:valAx>
      <c:spPr>
        <a:noFill/>
        <a:ln>
          <a:noFill/>
        </a:ln>
      </c:spPr>
    </c:plotArea>
    <c:legend>
      <c:legendPos val="r"/>
      <c:layout>
        <c:manualLayout>
          <c:xMode val="edge"/>
          <c:yMode val="edge"/>
          <c:x val="0.3974481"/>
          <c:y val="0.9115212"/>
          <c:w val="0.20217583"/>
          <c:h val="0.055902492"/>
        </c:manualLayout>
      </c:layout>
      <c:overlay val="0"/>
      <c:spPr>
        <a:noFill/>
        <a:ln>
          <a:noFill/>
        </a:ln>
      </c:spPr>
      <c:txPr>
        <a:bodyPr/>
        <a:lstStyle/>
        <a:p>
          <a:pPr>
            <a:defRPr sz="850" b="0" i="0" u="none" strike="noStrike" baseline="0">
              <a:solidFill>
                <a:srgbClr val="333333"/>
              </a:solidFill>
              <a:latin typeface="宋体"/>
              <a:ea typeface="宋体"/>
              <a:cs typeface="Arial"/>
            </a:defRPr>
          </a:pPr>
          <a:endParaRPr lang="zh-CN"/>
        </a:p>
      </c:txPr>
    </c:legend>
    <c:plotVisOnly val="1"/>
    <c:dispBlanksAs val="gap"/>
    <c:showDLblsOverMax val="0"/>
  </c:chart>
  <c:spPr>
    <a:solidFill>
      <a:srgbClr val="FFFFFF"/>
    </a:solidFill>
    <a:ln w="6350">
      <a:solidFill>
        <a:srgbClr val="D9D9D9"/>
      </a:solidFill>
      <a:prstDash val="solid"/>
    </a:ln>
  </c:spPr>
  <c:txPr>
    <a:bodyPr/>
    <a:lstStyle/>
    <a:p>
      <a:pPr>
        <a:defRPr sz="1000" b="0" i="0" u="none" strike="noStrike" baseline="0">
          <a:solidFill>
            <a:srgbClr val="000000"/>
          </a:solidFill>
          <a:latin typeface="宋体"/>
          <a:ea typeface="宋体"/>
          <a:cs typeface="Arial"/>
        </a:defRPr>
      </a:pPr>
      <a:endParaRPr lang="zh-CN"/>
    </a:p>
  </c:txPr>
  <c:printSettings>
    <c:headerFooter/>
    <c:pageMargins b="0.75" l="0.7" r="0.7" t="0.75" header="0.3" footer="0.3"/>
    <c:pageSetup/>
  </c:printSettings>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800" b="1" i="0" u="none" strike="noStrike" baseline="0">
                <a:solidFill>
                  <a:srgbClr val="000000"/>
                </a:solidFill>
                <a:latin typeface="Times New Roman"/>
                <a:ea typeface="宋体"/>
                <a:cs typeface="Arial"/>
              </a:defRPr>
            </a:pPr>
            <a:r>
              <a:rPr lang="zh-CN" sz="1400" b="0" i="0" u="none" strike="noStrike" baseline="0">
                <a:solidFill>
                  <a:srgbClr val="595959"/>
                </a:solidFill>
                <a:latin typeface="Times New Roman"/>
                <a:ea typeface="宋体"/>
                <a:cs typeface="Arial"/>
              </a:rPr>
              <a:t>2025</a:t>
            </a:r>
            <a:r>
              <a:rPr lang="zh-CN" sz="1400" b="0" i="0" u="none" strike="noStrike" baseline="0">
                <a:solidFill>
                  <a:srgbClr val="595959"/>
                </a:solidFill>
                <a:latin typeface="Times New Roman"/>
                <a:ea typeface="宋体"/>
                <a:cs typeface="Arial"/>
              </a:rPr>
              <a:t>年收入决算结构体（单位：万元）</a:t>
            </a:r>
          </a:p>
        </c:rich>
      </c:tx>
      <c:layout/>
      <c:overlay val="0"/>
      <c:spPr>
        <a:noFill/>
        <a:ln>
          <a:noFill/>
        </a:ln>
      </c:spPr>
    </c:title>
    <c:autoTitleDeleted val="1"/>
    <c:plotArea>
      <c:layout/>
      <c:pieChart>
        <c:varyColors val="1"/>
        <c:ser>
          <c:idx val="0"/>
          <c:order val="0"/>
          <c:tx>
            <c:v>2025年收入决算占比图</c:v>
          </c:tx>
          <c:spPr>
            <a:solidFill>
              <a:srgbClr val="4F81BD"/>
            </a:solidFill>
          </c:spPr>
          <c:dPt>
            <c:idx val="0"/>
            <c:bubble3D val="0"/>
            <c:spPr>
              <a:solidFill>
                <a:srgbClr val="4F81BD"/>
              </a:solidFill>
              <a:ln w="19050">
                <a:solidFill>
                  <a:srgbClr val="FFFFFF"/>
                </a:solidFill>
                <a:prstDash val="solid"/>
              </a:ln>
            </c:spPr>
          </c:dPt>
          <c:dPt>
            <c:idx val="1"/>
            <c:bubble3D val="0"/>
            <c:spPr>
              <a:solidFill>
                <a:srgbClr val="C0504D"/>
              </a:solidFill>
              <a:ln w="19050">
                <a:solidFill>
                  <a:srgbClr val="FFFFFF"/>
                </a:solidFill>
                <a:prstDash val="solid"/>
              </a:ln>
            </c:spPr>
          </c:dPt>
          <c:dPt>
            <c:idx val="2"/>
            <c:bubble3D val="0"/>
            <c:spPr>
              <a:solidFill>
                <a:srgbClr val="9BBB59"/>
              </a:solidFill>
              <a:ln w="19050">
                <a:solidFill>
                  <a:srgbClr val="FFFFFF"/>
                </a:solidFill>
                <a:prstDash val="solid"/>
              </a:ln>
            </c:spPr>
          </c:dPt>
          <c:dPt>
            <c:idx val="3"/>
            <c:bubble3D val="0"/>
            <c:spPr>
              <a:solidFill>
                <a:srgbClr val="8064A2"/>
              </a:solidFill>
              <a:ln w="19050">
                <a:solidFill>
                  <a:srgbClr val="FFFFFF"/>
                </a:solidFill>
                <a:prstDash val="solid"/>
              </a:ln>
            </c:spPr>
          </c:dPt>
          <c:dPt>
            <c:idx val="4"/>
            <c:bubble3D val="0"/>
            <c:spPr>
              <a:solidFill>
                <a:srgbClr val="4BACC6"/>
              </a:solidFill>
              <a:ln w="19050">
                <a:solidFill>
                  <a:srgbClr val="FFFFFF"/>
                </a:solidFill>
                <a:prstDash val="solid"/>
              </a:ln>
            </c:spPr>
          </c:dPt>
          <c:dPt>
            <c:idx val="5"/>
            <c:bubble3D val="0"/>
            <c:spPr>
              <a:solidFill>
                <a:srgbClr val="F79646"/>
              </a:solidFill>
              <a:ln w="19050">
                <a:solidFill>
                  <a:srgbClr val="FFFFFF"/>
                </a:solidFill>
                <a:prstDash val="solid"/>
              </a:ln>
            </c:spPr>
          </c:dPt>
          <c:dPt>
            <c:idx val="6"/>
            <c:bubble3D val="0"/>
            <c:spPr>
              <a:solidFill>
                <a:srgbClr val="2C4D75"/>
              </a:solidFill>
              <a:ln w="19050">
                <a:solidFill>
                  <a:srgbClr val="FFFFFF"/>
                </a:solidFill>
                <a:prstDash val="solid"/>
              </a:ln>
            </c:spPr>
          </c:dPt>
          <c:dPt>
            <c:idx val="7"/>
            <c:bubble3D val="0"/>
            <c:spPr>
              <a:solidFill>
                <a:srgbClr val="772C2A"/>
              </a:solidFill>
              <a:ln w="19050">
                <a:solidFill>
                  <a:srgbClr val="FFFFFF"/>
                </a:solidFill>
                <a:prstDash val="solid"/>
              </a:ln>
            </c:spPr>
          </c:dPt>
          <c:dPt>
            <c:idx val="8"/>
            <c:bubble3D val="0"/>
            <c:spPr>
              <a:solidFill>
                <a:srgbClr val="5F7530"/>
              </a:solidFill>
              <a:ln w="19050">
                <a:solidFill>
                  <a:srgbClr val="FFFFFF"/>
                </a:solidFill>
                <a:prstDash val="solid"/>
              </a:ln>
            </c:spPr>
          </c:dPt>
          <c:dLbls>
            <c:spPr>
              <a:noFill/>
              <a:ln>
                <a:noFill/>
              </a:ln>
            </c:spPr>
            <c:txPr>
              <a:bodyPr vert="horz"/>
              <a:lstStyle/>
              <a:p>
                <a:pPr>
                  <a:defRPr sz="900" b="0" i="0" u="none" strike="noStrike" baseline="0">
                    <a:solidFill>
                      <a:srgbClr val="404040"/>
                    </a:solidFill>
                    <a:latin typeface="Times New Roman"/>
                    <a:ea typeface="宋体"/>
                    <a:cs typeface="Arial"/>
                  </a:defRPr>
                </a:pPr>
                <a:endParaRPr lang="zh-CN"/>
              </a:p>
            </c:txPr>
            <c:numFmt formatCode="General" sourceLinked="0"/>
            <c:dLbl>
              <c:idx val="6"/>
              <c:layout>
                <c:manualLayout>
                  <c:x val="0.04611089"/>
                  <c:y val="0.0038236366"/>
                </c:manualLayout>
              </c:layout>
              <c:numFmt formatCode="General" sourceLinked="0"/>
              <c:spPr>
                <a:noFill/>
                <a:ln>
                  <a:noFill/>
                </a:ln>
              </c:spPr>
              <c:txPr>
                <a:bodyPr vert="horz"/>
                <a:lstStyle/>
                <a:p>
                  <a:pPr>
                    <a:defRPr sz="900" b="0" i="0" u="none" strike="noStrike" baseline="0">
                      <a:solidFill>
                        <a:srgbClr val="404040"/>
                      </a:solidFill>
                      <a:latin typeface="Times New Roman"/>
                      <a:ea typeface="宋体"/>
                      <a:cs typeface="Arial"/>
                    </a:defRPr>
                  </a:pPr>
                  <a:endParaRPr lang="zh-CN"/>
                </a:p>
              </c:txPr>
              <c:showLegendKey val="0"/>
              <c:showVal val="1"/>
              <c:showCatName val="0"/>
              <c:showSerName val="0"/>
              <c:showPercent val="0"/>
              <c:showBubbleSize val="0"/>
            </c:dLbl>
            <c:showLegendKey val="0"/>
            <c:showVal val="1"/>
            <c:showCatName val="0"/>
            <c:showSerName val="0"/>
            <c:showPercent val="0"/>
            <c:showBubbleSize val="0"/>
            <c:showLeaderLines val="1"/>
          </c:dLbls>
          <c:cat>
            <c:strLit>
              <c:ptCount val="9"/>
              <c:pt idx="0">
                <c:v>一般公共预算财政拨款收入</c:v>
              </c:pt>
              <c:pt idx="1">
                <c:v>上级补助收入</c:v>
              </c:pt>
              <c:pt idx="2">
                <c:v>事业收入</c:v>
              </c:pt>
              <c:pt idx="3">
                <c:v>政府性基金预算财政拨款收入</c:v>
              </c:pt>
              <c:pt idx="4">
                <c:v>经营收入</c:v>
              </c:pt>
              <c:pt idx="5">
                <c:v>附属单位上缴收入</c:v>
              </c:pt>
              <c:pt idx="6">
                <c:v>其他收入</c:v>
              </c:pt>
              <c:pt idx="7">
                <c:v>年初结转结余</c:v>
              </c:pt>
              <c:pt idx="8">
                <c:v>国有资本经营预算财政拨款收入</c:v>
              </c:pt>
            </c:strLit>
          </c:cat>
          <c:val>
            <c:numRef>
              <c:f/>
              <c:numCache>
                <c:formatCode>General</c:formatCode>
                <c:ptCount val="9"/>
                <c:pt idx="0">
                  <c:v>1908.97</c:v>
                </c:pt>
                <c:pt idx="3">
                  <c:v>1.0</c:v>
                </c:pt>
                <c:pt idx="6">
                  <c:v>22.4</c:v>
                </c:pt>
              </c:numCache>
            </c:numRef>
          </c:val>
        </c:ser>
        <c:ser>
          <c:idx val="1"/>
          <c:order val="1"/>
          <c:spPr>
            <a:solidFill>
              <a:srgbClr val="C0504D"/>
            </a:solidFill>
          </c:spPr>
          <c:dPt>
            <c:idx val="0"/>
            <c:invertIfNegative val="0"/>
            <c:bubble3D val="0"/>
            <c:spPr>
              <a:ln w="19050">
                <a:solidFill>
                  <a:srgbClr val="FFFFFF"/>
                </a:solidFill>
                <a:prstDash val="solid"/>
              </a:ln>
            </c:spPr>
          </c:dPt>
          <c:dPt>
            <c:idx val="1"/>
            <c:invertIfNegative val="0"/>
            <c:bubble3D val="0"/>
            <c:spPr>
              <a:ln w="19050">
                <a:solidFill>
                  <a:srgbClr val="FFFFFF"/>
                </a:solidFill>
                <a:prstDash val="solid"/>
              </a:ln>
            </c:spPr>
          </c:dPt>
          <c:dPt>
            <c:idx val="2"/>
            <c:invertIfNegative val="0"/>
            <c:bubble3D val="0"/>
            <c:spPr>
              <a:ln w="19050">
                <a:solidFill>
                  <a:srgbClr val="FFFFFF"/>
                </a:solidFill>
                <a:prstDash val="solid"/>
              </a:ln>
            </c:spPr>
          </c:dPt>
          <c:dPt>
            <c:idx val="3"/>
            <c:invertIfNegative val="0"/>
            <c:bubble3D val="0"/>
            <c:spPr>
              <a:ln w="19050">
                <a:solidFill>
                  <a:srgbClr val="FFFFFF"/>
                </a:solidFill>
                <a:prstDash val="solid"/>
              </a:ln>
            </c:spPr>
          </c:dPt>
          <c:dPt>
            <c:idx val="4"/>
            <c:invertIfNegative val="0"/>
            <c:bubble3D val="0"/>
            <c:spPr>
              <a:ln w="19050">
                <a:solidFill>
                  <a:srgbClr val="FFFFFF"/>
                </a:solidFill>
                <a:prstDash val="solid"/>
              </a:ln>
            </c:spPr>
          </c:dPt>
          <c:dPt>
            <c:idx val="5"/>
            <c:invertIfNegative val="0"/>
            <c:bubble3D val="0"/>
            <c:spPr>
              <a:ln w="19050">
                <a:solidFill>
                  <a:srgbClr val="FFFFFF"/>
                </a:solidFill>
                <a:prstDash val="solid"/>
              </a:ln>
            </c:spPr>
          </c:dPt>
          <c:dPt>
            <c:idx val="6"/>
            <c:invertIfNegative val="0"/>
            <c:bubble3D val="0"/>
            <c:spPr>
              <a:ln w="19050">
                <a:solidFill>
                  <a:srgbClr val="FFFFFF"/>
                </a:solidFill>
                <a:prstDash val="solid"/>
              </a:ln>
            </c:spPr>
          </c:dPt>
          <c:dPt>
            <c:idx val="7"/>
            <c:invertIfNegative val="0"/>
            <c:bubble3D val="0"/>
            <c:spPr>
              <a:ln w="19050">
                <a:solidFill>
                  <a:srgbClr val="FFFFFF"/>
                </a:solidFill>
                <a:prstDash val="solid"/>
              </a:ln>
            </c:spPr>
          </c:dPt>
          <c:dPt>
            <c:idx val="8"/>
            <c:invertIfNegative val="0"/>
            <c:bubble3D val="0"/>
            <c:spPr>
              <a:ln w="19050">
                <a:solidFill>
                  <a:srgbClr val="FFFFFF"/>
                </a:solidFill>
                <a:prstDash val="solid"/>
              </a:ln>
            </c:spPr>
          </c:dPt>
          <c:dLbls>
            <c:txPr>
              <a:bodyPr/>
              <a:lstStyle/>
              <a:p>
                <a:pPr>
                  <a:defRPr sz="1000" b="0" i="0" u="none" strike="noStrike" baseline="0">
                    <a:solidFill>
                      <a:srgbClr val="000000"/>
                    </a:solidFill>
                    <a:latin typeface="Times New Roman"/>
                    <a:ea typeface="宋体"/>
                    <a:cs typeface="Arial"/>
                  </a:defRPr>
                </a:pPr>
                <a:endParaRPr lang="zh-CN"/>
              </a:p>
            </c:txPr>
            <c:numFmt formatCode="0.00%" sourceLinked="0"/>
            <c:showLegendKey val="0"/>
            <c:showVal val="0"/>
            <c:showCatName val="0"/>
            <c:showSerName val="0"/>
            <c:showPercent val="0"/>
            <c:showBubbleSize val="0"/>
            <c:showLeaderLines val="1"/>
          </c:dLbls>
          <c:cat>
            <c:strLit>
              <c:ptCount val="9"/>
              <c:pt idx="0">
                <c:v>一般公共预算财政拨款收入</c:v>
              </c:pt>
              <c:pt idx="1">
                <c:v>上级补助收入</c:v>
              </c:pt>
              <c:pt idx="2">
                <c:v>事业收入</c:v>
              </c:pt>
              <c:pt idx="3">
                <c:v>政府性基金预算财政拨款收入</c:v>
              </c:pt>
              <c:pt idx="4">
                <c:v>经营收入</c:v>
              </c:pt>
              <c:pt idx="5">
                <c:v>附属单位上缴收入</c:v>
              </c:pt>
              <c:pt idx="6">
                <c:v>其他收入</c:v>
              </c:pt>
              <c:pt idx="7">
                <c:v>年初结转结余</c:v>
              </c:pt>
              <c:pt idx="8">
                <c:v>国有资本经营预算财政拨款收入</c:v>
              </c:pt>
            </c:strLit>
          </c:cat>
          <c:val>
            <c:numRef>
              <c:f/>
              <c:numCache>
                <c:formatCode>General</c:formatCode>
                <c:ptCount val="9"/>
                <c:pt idx="0">
                  <c:v>0.9879</c:v>
                </c:pt>
                <c:pt idx="3">
                  <c:v>5.0E-4</c:v>
                </c:pt>
                <c:pt idx="6">
                  <c:v>0.0116</c:v>
                </c:pt>
              </c:numCache>
            </c:numRef>
          </c:val>
        </c:ser>
        <c:firstSliceAng val="0"/>
      </c:pieChart>
      <c:spPr>
        <a:noFill/>
        <a:ln>
          <a:noFill/>
        </a:ln>
      </c:spPr>
    </c:plotArea>
    <c:legend>
      <c:legendPos val="b"/>
      <c:layout/>
      <c:overlay val="0"/>
      <c:spPr>
        <a:noFill/>
        <a:ln>
          <a:noFill/>
        </a:ln>
      </c:spPr>
      <c:txPr>
        <a:bodyPr/>
        <a:lstStyle/>
        <a:p>
          <a:pPr>
            <a:defRPr sz="900" b="0" i="0" u="none" strike="noStrike" baseline="0">
              <a:solidFill>
                <a:srgbClr val="595959"/>
              </a:solidFill>
              <a:latin typeface="Times New Roman"/>
              <a:ea typeface="宋体"/>
              <a:cs typeface="Arial"/>
            </a:defRPr>
          </a:pPr>
          <a:endParaRPr lang="zh-CN"/>
        </a:p>
      </c:txPr>
    </c:legend>
    <c:plotVisOnly val="1"/>
    <c:dispBlanksAs val="gap"/>
    <c:showDLblsOverMax val="0"/>
  </c:chart>
  <c:spPr>
    <a:solidFill>
      <a:srgbClr val="FFFFFF"/>
    </a:solidFill>
    <a:ln w="6350">
      <a:solidFill>
        <a:srgbClr val="D9D9D9"/>
      </a:solidFill>
      <a:prstDash val="solid"/>
    </a:ln>
  </c:spPr>
  <c:txPr>
    <a:bodyPr/>
    <a:lstStyle/>
    <a:p>
      <a:pPr>
        <a:defRPr sz="1000" b="0" i="0" u="none" strike="noStrike" baseline="0">
          <a:solidFill>
            <a:srgbClr val="000000"/>
          </a:solidFill>
          <a:latin typeface="Times New Roman"/>
          <a:ea typeface="宋体"/>
          <a:cs typeface="Arial"/>
        </a:defRPr>
      </a:pPr>
      <a:endParaRPr lang="zh-CN"/>
    </a:p>
  </c:txPr>
  <c:printSettings>
    <c:headerFooter/>
    <c:pageMargins b="0.75" l="0.7" r="0.7" t="0.75" header="0.3" footer="0.3"/>
    <c:pageSetup/>
  </c:printSettings>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800" b="1" i="0" u="none" strike="noStrike" baseline="0">
                <a:solidFill>
                  <a:srgbClr val="000000"/>
                </a:solidFill>
                <a:latin typeface="Times New Roman"/>
                <a:ea typeface="宋体"/>
                <a:cs typeface="Arial"/>
              </a:defRPr>
            </a:pPr>
            <a:r>
              <a:rPr lang="zh-CN" sz="1800" b="1" i="0" u="none" strike="noStrike" baseline="0">
                <a:solidFill>
                  <a:srgbClr val="000000"/>
                </a:solidFill>
                <a:latin typeface="Times New Roman"/>
                <a:ea typeface="宋体"/>
                <a:cs typeface="Arial"/>
              </a:rPr>
              <a:t>2025</a:t>
            </a:r>
            <a:r>
              <a:rPr lang="zh-CN" sz="1800" b="1" i="0" u="none" strike="noStrike" baseline="0">
                <a:solidFill>
                  <a:srgbClr val="000000"/>
                </a:solidFill>
                <a:latin typeface="Times New Roman"/>
                <a:ea typeface="宋体"/>
                <a:cs typeface="Arial"/>
              </a:rPr>
              <a:t>年支出决算结构图（单位：万元）</a:t>
            </a:r>
          </a:p>
        </c:rich>
      </c:tx>
      <c:layout/>
      <c:overlay val="0"/>
      <c:spPr>
        <a:ln>
          <a:noFill/>
        </a:ln>
      </c:spPr>
    </c:title>
    <c:autoTitleDeleted val="1"/>
    <c:view3D>
      <c:rotX val="30"/>
      <c:hPercent val="100"/>
      <c:rotY val="0"/>
      <c:depthPercent val="100"/>
      <c:rAngAx val="0"/>
      <c:perspective val="0"/>
    </c:view3D>
    <c:floor>
      <c:thickness val="0"/>
      <c:spPr>
        <a:ln w="6350">
          <a:solidFill>
            <a:srgbClr val="898989"/>
          </a:solidFill>
          <a:prstDash val="solid"/>
        </a:ln>
      </c:spPr>
    </c:floor>
    <c:sideWall>
      <c:thickness val="0"/>
      <c:spPr>
        <a:ln>
          <a:noFill/>
        </a:ln>
      </c:spPr>
    </c:sideWall>
    <c:backWall>
      <c:thickness val="0"/>
      <c:spPr>
        <a:noFill/>
        <a:ln>
          <a:noFill/>
        </a:ln>
      </c:spPr>
    </c:backWall>
    <c:plotArea>
      <c:layout/>
      <c:pie3DChart>
        <c:varyColors val="1"/>
        <c:ser>
          <c:idx val="0"/>
          <c:order val="0"/>
          <c:tx>
            <c:v>2025年支出决算占比图（单位：万元）</c:v>
          </c:tx>
          <c:spPr>
            <a:solidFill>
              <a:srgbClr val="4F81BD"/>
            </a:solidFill>
          </c:spPr>
          <c:dPt>
            <c:idx val="0"/>
            <c:bubble3D val="0"/>
            <c:spPr>
              <a:solidFill>
                <a:srgbClr val="4F81BD"/>
              </a:solidFill>
            </c:spPr>
          </c:dPt>
          <c:dPt>
            <c:idx val="1"/>
            <c:bubble3D val="0"/>
            <c:spPr>
              <a:solidFill>
                <a:srgbClr val="C0504D"/>
              </a:solidFill>
            </c:spPr>
          </c:dPt>
          <c:dPt>
            <c:idx val="2"/>
            <c:bubble3D val="0"/>
            <c:spPr>
              <a:solidFill>
                <a:srgbClr val="9BBB59"/>
              </a:solidFill>
            </c:spPr>
          </c:dPt>
          <c:dPt>
            <c:idx val="3"/>
            <c:bubble3D val="0"/>
            <c:spPr>
              <a:solidFill>
                <a:srgbClr val="8064A2"/>
              </a:solidFill>
            </c:spPr>
          </c:dPt>
          <c:dPt>
            <c:idx val="4"/>
            <c:bubble3D val="0"/>
            <c:spPr>
              <a:solidFill>
                <a:srgbClr val="4BACC6"/>
              </a:solidFill>
            </c:spPr>
          </c:dPt>
          <c:dLbls>
            <c:spPr>
              <a:noFill/>
              <a:ln>
                <a:noFill/>
              </a:ln>
            </c:spPr>
            <c:txPr>
              <a:bodyPr vert="horz"/>
              <a:lstStyle/>
              <a:p>
                <a:pPr>
                  <a:defRPr sz="1000" b="0" i="0" u="none" strike="noStrike" baseline="0">
                    <a:solidFill>
                      <a:srgbClr val="000000"/>
                    </a:solidFill>
                    <a:latin typeface="Times New Roman"/>
                    <a:ea typeface="宋体"/>
                    <a:cs typeface="Arial"/>
                  </a:defRPr>
                </a:pPr>
                <a:endParaRPr lang="zh-CN"/>
              </a:p>
            </c:txPr>
            <c:numFmt formatCode="0%" sourceLinked="0"/>
            <c:dLbl>
              <c:idx val="1"/>
              <c:layout>
                <c:manualLayout>
                  <c:x val="0.019448163"/>
                  <c:y val="-0.0037224712"/>
                </c:manualLayout>
              </c:layout>
              <c:spPr>
                <a:noFill/>
                <a:ln>
                  <a:noFill/>
                </a:ln>
              </c:spPr>
              <c:txPr>
                <a:bodyPr vert="horz"/>
                <a:lstStyle/>
                <a:p>
                  <a:pPr>
                    <a:defRPr sz="1000" b="0" i="0" u="none" strike="noStrike" baseline="0">
                      <a:solidFill>
                        <a:srgbClr val="000000"/>
                      </a:solidFill>
                      <a:latin typeface="Times New Roman"/>
                      <a:ea typeface="宋体"/>
                      <a:cs typeface="Arial"/>
                    </a:defRPr>
                  </a:pPr>
                  <a:endParaRPr lang="zh-CN"/>
                </a:p>
              </c:txPr>
              <c:showLegendKey val="0"/>
              <c:showVal val="1"/>
              <c:showCatName val="1"/>
              <c:showSerName val="0"/>
              <c:showPercent val="1"/>
              <c:showBubbleSize val="0"/>
            </c:dLbl>
            <c:showLegendKey val="0"/>
            <c:showVal val="1"/>
            <c:showCatName val="1"/>
            <c:showSerName val="0"/>
            <c:showPercent val="1"/>
            <c:showBubbleSize val="0"/>
            <c:showLeaderLines val="1"/>
          </c:dLbls>
          <c:cat>
            <c:strLit>
              <c:ptCount val="5"/>
              <c:pt idx="0">
                <c:v>基本支出</c:v>
              </c:pt>
              <c:pt idx="1">
                <c:v>项目支出</c:v>
              </c:pt>
              <c:pt idx="2">
                <c:v>上缴上级支出</c:v>
              </c:pt>
              <c:pt idx="3">
                <c:v>经营支出</c:v>
              </c:pt>
              <c:pt idx="4">
                <c:v>对附属单位补助支出</c:v>
              </c:pt>
            </c:strLit>
          </c:cat>
          <c:val>
            <c:numRef>
              <c:f/>
              <c:numCache>
                <c:formatCode>General</c:formatCode>
                <c:ptCount val="5"/>
                <c:pt idx="0">
                  <c:v>1937.32</c:v>
                </c:pt>
                <c:pt idx="1">
                  <c:v>267.37</c:v>
                </c:pt>
              </c:numCache>
            </c:numRef>
          </c:val>
        </c:ser>
        <c:ser>
          <c:idx val="1"/>
          <c:order val="1"/>
          <c:spPr>
            <a:solidFill>
              <a:srgbClr val="C0504D"/>
            </a:solidFill>
          </c:spPr>
          <c:dPt>
            <c:idx val="0"/>
            <c:invertIfNegative val="0"/>
            <c:bubble3D val="0"/>
          </c:dPt>
          <c:dPt>
            <c:idx val="1"/>
            <c:invertIfNegative val="0"/>
            <c:bubble3D val="0"/>
          </c:dPt>
          <c:dPt>
            <c:idx val="2"/>
            <c:invertIfNegative val="0"/>
            <c:bubble3D val="0"/>
          </c:dPt>
          <c:dPt>
            <c:idx val="3"/>
            <c:invertIfNegative val="0"/>
            <c:bubble3D val="0"/>
          </c:dPt>
          <c:dPt>
            <c:idx val="4"/>
            <c:invertIfNegative val="0"/>
            <c:bubble3D val="0"/>
          </c:dPt>
          <c:dLbls>
            <c:txPr>
              <a:bodyPr/>
              <a:lstStyle/>
              <a:p>
                <a:pPr>
                  <a:defRPr sz="1000" b="0" i="0" u="none" strike="noStrike" baseline="0">
                    <a:solidFill>
                      <a:srgbClr val="000000"/>
                    </a:solidFill>
                    <a:latin typeface="Times New Roman"/>
                    <a:ea typeface="宋体"/>
                    <a:cs typeface="Arial"/>
                  </a:defRPr>
                </a:pPr>
                <a:endParaRPr lang="zh-CN"/>
              </a:p>
            </c:txPr>
            <c:numFmt formatCode="0.00%" sourceLinked="0"/>
            <c:showLegendKey val="0"/>
            <c:showVal val="0"/>
            <c:showCatName val="0"/>
            <c:showSerName val="0"/>
            <c:showPercent val="0"/>
            <c:showBubbleSize val="0"/>
            <c:showLeaderLines val="1"/>
          </c:dLbls>
          <c:cat>
            <c:strLit>
              <c:ptCount val="5"/>
              <c:pt idx="0">
                <c:v>基本支出</c:v>
              </c:pt>
              <c:pt idx="1">
                <c:v>项目支出</c:v>
              </c:pt>
              <c:pt idx="2">
                <c:v>上缴上级支出</c:v>
              </c:pt>
              <c:pt idx="3">
                <c:v>经营支出</c:v>
              </c:pt>
              <c:pt idx="4">
                <c:v>对附属单位补助支出</c:v>
              </c:pt>
            </c:strLit>
          </c:cat>
          <c:val>
            <c:numRef>
              <c:f/>
              <c:numCache>
                <c:formatCode>General</c:formatCode>
                <c:ptCount val="5"/>
                <c:pt idx="0">
                  <c:v>0.862</c:v>
                </c:pt>
                <c:pt idx="1">
                  <c:v>0.138</c:v>
                </c:pt>
              </c:numCache>
            </c:numRef>
          </c:val>
        </c:ser>
        <c:gapDepth val="150"/>
        <c:firstSliceAng val="0"/>
      </c:pie3DChart>
      <c:spPr>
        <a:noFill/>
        <a:ln>
          <a:noFill/>
        </a:ln>
      </c:spPr>
    </c:plotArea>
    <c:legend>
      <c:legendPos val="r"/>
      <c:layout>
        <c:manualLayout>
          <c:xMode val="edge"/>
          <c:yMode val="edge"/>
          <c:x val="0.6843966"/>
          <c:y val="0.4627725"/>
          <c:w val="0.2968844"/>
          <c:h val="0.37719128"/>
        </c:manualLayout>
      </c:layout>
      <c:overlay val="0"/>
      <c:spPr>
        <a:noFill/>
        <a:ln>
          <a:noFill/>
        </a:ln>
      </c:spPr>
      <c:txPr>
        <a:bodyPr/>
        <a:lstStyle/>
        <a:p>
          <a:pPr>
            <a:defRPr sz="1000" b="0" i="0" u="none" strike="noStrike" baseline="0">
              <a:solidFill>
                <a:srgbClr val="000000"/>
              </a:solidFill>
              <a:latin typeface="Times New Roman"/>
              <a:ea typeface="宋体"/>
              <a:cs typeface="Arial"/>
            </a:defRPr>
          </a:pPr>
          <a:endParaRPr lang="zh-CN"/>
        </a:p>
      </c:txPr>
    </c:legend>
    <c:plotVisOnly val="1"/>
    <c:dispBlanksAs val="zero"/>
    <c:showDLblsOverMax val="0"/>
  </c:chart>
  <c:spPr/>
  <c:txPr>
    <a:bodyPr/>
    <a:lstStyle/>
    <a:p>
      <a:pPr>
        <a:defRPr sz="1000" b="0" i="0" u="none" strike="noStrike" baseline="0">
          <a:solidFill>
            <a:srgbClr val="000000"/>
          </a:solidFill>
          <a:latin typeface="Times New Roman"/>
          <a:ea typeface="宋体"/>
          <a:cs typeface="Arial"/>
        </a:defRPr>
      </a:pPr>
      <a:endParaRPr lang="zh-CN"/>
    </a:p>
  </c:txPr>
  <c:printSettings>
    <c:headerFooter/>
    <c:pageMargins b="0.75" l="0.7" r="0.7" t="0.75" header="0.3" footer="0.3"/>
    <c:pageSetup/>
  </c:printSettings>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0" i="0" u="none" strike="noStrike" baseline="0">
                <a:solidFill>
                  <a:srgbClr val="000000"/>
                </a:solidFill>
                <a:latin typeface="宋体"/>
                <a:ea typeface="宋体"/>
                <a:cs typeface="Arial"/>
              </a:defRPr>
            </a:pPr>
            <a:r>
              <a:rPr lang="zh-CN" sz="1800" b="0" i="0" u="none" strike="noStrike" baseline="0">
                <a:solidFill>
                  <a:srgbClr val="000000"/>
                </a:solidFill>
                <a:latin typeface="Calibri"/>
                <a:ea typeface="宋体"/>
                <a:cs typeface="Arial"/>
              </a:rPr>
              <a:t>202</a:t>
            </a:r>
            <a:r>
              <a:rPr lang="zh-CN" sz="1800" b="0" i="0" u="none" strike="noStrike" baseline="0">
                <a:solidFill>
                  <a:srgbClr val="000000"/>
                </a:solidFill>
                <a:latin typeface="Calibri"/>
                <a:ea typeface="宋体"/>
                <a:cs typeface="Arial"/>
              </a:rPr>
              <a:t>4</a:t>
            </a:r>
            <a:r>
              <a:rPr lang="zh-CN" sz="1800" b="0" i="0" u="none" strike="noStrike" baseline="0">
                <a:solidFill>
                  <a:srgbClr val="000000"/>
                </a:solidFill>
                <a:latin typeface="宋体"/>
                <a:ea typeface="宋体"/>
                <a:cs typeface="Arial"/>
              </a:rPr>
              <a:t>年与</a:t>
            </a:r>
            <a:r>
              <a:rPr lang="zh-CN" sz="1800" b="0" i="0" u="none" strike="noStrike" baseline="0">
                <a:solidFill>
                  <a:srgbClr val="000000"/>
                </a:solidFill>
                <a:latin typeface="Calibri"/>
                <a:ea typeface="宋体"/>
                <a:cs typeface="Arial"/>
              </a:rPr>
              <a:t>202</a:t>
            </a:r>
            <a:r>
              <a:rPr lang="zh-CN" sz="1800" b="0" i="0" u="none" strike="noStrike" baseline="0">
                <a:solidFill>
                  <a:srgbClr val="000000"/>
                </a:solidFill>
                <a:latin typeface="Calibri"/>
                <a:ea typeface="宋体"/>
                <a:cs typeface="Arial"/>
              </a:rPr>
              <a:t>5</a:t>
            </a:r>
            <a:r>
              <a:rPr lang="zh-CN" sz="1800" b="0" i="0" u="none" strike="noStrike" baseline="0">
                <a:solidFill>
                  <a:srgbClr val="000000"/>
                </a:solidFill>
                <a:latin typeface="宋体"/>
                <a:ea typeface="宋体"/>
                <a:cs typeface="Arial"/>
              </a:rPr>
              <a:t>年</a:t>
            </a:r>
            <a:r>
              <a:rPr lang="zh-CN" sz="1800" b="0" i="0" u="none" strike="noStrike" baseline="0">
                <a:solidFill>
                  <a:srgbClr val="000000"/>
                </a:solidFill>
                <a:latin typeface="Calibri"/>
                <a:ea typeface="宋体"/>
                <a:cs typeface="Arial"/>
              </a:rPr>
              <a:t>财政拨款收、支决算总计变动情况</a:t>
            </a:r>
            <a:r>
              <a:rPr lang="zh-CN" sz="1800" b="0" i="0" u="none" strike="noStrike" baseline="0">
                <a:solidFill>
                  <a:srgbClr val="000000"/>
                </a:solidFill>
                <a:latin typeface="Calibri"/>
                <a:ea typeface="宋体"/>
                <a:cs typeface="Arial"/>
              </a:rPr>
              <a:t>（单位：万元）</a:t>
            </a:r>
          </a:p>
        </c:rich>
      </c:tx>
      <c:layout/>
      <c:overlay val="0"/>
      <c:spPr>
        <a:ln>
          <a:noFill/>
        </a:ln>
      </c:spPr>
    </c:title>
    <c:autoTitleDeleted val="1"/>
    <c:plotArea>
      <c:layout/>
      <c:barChart>
        <c:barDir val="col"/>
        <c:grouping val="clustered"/>
        <c:varyColors val="0"/>
        <c:ser>
          <c:idx val="0"/>
          <c:order val="0"/>
          <c:tx>
            <c:v>收入</c:v>
          </c:tx>
          <c:spPr>
            <a:solidFill>
              <a:srgbClr val="4F81BD"/>
            </a:solidFill>
          </c:spPr>
          <c:invertIfNegative val="0"/>
          <c:dLbls>
            <c:spPr>
              <a:noFill/>
              <a:ln>
                <a:noFill/>
              </a:ln>
            </c:spPr>
            <c:txPr>
              <a:bodyPr vert="horz"/>
              <a:lstStyle/>
              <a:p>
                <a:pPr>
                  <a:defRPr sz="1000" b="0" i="0" u="none" strike="noStrike" baseline="0">
                    <a:solidFill>
                      <a:srgbClr val="000000"/>
                    </a:solidFill>
                    <a:latin typeface="宋体"/>
                    <a:ea typeface="宋体"/>
                    <a:cs typeface="Arial"/>
                  </a:defRPr>
                </a:pPr>
                <a:endParaRPr lang="zh-CN"/>
              </a:p>
            </c:txPr>
            <c:numFmt formatCode="General" sourceLinked="0"/>
            <c:dLblPos val="outEnd"/>
            <c:showLegendKey val="0"/>
            <c:showVal val="1"/>
            <c:showCatName val="0"/>
            <c:showSerName val="0"/>
            <c:showPercent val="0"/>
            <c:showBubbleSize val="0"/>
            <c:showLeaderLines val="0"/>
          </c:dLbls>
          <c:cat>
            <c:strLit>
              <c:ptCount val="2"/>
              <c:pt idx="0">
                <c:v>2024年</c:v>
              </c:pt>
              <c:pt idx="1">
                <c:v>2025年</c:v>
              </c:pt>
            </c:strLit>
          </c:cat>
          <c:val>
            <c:numRef>
              <c:f/>
              <c:numCache>
                <c:formatCode>General</c:formatCode>
                <c:ptCount val="2"/>
                <c:pt idx="0">
                  <c:v>1897.64</c:v>
                </c:pt>
                <c:pt idx="1">
                  <c:v>1909.97</c:v>
                </c:pt>
              </c:numCache>
            </c:numRef>
          </c:val>
        </c:ser>
        <c:ser>
          <c:idx val="1"/>
          <c:order val="1"/>
          <c:tx>
            <c:v>支出</c:v>
          </c:tx>
          <c:spPr>
            <a:solidFill>
              <a:srgbClr val="C0504D"/>
            </a:solidFill>
          </c:spPr>
          <c:invertIfNegative val="0"/>
          <c:dLbls>
            <c:spPr>
              <a:noFill/>
              <a:ln>
                <a:noFill/>
              </a:ln>
            </c:spPr>
            <c:txPr>
              <a:bodyPr vert="horz"/>
              <a:lstStyle/>
              <a:p>
                <a:pPr>
                  <a:defRPr sz="1000" b="0" i="0" u="none" strike="noStrike" baseline="0">
                    <a:solidFill>
                      <a:srgbClr val="000000"/>
                    </a:solidFill>
                    <a:latin typeface="宋体"/>
                    <a:ea typeface="宋体"/>
                    <a:cs typeface="Arial"/>
                  </a:defRPr>
                </a:pPr>
                <a:endParaRPr lang="zh-CN"/>
              </a:p>
            </c:txPr>
            <c:numFmt formatCode="General" sourceLinked="0"/>
            <c:dLblPos val="outEnd"/>
            <c:showLegendKey val="0"/>
            <c:showVal val="1"/>
            <c:showCatName val="0"/>
            <c:showSerName val="0"/>
            <c:showPercent val="0"/>
            <c:showBubbleSize val="0"/>
            <c:showLeaderLines val="0"/>
          </c:dLbls>
          <c:cat>
            <c:strLit>
              <c:ptCount val="2"/>
              <c:pt idx="0">
                <c:v>2024年</c:v>
              </c:pt>
              <c:pt idx="1">
                <c:v>2025年</c:v>
              </c:pt>
            </c:strLit>
          </c:cat>
          <c:val>
            <c:numRef>
              <c:f/>
              <c:numCache>
                <c:formatCode>General</c:formatCode>
                <c:ptCount val="2"/>
                <c:pt idx="0">
                  <c:v>1897.64</c:v>
                </c:pt>
                <c:pt idx="1">
                  <c:v>1909.97</c:v>
                </c:pt>
              </c:numCache>
            </c:numRef>
          </c:val>
        </c:ser>
        <c:gapWidth val="150"/>
        <c:axId val="0"/>
        <c:axId val="1"/>
      </c:barChart>
      <c:catAx>
        <c:axId val="0"/>
        <c:scaling>
          <c:orientation val="minMax"/>
        </c:scaling>
        <c:delete val="0"/>
        <c:axPos val="b"/>
        <c:numFmt formatCode="General" sourceLinked="0"/>
        <c:majorTickMark val="none"/>
        <c:minorTickMark val="none"/>
        <c:tickLblPos val="nextTo"/>
        <c:txPr>
          <a:bodyPr rot="0" vert="horz" anchor="t" anchorCtr="0"/>
          <a:lstStyle/>
          <a:p>
            <a:pPr>
              <a:defRPr sz="1000" b="0" i="0" u="none" strike="noStrike" baseline="0">
                <a:solidFill>
                  <a:srgbClr val="000000"/>
                </a:solidFill>
                <a:latin typeface="宋体"/>
                <a:ea typeface="宋体"/>
                <a:cs typeface="Arial"/>
              </a:defRPr>
            </a:pPr>
            <a:endParaRPr lang="zh-CN"/>
          </a:p>
        </c:txPr>
        <c:crosses val="autoZero"/>
        <c:auto val="1"/>
        <c:lblOffset val="100"/>
        <c:lblAlgn val="ctr"/>
        <c:noMultiLvlLbl val="0"/>
        <c:crossAx val="1"/>
      </c:catAx>
      <c:valAx>
        <c:axId val="1"/>
        <c:scaling>
          <c:orientation val="minMax"/>
        </c:scaling>
        <c:delete val="0"/>
        <c:axPos val="l"/>
        <c:majorGridlines/>
        <c:numFmt formatCode="General" sourceLinked="1"/>
        <c:majorTickMark val="none"/>
        <c:minorTickMark val="none"/>
        <c:tickLblPos val="nextTo"/>
        <c:txPr>
          <a:bodyPr rot="0" vert="horz" anchor="t" anchorCtr="0"/>
          <a:lstStyle/>
          <a:p>
            <a:pPr>
              <a:defRPr sz="1000" b="0" i="0" u="none" strike="noStrike" baseline="0">
                <a:solidFill>
                  <a:srgbClr val="000000"/>
                </a:solidFill>
                <a:latin typeface="宋体"/>
                <a:ea typeface="宋体"/>
                <a:cs typeface="Arial"/>
              </a:defRPr>
            </a:pPr>
            <a:endParaRPr lang="zh-CN"/>
          </a:p>
        </c:txPr>
        <c:crossesAt val="1.0"/>
        <c:crossBetween val="between"/>
        <c:crossAx val="0"/>
      </c:valAx>
      <c:spPr>
        <a:noFill/>
      </c:spPr>
    </c:plotArea>
    <c:legend>
      <c:legendPos val="r"/>
      <c:layout>
        <c:manualLayout>
          <c:xMode val="edge"/>
          <c:yMode val="edge"/>
          <c:x val="0.89065313"/>
          <c:y val="0.60755485"/>
          <c:w val="0.088544466"/>
          <c:h val="0.12245292"/>
        </c:manualLayout>
      </c:layout>
      <c:overlay val="0"/>
      <c:spPr>
        <a:noFill/>
        <a:ln>
          <a:noFill/>
        </a:ln>
      </c:spPr>
      <c:txPr>
        <a:bodyPr/>
        <a:lstStyle/>
        <a:p>
          <a:pPr>
            <a:defRPr sz="900" b="0" i="0" u="none" strike="noStrike" baseline="0">
              <a:solidFill>
                <a:srgbClr val="000000"/>
              </a:solidFill>
              <a:latin typeface="宋体"/>
              <a:ea typeface="宋体"/>
              <a:cs typeface="Arial"/>
            </a:defRPr>
          </a:pPr>
          <a:endParaRPr lang="zh-CN"/>
        </a:p>
      </c:txPr>
    </c:legend>
    <c:plotVisOnly val="1"/>
    <c:dispBlanksAs val="gap"/>
    <c:showDLblsOverMax val="0"/>
  </c:chart>
  <c:spPr/>
  <c:txPr>
    <a:bodyPr/>
    <a:lstStyle/>
    <a:p>
      <a:pPr>
        <a:defRPr sz="1000" b="0" i="0" u="none" strike="noStrike" baseline="0">
          <a:solidFill>
            <a:srgbClr val="000000"/>
          </a:solidFill>
          <a:latin typeface="宋体"/>
          <a:ea typeface="宋体"/>
          <a:cs typeface="Arial"/>
        </a:defRPr>
      </a:pPr>
      <a:endParaRPr lang="zh-CN"/>
    </a:p>
  </c:txPr>
  <c:printSettings>
    <c:headerFooter/>
    <c:pageMargins b="0.75" l="0.7" r="0.7" t="0.75" header="0.3" footer="0.3"/>
    <c:pageSetup/>
  </c:printSettings>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0" i="0" u="none" strike="noStrike" baseline="0">
                <a:solidFill>
                  <a:srgbClr val="000000"/>
                </a:solidFill>
                <a:latin typeface="宋体"/>
                <a:ea typeface="宋体"/>
                <a:cs typeface="Arial"/>
              </a:defRPr>
            </a:pPr>
            <a:r>
              <a:rPr lang="zh-CN" sz="1800" b="1" i="0" u="none" strike="noStrike" baseline="0">
                <a:solidFill>
                  <a:srgbClr val="000000"/>
                </a:solidFill>
                <a:latin typeface="宋体"/>
                <a:ea typeface="宋体"/>
                <a:cs typeface="Arial"/>
              </a:rPr>
              <a:t>一般公共预算财政拨款支出决算变动情况</a:t>
            </a:r>
            <a:r>
              <a:rPr lang="zh-CN" sz="1800" b="1" i="0" u="none" strike="noStrike" baseline="0">
                <a:solidFill>
                  <a:srgbClr val="000000"/>
                </a:solidFill>
                <a:latin typeface="宋体"/>
                <a:ea typeface="宋体"/>
                <a:cs typeface="Arial"/>
              </a:rPr>
              <a:t>（单位：万元）</a:t>
            </a:r>
          </a:p>
        </c:rich>
      </c:tx>
      <c:layout/>
      <c:overlay val="0"/>
      <c:spPr>
        <a:ln>
          <a:noFill/>
        </a:ln>
      </c:spPr>
    </c:title>
    <c:autoTitleDeleted val="1"/>
    <c:plotArea>
      <c:layout/>
      <c:barChart>
        <c:barDir val="col"/>
        <c:grouping val="stacked"/>
        <c:varyColors val="0"/>
        <c:ser>
          <c:idx val="0"/>
          <c:order val="0"/>
          <c:tx>
            <c:v>一般公共预算财政拨款支出</c:v>
          </c:tx>
          <c:spPr>
            <a:solidFill>
              <a:srgbClr val="4F81BD"/>
            </a:solidFill>
          </c:spPr>
          <c:invertIfNegative val="0"/>
          <c:dLbls>
            <c:spPr>
              <a:noFill/>
              <a:ln>
                <a:noFill/>
              </a:ln>
            </c:spPr>
            <c:txPr>
              <a:bodyPr vert="horz"/>
              <a:lstStyle/>
              <a:p>
                <a:pPr>
                  <a:defRPr sz="1000" b="0" i="0" u="none" strike="noStrike" baseline="0">
                    <a:solidFill>
                      <a:srgbClr val="000000"/>
                    </a:solidFill>
                    <a:latin typeface="宋体"/>
                    <a:ea typeface="宋体"/>
                    <a:cs typeface="Arial"/>
                  </a:defRPr>
                </a:pPr>
                <a:endParaRPr lang="zh-CN"/>
              </a:p>
            </c:txPr>
            <c:numFmt formatCode="General" sourceLinked="0"/>
            <c:dLblPos val="ctr"/>
            <c:showLegendKey val="0"/>
            <c:showVal val="1"/>
            <c:showCatName val="0"/>
            <c:showSerName val="0"/>
            <c:showPercent val="0"/>
            <c:showBubbleSize val="0"/>
            <c:showLeaderLines val="1"/>
            <c:extLst>
              <c:ext xmlns:c15="http://schemas.microsoft.com/office/drawing/2012/chart" uri="{CE6537A1-D6FC-4f65-9D91-7224C49458BB}">
                <c15:showLeaderLines val="1"/>
              </c:ext>
            </c:extLst>
          </c:dLbls>
          <c:cat>
            <c:strLit>
              <c:ptCount val="6"/>
              <c:pt idx="0">
                <c:v>2024年</c:v>
              </c:pt>
              <c:pt idx="1">
                <c:v>2025年</c:v>
              </c:pt>
              <c:pt idx="2">
                <c:v>&amp;sxmk&amp;</c:v>
              </c:pt>
              <c:pt idx="3">
                <c:v>2024年与2025年一般公共预算财政拨款支出对比图（单位：万元）</c:v>
              </c:pt>
              <c:pt idx="5">
                <c:v>&amp;sxmk&amp;</c:v>
              </c:pt>
            </c:strLit>
          </c:cat>
          <c:val>
            <c:numRef>
              <c:f/>
              <c:numCache>
                <c:formatCode>General</c:formatCode>
                <c:ptCount val="2"/>
                <c:pt idx="0">
                  <c:v>1896.14</c:v>
                </c:pt>
                <c:pt idx="1">
                  <c:v>1908.97</c:v>
                </c:pt>
              </c:numCache>
            </c:numRef>
          </c:val>
        </c:ser>
        <c:overlap val="100"/>
        <c:gapWidth val="150"/>
        <c:axId val="0"/>
        <c:axId val="1"/>
      </c:barChart>
      <c:catAx>
        <c:axId val="0"/>
        <c:scaling>
          <c:orientation val="minMax"/>
        </c:scaling>
        <c:delete val="1"/>
        <c:axPos val="b"/>
        <c:numFmt formatCode="General" sourceLinked="0"/>
        <c:majorTickMark val="out"/>
        <c:minorTickMark val="none"/>
        <c:tickLblPos val="nextTo"/>
        <c:txPr>
          <a:bodyPr/>
          <a:lstStyle/>
          <a:p>
            <a:pPr>
              <a:defRPr sz="1000" b="0" i="0" u="none" strike="noStrike" baseline="0">
                <a:solidFill>
                  <a:srgbClr val="000000"/>
                </a:solidFill>
                <a:latin typeface="宋体"/>
                <a:ea typeface="宋体"/>
                <a:cs typeface="Arial"/>
              </a:defRPr>
            </a:pPr>
            <a:endParaRPr lang="zh-CN"/>
          </a:p>
        </c:txPr>
        <c:crosses val="autoZero"/>
        <c:auto val="1"/>
        <c:lblOffset val="100"/>
        <c:lblAlgn val="ctr"/>
        <c:noMultiLvlLbl val="0"/>
        <c:crossAx val="1"/>
      </c:catAx>
      <c:valAx>
        <c:axId val="1"/>
        <c:scaling>
          <c:orientation val="minMax"/>
        </c:scaling>
        <c:delete val="0"/>
        <c:axPos val="l"/>
        <c:majorGridlines/>
        <c:numFmt formatCode="General" sourceLinked="1"/>
        <c:majorTickMark val="out"/>
        <c:minorTickMark val="none"/>
        <c:tickLblPos val="nextTo"/>
        <c:txPr>
          <a:bodyPr rot="0" vert="horz" anchor="t" anchorCtr="0"/>
          <a:lstStyle/>
          <a:p>
            <a:pPr>
              <a:defRPr sz="1000" b="0" i="0" u="none" strike="noStrike" baseline="0">
                <a:solidFill>
                  <a:srgbClr val="000000"/>
                </a:solidFill>
                <a:latin typeface="宋体"/>
                <a:ea typeface="宋体"/>
                <a:cs typeface="Arial"/>
              </a:defRPr>
            </a:pPr>
            <a:endParaRPr lang="zh-CN"/>
          </a:p>
        </c:txPr>
        <c:crossesAt val="1.0"/>
        <c:crossBetween val="between"/>
        <c:crossAx val="0"/>
      </c:valAx>
      <c:spPr>
        <a:solidFill>
          <a:srgbClr val="FFFFFF"/>
        </a:solidFill>
        <a:ln>
          <a:noFill/>
        </a:ln>
      </c:spPr>
    </c:plotArea>
    <c:legend>
      <c:legendPos val="r"/>
      <c:layout>
        <c:manualLayout>
          <c:xMode val="edge"/>
          <c:yMode val="edge"/>
          <c:x val="0.6604375"/>
          <c:y val="0.5432861"/>
          <c:w val="0.31980178"/>
          <c:h val="0.09936205"/>
        </c:manualLayout>
      </c:layout>
      <c:overlay val="0"/>
      <c:spPr>
        <a:noFill/>
        <a:ln>
          <a:noFill/>
        </a:ln>
      </c:spPr>
      <c:txPr>
        <a:bodyPr/>
        <a:lstStyle/>
        <a:p>
          <a:pPr>
            <a:defRPr sz="900" b="0" i="0" u="none" strike="noStrike" baseline="0">
              <a:solidFill>
                <a:srgbClr val="000000"/>
              </a:solidFill>
              <a:latin typeface="宋体"/>
              <a:ea typeface="宋体"/>
              <a:cs typeface="Arial"/>
            </a:defRPr>
          </a:pPr>
          <a:endParaRPr lang="zh-CN"/>
        </a:p>
      </c:txPr>
    </c:legend>
    <c:plotVisOnly val="1"/>
    <c:dispBlanksAs val="gap"/>
    <c:showDLblsOverMax val="0"/>
  </c:chart>
  <c:spPr/>
  <c:txPr>
    <a:bodyPr/>
    <a:lstStyle/>
    <a:p>
      <a:pPr>
        <a:defRPr sz="1000" b="0" i="0" u="none" strike="noStrike" baseline="0">
          <a:solidFill>
            <a:srgbClr val="000000"/>
          </a:solidFill>
          <a:latin typeface="宋体"/>
          <a:ea typeface="宋体"/>
          <a:cs typeface="Arial"/>
        </a:defRPr>
      </a:pPr>
      <a:endParaRPr lang="zh-CN"/>
    </a:p>
  </c:txPr>
  <c:printSettings>
    <c:headerFooter/>
    <c:pageMargins b="0.75" l="0.7" r="0.7" t="0.75" header="0.3" footer="0.3"/>
    <c:pageSetup/>
  </c:printSettings>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0" i="0" u="none" strike="noStrike" baseline="0">
                <a:solidFill>
                  <a:srgbClr val="000000"/>
                </a:solidFill>
                <a:latin typeface="宋体"/>
                <a:ea typeface="宋体"/>
                <a:cs typeface="Arial"/>
              </a:defRPr>
            </a:pPr>
            <a:r>
              <a:rPr lang="zh-CN" sz="1800" b="1" i="0" u="none" strike="noStrike" baseline="0">
                <a:solidFill>
                  <a:srgbClr val="000000"/>
                </a:solidFill>
                <a:latin typeface="Calibri"/>
                <a:ea typeface="宋体"/>
                <a:cs typeface="Arial"/>
              </a:rPr>
              <a:t>202</a:t>
            </a:r>
            <a:r>
              <a:rPr lang="zh-CN" sz="1800" b="1" i="0" u="none" strike="noStrike" baseline="0">
                <a:solidFill>
                  <a:srgbClr val="000000"/>
                </a:solidFill>
                <a:latin typeface="Calibri"/>
                <a:ea typeface="宋体"/>
                <a:cs typeface="Arial"/>
              </a:rPr>
              <a:t>5</a:t>
            </a:r>
            <a:r>
              <a:rPr lang="zh-CN" sz="1800" b="1" i="0" u="none" strike="noStrike" baseline="0">
                <a:solidFill>
                  <a:srgbClr val="000000"/>
                </a:solidFill>
                <a:latin typeface="宋体"/>
                <a:ea typeface="宋体"/>
                <a:cs typeface="Arial"/>
              </a:rPr>
              <a:t>年一般公共预算财政拨款支出对比图（单位：万元）</a:t>
            </a:r>
          </a:p>
        </c:rich>
      </c:tx>
      <c:layout/>
      <c:overlay val="0"/>
      <c:spPr>
        <a:ln>
          <a:noFill/>
        </a:ln>
      </c:spPr>
    </c:title>
    <c:autoTitleDeleted val="1"/>
    <c:plotArea>
      <c:layout/>
      <c:pieChart>
        <c:varyColors val="1"/>
        <c:ser>
          <c:idx val="0"/>
          <c:order val="0"/>
          <c:spPr>
            <a:solidFill>
              <a:srgbClr val="4F81BD"/>
            </a:solidFill>
          </c:spPr>
          <c:explosion val="16"/>
          <c:dPt>
            <c:idx val="0"/>
            <c:bubble3D val="0"/>
            <c:spPr>
              <a:solidFill>
                <a:srgbClr val="4572A7"/>
              </a:solidFill>
            </c:spPr>
          </c:dPt>
          <c:dPt>
            <c:idx val="1"/>
            <c:bubble3D val="0"/>
            <c:spPr>
              <a:solidFill>
                <a:srgbClr val="AA4643"/>
              </a:solidFill>
            </c:spPr>
          </c:dPt>
          <c:dPt>
            <c:idx val="2"/>
            <c:bubble3D val="0"/>
            <c:spPr>
              <a:solidFill>
                <a:srgbClr val="89A54E"/>
              </a:solidFill>
            </c:spPr>
          </c:dPt>
          <c:dPt>
            <c:idx val="3"/>
            <c:bubble3D val="0"/>
            <c:spPr>
              <a:solidFill>
                <a:srgbClr val="71588F"/>
              </a:solidFill>
            </c:spPr>
          </c:dPt>
          <c:dPt>
            <c:idx val="4"/>
            <c:bubble3D val="0"/>
            <c:spPr>
              <a:solidFill>
                <a:srgbClr val="4198AF"/>
              </a:solidFill>
            </c:spPr>
          </c:dPt>
          <c:dPt>
            <c:idx val="5"/>
            <c:bubble3D val="0"/>
            <c:spPr>
              <a:solidFill>
                <a:srgbClr val="DB843D"/>
              </a:solidFill>
            </c:spPr>
          </c:dPt>
          <c:dPt>
            <c:idx val="6"/>
            <c:bubble3D val="0"/>
            <c:spPr>
              <a:solidFill>
                <a:srgbClr val="93A9CF"/>
              </a:solidFill>
            </c:spPr>
          </c:dPt>
          <c:dPt>
            <c:idx val="7"/>
            <c:bubble3D val="0"/>
            <c:spPr>
              <a:solidFill>
                <a:srgbClr val="D19392"/>
              </a:solidFill>
            </c:spPr>
          </c:dPt>
          <c:dLbls>
            <c:spPr>
              <a:noFill/>
              <a:ln>
                <a:noFill/>
              </a:ln>
            </c:spPr>
            <c:txPr>
              <a:bodyPr vert="horz"/>
              <a:lstStyle/>
              <a:p>
                <a:pPr>
                  <a:defRPr sz="1000" b="0" i="0" u="none" strike="noStrike" baseline="0">
                    <a:solidFill>
                      <a:srgbClr val="000000"/>
                    </a:solidFill>
                    <a:latin typeface="宋体"/>
                    <a:ea typeface="宋体"/>
                    <a:cs typeface="Arial"/>
                  </a:defRPr>
                </a:pPr>
                <a:endParaRPr lang="zh-CN"/>
              </a:p>
            </c:txPr>
            <c:numFmt formatCode="General" sourceLinked="0"/>
            <c:showLegendKey val="0"/>
            <c:showVal val="1"/>
            <c:showCatName val="0"/>
            <c:showSerName val="0"/>
            <c:showPercent val="0"/>
            <c:showBubbleSize val="0"/>
            <c:showLeaderLines val="1"/>
          </c:dLbls>
          <c:cat>
            <c:strLit>
              <c:ptCount val="8"/>
              <c:pt idx="0">
                <c:v>2025年一般公共预算财政拨款支出决算结构图（单位：万元）</c:v>
              </c:pt>
              <c:pt idx="1">
                <c:v>一般公共服务（类）</c:v>
              </c:pt>
              <c:pt idx="2">
                <c:v>教育支出（类）</c:v>
              </c:pt>
              <c:pt idx="3">
                <c:v>科学技术（类）支出</c:v>
              </c:pt>
              <c:pt idx="4">
                <c:v>文化旅游体育与传媒（类）支出</c:v>
              </c:pt>
              <c:pt idx="5">
                <c:v>社会保障和就业（类）支出</c:v>
              </c:pt>
              <c:pt idx="6">
                <c:v>卫生健康支出</c:v>
              </c:pt>
              <c:pt idx="7">
                <c:v>住房保障支出</c:v>
              </c:pt>
            </c:strLit>
          </c:cat>
          <c:val>
            <c:numRef>
              <c:f/>
              <c:numCache>
                <c:formatCode>General</c:formatCode>
                <c:ptCount val="8"/>
                <c:pt idx="1">
                  <c:v>0.0</c:v>
                </c:pt>
                <c:pt idx="2">
                  <c:v>1484.53</c:v>
                </c:pt>
                <c:pt idx="3">
                  <c:v>0.0</c:v>
                </c:pt>
                <c:pt idx="4">
                  <c:v>0.0</c:v>
                </c:pt>
                <c:pt idx="5">
                  <c:v>211.34</c:v>
                </c:pt>
                <c:pt idx="6">
                  <c:v>96.03</c:v>
                </c:pt>
                <c:pt idx="7">
                  <c:v>117.07</c:v>
                </c:pt>
              </c:numCache>
            </c:numRef>
          </c:val>
        </c:ser>
        <c:firstSliceAng val="0"/>
      </c:pieChart>
      <c:spPr>
        <a:noFill/>
        <a:ln>
          <a:noFill/>
        </a:ln>
      </c:spPr>
    </c:plotArea>
    <c:legend>
      <c:legendPos val="r"/>
      <c:layout/>
      <c:overlay val="0"/>
      <c:spPr>
        <a:noFill/>
        <a:ln>
          <a:noFill/>
        </a:ln>
      </c:spPr>
      <c:txPr>
        <a:bodyPr/>
        <a:lstStyle/>
        <a:p>
          <a:pPr>
            <a:defRPr sz="1000" b="0" i="0" u="none" strike="noStrike" baseline="0">
              <a:solidFill>
                <a:srgbClr val="000000"/>
              </a:solidFill>
              <a:latin typeface="宋体"/>
              <a:ea typeface="宋体"/>
              <a:cs typeface="Arial"/>
            </a:defRPr>
          </a:pPr>
          <a:endParaRPr lang="zh-CN"/>
        </a:p>
      </c:txPr>
    </c:legend>
    <c:plotVisOnly val="1"/>
    <c:dispBlanksAs val="gap"/>
    <c:showDLblsOverMax val="0"/>
  </c:chart>
  <c:spPr/>
  <c:txPr>
    <a:bodyPr/>
    <a:lstStyle/>
    <a:p>
      <a:pPr>
        <a:defRPr sz="1000" b="0" i="0" u="none" strike="noStrike" baseline="0">
          <a:solidFill>
            <a:srgbClr val="000000"/>
          </a:solidFill>
          <a:latin typeface="宋体"/>
          <a:ea typeface="宋体"/>
          <a:cs typeface="Arial"/>
        </a:defRPr>
      </a:pPr>
      <a:endParaRPr lang="zh-CN"/>
    </a:p>
  </c:txPr>
  <c:printSettings>
    <c:headerFooter/>
    <c:pageMargins b="0.75" l="0.7" r="0.7" t="0.75" header="0.3" footer="0.3"/>
    <c:pageSetup/>
  </c:printSettings>
  <c:externalData r:id="rId1">
    <c:autoUpdate val="0"/>
  </c:externalData>
</c:chartSpace>
</file>

<file path=docProps/app.xml><?xml version="1.0" encoding="utf-8"?>
<Properties xmlns="http://schemas.openxmlformats.org/officeDocument/2006/extended-properties">
  <Template>Normal.eit</Template>
  <TotalTime>0</TotalTime>
  <Application>Yozo_Office27021597764231179</Application>
  <Pages>55</Pages>
  <Words>21523</Words>
  <Characters>23466</Characters>
  <Lines>1756</Lines>
  <Paragraphs>991</Paragraphs>
  <CharactersWithSpaces>23638</CharactersWithSpaces>
  <Company>四川省财政厅</Company>
</Properties>
</file>

<file path=docProps/core.xml><?xml version="1.0" encoding="utf-8"?>
<cp:coreProperties xmlns:cp="http://schemas.openxmlformats.org/package/2006/metadata/core-properties" xmlns:dc="http://purl.org/dc/elements/1.1/" xmlns:dcterms="http://purl.org/dc/terms/" xmlns:xsi="http://www.w3.org/2001/XMLSchema-instance">
  <dc:title>四川省***</dc:title>
  <dc:creator>曹颖</dc:creator>
  <cp:lastModifiedBy>Administrator</cp:lastModifiedBy>
  <cp:revision>118</cp:revision>
  <cp:lastPrinted>2026-09-30T10:29:00Z</cp:lastPrinted>
  <dcterms:created xsi:type="dcterms:W3CDTF">2020-08-05T17:49:00Z</dcterms:created>
  <dcterms:modified xsi:type="dcterms:W3CDTF">2026-10-21T07:57:23Z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2052-12.1.0.28505</vt:lpwstr>
  </property>
  <property fmtid="{D5CDD505-2E9C-101B-9397-08002B2CF9AE}" pid="3" name="ICV">
    <vt:lpwstr>424A50277A1D43C3B0C0F69A01C6FD7C_13</vt:lpwstr>
  </property>
  <property fmtid="{D5CDD505-2E9C-101B-9397-08002B2CF9AE}" pid="4" name="KSOTemplateDocerSaveRecord">
    <vt:lpwstr>eyJoZGlkIjoiNzJjZTdjYWZkZDNkNjFlZjkwMWViZjcyOTU5NGMxOTQiLCJ1c2VySWQiOiIxMTI3NDY4NDkxIn0=</vt:lpwstr>
  </property>
</Properties>
</file>