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emf" ContentType="image/emf"/>
  <Default Extension="bin" ContentType="application/vnd.openxmlformats-officedocument.oleObjec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pageBreakBefore w:val="0"/>
        <w:widowControl w:val="0"/>
        <w:kinsoku/>
        <w:wordWrap/>
        <w:topLinePunct w:val="0"/>
        <w:bidi w:val="0"/>
        <w:adjustRightInd/>
        <w:snapToGrid/>
        <w:spacing w:line="240" w:lineRule="auto"/>
        <w:ind w:left="0" w:firstLineChars="200" w:firstLine="640"/>
        <w:outlineLvl w:val="0"/>
        <w:rPr>
          <w:rFonts w:ascii="黑体" w:eastAsia="黑体" w:hint="eastAsia"/>
          <w:color w:val="000000"/>
          <w:sz w:val="32"/>
          <w:szCs w:val="32"/>
        </w:rPr>
      </w:pPr>
      <w:bookmarkStart w:id="0" w:name="_Toc15306267"/>
    </w:p>
    <w:p>
      <w:pPr>
        <w:keepNext w:val="0"/>
        <w:keepLines w:val="0"/>
        <w:pageBreakBefore w:val="0"/>
        <w:widowControl w:val="0"/>
        <w:kinsoku/>
        <w:wordWrap/>
        <w:topLinePunct w:val="0"/>
        <w:bidi w:val="0"/>
        <w:adjustRightInd/>
        <w:snapToGrid/>
        <w:spacing w:line="240" w:lineRule="auto"/>
        <w:ind w:left="0" w:firstLineChars="200" w:firstLine="1440"/>
        <w:jc w:val="center"/>
        <w:outlineLvl w:val="0"/>
        <w:rPr>
          <w:rFonts w:ascii="方正小标宋简体" w:eastAsia="方正小标宋简体" w:hint="eastAsia"/>
          <w:color w:val="000000"/>
          <w:sz w:val="72"/>
          <w:szCs w:val="72"/>
        </w:rPr>
      </w:pPr>
    </w:p>
    <w:p>
      <w:pPr>
        <w:keepNext w:val="0"/>
        <w:keepLines w:val="0"/>
        <w:pageBreakBefore w:val="0"/>
        <w:widowControl w:val="0"/>
        <w:kinsoku/>
        <w:wordWrap/>
        <w:topLinePunct w:val="0"/>
        <w:bidi w:val="0"/>
        <w:adjustRightInd/>
        <w:snapToGrid/>
        <w:spacing w:line="240" w:lineRule="auto"/>
        <w:jc w:val="center"/>
        <w:rPr>
          <w:rFonts w:ascii="方正小标宋简体" w:eastAsia="方正小标宋简体" w:cs="方正小标宋简体" w:hint="eastAsia"/>
          <w:sz w:val="52"/>
          <w:szCs w:val="52"/>
        </w:rPr>
      </w:pPr>
      <w:bookmarkStart w:id="1" w:name="_Toc15396597"/>
      <w:bookmarkStart w:id="2" w:name="_Toc15377425"/>
      <w:bookmarkStart w:id="3" w:name="_Toc15377193"/>
      <w:bookmarkStart w:id="4" w:name="_Toc15396475"/>
      <w:bookmarkStart w:id="5" w:name="_Toc15378441"/>
      <w:r>
        <w:rPr>
          <w:rFonts w:ascii="方正小标宋简体" w:eastAsia="方正小标宋简体" w:cs="方正小标宋简体" w:hint="eastAsia"/>
          <w:sz w:val="52"/>
          <w:szCs w:val="52"/>
          <w:lang w:eastAsia="zh-CN"/>
        </w:rPr>
        <w:t>2025年</w:t>
      </w:r>
      <w:r>
        <w:rPr>
          <w:rFonts w:ascii="方正小标宋简体" w:eastAsia="方正小标宋简体" w:cs="方正小标宋简体" w:hint="eastAsia"/>
          <w:sz w:val="52"/>
          <w:szCs w:val="52"/>
        </w:rPr>
        <w:t>度</w:t>
      </w:r>
      <w:bookmarkEnd w:id="1"/>
      <w:bookmarkEnd w:id="2"/>
      <w:bookmarkEnd w:id="3"/>
      <w:bookmarkEnd w:id="4"/>
      <w:bookmarkEnd w:id="5"/>
    </w:p>
    <w:p>
      <w:pPr>
        <w:keepNext w:val="0"/>
        <w:keepLines w:val="0"/>
        <w:pageBreakBefore w:val="0"/>
        <w:widowControl w:val="0"/>
        <w:kinsoku/>
        <w:wordWrap/>
        <w:topLinePunct w:val="0"/>
        <w:bidi w:val="0"/>
        <w:adjustRightInd/>
        <w:snapToGrid/>
        <w:spacing w:line="240" w:lineRule="auto"/>
        <w:jc w:val="center"/>
        <w:rPr>
          <w:rFonts w:ascii="方正小标宋简体" w:eastAsia="方正小标宋简体" w:cs="方正小标宋简体" w:hint="eastAsia"/>
          <w:w w:val="92"/>
          <w:sz w:val="72"/>
          <w:szCs w:val="72"/>
        </w:rPr>
      </w:pPr>
      <w:bookmarkStart w:id="6" w:name="_Toc15396476"/>
      <w:bookmarkStart w:id="7" w:name="_Toc15377426"/>
      <w:bookmarkStart w:id="8" w:name="_Toc15378442"/>
      <w:bookmarkStart w:id="9" w:name="_Toc15377194"/>
      <w:bookmarkStart w:id="10" w:name="_Toc15396598"/>
      <w:r>
        <w:rPr>
          <w:rFonts w:ascii="方正小标宋简体" w:eastAsia="方正小标宋简体" w:cs="方正小标宋简体" w:hint="eastAsia"/>
          <w:w w:val="92"/>
          <w:sz w:val="52"/>
          <w:szCs w:val="52"/>
        </w:rPr>
        <w:t>四川省阿坝州</w:t>
      </w:r>
      <w:bookmarkStart w:id="11" w:name="_Toc15306268"/>
      <w:bookmarkEnd w:id="0"/>
      <w:r>
        <w:rPr>
          <w:rFonts w:ascii="方正小标宋简体" w:eastAsia="方正小标宋简体" w:cs="方正小标宋简体" w:hint="eastAsia"/>
          <w:w w:val="92"/>
          <w:sz w:val="52"/>
          <w:szCs w:val="52"/>
        </w:rPr>
        <w:t>汶川县人民代表大会常务委员会办公室</w:t>
      </w:r>
      <w:r>
        <w:rPr>
          <w:rFonts w:ascii="方正小标宋简体" w:eastAsia="方正小标宋简体" w:cs="方正小标宋简体" w:hint="eastAsia"/>
          <w:w w:val="92"/>
          <w:sz w:val="52"/>
          <w:szCs w:val="52"/>
          <w:lang w:val="en-US" w:eastAsia="zh-CN"/>
        </w:rPr>
        <w:t>部门</w:t>
      </w:r>
      <w:bookmarkEnd w:id="6"/>
      <w:bookmarkEnd w:id="7"/>
      <w:bookmarkEnd w:id="8"/>
      <w:bookmarkEnd w:id="9"/>
      <w:bookmarkEnd w:id="10"/>
      <w:bookmarkEnd w:id="11"/>
      <w:r>
        <w:rPr>
          <w:rFonts w:ascii="方正小标宋简体" w:eastAsia="方正小标宋简体" w:cs="方正小标宋简体" w:hint="eastAsia"/>
          <w:w w:val="92"/>
          <w:sz w:val="52"/>
          <w:szCs w:val="52"/>
        </w:rPr>
        <w:t>决算</w:t>
      </w:r>
    </w:p>
    <w:p>
      <w:pPr>
        <w:keepNext w:val="0"/>
        <w:keepLines w:val="0"/>
        <w:pageBreakBefore w:val="0"/>
        <w:widowControl/>
        <w:kinsoku/>
        <w:wordWrap/>
        <w:topLinePunct w:val="0"/>
        <w:bidi w:val="0"/>
        <w:adjustRightInd/>
        <w:snapToGrid/>
        <w:spacing w:line="240" w:lineRule="auto"/>
        <w:ind w:left="0" w:firstLineChars="200" w:firstLine="720"/>
        <w:jc w:val="center"/>
        <w:rPr>
          <w:rFonts w:ascii="方正小标宋简体" w:eastAsia="方正小标宋简体" w:hint="eastAsia"/>
          <w:color w:val="000000"/>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bidi w:val="0"/>
        <w:adjustRightInd/>
        <w:snapToGrid/>
        <w:spacing w:line="240" w:lineRule="auto"/>
        <w:ind w:left="0" w:firstLineChars="200" w:firstLine="720"/>
        <w:rPr>
          <w:rFonts w:ascii="方正小标宋简体" w:eastAsia="方正小标宋简体" w:hint="eastAsia"/>
          <w:sz w:val="36"/>
          <w:szCs w:val="36"/>
        </w:rPr>
      </w:pPr>
    </w:p>
    <w:p>
      <w:pPr>
        <w:keepNext w:val="0"/>
        <w:keepLines w:val="0"/>
        <w:pageBreakBefore w:val="0"/>
        <w:widowControl w:val="0"/>
        <w:kinsoku/>
        <w:wordWrap/>
        <w:topLinePunct w:val="0"/>
        <w:autoSpaceDE w:val="0"/>
        <w:autoSpaceDN w:val="0"/>
        <w:bidi w:val="0"/>
        <w:adjustRightInd/>
        <w:snapToGrid/>
        <w:spacing w:line="240" w:lineRule="auto"/>
        <w:ind w:left="0" w:firstLineChars="200" w:firstLine="640"/>
        <w:jc w:val="left"/>
        <w:rPr>
          <w:rFonts w:ascii="仿宋_GB2312" w:eastAsia="仿宋_GB2312" w:hint="eastAsia"/>
          <w:sz w:val="32"/>
          <w:szCs w:val="32"/>
        </w:rPr>
      </w:pPr>
      <w:r>
        <w:rPr>
          <w:rFonts w:ascii="仿宋_GB2312" w:eastAsia="仿宋_GB2312" w:cs="仿宋_GB2312" w:hint="eastAsia"/>
          <w:sz w:val="32"/>
          <w:szCs w:val="32"/>
        </w:rPr>
        <w:t>保密审查情况：已审查，内容审定</w:t>
      </w:r>
    </w:p>
    <w:p>
      <w:pPr>
        <w:keepNext w:val="0"/>
        <w:keepLines w:val="0"/>
        <w:pageBreakBefore w:val="0"/>
        <w:widowControl w:val="0"/>
        <w:kinsoku/>
        <w:wordWrap/>
        <w:topLinePunct w:val="0"/>
        <w:autoSpaceDE w:val="0"/>
        <w:autoSpaceDN w:val="0"/>
        <w:bidi w:val="0"/>
        <w:adjustRightInd/>
        <w:snapToGrid/>
        <w:spacing w:line="240" w:lineRule="auto"/>
        <w:ind w:left="0" w:firstLineChars="200" w:firstLine="640"/>
        <w:jc w:val="left"/>
        <w:rPr>
          <w:rFonts w:ascii="仿宋_GB2312" w:eastAsia="仿宋_GB2312" w:cs="仿宋_GB2312" w:hint="eastAsia"/>
          <w:sz w:val="32"/>
          <w:szCs w:val="32"/>
        </w:rPr>
      </w:pPr>
      <w:r>
        <w:rPr>
          <w:rFonts w:ascii="仿宋_GB2312" w:eastAsia="仿宋_GB2312" w:cs="仿宋_GB2312" w:hint="eastAsia"/>
          <w:sz w:val="32"/>
          <w:szCs w:val="32"/>
        </w:rPr>
        <w:t>部门主要负责人审签情况：已审签，同意对外公开</w:t>
      </w: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360"/>
        <w:rPr>
          <w:rFonts w:hint="eastAsia"/>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360"/>
        <w:rPr>
          <w:rFonts w:hint="eastAsia"/>
        </w:rPr>
      </w:pPr>
    </w:p>
    <w:p>
      <w:pPr>
        <w:keepNext w:val="0"/>
        <w:keepLines w:val="0"/>
        <w:pageBreakBefore w:val="0"/>
        <w:widowControl/>
        <w:tabs>
          <w:tab w:val="left" w:pos="1526"/>
          <w:tab w:val="center" w:pos="4153"/>
        </w:tabs>
        <w:kinsoku/>
        <w:wordWrap/>
        <w:topLinePunct w:val="0"/>
        <w:bidi w:val="0"/>
        <w:adjustRightInd/>
        <w:snapToGrid/>
        <w:spacing w:line="240" w:lineRule="auto"/>
        <w:ind w:left="0" w:firstLineChars="200" w:firstLine="880"/>
        <w:jc w:val="center"/>
        <w:rPr>
          <w:rFonts w:ascii="方正小标宋简体" w:eastAsia="方正小标宋简体" w:cs="Times New Roman" w:hint="eastAsia"/>
          <w:color w:val="000000"/>
          <w:sz w:val="44"/>
          <w:szCs w:val="44"/>
        </w:rPr>
      </w:pPr>
      <w:r>
        <w:rPr>
          <w:rFonts w:ascii="方正小标宋简体" w:eastAsia="方正小标宋简体" w:cs="Times New Roman" w:hint="eastAsia"/>
          <w:color w:val="000000"/>
          <w:sz w:val="44"/>
          <w:szCs w:val="44"/>
        </w:rPr>
        <w:t>目  录</w:t>
      </w:r>
    </w:p>
    <w:p>
      <w:pPr>
        <w:pStyle w:val="19"/>
        <w:keepNext w:val="0"/>
        <w:keepLines w:val="0"/>
        <w:pageBreakBefore w:val="0"/>
        <w:widowControl w:val="0"/>
        <w:tabs>
          <w:tab w:val="center" w:pos="4481"/>
          <w:tab w:val="left" w:pos="7799"/>
          <w:tab w:val="right" w:leader="dot" w:pos="8296"/>
        </w:tabs>
        <w:kinsoku/>
        <w:wordWrap/>
        <w:topLinePunct w:val="0"/>
        <w:bidi w:val="0"/>
        <w:adjustRightInd/>
        <w:snapToGrid/>
        <w:spacing w:before="93" w:after="0" w:line="240" w:lineRule="auto"/>
        <w:ind w:left="0" w:firstLineChars="200" w:firstLine="640"/>
        <w:jc w:val="left"/>
        <w:rPr>
          <w:rFonts w:ascii="仿宋_GB2312" w:eastAsia="仿宋_GB2312" w:cs="仿宋_GB2312" w:hint="eastAsia"/>
          <w:b/>
          <w:bCs/>
          <w:caps w:val="0"/>
          <w:smallCaps w:val="0"/>
          <w:sz w:val="32"/>
          <w:szCs w:val="32"/>
          <w:lang w:eastAsia="zh-CN"/>
        </w:rPr>
      </w:pPr>
      <w:r>
        <w:rPr>
          <w:rFonts w:ascii="仿宋_GB2312" w:eastAsia="仿宋_GB2312" w:cs="仿宋_GB2312" w:hint="eastAsia"/>
          <w:b/>
          <w:bCs/>
          <w:caps w:val="0"/>
          <w:smallCaps w:val="0"/>
          <w:sz w:val="32"/>
          <w:szCs w:val="32"/>
          <w:lang w:eastAsia="zh-CN"/>
        </w:rPr>
        <w:tab/>
      </w:r>
      <w:r>
        <w:rPr>
          <w:rFonts w:ascii="仿宋_GB2312" w:eastAsia="仿宋_GB2312" w:cs="仿宋_GB2312" w:hint="eastAsia"/>
          <w:b/>
          <w:bCs/>
          <w:caps w:val="0"/>
          <w:smallCaps w:val="0"/>
          <w:sz w:val="32"/>
          <w:szCs w:val="32"/>
        </w:rPr>
        <w:t>公开时间：</w:t>
      </w:r>
      <w:r>
        <w:rPr>
          <w:rFonts w:ascii="仿宋_GB2312" w:eastAsia="仿宋_GB2312" w:cs="仿宋_GB2312" w:hint="eastAsia"/>
          <w:b/>
          <w:bCs/>
          <w:caps w:val="0"/>
          <w:smallCaps w:val="0"/>
          <w:sz w:val="32"/>
          <w:szCs w:val="32"/>
          <w:lang w:eastAsia="zh-CN"/>
        </w:rPr>
        <w:t>2025</w:t>
      </w:r>
      <w:r>
        <w:rPr>
          <w:rFonts w:ascii="仿宋_GB2312" w:eastAsia="仿宋_GB2312" w:cs="仿宋_GB2312" w:hint="eastAsia"/>
          <w:b/>
          <w:bCs/>
          <w:caps w:val="0"/>
          <w:smallCaps w:val="0"/>
          <w:sz w:val="32"/>
          <w:szCs w:val="32"/>
        </w:rPr>
        <w:t>年</w:t>
      </w:r>
      <w:r>
        <w:rPr>
          <w:rFonts w:ascii="仿宋_GB2312" w:eastAsia="仿宋_GB2312" w:cs="仿宋_GB2312" w:hint="eastAsia"/>
          <w:b/>
          <w:bCs/>
          <w:caps w:val="0"/>
          <w:smallCaps w:val="0"/>
          <w:sz w:val="32"/>
          <w:szCs w:val="32"/>
          <w:lang w:val="en-US" w:eastAsia="zh-CN"/>
        </w:rPr>
        <w:t>10</w:t>
      </w:r>
      <w:r>
        <w:rPr>
          <w:rFonts w:ascii="仿宋_GB2312" w:eastAsia="仿宋_GB2312" w:cs="仿宋_GB2312" w:hint="eastAsia"/>
          <w:b/>
          <w:bCs/>
          <w:caps w:val="0"/>
          <w:smallCaps w:val="0"/>
          <w:sz w:val="32"/>
          <w:szCs w:val="32"/>
        </w:rPr>
        <w:t xml:space="preserve"> 月</w:t>
      </w:r>
      <w:r>
        <w:rPr>
          <w:rFonts w:ascii="仿宋_GB2312" w:eastAsia="仿宋_GB2312" w:cs="仿宋_GB2312" w:hint="eastAsia"/>
          <w:b/>
          <w:bCs/>
          <w:caps w:val="0"/>
          <w:smallCaps w:val="0"/>
          <w:sz w:val="32"/>
          <w:szCs w:val="32"/>
          <w:lang w:val="en-US" w:eastAsia="zh-CN"/>
        </w:rPr>
        <w:t>9</w:t>
      </w:r>
      <w:r>
        <w:rPr>
          <w:rFonts w:ascii="仿宋_GB2312" w:eastAsia="仿宋_GB2312" w:cs="仿宋_GB2312" w:hint="eastAsia"/>
          <w:b/>
          <w:bCs/>
          <w:caps w:val="0"/>
          <w:smallCaps w:val="0"/>
          <w:sz w:val="32"/>
          <w:szCs w:val="32"/>
        </w:rPr>
        <w:t>日</w:t>
      </w:r>
      <w:r>
        <w:rPr>
          <w:rFonts w:ascii="仿宋_GB2312" w:eastAsia="仿宋_GB2312" w:cs="仿宋_GB2312" w:hint="eastAsia"/>
          <w:b/>
          <w:bCs/>
          <w:caps w:val="0"/>
          <w:smallCaps w:val="0"/>
          <w:sz w:val="32"/>
          <w:szCs w:val="32"/>
          <w:lang w:eastAsia="zh-CN"/>
        </w:rPr>
        <w:tab/>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jc w:val="center"/>
        <w:textAlignment w:val="auto"/>
        <w:rPr>
          <w:rFonts w:ascii="仿宋_GB2312" w:eastAsia="仿宋_GB2312" w:cs="仿宋_GB2312" w:hint="eastAsia"/>
          <w:b w:val="0"/>
          <w:bCs w:val="0"/>
          <w:caps/>
          <w:smallCaps w:val="0"/>
          <w:kern w:val="2"/>
          <w:sz w:val="32"/>
          <w:szCs w:val="32"/>
          <w:lang w:val="en-US" w:eastAsia="zh-CN" w:bidi="ar-SA"/>
        </w:rPr>
      </w:pPr>
      <w:r>
        <w:rPr>
          <w:rFonts w:ascii="仿宋_GB2312" w:eastAsia="仿宋_GB2312" w:cs="仿宋_GB2312" w:hint="eastAsia"/>
          <w:b w:val="0"/>
          <w:bCs w:val="0"/>
          <w:sz w:val="32"/>
          <w:szCs w:val="32"/>
        </w:rPr>
        <w:fldChar w:fldCharType="begin"/>
      </w:r>
      <w:r>
        <w:rPr>
          <w:rFonts w:ascii="仿宋_GB2312" w:eastAsia="仿宋_GB2312" w:cs="仿宋_GB2312" w:hint="eastAsia"/>
          <w:b w:val="0"/>
          <w:bCs w:val="0"/>
          <w:sz w:val="32"/>
          <w:szCs w:val="32"/>
        </w:rPr>
        <w:instrText xml:space="preserve"> TOC \o \u </w:instrText>
      </w:r>
      <w:r>
        <w:rPr>
          <w:rFonts w:ascii="仿宋_GB2312" w:eastAsia="仿宋_GB2312" w:cs="仿宋_GB2312" w:hint="eastAsia"/>
          <w:b w:val="0"/>
          <w:bCs w:val="0"/>
          <w:sz w:val="32"/>
          <w:szCs w:val="32"/>
        </w:rPr>
        <w:fldChar w:fldCharType="separate"/>
      </w:r>
      <w:r>
        <w:rPr>
          <w:rFonts w:ascii="黑体" w:eastAsia="黑体" w:cs="黑体" w:hint="eastAsia"/>
          <w:b w:val="0"/>
          <w:bCs w:val="0"/>
          <w:caps/>
          <w:smallCaps w:val="0"/>
          <w:kern w:val="2"/>
          <w:sz w:val="32"/>
          <w:szCs w:val="32"/>
          <w:lang w:val="en-US" w:eastAsia="zh-CN" w:bidi="ar-SA"/>
        </w:rPr>
        <w:t>第一部分 部门概况</w:t>
      </w:r>
      <w:r>
        <w:rPr>
          <w:rFonts w:ascii="仿宋_GB2312" w:eastAsia="仿宋_GB2312" w:cs="仿宋_GB2312" w:hint="eastAsia"/>
          <w:b w:val="0"/>
          <w:bCs w:val="0"/>
          <w:caps/>
          <w:smallCaps w:val="0"/>
          <w:kern w:val="2"/>
          <w:sz w:val="32"/>
          <w:szCs w:val="32"/>
          <w:lang w:val="en-US" w:eastAsia="zh-CN" w:bidi="ar-SA"/>
        </w:rPr>
        <w:tab/>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一、</w:t>
      </w:r>
      <w:r>
        <w:rPr>
          <w:rFonts w:ascii="仿宋_GB2312" w:eastAsia="仿宋_GB2312" w:cs="仿宋_GB2312" w:hint="eastAsia"/>
          <w:b w:val="0"/>
          <w:bCs w:val="0"/>
          <w:caps w:val="0"/>
          <w:smallCaps w:val="0"/>
          <w:color w:val="000000"/>
          <w:sz w:val="32"/>
          <w:szCs w:val="32"/>
          <w:lang w:val="en-US" w:eastAsia="zh-CN"/>
        </w:rPr>
        <w:t>主要职责</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二、机构设置</w:t>
        <w:tab/>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jc w:val="center"/>
        <w:textAlignment w:val="auto"/>
        <w:rPr>
          <w:rFonts w:ascii="仿宋_GB2312" w:eastAsia="仿宋_GB2312" w:cs="仿宋_GB2312" w:hint="eastAsia"/>
          <w:b w:val="0"/>
          <w:bCs w:val="0"/>
          <w:caps w:val="0"/>
          <w:smallCaps w:val="0"/>
          <w:color w:val="000000"/>
          <w:sz w:val="32"/>
          <w:szCs w:val="32"/>
          <w:lang w:eastAsia="zh-CN"/>
        </w:rPr>
      </w:pPr>
      <w:r>
        <w:rPr>
          <w:rFonts w:ascii="黑体" w:eastAsia="黑体" w:cs="黑体" w:hint="eastAsia"/>
          <w:b/>
          <w:bCs/>
          <w:caps w:val="0"/>
          <w:smallCaps w:val="0"/>
          <w:color w:val="000000"/>
          <w:sz w:val="32"/>
          <w:szCs w:val="32"/>
        </w:rPr>
        <w:t xml:space="preserve">第二部分 </w:t>
      </w:r>
      <w:r>
        <w:rPr>
          <w:rFonts w:ascii="黑体" w:eastAsia="黑体" w:cs="黑体" w:hint="eastAsia"/>
          <w:b/>
          <w:bCs/>
          <w:caps w:val="0"/>
          <w:smallCaps w:val="0"/>
          <w:color w:val="000000"/>
          <w:sz w:val="32"/>
          <w:szCs w:val="32"/>
          <w:lang w:eastAsia="zh-CN"/>
        </w:rPr>
        <w:t>2025年</w:t>
      </w:r>
      <w:r>
        <w:rPr>
          <w:rFonts w:ascii="黑体" w:eastAsia="黑体" w:cs="黑体" w:hint="eastAsia"/>
          <w:b/>
          <w:bCs/>
          <w:caps w:val="0"/>
          <w:smallCaps w:val="0"/>
          <w:color w:val="000000"/>
          <w:sz w:val="32"/>
          <w:szCs w:val="32"/>
        </w:rPr>
        <w:t>度单位决算情况说明</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5</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一、收入支出决算总体情况说明</w:t>
        <w:tab/>
      </w:r>
      <w:r>
        <w:rPr>
          <w:rFonts w:ascii="仿宋_GB2312" w:eastAsia="仿宋_GB2312" w:cs="仿宋_GB2312" w:hint="eastAsia"/>
          <w:b w:val="0"/>
          <w:bCs w:val="0"/>
          <w:caps w:val="0"/>
          <w:smallCaps w:val="0"/>
          <w:color w:val="000000"/>
          <w:sz w:val="32"/>
          <w:szCs w:val="32"/>
          <w:lang w:val="en-US" w:eastAsia="zh-CN"/>
        </w:rPr>
        <w:t>5</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二、收入决算情况说明</w:t>
        <w:tab/>
      </w:r>
      <w:r>
        <w:rPr>
          <w:rFonts w:ascii="仿宋_GB2312" w:eastAsia="仿宋_GB2312" w:cs="仿宋_GB2312" w:hint="eastAsia"/>
          <w:b w:val="0"/>
          <w:bCs w:val="0"/>
          <w:caps w:val="0"/>
          <w:smallCaps w:val="0"/>
          <w:color w:val="000000"/>
          <w:sz w:val="32"/>
          <w:szCs w:val="32"/>
          <w:lang w:val="en-US" w:eastAsia="zh-CN"/>
        </w:rPr>
        <w:t>5</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三、支出决算情况说明</w:t>
        <w:tab/>
      </w:r>
      <w:r>
        <w:rPr>
          <w:rFonts w:ascii="仿宋_GB2312" w:eastAsia="仿宋_GB2312" w:cs="仿宋_GB2312" w:hint="eastAsia"/>
          <w:b w:val="0"/>
          <w:bCs w:val="0"/>
          <w:caps w:val="0"/>
          <w:smallCaps w:val="0"/>
          <w:color w:val="000000"/>
          <w:sz w:val="32"/>
          <w:szCs w:val="32"/>
          <w:lang w:val="en-US" w:eastAsia="zh-CN"/>
        </w:rPr>
        <w:t>6</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四、财政拨款收入支出决算总体情况说明</w:t>
        <w:tab/>
      </w:r>
      <w:r>
        <w:rPr>
          <w:rFonts w:ascii="仿宋_GB2312" w:eastAsia="仿宋_GB2312" w:cs="仿宋_GB2312" w:hint="eastAsia"/>
          <w:b w:val="0"/>
          <w:bCs w:val="0"/>
          <w:caps w:val="0"/>
          <w:smallCaps w:val="0"/>
          <w:color w:val="000000"/>
          <w:sz w:val="32"/>
          <w:szCs w:val="32"/>
          <w:lang w:val="en-US" w:eastAsia="zh-CN"/>
        </w:rPr>
        <w:t>6</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五、一般公共预算财政拨款支出决算情况说明</w:t>
        <w:tab/>
      </w:r>
      <w:r>
        <w:rPr>
          <w:rFonts w:ascii="仿宋_GB2312" w:eastAsia="仿宋_GB2312" w:cs="仿宋_GB2312" w:hint="eastAsia"/>
          <w:b w:val="0"/>
          <w:bCs w:val="0"/>
          <w:caps w:val="0"/>
          <w:smallCaps w:val="0"/>
          <w:color w:val="000000"/>
          <w:sz w:val="32"/>
          <w:szCs w:val="32"/>
          <w:lang w:val="en-US" w:eastAsia="zh-CN"/>
        </w:rPr>
        <w:t>7</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六、一般公共预算财政拨款基本支出决算情况说明</w:t>
        <w:tab/>
      </w:r>
      <w:r>
        <w:rPr>
          <w:rFonts w:ascii="仿宋_GB2312" w:eastAsia="仿宋_GB2312" w:cs="仿宋_GB2312" w:hint="eastAsia"/>
          <w:b w:val="0"/>
          <w:bCs w:val="0"/>
          <w:caps w:val="0"/>
          <w:smallCaps w:val="0"/>
          <w:color w:val="000000"/>
          <w:sz w:val="32"/>
          <w:szCs w:val="32"/>
          <w:lang w:val="en-US" w:eastAsia="zh-CN"/>
        </w:rPr>
        <w:t>10</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七、“三公”经费财政拨款支出决算情况说明</w:t>
        <w:tab/>
        <w:t>1</w:t>
      </w:r>
      <w:r>
        <w:rPr>
          <w:rFonts w:ascii="仿宋_GB2312" w:eastAsia="仿宋_GB2312" w:cs="仿宋_GB2312" w:hint="eastAsia"/>
          <w:b w:val="0"/>
          <w:bCs w:val="0"/>
          <w:caps w:val="0"/>
          <w:smallCaps w:val="0"/>
          <w:color w:val="000000"/>
          <w:sz w:val="32"/>
          <w:szCs w:val="32"/>
          <w:lang w:val="en-US" w:eastAsia="zh-CN"/>
        </w:rPr>
        <w:t>1</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八、政府性基金预算支出决算情况说明</w:t>
        <w:tab/>
        <w:t>1</w:t>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九、 国有资本经营预算支出决算情况说明</w:t>
        <w:tab/>
        <w:t>1</w:t>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ind w:left="0" w:firstLineChars="200" w:firstLine="640"/>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rPr>
        <w:t>十、其他重要事项的情况说明</w:t>
        <w:tab/>
        <w:t>1</w:t>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黑体" w:eastAsia="黑体" w:cs="黑体" w:hint="eastAsia"/>
          <w:b w:val="0"/>
          <w:bCs w:val="0"/>
          <w:caps w:val="0"/>
          <w:smallCaps w:val="0"/>
          <w:color w:val="000000"/>
          <w:sz w:val="32"/>
          <w:szCs w:val="32"/>
        </w:rPr>
        <w:t>第三部分 名词解释</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15</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黑体" w:eastAsia="黑体" w:cs="黑体" w:hint="eastAsia"/>
          <w:b/>
          <w:bCs/>
          <w:caps w:val="0"/>
          <w:smallCaps w:val="0"/>
          <w:color w:val="000000"/>
          <w:sz w:val="32"/>
          <w:szCs w:val="32"/>
        </w:rPr>
        <w:t>第四部分 附件</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18</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2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黑体" w:eastAsia="黑体" w:cs="黑体" w:hint="eastAsia"/>
          <w:b w:val="0"/>
          <w:bCs w:val="0"/>
          <w:caps w:val="0"/>
          <w:smallCaps w:val="0"/>
          <w:color w:val="000000"/>
          <w:sz w:val="32"/>
          <w:szCs w:val="32"/>
        </w:rPr>
        <w:t>第五部分 附表</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47</w:t>
      </w:r>
    </w:p>
    <w:p>
      <w:pPr>
        <w:keepNext w:val="0"/>
        <w:keepLines w:val="0"/>
        <w:pageBreakBefore w:val="0"/>
        <w:widowControl w:val="0"/>
        <w:kinsoku/>
        <w:wordWrap/>
        <w:overflowPunct/>
        <w:topLinePunct w:val="0"/>
        <w:autoSpaceDE/>
        <w:autoSpaceDN/>
        <w:bidi w:val="0"/>
        <w:adjustRightInd/>
        <w:snapToGrid/>
        <w:spacing w:line="520" w:lineRule="exact"/>
        <w:ind w:left="0" w:firstLineChars="200" w:firstLine="640"/>
        <w:textAlignment w:val="auto"/>
        <w:rPr>
          <w:rFonts w:hint="eastAsia"/>
        </w:rPr>
      </w:pPr>
      <w:r>
        <w:rPr>
          <w:rFonts w:ascii="仿宋_GB2312" w:eastAsia="仿宋_GB2312" w:cs="仿宋_GB2312" w:hint="eastAsia"/>
          <w:b/>
          <w:bCs/>
          <w:caps/>
          <w:smallCaps w:val="0"/>
          <w:sz w:val="32"/>
          <w:szCs w:val="32"/>
        </w:rPr>
        <w:fldChar w:fldCharType="end"/>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r>
        <w:rPr>
          <w:rFonts w:ascii="方正小标宋简体" w:eastAsia="方正小标宋简体" w:cs="方正小标宋简体" w:hint="eastAsia"/>
          <w:b w:val="0"/>
          <w:bCs/>
          <w:kern w:val="44"/>
          <w:sz w:val="44"/>
          <w:szCs w:val="44"/>
          <w:lang w:val="en-US" w:eastAsia="zh-CN" w:bidi="ar-SA"/>
        </w:rPr>
        <w:t>部门概况</w:t>
      </w: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360"/>
        <w:jc w:val="left"/>
        <w:rPr>
          <w:rFonts w:hint="eastAsia"/>
          <w:lang w:val="en-US" w:eastAsia="zh-CN"/>
        </w:rPr>
      </w:pPr>
    </w:p>
    <w:p>
      <w:pPr>
        <w:keepNext w:val="0"/>
        <w:keepLines w:val="0"/>
        <w:pageBreakBefore w:val="0"/>
        <w:widowControl w:val="0"/>
        <w:kinsoku/>
        <w:wordWrap/>
        <w:topLinePunct w:val="0"/>
        <w:bidi w:val="0"/>
        <w:adjustRightInd/>
        <w:snapToGrid/>
        <w:spacing w:line="240" w:lineRule="auto"/>
        <w:ind w:left="0" w:firstLineChars="200" w:firstLine="420"/>
        <w:rPr>
          <w:rFonts w:hint="eastAsia"/>
          <w:lang w:val="en-US" w:eastAsia="zh-CN"/>
        </w:rPr>
      </w:pP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lang w:val="en-US" w:eastAsia="zh-CN"/>
        </w:rPr>
      </w:pPr>
      <w:r>
        <w:rPr>
          <w:rFonts w:ascii="黑体" w:eastAsia="黑体" w:cs="黑体" w:hint="eastAsia"/>
          <w:sz w:val="32"/>
          <w:szCs w:val="32"/>
          <w:lang w:val="en-US" w:eastAsia="zh-CN"/>
        </w:rPr>
        <w:t>一、主要职责</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zh-CN" w:eastAsia="zh-CN"/>
        </w:rPr>
      </w:pPr>
      <w:r>
        <w:rPr>
          <w:rFonts w:ascii="仿宋_GB2312" w:eastAsia="仿宋_GB2312" w:cs="仿宋_GB2312" w:hint="eastAsia"/>
          <w:sz w:val="32"/>
          <w:szCs w:val="32"/>
          <w:lang w:val="en-US" w:eastAsia="zh-CN"/>
        </w:rPr>
        <w:t>汶川县</w:t>
      </w:r>
      <w:r>
        <w:rPr>
          <w:rFonts w:ascii="仿宋_GB2312" w:eastAsia="仿宋_GB2312" w:cs="仿宋_GB2312" w:hint="eastAsia"/>
          <w:sz w:val="32"/>
          <w:szCs w:val="32"/>
          <w:lang w:val="zh-CN" w:eastAsia="zh-CN"/>
        </w:rPr>
        <w:t>人大常委会办公</w:t>
      </w:r>
      <w:r>
        <w:rPr>
          <w:rFonts w:ascii="仿宋_GB2312" w:eastAsia="仿宋_GB2312" w:cs="仿宋_GB2312" w:hint="eastAsia"/>
          <w:sz w:val="32"/>
          <w:szCs w:val="32"/>
          <w:lang w:val="en-US" w:eastAsia="zh-CN"/>
        </w:rPr>
        <w:t>室</w:t>
      </w:r>
      <w:r>
        <w:rPr>
          <w:rFonts w:ascii="仿宋_GB2312" w:eastAsia="仿宋_GB2312" w:cs="仿宋_GB2312" w:hint="eastAsia"/>
          <w:sz w:val="32"/>
          <w:szCs w:val="32"/>
          <w:lang w:val="zh-CN" w:eastAsia="zh-CN"/>
        </w:rPr>
        <w:t>是</w:t>
      </w:r>
      <w:r>
        <w:rPr>
          <w:rFonts w:ascii="仿宋_GB2312" w:eastAsia="仿宋_GB2312" w:cs="仿宋_GB2312" w:hint="eastAsia"/>
          <w:sz w:val="32"/>
          <w:szCs w:val="32"/>
          <w:lang w:val="en-US" w:eastAsia="zh-CN"/>
        </w:rPr>
        <w:t>县</w:t>
      </w:r>
      <w:r>
        <w:rPr>
          <w:rFonts w:ascii="仿宋_GB2312" w:eastAsia="仿宋_GB2312" w:cs="仿宋_GB2312" w:hint="eastAsia"/>
          <w:sz w:val="32"/>
          <w:szCs w:val="32"/>
          <w:lang w:val="zh-CN" w:eastAsia="zh-CN"/>
        </w:rPr>
        <w:t>人大常委会的办事工作机构，主要职责是：承担县人民代表大会会议、常委会会议、主任会议以及其他会议的筹备会务和会议决定事项的督办工作；起草有关通知、会议纪要、总结、计划、决议、决定和报告等文件，编写《公报》、《工作通报》、人大大事记。搞好人大的宣传工作；搞好协调工作，上情下报，上情下达；负责文书档案、工资福利、机关财务、机关人事管理、财产管理、小车管理和保卫工作；搞好机关精神文明建设工作；承担有关接待工作；办理常委会主任会议和领导交办的其他工作。</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lang w:val="en-US" w:eastAsia="zh-CN"/>
        </w:rPr>
      </w:pPr>
      <w:r>
        <w:rPr>
          <w:rFonts w:ascii="黑体" w:eastAsia="黑体" w:cs="黑体" w:hint="eastAsia"/>
          <w:sz w:val="32"/>
          <w:szCs w:val="32"/>
          <w:lang w:val="en-US" w:eastAsia="zh-CN"/>
        </w:rPr>
        <w:t>二、机构设置</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zh-CN" w:eastAsia="zh-CN"/>
        </w:rPr>
      </w:pPr>
      <w:r>
        <w:rPr>
          <w:rFonts w:ascii="仿宋_GB2312" w:eastAsia="仿宋_GB2312" w:cs="仿宋_GB2312" w:hint="eastAsia"/>
          <w:sz w:val="32"/>
          <w:szCs w:val="32"/>
          <w:lang w:val="en-US" w:eastAsia="zh-CN"/>
        </w:rPr>
        <w:t>汶川县人民代表大会设汶川县人民代表大会常务委员会和3个专门委员会，汶川县人民代表大会常务委员会设2个办事机构。3个专委会包括</w:t>
      </w:r>
      <w:r>
        <w:rPr>
          <w:rFonts w:ascii="仿宋_GB2312" w:eastAsia="仿宋_GB2312" w:cs="仿宋_GB2312" w:hint="eastAsia"/>
          <w:sz w:val="32"/>
          <w:szCs w:val="32"/>
          <w:lang w:val="zh-CN" w:eastAsia="zh-CN"/>
        </w:rPr>
        <w:t>县人大法制监察司法和民族宗教</w:t>
      </w:r>
      <w:r>
        <w:rPr>
          <w:rFonts w:ascii="仿宋_GB2312" w:eastAsia="仿宋_GB2312" w:cs="仿宋_GB2312"/>
          <w:sz w:val="32"/>
          <w:szCs w:val="32"/>
          <w:lang w:val="zh-CN" w:eastAsia="zh-CN"/>
        </w:rPr>
        <w:t>事务</w:t>
      </w:r>
      <w:r>
        <w:rPr>
          <w:rFonts w:ascii="仿宋_GB2312" w:eastAsia="仿宋_GB2312" w:cs="仿宋_GB2312" w:hint="eastAsia"/>
          <w:sz w:val="32"/>
          <w:szCs w:val="32"/>
          <w:lang w:val="zh-CN" w:eastAsia="zh-CN"/>
        </w:rPr>
        <w:t>委员会、县人大财政经济预算</w:t>
      </w:r>
      <w:r>
        <w:rPr>
          <w:rFonts w:ascii="仿宋_GB2312" w:eastAsia="仿宋_GB2312" w:cs="仿宋_GB2312" w:hint="eastAsia"/>
          <w:sz w:val="32"/>
          <w:szCs w:val="32"/>
          <w:lang w:val="en-US" w:eastAsia="zh-CN"/>
        </w:rPr>
        <w:t>和</w:t>
      </w:r>
      <w:r>
        <w:rPr>
          <w:rFonts w:ascii="仿宋_GB2312" w:eastAsia="仿宋_GB2312" w:cs="仿宋_GB2312" w:hint="eastAsia"/>
          <w:sz w:val="32"/>
          <w:szCs w:val="32"/>
          <w:lang w:val="zh-CN" w:eastAsia="zh-CN"/>
        </w:rPr>
        <w:t>农业农村城乡环境保护委员会、县人大教育科学文化卫生和社会建设委员会。</w:t>
      </w:r>
      <w:r>
        <w:rPr>
          <w:rFonts w:ascii="仿宋_GB2312" w:eastAsia="仿宋_GB2312" w:cs="仿宋_GB2312" w:hint="eastAsia"/>
          <w:sz w:val="32"/>
          <w:szCs w:val="32"/>
          <w:lang w:val="en-US" w:eastAsia="zh-CN"/>
        </w:rPr>
        <w:t>2个办事机构包括县</w:t>
      </w:r>
      <w:r>
        <w:rPr>
          <w:rFonts w:ascii="仿宋_GB2312" w:eastAsia="仿宋_GB2312" w:cs="仿宋_GB2312" w:hint="eastAsia"/>
          <w:sz w:val="32"/>
          <w:szCs w:val="32"/>
          <w:lang w:val="zh-CN" w:eastAsia="zh-CN"/>
        </w:rPr>
        <w:t>人大常委会办公</w:t>
      </w:r>
      <w:r>
        <w:rPr>
          <w:rFonts w:ascii="仿宋_GB2312" w:eastAsia="仿宋_GB2312" w:cs="仿宋_GB2312" w:hint="eastAsia"/>
          <w:sz w:val="32"/>
          <w:szCs w:val="32"/>
          <w:lang w:val="en-US" w:eastAsia="zh-CN"/>
        </w:rPr>
        <w:t>室、</w:t>
      </w:r>
      <w:r>
        <w:rPr>
          <w:rFonts w:ascii="仿宋_GB2312" w:eastAsia="仿宋_GB2312" w:cs="仿宋_GB2312" w:hint="eastAsia"/>
          <w:sz w:val="32"/>
          <w:szCs w:val="32"/>
          <w:lang w:val="zh-CN" w:eastAsia="zh-CN"/>
        </w:rPr>
        <w:t>县人大常委会人事代表工作委员会。</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hint="eastAsia"/>
          <w:sz w:val="32"/>
          <w:szCs w:val="32"/>
          <w:lang w:val="en-US" w:eastAsia="zh-CN"/>
        </w:rPr>
      </w:pPr>
      <w:r>
        <w:rPr>
          <w:rFonts w:ascii="仿宋_GB2312" w:eastAsia="仿宋_GB2312" w:hint="eastAsia"/>
          <w:sz w:val="32"/>
          <w:szCs w:val="32"/>
        </w:rPr>
        <w:t>汶川县人大常委会办公室下属</w:t>
      </w:r>
      <w:r>
        <w:rPr>
          <w:rFonts w:ascii="仿宋_GB2312" w:eastAsia="仿宋_GB2312" w:hint="eastAsia"/>
          <w:sz w:val="32"/>
          <w:szCs w:val="32"/>
          <w:lang w:val="en-US" w:eastAsia="zh-CN"/>
        </w:rPr>
        <w:t>独立核算</w:t>
      </w:r>
      <w:r>
        <w:rPr>
          <w:rFonts w:ascii="仿宋_GB2312" w:eastAsia="仿宋_GB2312" w:hint="eastAsia"/>
          <w:sz w:val="32"/>
          <w:szCs w:val="32"/>
        </w:rPr>
        <w:t>单位2个</w:t>
      </w:r>
      <w:r>
        <w:rPr>
          <w:rFonts w:ascii="仿宋_GB2312" w:eastAsia="仿宋_GB2312" w:hint="eastAsia"/>
          <w:sz w:val="32"/>
          <w:szCs w:val="32"/>
          <w:lang w:eastAsia="zh-CN"/>
        </w:rPr>
        <w:t>：</w:t>
      </w:r>
      <w:r>
        <w:rPr>
          <w:rFonts w:ascii="仿宋_GB2312" w:eastAsia="仿宋_GB2312" w:hint="eastAsia"/>
          <w:sz w:val="32"/>
          <w:szCs w:val="32"/>
          <w:lang w:val="en-US" w:eastAsia="zh-CN"/>
        </w:rPr>
        <w:t>1.汶川县人民代表大会常务委员会办公室；2.汶川人大信息和网络中心。</w:t>
      </w: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hint="eastAsia"/>
          <w:sz w:val="32"/>
          <w:szCs w:val="32"/>
          <w:lang w:val="en-US" w:eastAsia="zh-CN"/>
        </w:rPr>
      </w:pPr>
    </w:p>
    <w:p>
      <w:pPr>
        <w:keepNext w:val="0"/>
        <w:keepLines w:val="0"/>
        <w:pageBreakBefore w:val="0"/>
        <w:widowControl w:val="0"/>
        <w:kinsoku/>
        <w:wordWrap/>
        <w:topLinePunct w:val="0"/>
        <w:bidi w:val="0"/>
        <w:adjustRightInd/>
        <w:snapToGrid/>
        <w:spacing w:line="240" w:lineRule="auto"/>
        <w:ind w:left="0" w:firstLineChars="200" w:firstLine="420"/>
        <w:rPr>
          <w:lang w:val="en-US" w:eastAsia="zh-CN"/>
        </w:rPr>
      </w:pP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r>
        <w:rPr>
          <w:rFonts w:ascii="方正小标宋简体" w:eastAsia="方正小标宋简体" w:cs="方正小标宋简体" w:hint="eastAsia"/>
          <w:b w:val="0"/>
          <w:bCs/>
          <w:kern w:val="44"/>
          <w:sz w:val="44"/>
          <w:szCs w:val="44"/>
          <w:lang w:val="en-US" w:eastAsia="zh-CN" w:bidi="ar-SA"/>
        </w:rPr>
        <w:t>2025年度单位决算情况说明</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left"/>
        <w:textAlignment w:val="auto"/>
        <w:rPr>
          <w:rFonts w:ascii="黑体" w:eastAsia="黑体" w:cs="黑体" w:hint="eastAsia"/>
          <w:sz w:val="32"/>
          <w:szCs w:val="32"/>
        </w:rPr>
      </w:pPr>
      <w:r>
        <w:rPr>
          <w:rFonts w:ascii="仿宋_GB2312" w:eastAsia="仿宋_GB2312" w:cs="仿宋_GB2312" w:hint="eastAsia"/>
          <w:sz w:val="32"/>
          <w:szCs w:val="32"/>
        </w:rPr>
        <w:t> </w:t>
      </w:r>
      <w:r>
        <w:rPr>
          <w:rFonts w:ascii="黑体" w:eastAsia="黑体" w:cs="黑体" w:hint="eastAsia"/>
          <w:sz w:val="32"/>
          <w:szCs w:val="32"/>
        </w:rPr>
        <w:t>一、收入支出决算总体情况说明</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2025年度收、支总计均为1048.04万元，与2024年度相比，收、支总计各增加45.02万元，增长4.5%。</w:t>
      </w:r>
      <w:r>
        <w:rPr>
          <w:rFonts w:ascii="仿宋_GB2312" w:eastAsia="仿宋_GB2312" w:cs="仿宋_GB2312" w:hint="eastAsia"/>
          <w:sz w:val="32"/>
          <w:szCs w:val="32"/>
          <w:lang w:val="en-US" w:eastAsia="zh-CN"/>
          <w:highlight w:val="auto"/>
        </w:rPr>
        <w:t>主要变动原因是：调整后非财政拨款年初结转和结余较上年增加；</w:t>
      </w:r>
      <w:r>
        <w:rPr>
          <w:rFonts w:ascii="仿宋_GB2312" w:eastAsia="仿宋_GB2312" w:cs="仿宋_GB2312" w:hint="eastAsia"/>
          <w:sz w:val="32"/>
          <w:szCs w:val="32"/>
          <w:lang w:val="en-US" w:eastAsia="zh-CN"/>
        </w:rPr>
        <w:t>年末在职实有人数较上年增加4人，人员经费及公用经费相应增加</w:t>
      </w:r>
      <w:r>
        <w:rPr>
          <w:rFonts w:ascii="仿宋_GB2312" w:eastAsia="仿宋_GB2312" w:cs="仿宋_GB2312" w:hint="eastAsia"/>
          <w:sz w:val="32"/>
          <w:szCs w:val="32"/>
        </w:rPr>
        <w:t>。</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center"/>
        <w:textAlignment w:val="auto"/>
        <w:rPr>
          <w:rFonts w:ascii="仿宋" w:eastAsia="仿宋" w:cs="仿宋" w:hint="eastAsia"/>
          <w:sz w:val="32"/>
          <w:szCs w:val="32"/>
          <w:lang w:val="en-US" w:eastAsia="zh-CN"/>
        </w:rPr>
      </w:pPr>
      <w:r>
        <w:rPr>
          <w:rFonts w:ascii="仿宋" w:eastAsia="仿宋" w:cs="仿宋" w:hint="eastAsia"/>
          <w:sz w:val="32"/>
          <w:szCs w:val="32"/>
          <w:lang w:val="en-US" w:eastAsia="zh-CN"/>
        </w:rPr>
        <w:t>金额单位：万元</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eastAsia="zh-CN"/>
        </w:rPr>
        <w:drawing>
          <wp:inline distT="0" distB="0" distL="114300" distR="114300">
            <wp:extent cx="5351780" cy="2853689"/>
            <wp:effectExtent l="0" t="0" r="0" b="0"/>
            <wp:docPr id="1" name="图表 1"/>
            <wp:cNvGraphicFramePr>
              <a:graphicFrameLocks noChangeAspect="0"/>
            </wp:cNvGraphicFramePr>
            <a:graphic>
              <a:graphicData uri="http://schemas.openxmlformats.org/drawingml/2006/chart">
                <c:chart xmlns:c="http://schemas.openxmlformats.org/drawingml/2006/chart" r:id="rId4"/>
              </a:graphicData>
            </a:graphic>
          </wp:inline>
        </w:drawing>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center"/>
        <w:textAlignment w:val="auto"/>
        <w:rPr>
          <w:rFonts w:ascii="仿宋_GB2312" w:eastAsia="仿宋_GB2312" w:cs="仿宋_GB2312" w:hint="eastAsia"/>
          <w:sz w:val="32"/>
          <w:szCs w:val="32"/>
          <w:lang w:val="en-US" w:eastAsia="zh-CN"/>
        </w:rPr>
      </w:pPr>
      <w:bookmarkStart w:id="12" w:name="_Toc15377206"/>
      <w:bookmarkStart w:id="13" w:name="_Toc15396604"/>
      <w:r>
        <w:rPr>
          <w:rFonts w:ascii="仿宋_GB2312" w:eastAsia="仿宋_GB2312" w:cs="仿宋_GB2312" w:hint="eastAsia"/>
          <w:sz w:val="32"/>
          <w:szCs w:val="32"/>
          <w:lang w:val="en-US" w:eastAsia="zh-CN"/>
        </w:rPr>
        <w:t>（图1：收、支决算总计变动情况图）（柱状图）</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left"/>
        <w:textAlignment w:val="auto"/>
        <w:rPr>
          <w:rFonts w:ascii="仿宋_GB2312" w:eastAsia="仿宋_GB2312" w:cs="仿宋_GB2312" w:hint="eastAsia"/>
          <w:sz w:val="32"/>
          <w:szCs w:val="32"/>
        </w:rPr>
      </w:pPr>
      <w:r>
        <w:rPr>
          <w:rFonts w:ascii="黑体" w:eastAsia="黑体" w:cs="黑体" w:hint="eastAsia"/>
          <w:sz w:val="32"/>
          <w:szCs w:val="32"/>
          <w:lang w:val="en-US" w:eastAsia="zh-CN"/>
        </w:rPr>
        <w:t>二、</w:t>
      </w:r>
      <w:r>
        <w:rPr>
          <w:rFonts w:ascii="黑体" w:eastAsia="黑体" w:cs="黑体" w:hint="eastAsia"/>
          <w:sz w:val="32"/>
          <w:szCs w:val="32"/>
        </w:rPr>
        <w:t>收入决算情况说明</w:t>
      </w:r>
      <w:bookmarkEnd w:id="12"/>
      <w:bookmarkEnd w:id="13"/>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2025年本年收入总计1026.03万元，其中：一般公共预算财政拨款收入1017.47万元，占99.2%；其他收入8.56万元，占0.8%。</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仿宋_GB2312" w:eastAsia="仿宋_GB2312" w:cs="仿宋_GB2312" w:hint="eastAsia"/>
          <w:sz w:val="32"/>
          <w:szCs w:val="32"/>
          <w:lang w:val="en-US" w:eastAsia="zh-CN"/>
        </w:rPr>
      </w:pPr>
      <w:bookmarkStart w:id="14" w:name="_1756556398"/>
      <w:bookmarkEnd w:id="14"/>
      <w:r>
        <w:rPr>
          <w:rFonts w:ascii="仿宋_GB2312" w:eastAsia="仿宋_GB2312" w:cs="仿宋_GB2312" w:hint="eastAsia"/>
          <w:sz w:val="32"/>
          <w:szCs w:val="32"/>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442.45pt;height:209.85pt;" o:ole="">
            <v:stroke color="#000000"/>
            <v:imagedata r:id="rId5" o:title="image1"/>
            <w10:anchorLock/>
          </v:shape>
          <o:OLEObject Type="Embed" ProgID="Package" ShapeID="_x0000_i1" DrawAspect="Content" ObjectID="_1393063351" r:id="rId6"/>
        </w:object>
      </w:r>
      <w:r>
        <w:rPr>
          <w:rFonts w:ascii="仿宋_GB2312" w:eastAsia="仿宋_GB2312" w:cs="仿宋_GB2312" w:hint="eastAsia"/>
          <w:sz w:val="32"/>
          <w:szCs w:val="32"/>
          <w:lang w:val="en-US" w:eastAsia="zh-CN"/>
        </w:rPr>
        <w:t>（图2：收入决算结构图）（饼状图）</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三、支出决算情况说明</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本年支出合计</w:t>
      </w:r>
      <w:r>
        <w:rPr>
          <w:rFonts w:ascii="仿宋_GB2312" w:eastAsia="仿宋_GB2312" w:cs="仿宋_GB2312" w:hint="eastAsia"/>
          <w:sz w:val="32"/>
          <w:szCs w:val="32"/>
          <w:lang w:val="en-US" w:eastAsia="zh-CN"/>
        </w:rPr>
        <w:t>1021.03</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，其中：基本支出</w:t>
      </w:r>
      <w:r>
        <w:rPr>
          <w:rFonts w:ascii="仿宋_GB2312" w:eastAsia="仿宋_GB2312" w:cs="仿宋_GB2312" w:hint="eastAsia"/>
          <w:sz w:val="32"/>
          <w:szCs w:val="32"/>
          <w:lang w:val="en-US" w:eastAsia="zh-CN"/>
        </w:rPr>
        <w:t>864.41万元</w:t>
      </w:r>
      <w:r>
        <w:rPr>
          <w:rFonts w:ascii="仿宋_GB2312" w:eastAsia="仿宋_GB2312" w:cs="仿宋_GB2312" w:hint="eastAsia"/>
          <w:sz w:val="32"/>
          <w:szCs w:val="32"/>
        </w:rPr>
        <w:t>，占</w:t>
      </w:r>
      <w:r>
        <w:rPr>
          <w:rFonts w:ascii="仿宋_GB2312" w:eastAsia="仿宋_GB2312" w:cs="仿宋_GB2312" w:hint="eastAsia"/>
          <w:sz w:val="32"/>
          <w:szCs w:val="32"/>
          <w:lang w:val="en-US" w:eastAsia="zh-CN"/>
        </w:rPr>
        <w:t>84.7</w:t>
      </w:r>
      <w:r>
        <w:rPr>
          <w:rFonts w:ascii="仿宋_GB2312" w:eastAsia="仿宋_GB2312" w:cs="仿宋_GB2312" w:hint="eastAsia"/>
          <w:sz w:val="32"/>
          <w:szCs w:val="32"/>
        </w:rPr>
        <w:t>%；项目支出</w:t>
      </w:r>
      <w:r>
        <w:rPr>
          <w:rFonts w:ascii="仿宋_GB2312" w:eastAsia="仿宋_GB2312" w:cs="仿宋_GB2312" w:hint="eastAsia"/>
          <w:sz w:val="32"/>
          <w:szCs w:val="32"/>
          <w:lang w:val="en-US" w:eastAsia="zh-CN"/>
        </w:rPr>
        <w:t>156.61</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15.3</w:t>
      </w:r>
      <w:r>
        <w:rPr>
          <w:rFonts w:ascii="仿宋_GB2312" w:eastAsia="仿宋_GB2312" w:cs="仿宋_GB2312" w:hint="eastAsia"/>
          <w:sz w:val="32"/>
          <w:szCs w:val="32"/>
        </w:rPr>
        <w:t>%。</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eastAsia="仿宋_GB2312" w:cs="仿宋_GB2312" w:hint="eastAsia"/>
          <w:sz w:val="32"/>
          <w:szCs w:val="32"/>
          <w:lang w:eastAsia="zh-CN"/>
        </w:rPr>
      </w:pPr>
      <w:r>
        <w:rPr>
          <w:rFonts w:ascii="仿宋_GB2312" w:eastAsia="仿宋_GB2312" w:cs="仿宋_GB2312" w:hint="eastAsia"/>
          <w:color w:val="000000"/>
          <w:sz w:val="32"/>
          <w:szCs w:val="32"/>
        </w:rPr>
        <w:object>
          <v:shape id="_x0000_i2" type="#_x0000_t75" filled="f" stroked="f" style="width:449.60004pt;height:178.8pt;" o:ole="">
            <v:stroke color="#000000"/>
            <v:imagedata r:id="rId7" o:title="image2" cropbottom="-15f"/>
            <w10:anchorLock/>
          </v:shape>
          <o:OLEObject Type="Embed" ProgID="Package" ShapeID="_x0000_i2" DrawAspect="Content" ObjectID="_1393063352" r:id="rId8"/>
        </w:object>
      </w:r>
      <w:r>
        <w:rPr>
          <w:rFonts w:ascii="仿宋_GB2312" w:eastAsia="仿宋_GB2312" w:cs="仿宋_GB2312" w:hint="eastAsia"/>
          <w:sz w:val="32"/>
          <w:szCs w:val="32"/>
        </w:rPr>
        <w:t>（图3：支出决算结构图）（饼状图</w:t>
      </w:r>
      <w:bookmarkStart w:id="15" w:name="_1756556661"/>
      <w:bookmarkEnd w:id="15"/>
      <w:r>
        <w:rPr>
          <w:rFonts w:ascii="仿宋_GB2312" w:eastAsia="仿宋_GB2312" w:cs="仿宋_GB2312" w:hint="eastAsia"/>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left"/>
        <w:textAlignment w:val="auto"/>
        <w:rPr>
          <w:rFonts w:ascii="黑体" w:eastAsia="黑体" w:cs="黑体" w:hint="eastAsia"/>
          <w:sz w:val="32"/>
          <w:szCs w:val="32"/>
        </w:rPr>
      </w:pPr>
      <w:r>
        <w:rPr>
          <w:rFonts w:ascii="黑体" w:eastAsia="黑体" w:cs="黑体" w:hint="eastAsia"/>
          <w:sz w:val="32"/>
          <w:szCs w:val="32"/>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财政拨款收、支总计</w:t>
      </w:r>
      <w:r>
        <w:rPr>
          <w:rFonts w:ascii="仿宋_GB2312" w:eastAsia="仿宋_GB2312" w:cs="仿宋_GB2312" w:hint="eastAsia"/>
          <w:sz w:val="32"/>
          <w:szCs w:val="32"/>
          <w:lang w:val="en-US" w:eastAsia="zh-CN"/>
        </w:rPr>
        <w:t>均为1017.47</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。与</w:t>
      </w:r>
      <w:r>
        <w:rPr>
          <w:rFonts w:ascii="仿宋_GB2312" w:eastAsia="仿宋_GB2312" w:cs="仿宋_GB2312" w:hint="eastAsia"/>
          <w:sz w:val="32"/>
          <w:szCs w:val="32"/>
          <w:lang w:eastAsia="zh-CN"/>
        </w:rPr>
        <w:t>202</w:t>
      </w:r>
      <w:r>
        <w:rPr>
          <w:rFonts w:ascii="仿宋_GB2312" w:eastAsia="仿宋_GB2312" w:cs="仿宋_GB2312" w:hint="eastAsia"/>
          <w:sz w:val="32"/>
          <w:szCs w:val="32"/>
          <w:lang w:val="en-US" w:eastAsia="zh-CN"/>
        </w:rPr>
        <w:t>4</w:t>
      </w:r>
      <w:r>
        <w:rPr>
          <w:rFonts w:ascii="仿宋_GB2312" w:eastAsia="仿宋_GB2312" w:cs="仿宋_GB2312" w:hint="eastAsia"/>
          <w:sz w:val="32"/>
          <w:szCs w:val="32"/>
          <w:lang w:eastAsia="zh-CN"/>
        </w:rPr>
        <w:t>年</w:t>
      </w:r>
      <w:r>
        <w:rPr>
          <w:rFonts w:ascii="仿宋_GB2312" w:eastAsia="仿宋_GB2312" w:cs="仿宋_GB2312" w:hint="eastAsia"/>
          <w:sz w:val="32"/>
          <w:szCs w:val="32"/>
        </w:rPr>
        <w:t>相比，财政拨款收、支总计各</w:t>
      </w:r>
      <w:r>
        <w:rPr>
          <w:rFonts w:ascii="仿宋_GB2312" w:eastAsia="仿宋_GB2312" w:cs="仿宋_GB2312" w:hint="eastAsia"/>
          <w:sz w:val="32"/>
          <w:szCs w:val="32"/>
          <w:lang w:val="en-US" w:eastAsia="zh-CN"/>
        </w:rPr>
        <w:t>增加31.17</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增长3.2</w:t>
      </w:r>
      <w:r>
        <w:rPr>
          <w:rFonts w:ascii="仿宋_GB2312" w:eastAsia="仿宋_GB2312" w:cs="仿宋_GB2312" w:hint="eastAsia"/>
          <w:sz w:val="32"/>
          <w:szCs w:val="32"/>
          <w:lang w:eastAsia="zh-CN"/>
        </w:rPr>
        <w:t>%</w:t>
      </w:r>
      <w:r>
        <w:rPr>
          <w:rFonts w:ascii="仿宋_GB2312" w:eastAsia="仿宋_GB2312" w:cs="仿宋_GB2312" w:hint="eastAsia"/>
          <w:sz w:val="32"/>
          <w:szCs w:val="32"/>
        </w:rPr>
        <w:t>。主要变动原因是</w:t>
      </w:r>
      <w:r>
        <w:rPr>
          <w:rFonts w:ascii="仿宋_GB2312" w:eastAsia="仿宋_GB2312" w:cs="仿宋_GB2312" w:hint="eastAsia"/>
          <w:sz w:val="32"/>
          <w:szCs w:val="32"/>
          <w:lang w:val="en-US" w:eastAsia="zh-CN"/>
        </w:rPr>
        <w:t>：年末在职实有人数较上年增加4人，人员经费及公用经费相应增加</w:t>
      </w:r>
      <w:r>
        <w:rPr>
          <w:rFonts w:ascii="仿宋_GB2312" w:eastAsia="仿宋_GB2312" w:cs="仿宋_GB2312" w:hint="eastAsia"/>
          <w:sz w:val="32"/>
          <w:szCs w:val="32"/>
        </w:rPr>
        <w:t>。</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 w:eastAsia="仿宋" w:cs="仿宋" w:hint="eastAsia"/>
          <w:sz w:val="32"/>
          <w:szCs w:val="32"/>
          <w:lang w:val="en-US" w:eastAsia="zh-CN"/>
        </w:rPr>
      </w:pPr>
      <w:r>
        <w:rPr>
          <w:rFonts w:ascii="仿宋" w:eastAsia="仿宋" w:cs="仿宋" w:hint="eastAsia"/>
          <w:sz w:val="32"/>
          <w:szCs w:val="32"/>
          <w:lang w:val="en-US" w:eastAsia="zh-CN"/>
        </w:rPr>
        <w:t>金额单位：万元</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仿宋_GB2312" w:eastAsia="仿宋_GB2312" w:cs="仿宋_GB2312" w:hint="eastAsia"/>
          <w:sz w:val="32"/>
          <w:szCs w:val="32"/>
        </w:rPr>
      </w:pPr>
      <w:bookmarkStart w:id="16" w:name="_1756556959"/>
      <w:bookmarkEnd w:id="16"/>
      <w:r>
        <w:rPr>
          <w:rFonts w:ascii="仿宋_GB2312" w:eastAsia="仿宋_GB2312" w:cs="仿宋_GB2312" w:hint="eastAsia"/>
          <w:color w:val="000000"/>
          <w:sz w:val="32"/>
          <w:szCs w:val="32"/>
        </w:rPr>
        <w:object>
          <v:shape id="_x0000_i3" type="#_x0000_t75" filled="f" stroked="f" style="width:442.55pt;height:190.1pt;" o:ole="">
            <v:stroke color="#000000"/>
            <v:imagedata r:id="rId9" o:title="image3" cropbottom="-47f"/>
            <w10:anchorLock/>
          </v:shape>
          <o:OLEObject Type="Embed" ProgID="Package" ShapeID="_x0000_i3" DrawAspect="Content" ObjectID="_1393063353" r:id="rId10"/>
        </w:object>
      </w:r>
      <w:r>
        <w:rPr>
          <w:rFonts w:ascii="仿宋_GB2312" w:eastAsia="仿宋_GB2312" w:cs="仿宋_GB2312" w:hint="eastAsia"/>
          <w:color w:val="000000"/>
          <w:sz w:val="32"/>
          <w:szCs w:val="32"/>
          <w:lang w:val="en-US" w:eastAsia="zh-CN"/>
        </w:rPr>
        <w:t xml:space="preserve">    </w:t>
      </w:r>
      <w:r>
        <w:rPr>
          <w:rFonts w:ascii="仿宋_GB2312" w:eastAsia="仿宋_GB2312" w:cs="仿宋_GB2312" w:hint="eastAsia"/>
          <w:sz w:val="32"/>
          <w:szCs w:val="32"/>
        </w:rPr>
        <w:t>（图4：财政拨款收、支决算总计变动情况）（柱状图）</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left"/>
        <w:textAlignment w:val="auto"/>
        <w:rPr>
          <w:rFonts w:ascii="黑体" w:eastAsia="黑体" w:cs="黑体" w:hint="eastAsia"/>
          <w:sz w:val="32"/>
          <w:szCs w:val="32"/>
        </w:rPr>
      </w:pPr>
      <w:r>
        <w:rPr>
          <w:rFonts w:ascii="仿宋_GB2312" w:eastAsia="仿宋_GB2312" w:cs="仿宋_GB2312" w:hint="eastAsia"/>
          <w:color w:val="000000"/>
          <w:sz w:val="32"/>
          <w:szCs w:val="32"/>
          <w:lang w:val="en-US" w:eastAsia="zh-CN"/>
        </w:rPr>
        <w:t xml:space="preserve"> </w:t>
      </w:r>
      <w:r>
        <w:rPr>
          <w:rFonts w:ascii="黑体" w:eastAsia="黑体" w:cs="黑体" w:hint="eastAsia"/>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left"/>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（一）一般公共预算财政拨款支出决算总体情况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一般公共预算财政拨款支出</w:t>
      </w:r>
      <w:r>
        <w:rPr>
          <w:rFonts w:ascii="仿宋_GB2312" w:eastAsia="仿宋_GB2312" w:cs="仿宋_GB2312" w:hint="eastAsia"/>
          <w:sz w:val="32"/>
          <w:szCs w:val="32"/>
          <w:lang w:val="en-US" w:eastAsia="zh-CN"/>
        </w:rPr>
        <w:t>1017.47</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，占本年支出合计的</w:t>
      </w:r>
      <w:r>
        <w:rPr>
          <w:rFonts w:ascii="仿宋_GB2312" w:eastAsia="仿宋_GB2312" w:cs="仿宋_GB2312" w:hint="eastAsia"/>
          <w:sz w:val="32"/>
          <w:szCs w:val="32"/>
          <w:lang w:val="en-US" w:eastAsia="zh-CN"/>
        </w:rPr>
        <w:t>99.7</w:t>
      </w:r>
      <w:r>
        <w:rPr>
          <w:rFonts w:ascii="仿宋_GB2312" w:eastAsia="仿宋_GB2312" w:cs="仿宋_GB2312" w:hint="eastAsia"/>
          <w:sz w:val="32"/>
          <w:szCs w:val="32"/>
        </w:rPr>
        <w:t>%。与</w:t>
      </w:r>
      <w:r>
        <w:rPr>
          <w:rFonts w:ascii="仿宋_GB2312" w:eastAsia="仿宋_GB2312" w:cs="仿宋_GB2312" w:hint="eastAsia"/>
          <w:sz w:val="32"/>
          <w:szCs w:val="32"/>
          <w:lang w:eastAsia="zh-CN"/>
        </w:rPr>
        <w:t>202</w:t>
      </w:r>
      <w:r>
        <w:rPr>
          <w:rFonts w:ascii="仿宋_GB2312" w:eastAsia="仿宋_GB2312" w:cs="仿宋_GB2312" w:hint="eastAsia"/>
          <w:sz w:val="32"/>
          <w:szCs w:val="32"/>
          <w:lang w:val="en-US" w:eastAsia="zh-CN"/>
        </w:rPr>
        <w:t>4</w:t>
      </w:r>
      <w:r>
        <w:rPr>
          <w:rFonts w:ascii="仿宋_GB2312" w:eastAsia="仿宋_GB2312" w:cs="仿宋_GB2312" w:hint="eastAsia"/>
          <w:sz w:val="32"/>
          <w:szCs w:val="32"/>
          <w:lang w:eastAsia="zh-CN"/>
        </w:rPr>
        <w:t>年</w:t>
      </w:r>
      <w:r>
        <w:rPr>
          <w:rFonts w:ascii="仿宋_GB2312" w:eastAsia="仿宋_GB2312" w:cs="仿宋_GB2312" w:hint="eastAsia"/>
          <w:sz w:val="32"/>
          <w:szCs w:val="32"/>
        </w:rPr>
        <w:t>相比，一般公共预算财政拨款支出</w:t>
      </w:r>
      <w:r>
        <w:rPr>
          <w:rFonts w:ascii="仿宋_GB2312" w:eastAsia="仿宋_GB2312" w:cs="仿宋_GB2312" w:hint="eastAsia"/>
          <w:sz w:val="32"/>
          <w:szCs w:val="32"/>
          <w:lang w:val="en-US" w:eastAsia="zh-CN"/>
        </w:rPr>
        <w:t>增加31.17</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增长3.2</w:t>
      </w:r>
      <w:r>
        <w:rPr>
          <w:rFonts w:ascii="仿宋_GB2312" w:eastAsia="仿宋_GB2312" w:cs="仿宋_GB2312" w:hint="eastAsia"/>
          <w:sz w:val="32"/>
          <w:szCs w:val="32"/>
          <w:lang w:eastAsia="zh-CN"/>
        </w:rPr>
        <w:t>%</w:t>
      </w:r>
      <w:r>
        <w:rPr>
          <w:rFonts w:ascii="仿宋_GB2312" w:eastAsia="仿宋_GB2312" w:cs="仿宋_GB2312" w:hint="eastAsia"/>
          <w:sz w:val="32"/>
          <w:szCs w:val="32"/>
        </w:rPr>
        <w:t>。主要变动原因是</w:t>
      </w:r>
      <w:r>
        <w:rPr>
          <w:rFonts w:ascii="仿宋_GB2312" w:eastAsia="仿宋_GB2312" w:cs="仿宋_GB2312" w:hint="eastAsia"/>
          <w:sz w:val="32"/>
          <w:szCs w:val="32"/>
          <w:lang w:val="en-US" w:eastAsia="zh-CN"/>
        </w:rPr>
        <w:t>：年末在职实有人数较上年增加4人，人员经费及公用经费相应增加</w:t>
      </w:r>
      <w:r>
        <w:rPr>
          <w:rFonts w:ascii="仿宋_GB2312" w:eastAsia="仿宋_GB2312" w:cs="仿宋_GB2312" w:hint="eastAsia"/>
          <w:sz w:val="32"/>
          <w:szCs w:val="32"/>
        </w:rPr>
        <w:t>。</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金额单位：万元</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仿宋_GB2312" w:eastAsia="仿宋_GB2312" w:cs="仿宋_GB2312" w:hint="eastAsia"/>
          <w:kern w:val="2"/>
          <w:sz w:val="32"/>
          <w:szCs w:val="32"/>
          <w:lang w:val="en-US" w:eastAsia="zh-CN" w:bidi="ar-SA"/>
        </w:rPr>
      </w:pPr>
      <w:bookmarkStart w:id="17" w:name="_1756557061"/>
      <w:bookmarkEnd w:id="17"/>
      <w:r>
        <w:rPr>
          <w:rFonts w:ascii="仿宋_GB2312" w:eastAsia="仿宋_GB2312" w:cs="仿宋_GB2312" w:hint="eastAsia"/>
          <w:color w:val="000000"/>
          <w:kern w:val="2"/>
          <w:sz w:val="32"/>
          <w:szCs w:val="32"/>
          <w:lang w:val="en-US" w:eastAsia="zh-CN" w:bidi="ar-SA"/>
        </w:rPr>
        <w:object>
          <v:shape id="_x0000_i4" type="#_x0000_t75" filled="f" stroked="f" style="width:436.6pt;height:174.1pt;" o:ole="">
            <v:stroke color="#000000"/>
            <v:imagedata r:id="rId11" o:title="image4" cropbottom="-13f"/>
            <w10:anchorLock/>
          </v:shape>
          <o:OLEObject Type="Embed" ProgID="Package" ShapeID="_x0000_i4" DrawAspect="Content" ObjectID="_1393063354" r:id="rId12"/>
        </w:object>
      </w:r>
      <w:r>
        <w:rPr>
          <w:rFonts w:ascii="仿宋_GB2312" w:eastAsia="仿宋_GB2312" w:cs="仿宋_GB2312" w:hint="eastAsia"/>
          <w:color w:val="000000"/>
          <w:kern w:val="2"/>
          <w:sz w:val="32"/>
          <w:szCs w:val="32"/>
          <w:lang w:val="en-US" w:eastAsia="zh-CN" w:bidi="ar-SA"/>
        </w:rPr>
        <w:t>（图5：一般公共预算财政拨款支出决算变动情况）（柱状图）</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left"/>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（二）一般公共预算财政拨款支出决算结构情况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2025年一般公共预算财政拨款支出</w:t>
      </w:r>
      <w:r>
        <w:rPr>
          <w:rFonts w:ascii="仿宋_GB2312" w:eastAsia="仿宋_GB2312" w:cs="仿宋_GB2312" w:hint="eastAsia"/>
          <w:sz w:val="32"/>
          <w:szCs w:val="32"/>
          <w:lang w:val="en-US" w:eastAsia="zh-CN"/>
        </w:rPr>
        <w:t>1017.47</w:t>
      </w:r>
      <w:r>
        <w:rPr>
          <w:rFonts w:ascii="仿宋_GB2312" w:eastAsia="仿宋_GB2312" w:cs="仿宋_GB2312" w:hint="eastAsia"/>
          <w:sz w:val="32"/>
          <w:szCs w:val="32"/>
          <w:lang w:eastAsia="zh-CN"/>
        </w:rPr>
        <w:t>万元，主要用于以下方面</w:t>
      </w:r>
      <w:r>
        <w:rPr>
          <w:rFonts w:ascii="仿宋_GB2312" w:eastAsia="仿宋_GB2312" w:cs="仿宋_GB2312" w:hint="eastAsia"/>
          <w:sz w:val="32"/>
          <w:szCs w:val="32"/>
        </w:rPr>
        <w:t>:</w:t>
      </w:r>
      <w:r>
        <w:rPr>
          <w:rFonts w:ascii="仿宋_GB2312" w:eastAsia="仿宋_GB2312" w:cs="仿宋_GB2312" w:hint="eastAsia"/>
          <w:b/>
          <w:bCs/>
          <w:sz w:val="32"/>
          <w:szCs w:val="32"/>
        </w:rPr>
        <w:t>一般公共服务（类）支出</w:t>
      </w:r>
      <w:r>
        <w:rPr>
          <w:rFonts w:ascii="仿宋_GB2312" w:eastAsia="仿宋_GB2312" w:cs="仿宋_GB2312" w:hint="eastAsia"/>
          <w:sz w:val="32"/>
          <w:szCs w:val="32"/>
          <w:lang w:val="en-US" w:eastAsia="zh-CN"/>
        </w:rPr>
        <w:t>847.27</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83.3%</w:t>
      </w:r>
      <w:r>
        <w:rPr>
          <w:rFonts w:ascii="仿宋_GB2312" w:eastAsia="仿宋_GB2312" w:cs="仿宋_GB2312" w:hint="eastAsia"/>
          <w:sz w:val="32"/>
          <w:szCs w:val="32"/>
        </w:rPr>
        <w:t>；</w:t>
      </w:r>
      <w:r>
        <w:rPr>
          <w:rFonts w:ascii="仿宋_GB2312" w:eastAsia="仿宋_GB2312" w:cs="仿宋_GB2312" w:hint="eastAsia"/>
          <w:b/>
          <w:bCs/>
          <w:sz w:val="32"/>
          <w:szCs w:val="32"/>
        </w:rPr>
        <w:t>社会保障和就业（类）支出</w:t>
      </w:r>
      <w:r>
        <w:rPr>
          <w:rFonts w:ascii="仿宋_GB2312" w:eastAsia="仿宋_GB2312" w:cs="仿宋_GB2312" w:hint="eastAsia"/>
          <w:sz w:val="32"/>
          <w:szCs w:val="32"/>
          <w:lang w:val="en-US" w:eastAsia="zh-CN"/>
        </w:rPr>
        <w:t>85.24</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8.4</w:t>
      </w:r>
      <w:r>
        <w:rPr>
          <w:rFonts w:ascii="仿宋_GB2312" w:eastAsia="仿宋_GB2312" w:cs="仿宋_GB2312" w:hint="eastAsia"/>
          <w:sz w:val="32"/>
          <w:szCs w:val="32"/>
        </w:rPr>
        <w:t>%；</w:t>
      </w:r>
      <w:r>
        <w:rPr>
          <w:rFonts w:ascii="仿宋_GB2312" w:eastAsia="仿宋_GB2312" w:cs="仿宋_GB2312" w:hint="eastAsia"/>
          <w:b/>
          <w:bCs/>
          <w:sz w:val="32"/>
          <w:szCs w:val="32"/>
        </w:rPr>
        <w:t>卫生健康支出</w:t>
      </w:r>
      <w:r>
        <w:rPr>
          <w:rFonts w:ascii="仿宋_GB2312" w:eastAsia="仿宋_GB2312" w:cs="仿宋_GB2312" w:hint="eastAsia"/>
          <w:sz w:val="32"/>
          <w:szCs w:val="32"/>
          <w:lang w:val="en-US" w:eastAsia="zh-CN"/>
        </w:rPr>
        <w:t>37.76</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3.7</w:t>
      </w:r>
      <w:r>
        <w:rPr>
          <w:rFonts w:ascii="仿宋_GB2312" w:eastAsia="仿宋_GB2312" w:cs="仿宋_GB2312" w:hint="eastAsia"/>
          <w:sz w:val="32"/>
          <w:szCs w:val="32"/>
        </w:rPr>
        <w:t>%；</w:t>
      </w:r>
      <w:r>
        <w:rPr>
          <w:rFonts w:ascii="仿宋_GB2312" w:eastAsia="仿宋_GB2312" w:cs="仿宋_GB2312" w:hint="eastAsia"/>
          <w:b/>
          <w:bCs/>
          <w:sz w:val="32"/>
          <w:szCs w:val="32"/>
        </w:rPr>
        <w:t>住房保障支出</w:t>
      </w:r>
      <w:r>
        <w:rPr>
          <w:rFonts w:ascii="仿宋_GB2312" w:eastAsia="仿宋_GB2312" w:cs="仿宋_GB2312" w:hint="eastAsia"/>
          <w:sz w:val="32"/>
          <w:szCs w:val="32"/>
          <w:lang w:val="en-US" w:eastAsia="zh-CN"/>
        </w:rPr>
        <w:t>47.21</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4.6</w:t>
      </w:r>
      <w:r>
        <w:rPr>
          <w:rFonts w:ascii="仿宋_GB2312" w:eastAsia="仿宋_GB2312" w:cs="仿宋_GB2312" w:hint="eastAsia"/>
          <w:sz w:val="32"/>
          <w:szCs w:val="32"/>
        </w:rPr>
        <w:t>%。</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eastAsia="仿宋_GB2312" w:cs="仿宋_GB2312" w:hint="eastAsia"/>
          <w:kern w:val="2"/>
          <w:sz w:val="32"/>
          <w:szCs w:val="32"/>
          <w:lang w:val="en-US" w:eastAsia="zh-CN" w:bidi="ar-SA"/>
        </w:rPr>
      </w:pPr>
      <w:bookmarkStart w:id="18" w:name="_1756557576"/>
      <w:bookmarkEnd w:id="18"/>
      <w:r>
        <w:rPr>
          <w:rFonts w:ascii="仿宋_GB2312" w:eastAsia="仿宋_GB2312" w:cs="仿宋_GB2312" w:hint="eastAsia"/>
          <w:color w:val="000000"/>
          <w:kern w:val="2"/>
          <w:sz w:val="32"/>
          <w:szCs w:val="32"/>
          <w:lang w:val="en-US" w:eastAsia="zh-CN" w:bidi="ar-SA"/>
        </w:rPr>
        <w:object>
          <v:shape id="_x0000_i5" type="#_x0000_t75" filled="f" stroked="f" style="width:442.45pt;height:173.1pt;" o:ole="">
            <v:stroke color="#000000"/>
            <v:imagedata r:id="rId13" o:title="image5"/>
            <w10:anchorLock/>
          </v:shape>
          <o:OLEObject Type="Embed" ProgID="Package" ShapeID="_x0000_i5" DrawAspect="Content" ObjectID="_1393063355" r:id="rId14"/>
        </w:object>
      </w:r>
      <w:r>
        <w:rPr>
          <w:rFonts w:ascii="仿宋_GB2312" w:eastAsia="仿宋_GB2312" w:cs="仿宋_GB2312" w:hint="eastAsia"/>
          <w:color w:val="000000"/>
          <w:kern w:val="2"/>
          <w:sz w:val="32"/>
          <w:szCs w:val="32"/>
          <w:lang w:val="en-US" w:eastAsia="zh-CN" w:bidi="ar-SA"/>
        </w:rPr>
        <w:t>（图6：一般公共预算财政拨款支出决算结构）（饼状图）</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left"/>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（三）一般公共预算财政拨款支出决算具体情况</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eastAsia="zh-CN"/>
        </w:rPr>
        <w:t>2025年</w:t>
      </w:r>
      <w:r>
        <w:rPr>
          <w:rFonts w:ascii="仿宋_GB2312" w:eastAsia="仿宋_GB2312" w:cs="仿宋_GB2312" w:hint="eastAsia"/>
          <w:b/>
          <w:bCs/>
          <w:sz w:val="32"/>
          <w:szCs w:val="32"/>
        </w:rPr>
        <w:t>一般公共预算支出决算数为</w:t>
      </w:r>
      <w:r>
        <w:rPr>
          <w:rFonts w:ascii="仿宋_GB2312" w:eastAsia="仿宋_GB2312" w:cs="仿宋_GB2312" w:hint="eastAsia"/>
          <w:sz w:val="32"/>
          <w:szCs w:val="32"/>
          <w:lang w:val="en-US" w:eastAsia="zh-CN"/>
        </w:rPr>
        <w:t>1017.47万元</w:t>
      </w:r>
      <w:r>
        <w:rPr>
          <w:rFonts w:ascii="仿宋_GB2312" w:eastAsia="仿宋_GB2312" w:cs="仿宋_GB2312" w:hint="eastAsia"/>
          <w:sz w:val="32"/>
          <w:szCs w:val="32"/>
        </w:rPr>
        <w:t>，完成预算100%。其中：</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1.</w:t>
      </w:r>
      <w:r>
        <w:rPr>
          <w:rFonts w:ascii="仿宋_GB2312" w:eastAsia="仿宋_GB2312" w:cs="仿宋_GB2312" w:hint="eastAsia"/>
          <w:b/>
          <w:bCs/>
          <w:sz w:val="32"/>
          <w:szCs w:val="32"/>
        </w:rPr>
        <w:t>一般公共服务（类）人大事务（款）行政运行（项）:</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646.22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2.</w:t>
      </w:r>
      <w:r>
        <w:rPr>
          <w:rFonts w:ascii="仿宋_GB2312" w:eastAsia="仿宋_GB2312" w:cs="仿宋_GB2312" w:hint="eastAsia"/>
          <w:b/>
          <w:bCs/>
          <w:sz w:val="32"/>
          <w:szCs w:val="32"/>
        </w:rPr>
        <w:t>一般公共服务（类）人大事务（款）人大会议（项）:</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48.5</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3.</w:t>
      </w:r>
      <w:r>
        <w:rPr>
          <w:rFonts w:ascii="仿宋_GB2312" w:eastAsia="仿宋_GB2312" w:cs="仿宋_GB2312" w:hint="eastAsia"/>
          <w:b/>
          <w:bCs/>
          <w:sz w:val="32"/>
          <w:szCs w:val="32"/>
        </w:rPr>
        <w:t>一般公共服务（类）人大事务（款）</w:t>
      </w:r>
      <w:r>
        <w:rPr>
          <w:rFonts w:ascii="仿宋_GB2312" w:eastAsia="仿宋_GB2312" w:cs="仿宋_GB2312" w:hint="eastAsia"/>
          <w:b/>
          <w:bCs/>
          <w:sz w:val="32"/>
          <w:szCs w:val="32"/>
          <w:lang w:val="en-US" w:eastAsia="zh-CN"/>
        </w:rPr>
        <w:t>人大监督</w:t>
      </w:r>
      <w:r>
        <w:rPr>
          <w:rFonts w:ascii="仿宋_GB2312" w:eastAsia="仿宋_GB2312" w:cs="仿宋_GB2312" w:hint="eastAsia"/>
          <w:b/>
          <w:bCs/>
          <w:sz w:val="32"/>
          <w:szCs w:val="32"/>
        </w:rPr>
        <w:t>（项）:</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6.42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4.</w:t>
      </w:r>
      <w:r>
        <w:rPr>
          <w:rFonts w:ascii="仿宋_GB2312" w:eastAsia="仿宋_GB2312" w:cs="仿宋_GB2312" w:hint="eastAsia"/>
          <w:b/>
          <w:bCs/>
          <w:sz w:val="32"/>
          <w:szCs w:val="32"/>
        </w:rPr>
        <w:t xml:space="preserve">一般公共服务（类）人大事务（款）人大代表履职能力提升（项）: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29.47</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b/>
          <w:bCs/>
          <w:sz w:val="32"/>
          <w:szCs w:val="32"/>
          <w:lang w:val="en-US" w:eastAsia="zh-CN"/>
        </w:rPr>
        <w:t>5.</w:t>
      </w:r>
      <w:r>
        <w:rPr>
          <w:rFonts w:ascii="仿宋_GB2312" w:eastAsia="仿宋_GB2312" w:cs="仿宋_GB2312" w:hint="eastAsia"/>
          <w:b/>
          <w:bCs/>
          <w:sz w:val="32"/>
          <w:szCs w:val="32"/>
        </w:rPr>
        <w:t>一般公共服务（类）人大事务（款）代表工作（项）:</w:t>
      </w:r>
      <w:r>
        <w:rPr>
          <w:rFonts w:ascii="仿宋_GB2312" w:eastAsia="仿宋_GB2312" w:cs="仿宋_GB2312" w:hint="eastAsia"/>
          <w:b w:val="0"/>
          <w:bCs w:val="0"/>
          <w:sz w:val="32"/>
          <w:szCs w:val="32"/>
        </w:rPr>
        <w:t xml:space="preserve">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23.82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rPr>
      </w:pPr>
      <w:r>
        <w:rPr>
          <w:rFonts w:ascii="仿宋_GB2312" w:eastAsia="仿宋_GB2312" w:cs="仿宋_GB2312" w:hint="eastAsia"/>
          <w:b/>
          <w:bCs/>
          <w:sz w:val="32"/>
          <w:szCs w:val="32"/>
          <w:lang w:val="en-US" w:eastAsia="zh-CN"/>
        </w:rPr>
        <w:t>6.</w:t>
      </w:r>
      <w:r>
        <w:rPr>
          <w:rFonts w:ascii="仿宋_GB2312" w:eastAsia="仿宋_GB2312" w:cs="仿宋_GB2312" w:hint="eastAsia"/>
          <w:b/>
          <w:bCs/>
          <w:sz w:val="32"/>
          <w:szCs w:val="32"/>
        </w:rPr>
        <w:t>一般公共服务（类）人大事务（款）</w:t>
      </w:r>
      <w:r>
        <w:rPr>
          <w:rFonts w:ascii="仿宋_GB2312" w:eastAsia="仿宋_GB2312" w:cs="仿宋_GB2312" w:hint="eastAsia"/>
          <w:b/>
          <w:bCs/>
          <w:sz w:val="32"/>
          <w:szCs w:val="32"/>
          <w:lang w:val="en-US" w:eastAsia="zh-CN"/>
        </w:rPr>
        <w:t>事业运行</w:t>
      </w:r>
      <w:r>
        <w:rPr>
          <w:rFonts w:ascii="仿宋_GB2312" w:eastAsia="仿宋_GB2312" w:cs="仿宋_GB2312" w:hint="eastAsia"/>
          <w:b/>
          <w:bCs/>
          <w:sz w:val="32"/>
          <w:szCs w:val="32"/>
        </w:rPr>
        <w:t>（项）:</w:t>
      </w:r>
      <w:r>
        <w:rPr>
          <w:rFonts w:ascii="仿宋_GB2312" w:eastAsia="仿宋_GB2312" w:cs="仿宋_GB2312" w:hint="eastAsia"/>
          <w:b w:val="0"/>
          <w:bCs w:val="0"/>
          <w:sz w:val="32"/>
          <w:szCs w:val="32"/>
        </w:rPr>
        <w:t xml:space="preserve">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47.99</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7.</w:t>
      </w:r>
      <w:r>
        <w:rPr>
          <w:rFonts w:ascii="仿宋_GB2312" w:eastAsia="仿宋_GB2312" w:cs="仿宋_GB2312" w:hint="eastAsia"/>
          <w:b/>
          <w:bCs/>
          <w:sz w:val="32"/>
          <w:szCs w:val="32"/>
        </w:rPr>
        <w:t xml:space="preserve">一般公共服务（类）人大事务（款）其他人大事务支出（项）: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44.84</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7</w:t>
      </w:r>
      <w:r>
        <w:rPr>
          <w:rFonts w:ascii="仿宋_GB2312" w:eastAsia="仿宋_GB2312" w:cs="仿宋_GB2312" w:hint="eastAsia"/>
          <w:b/>
          <w:bCs/>
          <w:sz w:val="32"/>
          <w:szCs w:val="32"/>
        </w:rPr>
        <w:t xml:space="preserve">.社会保障和就业（类）行政事业单位养老支出（款）机关事业单位基本养老保险缴费支出（项）: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57.12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rPr>
      </w:pPr>
      <w:r>
        <w:rPr>
          <w:rFonts w:ascii="仿宋_GB2312" w:eastAsia="仿宋_GB2312" w:cs="仿宋_GB2312" w:hint="eastAsia"/>
          <w:b/>
          <w:bCs/>
          <w:sz w:val="32"/>
          <w:szCs w:val="32"/>
          <w:lang w:val="en-US" w:eastAsia="zh-CN"/>
        </w:rPr>
        <w:t>8</w:t>
      </w:r>
      <w:r>
        <w:rPr>
          <w:rFonts w:ascii="仿宋_GB2312" w:eastAsia="仿宋_GB2312" w:cs="仿宋_GB2312" w:hint="eastAsia"/>
          <w:b/>
          <w:bCs/>
          <w:sz w:val="32"/>
          <w:szCs w:val="32"/>
        </w:rPr>
        <w:t xml:space="preserve">.社会保障和就业（类）行政事业单位养老支出（款）机关事业单位职业年金缴费支出（项）: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28.12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9</w:t>
      </w:r>
      <w:r>
        <w:rPr>
          <w:rFonts w:ascii="仿宋_GB2312" w:eastAsia="仿宋_GB2312" w:cs="仿宋_GB2312" w:hint="eastAsia"/>
          <w:b/>
          <w:bCs/>
          <w:sz w:val="32"/>
          <w:szCs w:val="32"/>
        </w:rPr>
        <w:t>.卫生健康（类）行政事业单位医疗（款）行政单位医疗（项）:</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22.27</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rPr>
      </w:pPr>
      <w:r>
        <w:rPr>
          <w:rStyle w:val="23"/>
          <w:rFonts w:ascii="仿宋_GB2312" w:eastAsia="仿宋_GB2312" w:cs="仿宋_GB2312" w:hint="eastAsia"/>
          <w:bCs/>
          <w:sz w:val="32"/>
          <w:szCs w:val="32"/>
          <w:lang w:val="en-US" w:eastAsia="zh-CN"/>
        </w:rPr>
        <w:t>10</w:t>
      </w:r>
      <w:r>
        <w:rPr>
          <w:rStyle w:val="23"/>
          <w:rFonts w:ascii="仿宋_GB2312" w:eastAsia="仿宋_GB2312" w:cs="仿宋_GB2312" w:hint="eastAsia"/>
          <w:bCs/>
          <w:sz w:val="32"/>
          <w:szCs w:val="32"/>
        </w:rPr>
        <w:t>.</w:t>
      </w:r>
      <w:r>
        <w:rPr>
          <w:rFonts w:ascii="仿宋_GB2312" w:eastAsia="仿宋_GB2312" w:cs="仿宋_GB2312" w:hint="eastAsia"/>
          <w:b/>
          <w:bCs/>
          <w:sz w:val="32"/>
          <w:szCs w:val="32"/>
        </w:rPr>
        <w:t>卫生健康</w:t>
      </w:r>
      <w:r>
        <w:rPr>
          <w:rStyle w:val="23"/>
          <w:rFonts w:ascii="仿宋_GB2312" w:eastAsia="仿宋_GB2312" w:cs="仿宋_GB2312" w:hint="eastAsia"/>
          <w:bCs/>
          <w:sz w:val="32"/>
          <w:szCs w:val="32"/>
        </w:rPr>
        <w:t>（类）行政事业单位医疗（款）事业单位医疗（项）:</w:t>
      </w:r>
      <w:r>
        <w:rPr>
          <w:rStyle w:val="23"/>
          <w:rFonts w:ascii="仿宋_GB2312" w:eastAsia="仿宋_GB2312" w:cs="仿宋_GB2312" w:hint="eastAsia"/>
          <w:b w:val="0"/>
          <w:bCs/>
          <w:sz w:val="32"/>
          <w:szCs w:val="32"/>
        </w:rPr>
        <w:t>支出决算为</w:t>
      </w:r>
      <w:r>
        <w:rPr>
          <w:rStyle w:val="23"/>
          <w:rFonts w:ascii="仿宋_GB2312" w:eastAsia="仿宋_GB2312" w:cs="仿宋_GB2312" w:hint="eastAsia"/>
          <w:b w:val="0"/>
          <w:bCs/>
          <w:sz w:val="32"/>
          <w:szCs w:val="32"/>
          <w:lang w:val="en-US" w:eastAsia="zh-CN"/>
        </w:rPr>
        <w:t>2.76</w:t>
      </w:r>
      <w:r>
        <w:rPr>
          <w:rStyle w:val="23"/>
          <w:rFonts w:ascii="仿宋_GB2312" w:eastAsia="仿宋_GB2312" w:cs="仿宋_GB2312" w:hint="eastAsia"/>
          <w:b w:val="0"/>
          <w:bCs/>
          <w:sz w:val="32"/>
          <w:szCs w:val="32"/>
        </w:rPr>
        <w:t>万元，完成预算100%</w:t>
      </w:r>
      <w:r>
        <w:rPr>
          <w:rStyle w:val="23"/>
          <w:rFonts w:ascii="仿宋_GB2312" w:eastAsia="仿宋_GB2312" w:cs="仿宋_GB2312" w:hint="eastAsia"/>
          <w:b w:val="0"/>
          <w:bCs/>
          <w:sz w:val="32"/>
          <w:szCs w:val="32"/>
          <w:lang w:eastAsia="zh-CN"/>
        </w:rPr>
        <w:t>。</w:t>
      </w:r>
      <w:r>
        <w:rPr>
          <w:rFonts w:ascii="仿宋_GB2312" w:eastAsia="仿宋_GB2312" w:cs="仿宋_GB2312"/>
          <w:sz w:val="32"/>
          <w:szCs w:val="32"/>
          <w:lang w:val="en-US" w:eastAsia="zh-CN"/>
        </w:rPr>
        <w:t>决算数与预算数持平</w:t>
      </w:r>
      <w:r>
        <w:rPr>
          <w:rFonts w:ascii="仿宋_GB2312" w:eastAsia="仿宋_GB2312" w:cs="仿宋_GB2312" w:hint="eastAsia"/>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11</w:t>
      </w:r>
      <w:r>
        <w:rPr>
          <w:rFonts w:ascii="仿宋_GB2312" w:eastAsia="仿宋_GB2312" w:cs="仿宋_GB2312" w:hint="eastAsia"/>
          <w:b/>
          <w:bCs/>
          <w:sz w:val="32"/>
          <w:szCs w:val="32"/>
        </w:rPr>
        <w:t>.卫生健康（类）行政事业单位医疗（款）公务员医疗补助（项）:</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12.06</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rPr>
      </w:pPr>
      <w:r>
        <w:rPr>
          <w:rFonts w:ascii="仿宋_GB2312" w:eastAsia="仿宋_GB2312" w:cs="仿宋_GB2312" w:hint="eastAsia"/>
          <w:b/>
          <w:bCs/>
          <w:sz w:val="32"/>
          <w:szCs w:val="32"/>
          <w:lang w:val="en-US" w:eastAsia="zh-CN"/>
        </w:rPr>
        <w:t>12</w:t>
      </w:r>
      <w:r>
        <w:rPr>
          <w:rFonts w:ascii="仿宋_GB2312" w:eastAsia="仿宋_GB2312" w:cs="仿宋_GB2312" w:hint="eastAsia"/>
          <w:b/>
          <w:bCs/>
          <w:sz w:val="32"/>
          <w:szCs w:val="32"/>
        </w:rPr>
        <w:t>.卫生健康（类）行政事业单位医疗（款）其他行政事业单位医疗支出（项）:</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0.66</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12.</w:t>
      </w:r>
      <w:r>
        <w:rPr>
          <w:rFonts w:ascii="仿宋_GB2312" w:eastAsia="仿宋_GB2312" w:cs="仿宋_GB2312" w:hint="eastAsia"/>
          <w:b/>
          <w:bCs/>
          <w:sz w:val="32"/>
          <w:szCs w:val="32"/>
        </w:rPr>
        <w:t>住房保障支出（类）住房改革支出（款）住房公积金（项）:</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47.21</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六、一般公共预算财政拨款基本支出决算情况说明   </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一般公共预算财政拨款基本支出</w:t>
      </w:r>
      <w:r>
        <w:rPr>
          <w:rFonts w:ascii="仿宋_GB2312" w:eastAsia="仿宋_GB2312" w:cs="仿宋_GB2312" w:hint="eastAsia"/>
          <w:sz w:val="32"/>
          <w:szCs w:val="32"/>
          <w:lang w:val="en-US" w:eastAsia="zh-CN"/>
        </w:rPr>
        <w:t>864.41万元</w:t>
      </w:r>
      <w:r>
        <w:rPr>
          <w:rFonts w:ascii="仿宋_GB2312" w:eastAsia="仿宋_GB2312" w:cs="仿宋_GB2312" w:hint="eastAsia"/>
          <w:sz w:val="32"/>
          <w:szCs w:val="32"/>
        </w:rPr>
        <w:t>，其中：</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人员经费</w:t>
      </w:r>
      <w:r>
        <w:rPr>
          <w:rFonts w:ascii="仿宋_GB2312" w:eastAsia="仿宋_GB2312" w:cs="仿宋_GB2312" w:hint="eastAsia"/>
          <w:sz w:val="32"/>
          <w:szCs w:val="32"/>
          <w:lang w:val="en-US" w:eastAsia="zh-CN"/>
        </w:rPr>
        <w:t>707.19</w:t>
      </w:r>
      <w:r>
        <w:rPr>
          <w:rFonts w:ascii="仿宋_GB2312" w:eastAsia="仿宋_GB2312" w:cs="仿宋_GB2312" w:hint="eastAsia"/>
          <w:sz w:val="32"/>
          <w:szCs w:val="32"/>
        </w:rPr>
        <w:t>万元，主要包括：基本工资、津贴补贴、奖金、伙食补助费、绩效工资、机关事业单位基本养老保险缴费、职业年金缴费、职工基本医疗保险缴费、公务员医疗补助、其他社会保障缴费、住房公积金、离休费、生活补助、医疗费补助等。</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公用经费</w:t>
      </w:r>
      <w:r>
        <w:rPr>
          <w:rFonts w:ascii="仿宋_GB2312" w:eastAsia="仿宋_GB2312" w:cs="仿宋_GB2312" w:hint="eastAsia"/>
          <w:sz w:val="32"/>
          <w:szCs w:val="32"/>
          <w:lang w:val="en-US" w:eastAsia="zh-CN"/>
        </w:rPr>
        <w:t>157.22</w:t>
      </w:r>
      <w:r>
        <w:rPr>
          <w:rFonts w:ascii="仿宋_GB2312" w:eastAsia="仿宋_GB2312" w:cs="仿宋_GB2312" w:hint="eastAsia"/>
          <w:sz w:val="32"/>
          <w:szCs w:val="32"/>
        </w:rPr>
        <w:t>万元，主要包括</w:t>
      </w:r>
      <w:r>
        <w:rPr>
          <w:rFonts w:ascii="仿宋_GB2312" w:eastAsia="仿宋_GB2312" w:cs="仿宋_GB2312" w:hint="eastAsia"/>
          <w:sz w:val="32"/>
          <w:szCs w:val="32"/>
          <w:lang w:eastAsia="zh-CN"/>
        </w:rPr>
        <w:t>：</w:t>
      </w:r>
      <w:r>
        <w:rPr>
          <w:rFonts w:ascii="仿宋_GB2312" w:eastAsia="仿宋_GB2312" w:cs="仿宋_GB2312" w:hint="eastAsia"/>
          <w:sz w:val="32"/>
          <w:szCs w:val="32"/>
        </w:rPr>
        <w:t>办公费、咨询费、水费、邮电费、差旅费、维修（护）费、租赁费、公务接待费、劳务费、委托业务费、福利费、公务用车运行维护费、其他交通费、其他商品和服务支出、办公设备购置</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公务用车购置费</w:t>
      </w:r>
      <w:r>
        <w:rPr>
          <w:rFonts w:ascii="仿宋_GB2312" w:eastAsia="仿宋_GB2312" w:cs="仿宋_GB2312" w:hint="eastAsia"/>
          <w:sz w:val="32"/>
          <w:szCs w:val="32"/>
        </w:rPr>
        <w:t>等。</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b w:val="0"/>
          <w:bCs w:val="0"/>
          <w:sz w:val="32"/>
          <w:szCs w:val="32"/>
        </w:rPr>
      </w:pPr>
      <w:r>
        <w:rPr>
          <w:rFonts w:ascii="黑体" w:eastAsia="黑体" w:cs="黑体" w:hint="eastAsia"/>
          <w:b w:val="0"/>
          <w:bCs w:val="0"/>
          <w:sz w:val="32"/>
          <w:szCs w:val="32"/>
        </w:rPr>
        <w:t>七、财政拨款“三公”经费支出决算情况说明</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（一）“三公”经费财政拨款支出决算总体情况说明</w:t>
      </w:r>
    </w:p>
    <w:p>
      <w:pPr>
        <w:keepNext w:val="0"/>
        <w:keepLines w:val="0"/>
        <w:pageBreakBefore w:val="0"/>
        <w:widowControl w:val="0"/>
        <w:kinsoku/>
        <w:wordWrap/>
        <w:topLinePunct w:val="0"/>
        <w:bidi w:val="0"/>
        <w:adjustRightInd/>
        <w:snapToGrid/>
        <w:spacing w:line="240" w:lineRule="auto"/>
        <w:ind w:left="0" w:firstLineChars="200" w:firstLine="640"/>
        <w:rPr>
          <w:rFonts w:ascii="仿宋" w:eastAsia="仿宋"/>
          <w:sz w:val="32"/>
          <w:szCs w:val="32"/>
          <w:lang w:val="en-US" w:eastAsia="zh-CN"/>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“三公”经费财政拨款支出决算为</w:t>
      </w:r>
      <w:r>
        <w:rPr>
          <w:rFonts w:ascii="仿宋_GB2312" w:eastAsia="仿宋_GB2312" w:cs="仿宋_GB2312" w:hint="eastAsia"/>
          <w:sz w:val="32"/>
          <w:szCs w:val="32"/>
          <w:lang w:val="en-US" w:eastAsia="zh-CN"/>
        </w:rPr>
        <w:t>103.89</w:t>
      </w:r>
      <w:r>
        <w:rPr>
          <w:rFonts w:ascii="仿宋_GB2312" w:eastAsia="仿宋_GB2312" w:cs="仿宋_GB2312" w:hint="eastAsia"/>
          <w:sz w:val="32"/>
          <w:szCs w:val="32"/>
        </w:rPr>
        <w:t>万元，完成预算100%。较上年</w:t>
      </w:r>
      <w:r>
        <w:rPr>
          <w:rFonts w:ascii="仿宋_GB2312" w:eastAsia="仿宋_GB2312" w:cs="仿宋_GB2312" w:hint="eastAsia"/>
          <w:sz w:val="32"/>
          <w:szCs w:val="32"/>
          <w:lang w:val="en-US" w:eastAsia="zh-CN"/>
        </w:rPr>
        <w:t>增加</w:t>
      </w:r>
      <w:r>
        <w:rPr>
          <w:rFonts w:ascii="仿宋_GB2312" w:eastAsia="仿宋_GB2312" w:cs="仿宋_GB2312" w:hint="eastAsia"/>
          <w:sz w:val="32"/>
          <w:szCs w:val="32"/>
          <w:lang w:val="en-US" w:eastAsia="zh-CN"/>
          <w:highlight w:val="auto"/>
        </w:rPr>
        <w:t>53.37</w:t>
      </w:r>
      <w:r>
        <w:rPr>
          <w:rFonts w:ascii="仿宋_GB2312" w:eastAsia="仿宋_GB2312" w:cs="仿宋_GB2312" w:hint="eastAsia"/>
          <w:sz w:val="32"/>
          <w:szCs w:val="32"/>
          <w:highlight w:val="auto"/>
        </w:rPr>
        <w:t>万元，</w:t>
      </w:r>
      <w:r>
        <w:rPr>
          <w:rFonts w:ascii="仿宋_GB2312" w:eastAsia="仿宋_GB2312" w:cs="仿宋_GB2312" w:hint="eastAsia"/>
          <w:sz w:val="32"/>
          <w:szCs w:val="32"/>
          <w:lang w:val="en-US" w:eastAsia="zh-CN"/>
          <w:highlight w:val="auto"/>
        </w:rPr>
        <w:t>增长105.6</w:t>
      </w:r>
      <w:r>
        <w:rPr>
          <w:rFonts w:ascii="仿宋_GB2312" w:eastAsia="仿宋_GB2312" w:cs="仿宋_GB2312" w:hint="eastAsia"/>
          <w:sz w:val="32"/>
          <w:szCs w:val="32"/>
          <w:highlight w:val="auto"/>
        </w:rPr>
        <w:t>%</w:t>
      </w:r>
      <w:r>
        <w:rPr>
          <w:rFonts w:ascii="仿宋_GB2312" w:eastAsia="仿宋_GB2312" w:cs="仿宋_GB2312" w:hint="eastAsia"/>
          <w:sz w:val="32"/>
          <w:szCs w:val="32"/>
        </w:rPr>
        <w:t>，主要</w:t>
      </w:r>
      <w:r>
        <w:rPr>
          <w:rFonts w:ascii="仿宋_GB2312" w:eastAsia="仿宋_GB2312" w:cs="仿宋_GB2312" w:hint="eastAsia"/>
          <w:sz w:val="32"/>
          <w:szCs w:val="32"/>
          <w:lang w:val="en-US" w:eastAsia="zh-CN"/>
        </w:rPr>
        <w:t>原因是本年度更新公务用车1辆，上年度无公务用车购置费。</w:t>
      </w:r>
      <w:r>
        <w:rPr>
          <w:rFonts w:ascii="仿宋" w:eastAsia="仿宋" w:hint="eastAsia"/>
          <w:sz w:val="32"/>
          <w:szCs w:val="32"/>
        </w:rPr>
        <w:t>决算数与预算数持平的主要原因是</w:t>
      </w:r>
      <w:r>
        <w:rPr>
          <w:rFonts w:ascii="仿宋" w:eastAsia="仿宋" w:hint="eastAsia"/>
          <w:sz w:val="32"/>
          <w:szCs w:val="32"/>
          <w:lang w:val="en-US" w:eastAsia="zh-CN"/>
        </w:rPr>
        <w:t>严格执行预算。</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（二）“三公”经费财政拨款支出决算具体情况说明</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“三公”经费财政拨款支出决算中，因公出国（境）费支出决算0万元，占0%；公务用车购置及运行维护费支出决算</w:t>
      </w:r>
      <w:r>
        <w:rPr>
          <w:rFonts w:ascii="仿宋_GB2312" w:eastAsia="仿宋_GB2312" w:cs="仿宋_GB2312" w:hint="eastAsia"/>
          <w:sz w:val="32"/>
          <w:szCs w:val="32"/>
          <w:lang w:val="en-US" w:eastAsia="zh-CN"/>
        </w:rPr>
        <w:t>103.28</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99.4</w:t>
      </w:r>
      <w:r>
        <w:rPr>
          <w:rFonts w:ascii="仿宋_GB2312" w:eastAsia="仿宋_GB2312" w:cs="仿宋_GB2312" w:hint="eastAsia"/>
          <w:sz w:val="32"/>
          <w:szCs w:val="32"/>
        </w:rPr>
        <w:t>%；公务接待费支出决算</w:t>
      </w:r>
      <w:r>
        <w:rPr>
          <w:rFonts w:ascii="仿宋_GB2312" w:eastAsia="仿宋_GB2312" w:cs="仿宋_GB2312" w:hint="eastAsia"/>
          <w:sz w:val="32"/>
          <w:szCs w:val="32"/>
          <w:lang w:val="en-US" w:eastAsia="zh-CN"/>
        </w:rPr>
        <w:t>0.61</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0.6</w:t>
      </w:r>
      <w:r>
        <w:rPr>
          <w:rFonts w:ascii="仿宋_GB2312" w:eastAsia="仿宋_GB2312" w:cs="仿宋_GB2312" w:hint="eastAsia"/>
          <w:sz w:val="32"/>
          <w:szCs w:val="32"/>
        </w:rPr>
        <w:t>%。具体情况如下：</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eastAsia="仿宋_GB2312" w:cs="仿宋_GB2312" w:hint="eastAsia"/>
          <w:sz w:val="32"/>
          <w:szCs w:val="32"/>
        </w:rPr>
      </w:pPr>
      <w:r>
        <w:rPr>
          <w:rFonts w:ascii="仿宋_GB2312" w:eastAsia="仿宋_GB2312" w:cs="仿宋_GB2312" w:hint="eastAsia"/>
          <w:color w:val="000000"/>
          <w:sz w:val="32"/>
          <w:szCs w:val="32"/>
        </w:rPr>
        <w:object>
          <v:shape id="_x0000_i6" type="#_x0000_t75" filled="f" stroked="f" style="width:414.9pt;height:160.4pt;" o:ole="">
            <v:stroke color="#000000"/>
            <v:imagedata r:id="rId15" o:title="image6" cropbottom="-35f"/>
            <w10:anchorLock/>
          </v:shape>
          <o:OLEObject Type="Embed" ProgID="Package" ShapeID="_x0000_i6" DrawAspect="Content" ObjectID="_1393063356" r:id="rId16"/>
        </w:objec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（图7：“三公”经费财政拨款支出结构）（饼状图）</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rPr>
        <w:t>1.因公出国（境）经费支出0万元，</w:t>
      </w:r>
      <w:r>
        <w:rPr>
          <w:rFonts w:ascii="仿宋_GB2312" w:eastAsia="仿宋_GB2312" w:cs="仿宋_GB2312" w:hint="eastAsia"/>
          <w:sz w:val="32"/>
          <w:szCs w:val="32"/>
        </w:rPr>
        <w:t>完成预算100%。全年安排因公出国（境）团组0次，出国（境）0人。因公出国（境）支出决算比</w:t>
      </w:r>
      <w:r>
        <w:rPr>
          <w:rFonts w:ascii="仿宋_GB2312" w:eastAsia="仿宋_GB2312" w:cs="仿宋_GB2312" w:hint="eastAsia"/>
          <w:sz w:val="32"/>
          <w:szCs w:val="32"/>
          <w:lang w:eastAsia="zh-CN"/>
        </w:rPr>
        <w:t>2024年</w:t>
      </w:r>
      <w:r>
        <w:rPr>
          <w:rFonts w:ascii="仿宋_GB2312" w:eastAsia="仿宋_GB2312" w:cs="仿宋_GB2312" w:hint="eastAsia"/>
          <w:sz w:val="32"/>
          <w:szCs w:val="32"/>
        </w:rPr>
        <w:t>一致</w:t>
      </w:r>
      <w:r>
        <w:rPr>
          <w:rFonts w:ascii="仿宋_GB2312" w:eastAsia="仿宋_GB2312" w:cs="仿宋_GB2312"/>
          <w:sz w:val="32"/>
          <w:szCs w:val="32"/>
        </w:rPr>
        <w:t>，主要原因是均无预算安排。</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rPr>
        <w:t>2.公务用车购置及运行维护费支出</w:t>
      </w:r>
      <w:r>
        <w:rPr>
          <w:rFonts w:ascii="仿宋_GB2312" w:eastAsia="仿宋_GB2312" w:cs="仿宋_GB2312" w:hint="eastAsia"/>
          <w:b/>
          <w:bCs/>
          <w:sz w:val="32"/>
          <w:szCs w:val="32"/>
          <w:lang w:val="en-US" w:eastAsia="zh-CN"/>
        </w:rPr>
        <w:t>103.28</w:t>
      </w:r>
      <w:r>
        <w:rPr>
          <w:rFonts w:ascii="仿宋_GB2312" w:eastAsia="仿宋_GB2312" w:cs="仿宋_GB2312" w:hint="eastAsia"/>
          <w:b/>
          <w:bCs/>
          <w:sz w:val="32"/>
          <w:szCs w:val="32"/>
        </w:rPr>
        <w:t>万元</w:t>
      </w:r>
      <w:r>
        <w:rPr>
          <w:rFonts w:ascii="仿宋_GB2312" w:eastAsia="仿宋_GB2312" w:cs="仿宋_GB2312" w:hint="eastAsia"/>
          <w:sz w:val="32"/>
          <w:szCs w:val="32"/>
        </w:rPr>
        <w:t>,完成预算100%。公务用车购置及运行维护费支出决算比</w:t>
      </w:r>
      <w:r>
        <w:rPr>
          <w:rFonts w:ascii="仿宋_GB2312" w:eastAsia="仿宋_GB2312" w:cs="仿宋_GB2312" w:hint="eastAsia"/>
          <w:sz w:val="32"/>
          <w:szCs w:val="32"/>
          <w:lang w:eastAsia="zh-CN"/>
        </w:rPr>
        <w:t>2024年</w:t>
      </w:r>
      <w:r>
        <w:rPr>
          <w:rFonts w:ascii="仿宋_GB2312" w:eastAsia="仿宋_GB2312" w:cs="仿宋_GB2312" w:hint="eastAsia"/>
          <w:sz w:val="32"/>
          <w:szCs w:val="32"/>
          <w:lang w:val="en-US" w:eastAsia="zh-CN"/>
        </w:rPr>
        <w:t>增加54.28</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增长110.8</w:t>
      </w:r>
      <w:r>
        <w:rPr>
          <w:rFonts w:ascii="仿宋_GB2312" w:eastAsia="仿宋_GB2312" w:cs="仿宋_GB2312" w:hint="eastAsia"/>
          <w:sz w:val="32"/>
          <w:szCs w:val="32"/>
        </w:rPr>
        <w:t>%。主要原因是</w:t>
      </w:r>
      <w:r>
        <w:rPr>
          <w:rFonts w:ascii="仿宋_GB2312" w:eastAsia="仿宋_GB2312" w:cs="仿宋_GB2312" w:hint="eastAsia"/>
          <w:sz w:val="32"/>
          <w:szCs w:val="32"/>
          <w:lang w:val="en-US" w:eastAsia="zh-CN"/>
        </w:rPr>
        <w:t>公务用车购置费增加52.98万元，公务用车运行维护费增加1.3万元。</w:t>
      </w:r>
      <w:r>
        <w:rPr>
          <w:rFonts w:ascii="仿宋_GB2312" w:eastAsia="仿宋_GB2312" w:cs="仿宋_GB2312" w:hint="eastAsia"/>
          <w:sz w:val="32"/>
          <w:szCs w:val="32"/>
        </w:rPr>
        <w:t>其中：</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b/>
          <w:bCs/>
          <w:sz w:val="32"/>
          <w:szCs w:val="32"/>
          <w:lang w:eastAsia="zh-CN"/>
        </w:rPr>
        <w:t>公务用车购置支出</w:t>
      </w:r>
      <w:r>
        <w:rPr>
          <w:rFonts w:ascii="仿宋_GB2312" w:eastAsia="仿宋_GB2312" w:cs="仿宋_GB2312" w:hint="eastAsia"/>
          <w:b/>
          <w:bCs/>
          <w:sz w:val="32"/>
          <w:szCs w:val="32"/>
          <w:lang w:val="en-US" w:eastAsia="zh-CN"/>
        </w:rPr>
        <w:t>52.98万元。</w:t>
      </w:r>
      <w:r>
        <w:rPr>
          <w:rFonts w:ascii="仿宋_GB2312" w:eastAsia="仿宋_GB2312" w:cs="仿宋_GB2312" w:hint="eastAsia"/>
          <w:sz w:val="32"/>
          <w:szCs w:val="32"/>
          <w:lang w:val="en-US" w:eastAsia="zh-CN"/>
        </w:rPr>
        <w:t>全年按规定更新购置公务用车1辆，该车为越野车，金额52.98</w:t>
      </w:r>
      <w:r>
        <w:rPr>
          <w:rFonts w:ascii="仿宋" w:eastAsia="仿宋" w:hint="eastAsia"/>
          <w:sz w:val="32"/>
          <w:szCs w:val="32"/>
          <w:lang w:val="en-US" w:eastAsia="zh-CN"/>
        </w:rPr>
        <w:t>万元，主要用于调研等日常公务。</w:t>
      </w:r>
      <w:r>
        <w:rPr>
          <w:rFonts w:ascii="仿宋_GB2312" w:eastAsia="仿宋_GB2312" w:cs="仿宋_GB2312" w:hint="eastAsia"/>
          <w:sz w:val="32"/>
          <w:szCs w:val="32"/>
          <w:lang w:val="en-US" w:eastAsia="zh-CN"/>
        </w:rPr>
        <w:t>截至2025年12月底，单位共有公务用车7辆，其中：越野车7辆。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eastAsia="zh-CN"/>
        </w:rPr>
        <w:t>公务用车运行维护费支出</w:t>
      </w:r>
      <w:r>
        <w:rPr>
          <w:rFonts w:ascii="仿宋_GB2312" w:eastAsia="仿宋_GB2312" w:cs="仿宋_GB2312" w:hint="eastAsia"/>
          <w:b/>
          <w:bCs/>
          <w:sz w:val="32"/>
          <w:szCs w:val="32"/>
          <w:lang w:val="en-US" w:eastAsia="zh-CN"/>
        </w:rPr>
        <w:t>50.3</w:t>
      </w:r>
      <w:r>
        <w:rPr>
          <w:rFonts w:ascii="仿宋_GB2312" w:eastAsia="仿宋_GB2312" w:cs="仿宋_GB2312" w:hint="eastAsia"/>
          <w:b/>
          <w:bCs/>
          <w:sz w:val="32"/>
          <w:szCs w:val="32"/>
          <w:lang w:eastAsia="zh-CN"/>
        </w:rPr>
        <w:t>万元。</w:t>
      </w:r>
      <w:r>
        <w:rPr>
          <w:rFonts w:ascii="仿宋_GB2312" w:eastAsia="仿宋_GB2312" w:cs="仿宋_GB2312" w:hint="eastAsia"/>
          <w:sz w:val="32"/>
          <w:szCs w:val="32"/>
        </w:rPr>
        <w:t>主要用于常委会</w:t>
      </w:r>
      <w:r>
        <w:rPr>
          <w:rFonts w:ascii="仿宋_GB2312" w:eastAsia="仿宋_GB2312" w:cs="仿宋_GB2312" w:hint="eastAsia"/>
          <w:sz w:val="32"/>
          <w:szCs w:val="32"/>
          <w:lang w:val="en-US" w:eastAsia="zh-CN"/>
        </w:rPr>
        <w:t>及委员会</w:t>
      </w:r>
      <w:r>
        <w:rPr>
          <w:rFonts w:ascii="仿宋_GB2312" w:eastAsia="仿宋_GB2312" w:cs="仿宋_GB2312" w:hint="eastAsia"/>
          <w:sz w:val="32"/>
          <w:szCs w:val="32"/>
        </w:rPr>
        <w:t>调研、执法检查</w:t>
      </w:r>
      <w:r>
        <w:rPr>
          <w:rFonts w:ascii="仿宋_GB2312" w:eastAsia="仿宋_GB2312" w:cs="仿宋_GB2312" w:hint="eastAsia"/>
          <w:sz w:val="32"/>
          <w:szCs w:val="32"/>
          <w:lang w:val="en-US" w:eastAsia="zh-CN"/>
        </w:rPr>
        <w:t>及各项重点工作</w:t>
      </w:r>
      <w:r>
        <w:rPr>
          <w:rFonts w:ascii="仿宋_GB2312" w:eastAsia="仿宋_GB2312" w:cs="仿宋_GB2312" w:hint="eastAsia"/>
          <w:sz w:val="32"/>
          <w:szCs w:val="32"/>
        </w:rPr>
        <w:t>所需的公务用车燃料费、维修费、过路过桥费、保险费等支出。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highlight w:val="auto"/>
        </w:rPr>
      </w:pPr>
      <w:r>
        <w:rPr>
          <w:rFonts w:ascii="仿宋_GB2312" w:eastAsia="仿宋_GB2312" w:cs="仿宋_GB2312" w:hint="eastAsia"/>
          <w:b/>
          <w:bCs/>
          <w:sz w:val="32"/>
          <w:szCs w:val="32"/>
          <w:lang w:val="en-US" w:eastAsia="zh-CN"/>
        </w:rPr>
        <w:t>3.</w:t>
      </w:r>
      <w:r>
        <w:rPr>
          <w:rFonts w:ascii="仿宋_GB2312" w:eastAsia="仿宋_GB2312" w:cs="仿宋_GB2312" w:hint="eastAsia"/>
          <w:b/>
          <w:bCs/>
          <w:sz w:val="32"/>
          <w:szCs w:val="32"/>
        </w:rPr>
        <w:t>公务接待费支出</w:t>
      </w:r>
      <w:r>
        <w:rPr>
          <w:rFonts w:ascii="仿宋_GB2312" w:eastAsia="仿宋_GB2312" w:cs="仿宋_GB2312" w:hint="eastAsia"/>
          <w:b/>
          <w:bCs/>
          <w:sz w:val="32"/>
          <w:szCs w:val="32"/>
          <w:lang w:val="en-US" w:eastAsia="zh-CN"/>
        </w:rPr>
        <w:t>0.61</w:t>
      </w:r>
      <w:r>
        <w:rPr>
          <w:rFonts w:ascii="仿宋_GB2312" w:eastAsia="仿宋_GB2312" w:cs="仿宋_GB2312" w:hint="eastAsia"/>
          <w:b/>
          <w:bCs/>
          <w:sz w:val="32"/>
          <w:szCs w:val="32"/>
        </w:rPr>
        <w:t>万元，</w:t>
      </w:r>
      <w:r>
        <w:rPr>
          <w:rFonts w:ascii="仿宋_GB2312" w:eastAsia="仿宋_GB2312" w:cs="仿宋_GB2312" w:hint="eastAsia"/>
          <w:sz w:val="32"/>
          <w:szCs w:val="32"/>
        </w:rPr>
        <w:t>完成预算100%。公务接待费支出决算比</w:t>
      </w:r>
      <w:r>
        <w:rPr>
          <w:rFonts w:ascii="仿宋_GB2312" w:eastAsia="仿宋_GB2312" w:cs="仿宋_GB2312" w:hint="eastAsia"/>
          <w:sz w:val="32"/>
          <w:szCs w:val="32"/>
          <w:lang w:eastAsia="zh-CN"/>
        </w:rPr>
        <w:t>2024年</w:t>
      </w:r>
      <w:r>
        <w:rPr>
          <w:rFonts w:ascii="仿宋_GB2312" w:eastAsia="仿宋_GB2312" w:cs="仿宋_GB2312" w:hint="eastAsia"/>
          <w:sz w:val="32"/>
          <w:szCs w:val="32"/>
          <w:lang w:val="en-US" w:eastAsia="zh-CN"/>
        </w:rPr>
        <w:t>减少0.91</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下降59.9</w:t>
      </w:r>
      <w:r>
        <w:rPr>
          <w:rFonts w:ascii="仿宋_GB2312" w:eastAsia="仿宋_GB2312" w:cs="仿宋_GB2312" w:hint="eastAsia"/>
          <w:sz w:val="32"/>
          <w:szCs w:val="32"/>
        </w:rPr>
        <w:t>%。主要原因是</w:t>
      </w:r>
      <w:r>
        <w:rPr>
          <w:rFonts w:ascii="仿宋_GB2312" w:eastAsia="仿宋_GB2312" w:cs="仿宋_GB2312" w:hint="eastAsia"/>
          <w:sz w:val="32"/>
          <w:szCs w:val="32"/>
          <w:lang w:val="en-US" w:eastAsia="zh-CN"/>
          <w:highlight w:val="auto"/>
        </w:rPr>
        <w:t>严格执行公务接待管理的相关规定，从严审批、严控公务接待费支出</w:t>
      </w:r>
      <w:r>
        <w:rPr>
          <w:rFonts w:ascii="仿宋_GB2312" w:eastAsia="仿宋_GB2312" w:cs="仿宋_GB2312" w:hint="eastAsia"/>
          <w:sz w:val="32"/>
          <w:szCs w:val="32"/>
          <w:highlight w:val="auto"/>
        </w:rPr>
        <w:t>。其中：</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rPr>
        <w:t>国内公务接待支出</w:t>
      </w:r>
      <w:r>
        <w:rPr>
          <w:rFonts w:ascii="仿宋_GB2312" w:eastAsia="仿宋_GB2312" w:cs="仿宋_GB2312" w:hint="eastAsia"/>
          <w:b/>
          <w:bCs/>
          <w:sz w:val="32"/>
          <w:szCs w:val="32"/>
          <w:lang w:val="en-US" w:eastAsia="zh-CN"/>
        </w:rPr>
        <w:t>0.61</w:t>
      </w:r>
      <w:r>
        <w:rPr>
          <w:rFonts w:ascii="仿宋_GB2312" w:eastAsia="仿宋_GB2312" w:cs="仿宋_GB2312" w:hint="eastAsia"/>
          <w:b/>
          <w:bCs/>
          <w:sz w:val="32"/>
          <w:szCs w:val="32"/>
        </w:rPr>
        <w:t>万元，</w:t>
      </w:r>
      <w:r>
        <w:rPr>
          <w:rFonts w:ascii="仿宋_GB2312" w:eastAsia="仿宋_GB2312" w:cs="仿宋_GB2312" w:hint="eastAsia"/>
          <w:sz w:val="32"/>
          <w:szCs w:val="32"/>
        </w:rPr>
        <w:t>主要用于执行公务、开展业务活动开支的用餐费等。国内公务接待</w:t>
      </w:r>
      <w:r>
        <w:rPr>
          <w:rFonts w:ascii="仿宋_GB2312" w:eastAsia="仿宋_GB2312" w:cs="仿宋_GB2312" w:hint="eastAsia"/>
          <w:sz w:val="32"/>
          <w:szCs w:val="32"/>
          <w:lang w:val="en-US" w:eastAsia="zh-CN"/>
        </w:rPr>
        <w:t>9</w:t>
      </w:r>
      <w:r>
        <w:rPr>
          <w:rFonts w:ascii="仿宋_GB2312" w:eastAsia="仿宋_GB2312" w:cs="仿宋_GB2312" w:hint="eastAsia"/>
          <w:sz w:val="32"/>
          <w:szCs w:val="32"/>
        </w:rPr>
        <w:t>批次，</w:t>
      </w:r>
      <w:r>
        <w:rPr>
          <w:rFonts w:ascii="仿宋_GB2312" w:eastAsia="仿宋_GB2312" w:cs="仿宋_GB2312" w:hint="eastAsia"/>
          <w:sz w:val="32"/>
          <w:szCs w:val="32"/>
          <w:lang w:val="en-US" w:eastAsia="zh-CN"/>
        </w:rPr>
        <w:t>102</w:t>
      </w:r>
      <w:r>
        <w:rPr>
          <w:rFonts w:ascii="仿宋_GB2312" w:eastAsia="仿宋_GB2312" w:cs="仿宋_GB2312" w:hint="eastAsia"/>
          <w:sz w:val="32"/>
          <w:szCs w:val="32"/>
        </w:rPr>
        <w:t>人次（不包括陪同人员），共计支出</w:t>
      </w:r>
      <w:r>
        <w:rPr>
          <w:rFonts w:ascii="仿宋_GB2312" w:eastAsia="仿宋_GB2312" w:cs="仿宋_GB2312" w:hint="eastAsia"/>
          <w:sz w:val="32"/>
          <w:szCs w:val="32"/>
          <w:lang w:val="en-US" w:eastAsia="zh-CN"/>
        </w:rPr>
        <w:t>0.61</w:t>
      </w:r>
      <w:r>
        <w:rPr>
          <w:rFonts w:ascii="仿宋_GB2312" w:eastAsia="仿宋_GB2312" w:cs="仿宋_GB2312" w:hint="eastAsia"/>
          <w:sz w:val="32"/>
          <w:szCs w:val="32"/>
        </w:rPr>
        <w:t>万元，具体内容包括：</w:t>
      </w:r>
      <w:r>
        <w:rPr>
          <w:rFonts w:ascii="仿宋_GB2312" w:eastAsia="仿宋_GB2312" w:cs="仿宋_GB2312" w:hint="eastAsia"/>
          <w:sz w:val="32"/>
          <w:szCs w:val="32"/>
          <w:lang w:val="en-US" w:eastAsia="zh-CN"/>
        </w:rPr>
        <w:t>接待上级人大及兄弟市县来汶考察、调研。</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highlight w:val="auto"/>
        </w:rPr>
      </w:pPr>
      <w:r>
        <w:rPr>
          <w:rFonts w:ascii="仿宋_GB2312" w:eastAsia="仿宋_GB2312" w:cs="仿宋_GB2312" w:hint="eastAsia"/>
          <w:b/>
          <w:bCs/>
          <w:sz w:val="32"/>
          <w:szCs w:val="32"/>
          <w:highlight w:val="auto"/>
        </w:rPr>
        <w:t>外事接待支出0万元</w:t>
      </w:r>
      <w:r>
        <w:rPr>
          <w:rFonts w:ascii="仿宋_GB2312" w:eastAsia="仿宋_GB2312" w:cs="仿宋_GB2312" w:hint="eastAsia"/>
          <w:b/>
          <w:bCs/>
          <w:sz w:val="32"/>
          <w:szCs w:val="32"/>
          <w:lang w:eastAsia="zh-CN"/>
          <w:highlight w:val="auto"/>
        </w:rPr>
        <w:t>，</w:t>
      </w:r>
      <w:r>
        <w:rPr>
          <w:rFonts w:ascii="仿宋_GB2312" w:eastAsia="仿宋_GB2312" w:cs="仿宋_GB2312" w:hint="eastAsia"/>
          <w:sz w:val="32"/>
          <w:szCs w:val="32"/>
          <w:lang w:val="en-US" w:eastAsia="zh-CN"/>
          <w:highlight w:val="auto"/>
        </w:rPr>
        <w:t>较上年无变化</w:t>
      </w:r>
      <w:r>
        <w:rPr>
          <w:rFonts w:ascii="仿宋_GB2312" w:eastAsia="仿宋_GB2312" w:cs="仿宋_GB2312" w:hint="eastAsia"/>
          <w:sz w:val="32"/>
          <w:szCs w:val="32"/>
          <w:highlight w:val="auto"/>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八、政府性基金预算支出决算情况说明</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政府性基金预算财政拨款支出0万元。</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九、国有资本经营预算支出决算情况说明</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国有资本经营预算财政拨款支出0万元。 </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十、其他重要事项的情况说明</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（二）政府采购支出情况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 w:eastAsia="仿宋"/>
          <w:sz w:val="32"/>
          <w:szCs w:val="32"/>
        </w:rPr>
      </w:pPr>
      <w:r>
        <w:rPr>
          <w:rFonts w:ascii="仿宋_GB2312" w:eastAsia="仿宋_GB2312" w:cs="仿宋_GB2312" w:hint="eastAsia"/>
          <w:sz w:val="32"/>
          <w:szCs w:val="32"/>
          <w:lang w:eastAsia="zh-CN"/>
          <w:highlight w:val="auto"/>
        </w:rPr>
        <w:t>2025年</w:t>
      </w:r>
      <w:r>
        <w:rPr>
          <w:rFonts w:ascii="仿宋_GB2312" w:eastAsia="仿宋_GB2312" w:cs="仿宋_GB2312" w:hint="eastAsia"/>
          <w:sz w:val="32"/>
          <w:szCs w:val="32"/>
          <w:lang w:val="en-US" w:eastAsia="zh-CN"/>
          <w:highlight w:val="auto"/>
        </w:rPr>
        <w:t>度</w:t>
      </w:r>
      <w:r>
        <w:rPr>
          <w:rFonts w:ascii="仿宋_GB2312" w:eastAsia="仿宋_GB2312" w:cs="仿宋_GB2312" w:hint="eastAsia"/>
          <w:sz w:val="32"/>
          <w:szCs w:val="32"/>
          <w:highlight w:val="auto"/>
        </w:rPr>
        <w:t>，汶川县人大常委会办公室政府采购支出总额</w:t>
      </w:r>
      <w:r>
        <w:rPr>
          <w:rFonts w:ascii="仿宋_GB2312" w:eastAsia="仿宋_GB2312" w:cs="仿宋_GB2312" w:hint="eastAsia"/>
          <w:sz w:val="32"/>
          <w:szCs w:val="32"/>
          <w:lang w:val="en-US" w:eastAsia="zh-CN"/>
          <w:highlight w:val="auto"/>
        </w:rPr>
        <w:t>13.71</w:t>
      </w:r>
      <w:r>
        <w:rPr>
          <w:rFonts w:ascii="仿宋_GB2312" w:eastAsia="仿宋_GB2312" w:cs="仿宋_GB2312" w:hint="eastAsia"/>
          <w:sz w:val="32"/>
          <w:szCs w:val="32"/>
          <w:highlight w:val="auto"/>
        </w:rPr>
        <w:t>万元。 </w:t>
      </w:r>
      <w:r>
        <w:rPr>
          <w:rFonts w:ascii="仿宋" w:eastAsia="仿宋" w:hint="eastAsia"/>
          <w:sz w:val="32"/>
          <w:szCs w:val="32"/>
          <w:highlight w:val="auto"/>
        </w:rPr>
        <w:t>其</w:t>
      </w:r>
      <w:r>
        <w:rPr>
          <w:rFonts w:ascii="仿宋" w:eastAsia="仿宋" w:hint="eastAsia"/>
          <w:sz w:val="32"/>
          <w:szCs w:val="32"/>
        </w:rPr>
        <w:t>中：政府采购货物支出</w:t>
      </w:r>
      <w:r>
        <w:rPr>
          <w:rFonts w:ascii="仿宋_GB2312" w:eastAsia="仿宋_GB2312" w:cs="仿宋_GB2312" w:hint="eastAsia"/>
          <w:sz w:val="32"/>
          <w:szCs w:val="32"/>
          <w:lang w:val="en-US" w:eastAsia="zh-CN"/>
          <w:highlight w:val="auto"/>
        </w:rPr>
        <w:t>1.49万元、政府采购工程支出0万元、政府采购服务支出12.22万元。主要用于采购打印机及空调等1.49万元，车辆维修及车辆保险等服务12.22万元。授予中小企业合同金额10.88万元，占政府采购支出总额的79.4%，其中：授予小微企业合同金额10.88万元</w:t>
      </w:r>
      <w:r>
        <w:rPr>
          <w:rFonts w:ascii="仿宋" w:eastAsia="仿宋" w:hint="eastAsia"/>
          <w:sz w:val="32"/>
          <w:szCs w:val="32"/>
        </w:rPr>
        <w:t>，占政府采购支出总额的</w:t>
      </w:r>
      <w:r>
        <w:rPr>
          <w:rFonts w:ascii="仿宋_GB2312" w:eastAsia="仿宋_GB2312" w:cs="仿宋_GB2312" w:hint="eastAsia"/>
          <w:sz w:val="32"/>
          <w:szCs w:val="32"/>
          <w:lang w:val="en-US" w:eastAsia="zh-CN"/>
          <w:highlight w:val="auto"/>
        </w:rPr>
        <w:t>79.4%</w:t>
      </w:r>
      <w:r>
        <w:rPr>
          <w:rFonts w:ascii="仿宋" w:eastAsia="仿宋" w:hint="eastAsia"/>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（三）国有资产占有使用情况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截至</w:t>
      </w:r>
      <w:r>
        <w:rPr>
          <w:rFonts w:ascii="仿宋_GB2312" w:eastAsia="仿宋_GB2312" w:cs="仿宋_GB2312" w:hint="eastAsia"/>
          <w:sz w:val="32"/>
          <w:szCs w:val="32"/>
          <w:lang w:eastAsia="zh-CN"/>
        </w:rPr>
        <w:t>2025年</w:t>
      </w:r>
      <w:r>
        <w:rPr>
          <w:rFonts w:ascii="仿宋_GB2312" w:eastAsia="仿宋_GB2312" w:cs="仿宋_GB2312" w:hint="eastAsia"/>
          <w:sz w:val="32"/>
          <w:szCs w:val="32"/>
        </w:rPr>
        <w:t>12月31日，汶川县人大常委会办公室共有车辆</w:t>
      </w:r>
      <w:r>
        <w:rPr>
          <w:rFonts w:ascii="仿宋_GB2312" w:eastAsia="仿宋_GB2312" w:cs="仿宋_GB2312" w:hint="eastAsia"/>
          <w:sz w:val="32"/>
          <w:szCs w:val="32"/>
          <w:lang w:val="en-US" w:eastAsia="zh-CN"/>
        </w:rPr>
        <w:t>7</w:t>
      </w:r>
      <w:r>
        <w:rPr>
          <w:rFonts w:ascii="仿宋_GB2312" w:eastAsia="仿宋_GB2312" w:cs="仿宋_GB2312" w:hint="eastAsia"/>
          <w:sz w:val="32"/>
          <w:szCs w:val="32"/>
        </w:rPr>
        <w:t>辆，其中：应急保障用车</w:t>
      </w:r>
      <w:r>
        <w:rPr>
          <w:rFonts w:ascii="仿宋_GB2312" w:eastAsia="仿宋_GB2312" w:cs="仿宋_GB2312" w:hint="eastAsia"/>
          <w:sz w:val="32"/>
          <w:szCs w:val="32"/>
          <w:lang w:val="en-US" w:eastAsia="zh-CN"/>
        </w:rPr>
        <w:t>7</w:t>
      </w:r>
      <w:r>
        <w:rPr>
          <w:rFonts w:ascii="仿宋_GB2312" w:eastAsia="仿宋_GB2312" w:cs="仿宋_GB2312" w:hint="eastAsia"/>
          <w:sz w:val="32"/>
          <w:szCs w:val="32"/>
        </w:rPr>
        <w:t>辆。单价100万元（含）以上设备（不含车辆）0台（套）。</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预算绩效管理情况</w:t>
      </w:r>
    </w:p>
    <w:p>
      <w:pPr>
        <w:pStyle w:val="15"/>
        <w:keepNext w:val="0"/>
        <w:keepLines w:val="0"/>
        <w:pageBreakBefore w:val="0"/>
        <w:widowControl w:val="0"/>
        <w:kinsoku/>
        <w:wordWrap/>
        <w:overflowPunct/>
        <w:topLinePunct w:val="0"/>
        <w:autoSpaceDE/>
        <w:autoSpaceDN/>
        <w:bidi w:val="0"/>
        <w:adjustRightInd/>
        <w:snapToGrid/>
        <w:spacing w:beforeLines="0" w:before="0" w:line="240" w:lineRule="auto"/>
        <w:ind w:left="0" w:firstLineChars="200" w:firstLine="640"/>
        <w:jc w:val="both"/>
        <w:textAlignment w:val="auto"/>
        <w:rPr>
          <w:rFonts w:ascii="仿宋_GB2312" w:eastAsia="仿宋_GB2312" w:cs="仿宋_GB2312" w:hint="eastAsia"/>
          <w:kern w:val="2"/>
          <w:sz w:val="32"/>
          <w:szCs w:val="32"/>
          <w:lang w:val="en-US" w:eastAsia="zh-CN" w:bidi="ar-SA"/>
        </w:rPr>
      </w:pPr>
      <w:r>
        <w:rPr>
          <w:rFonts w:ascii="仿宋_GB2312" w:eastAsia="仿宋_GB2312" w:cs="仿宋_GB2312" w:hint="eastAsia"/>
          <w:kern w:val="2"/>
          <w:sz w:val="32"/>
          <w:szCs w:val="32"/>
          <w:lang w:val="en-US" w:eastAsia="zh-CN" w:bidi="ar-SA"/>
        </w:rPr>
        <w:t>根据预算绩效管理要求，汶川县人大常委会办公室在2025 年度预算编制阶段，组织对人大监督等6个项目涉及金额153.05万元开展了事前绩效评估，对6个项目编制了绩效目标，预算执行过程中，选取6个项目开展了绩效监控。</w:t>
      </w:r>
    </w:p>
    <w:p>
      <w:pPr>
        <w:pStyle w:val="15"/>
        <w:keepNext w:val="0"/>
        <w:keepLines w:val="0"/>
        <w:pageBreakBefore w:val="0"/>
        <w:widowControl w:val="0"/>
        <w:kinsoku/>
        <w:wordWrap/>
        <w:overflowPunct/>
        <w:topLinePunct w:val="0"/>
        <w:autoSpaceDE/>
        <w:autoSpaceDN/>
        <w:bidi w:val="0"/>
        <w:adjustRightInd/>
        <w:snapToGrid/>
        <w:spacing w:beforeLines="0" w:before="0" w:line="240" w:lineRule="auto"/>
        <w:ind w:left="0" w:firstLineChars="200" w:firstLine="640"/>
        <w:jc w:val="both"/>
        <w:textAlignment w:val="auto"/>
        <w:rPr>
          <w:rFonts w:ascii="仿宋_GB2312" w:eastAsia="仿宋_GB2312" w:cs="仿宋_GB2312" w:hint="eastAsia"/>
          <w:kern w:val="2"/>
          <w:sz w:val="32"/>
          <w:szCs w:val="32"/>
          <w:lang w:val="en-US" w:eastAsia="zh-CN" w:bidi="ar-SA"/>
        </w:rPr>
      </w:pPr>
      <w:r>
        <w:rPr>
          <w:rFonts w:ascii="仿宋_GB2312" w:eastAsia="仿宋_GB2312" w:cs="仿宋_GB2312" w:hint="eastAsia"/>
          <w:kern w:val="2"/>
          <w:sz w:val="32"/>
          <w:szCs w:val="32"/>
          <w:lang w:val="en-US" w:eastAsia="zh-CN" w:bidi="ar-SA"/>
        </w:rPr>
        <w:t>组织对2025年一般公共预算开展绩效自评，形成汶川县人大常委会办公室部门预算（含部门预算项目）绩效自评报告，</w:t>
      </w:r>
      <w:r>
        <w:rPr>
          <w:rFonts w:ascii="仿宋_GB2312" w:eastAsia="仿宋_GB2312" w:cs="仿宋_GB2312"/>
          <w:kern w:val="2"/>
          <w:sz w:val="32"/>
          <w:szCs w:val="32"/>
          <w:lang w:val="en-US" w:eastAsia="zh-CN" w:bidi="ar-SA"/>
        </w:rPr>
        <w:t>据部门自评，本部门资金使用达到了预期效果，较好地服务和保障了县人大常委会圆满完成年度监督工作、调研工作、代表工作等重要任务，较好实现了</w:t>
      </w:r>
      <w:r>
        <w:rPr>
          <w:rFonts w:ascii="仿宋_GB2312" w:eastAsia="仿宋_GB2312" w:cs="仿宋_GB2312" w:hint="eastAsia"/>
          <w:kern w:val="2"/>
          <w:sz w:val="32"/>
          <w:szCs w:val="32"/>
          <w:lang w:val="en-US" w:eastAsia="zh-CN" w:bidi="ar-SA"/>
        </w:rPr>
        <w:t>2025</w:t>
      </w:r>
      <w:r>
        <w:rPr>
          <w:rFonts w:ascii="仿宋_GB2312" w:eastAsia="仿宋_GB2312" w:cs="仿宋_GB2312"/>
          <w:kern w:val="2"/>
          <w:sz w:val="32"/>
          <w:szCs w:val="32"/>
          <w:lang w:val="en-US" w:eastAsia="zh-CN" w:bidi="ar-SA"/>
        </w:rPr>
        <w:t>年财政预算支出的绩效目标。经过认真自评，汶川县人大常委会办公室2025年度部门整体支出绩效评价得分88分。</w:t>
      </w:r>
      <w:r>
        <w:rPr>
          <w:rFonts w:ascii="仿宋_GB2312" w:eastAsia="仿宋_GB2312" w:cs="仿宋_GB2312" w:hint="eastAsia"/>
          <w:kern w:val="2"/>
          <w:sz w:val="32"/>
          <w:szCs w:val="32"/>
          <w:lang w:val="en-US" w:eastAsia="zh-CN" w:bidi="ar-SA"/>
        </w:rPr>
        <w:t>绩效自评报告及自评表详见第四部分附件。</w:t>
      </w:r>
    </w:p>
    <w:p>
      <w:pPr>
        <w:pStyle w:val="15"/>
        <w:keepNext w:val="0"/>
        <w:keepLines w:val="0"/>
        <w:pageBreakBefore w:val="0"/>
        <w:widowControl w:val="0"/>
        <w:kinsoku/>
        <w:wordWrap/>
        <w:overflowPunct/>
        <w:topLinePunct w:val="0"/>
        <w:autoSpaceDE/>
        <w:autoSpaceDN/>
        <w:bidi w:val="0"/>
        <w:adjustRightInd/>
        <w:snapToGrid/>
        <w:spacing w:beforeLines="0" w:before="0" w:line="240" w:lineRule="auto"/>
        <w:ind w:left="0" w:firstLineChars="200" w:firstLine="600"/>
        <w:jc w:val="both"/>
        <w:textAlignment w:val="auto"/>
        <w:rPr>
          <w:rFonts w:cs="Times New Roman" w:hint="eastAsia"/>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p>
    <w:p>
      <w:pPr>
        <w:keepNext w:val="0"/>
        <w:keepLines w:val="0"/>
        <w:pageBreakBefore w:val="0"/>
        <w:widowControl/>
        <w:kinsoku/>
        <w:wordWrap/>
        <w:overflowPunct/>
        <w:topLinePunct w:val="0"/>
        <w:autoSpaceDE/>
        <w:autoSpaceDN/>
        <w:bidi w:val="0"/>
        <w:adjustRightInd/>
        <w:snapToGrid/>
        <w:spacing w:line="240" w:lineRule="auto"/>
        <w:ind w:left="0"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r>
        <w:rPr>
          <w:rFonts w:ascii="方正小标宋简体" w:eastAsia="方正小标宋简体" w:cs="方正小标宋简体" w:hint="eastAsia"/>
          <w:b w:val="0"/>
          <w:bCs/>
          <w:kern w:val="44"/>
          <w:sz w:val="44"/>
          <w:szCs w:val="44"/>
          <w:lang w:val="en-US" w:eastAsia="zh-CN" w:bidi="ar-SA"/>
        </w:rPr>
        <w:t>第三部分 名词解释</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 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2.年初结转和结余：指以前年度尚未完成、结转到本年按有关规定继续使用的资金。</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3.一般公共服务（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）行政运行（</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）：指行政单位（包括实现公务员管理的事业单位）的基本支出。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4.一般公共服务（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）人大会议（</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）：指各级人大召开人民代表大会等专门会议的支出。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5.一般公共服务（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人大监督</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）：指各级人大</w:t>
      </w:r>
      <w:r>
        <w:rPr>
          <w:rFonts w:ascii="仿宋_GB2312" w:eastAsia="仿宋_GB2312" w:cs="仿宋_GB2312" w:hint="eastAsia"/>
          <w:sz w:val="32"/>
          <w:szCs w:val="32"/>
          <w:lang w:val="en-US" w:eastAsia="zh-CN"/>
        </w:rPr>
        <w:t>开展监督工作的</w:t>
      </w:r>
      <w:r>
        <w:rPr>
          <w:rFonts w:ascii="仿宋_GB2312" w:eastAsia="仿宋_GB2312" w:cs="仿宋_GB2312" w:hint="eastAsia"/>
          <w:sz w:val="32"/>
          <w:szCs w:val="32"/>
        </w:rPr>
        <w:t>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6</w:t>
      </w:r>
      <w:r>
        <w:rPr>
          <w:rFonts w:ascii="仿宋_GB2312" w:eastAsia="仿宋_GB2312" w:cs="仿宋_GB2312" w:hint="eastAsia"/>
          <w:sz w:val="32"/>
          <w:szCs w:val="32"/>
        </w:rPr>
        <w:t>.一般公共服务（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）人大代表履职能力提升（</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）：指各级人大为提供代表履职能力所发生的各项支出。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7</w:t>
      </w:r>
      <w:r>
        <w:rPr>
          <w:rFonts w:ascii="仿宋_GB2312" w:eastAsia="仿宋_GB2312" w:cs="仿宋_GB2312" w:hint="eastAsia"/>
          <w:sz w:val="32"/>
          <w:szCs w:val="32"/>
        </w:rPr>
        <w:t>.一般公共服务（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）代表工作（</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）：指人大代表开展各类视察等方面的支出。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8.</w:t>
      </w:r>
      <w:r>
        <w:rPr>
          <w:rFonts w:ascii="仿宋_GB2312" w:eastAsia="仿宋_GB2312" w:cs="仿宋_GB2312" w:hint="eastAsia"/>
          <w:kern w:val="0"/>
          <w:sz w:val="32"/>
          <w:szCs w:val="32"/>
        </w:rPr>
        <w:t>一般公共服务（类）人大事务（款）事业运行（项）：指事业单位的基本支出。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9.</w:t>
      </w:r>
      <w:r>
        <w:rPr>
          <w:rFonts w:ascii="仿宋_GB2312" w:eastAsia="仿宋_GB2312" w:cs="仿宋_GB2312" w:hint="eastAsia"/>
          <w:sz w:val="32"/>
          <w:szCs w:val="32"/>
        </w:rPr>
        <w:t>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其他人大事务支出</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w:t>
      </w:r>
      <w:r>
        <w:rPr>
          <w:rFonts w:ascii="仿宋_GB2312" w:eastAsia="仿宋_GB2312" w:cs="仿宋_GB2312" w:hint="eastAsia"/>
          <w:sz w:val="32"/>
          <w:szCs w:val="32"/>
          <w:lang w:val="en-US" w:eastAsia="zh-CN"/>
        </w:rPr>
        <w:t>上述项目以为的其他人大事务支出。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10</w:t>
      </w:r>
      <w:r>
        <w:rPr>
          <w:rFonts w:ascii="仿宋_GB2312" w:eastAsia="仿宋_GB2312" w:cs="仿宋_GB2312" w:hint="eastAsia"/>
          <w:sz w:val="32"/>
          <w:szCs w:val="32"/>
        </w:rPr>
        <w:t>.社会保障和就业（</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）行政事业单位养老支出（</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）机关事业单位基本养老保险缴费支出（</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）：指用于机关事业单位基本养老保险缴费支出。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11</w:t>
      </w:r>
      <w:r>
        <w:rPr>
          <w:rFonts w:ascii="仿宋_GB2312" w:eastAsia="仿宋_GB2312" w:cs="仿宋_GB2312" w:hint="eastAsia"/>
          <w:sz w:val="32"/>
          <w:szCs w:val="32"/>
        </w:rPr>
        <w:t>.社会保障和就业（</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）行政事业单位养老支出（</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）机关事业单位职业年金缴费支出（</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）：指机关事业单位职业年金缴费支出。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12.</w:t>
      </w:r>
      <w:r>
        <w:rPr>
          <w:rFonts w:ascii="仿宋_GB2312" w:eastAsia="仿宋_GB2312" w:cs="仿宋_GB2312" w:hint="eastAsia"/>
          <w:sz w:val="32"/>
          <w:szCs w:val="32"/>
        </w:rPr>
        <w:t>卫生健康（</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）行政事业单位医疗（</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）行政单位医疗（</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 指财政部门集中安排的行政单位基本医疗保险缴费。</w:t>
      </w:r>
    </w:p>
    <w:p>
      <w:pPr>
        <w:keepNext w:val="0"/>
        <w:keepLines w:val="0"/>
        <w:pageBreakBefore w:val="0"/>
        <w:widowControl w:val="0"/>
        <w:kinsoku/>
        <w:wordWrap/>
        <w:overflowPunct/>
        <w:topLinePunct w:val="0"/>
        <w:bidi w:val="0"/>
        <w:adjustRightInd/>
        <w:snapToGrid/>
        <w:spacing w:line="240" w:lineRule="auto"/>
        <w:ind w:left="0" w:firstLineChars="200" w:firstLine="640"/>
        <w:textAlignment w:val="auto"/>
        <w:rPr>
          <w:rFonts w:ascii="仿宋_GB2312" w:eastAsia="仿宋_GB2312" w:cs="仿宋_GB2312"/>
          <w:bCs/>
          <w:sz w:val="32"/>
          <w:szCs w:val="32"/>
        </w:rPr>
      </w:pPr>
      <w:r>
        <w:rPr>
          <w:rFonts w:ascii="仿宋_GB2312" w:eastAsia="仿宋_GB2312" w:cs="仿宋_GB2312" w:hint="eastAsia"/>
          <w:sz w:val="32"/>
          <w:szCs w:val="32"/>
          <w:lang w:val="en-US" w:eastAsia="zh-CN"/>
        </w:rPr>
        <w:t>13.</w:t>
      </w:r>
      <w:r>
        <w:rPr>
          <w:rFonts w:ascii="仿宋_GB2312" w:eastAsia="仿宋_GB2312" w:cs="仿宋_GB2312" w:hint="eastAsia"/>
          <w:bCs/>
          <w:sz w:val="32"/>
          <w:szCs w:val="32"/>
        </w:rPr>
        <w:t>卫生健康</w:t>
      </w:r>
      <w:r>
        <w:rPr>
          <w:rFonts w:ascii="仿宋_GB2312" w:eastAsia="仿宋_GB2312" w:cs="仿宋_GB2312" w:hint="eastAsia"/>
          <w:kern w:val="0"/>
          <w:sz w:val="32"/>
          <w:szCs w:val="32"/>
        </w:rPr>
        <w:t>（</w:t>
      </w:r>
      <w:r>
        <w:rPr>
          <w:rFonts w:ascii="仿宋_GB2312" w:eastAsia="仿宋_GB2312" w:cs="仿宋_GB2312" w:hint="eastAsia"/>
          <w:kern w:val="0"/>
          <w:sz w:val="32"/>
          <w:szCs w:val="32"/>
          <w:lang w:val="en-US" w:eastAsia="zh-CN"/>
        </w:rPr>
        <w:t>类</w:t>
      </w:r>
      <w:r>
        <w:rPr>
          <w:rFonts w:ascii="仿宋_GB2312" w:eastAsia="仿宋_GB2312" w:cs="仿宋_GB2312" w:hint="eastAsia"/>
          <w:kern w:val="0"/>
          <w:sz w:val="32"/>
          <w:szCs w:val="32"/>
        </w:rPr>
        <w:t>）行政事业单位医疗（</w:t>
      </w:r>
      <w:r>
        <w:rPr>
          <w:rFonts w:ascii="仿宋_GB2312" w:eastAsia="仿宋_GB2312" w:cs="仿宋_GB2312" w:hint="eastAsia"/>
          <w:kern w:val="0"/>
          <w:sz w:val="32"/>
          <w:szCs w:val="32"/>
          <w:lang w:val="en-US" w:eastAsia="zh-CN"/>
        </w:rPr>
        <w:t>款</w:t>
      </w:r>
      <w:r>
        <w:rPr>
          <w:rFonts w:ascii="仿宋_GB2312" w:eastAsia="仿宋_GB2312" w:cs="仿宋_GB2312" w:hint="eastAsia"/>
          <w:kern w:val="0"/>
          <w:sz w:val="32"/>
          <w:szCs w:val="32"/>
        </w:rPr>
        <w:t>）事业单位医疗（项）: 指财政部门集中安排的事业单位基本医疗保险缴费</w:t>
      </w:r>
      <w:r>
        <w:rPr>
          <w:rFonts w:ascii="仿宋_GB2312" w:eastAsia="仿宋_GB2312" w:cs="仿宋_GB2312" w:hint="eastAsia"/>
          <w:bCs/>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14.卫生健</w:t>
      </w:r>
      <w:r>
        <w:rPr>
          <w:rFonts w:ascii="仿宋_GB2312" w:eastAsia="仿宋_GB2312" w:cs="仿宋_GB2312" w:hint="eastAsia"/>
          <w:sz w:val="32"/>
          <w:szCs w:val="32"/>
        </w:rPr>
        <w:t>康（</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）行政事业单位医疗（</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）公务员医疗补助（</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）：指财政部门集中安排的公务员医疗补助经费。</w:t>
      </w:r>
    </w:p>
    <w:p>
      <w:pPr>
        <w:keepNext w:val="0"/>
        <w:keepLines w:val="0"/>
        <w:pageBreakBefore w:val="0"/>
        <w:widowControl w:val="0"/>
        <w:kinsoku/>
        <w:wordWrap/>
        <w:overflowPunct/>
        <w:topLinePunct w:val="0"/>
        <w:bidi w:val="0"/>
        <w:adjustRightInd/>
        <w:snapToGrid/>
        <w:spacing w:line="240" w:lineRule="auto"/>
        <w:ind w:left="0" w:firstLineChars="200" w:firstLine="640"/>
        <w:textAlignment w:val="auto"/>
        <w:rPr>
          <w:rFonts w:ascii="仿宋_GB2312" w:eastAsia="仿宋_GB2312" w:cs="仿宋_GB2312"/>
          <w:sz w:val="32"/>
          <w:szCs w:val="32"/>
        </w:rPr>
      </w:pPr>
      <w:r>
        <w:rPr>
          <w:rFonts w:ascii="仿宋_GB2312" w:eastAsia="仿宋_GB2312" w:cs="仿宋_GB2312" w:hint="eastAsia"/>
          <w:sz w:val="32"/>
          <w:szCs w:val="32"/>
          <w:lang w:val="en-US" w:eastAsia="zh-CN"/>
        </w:rPr>
        <w:t>15.</w:t>
      </w:r>
      <w:r>
        <w:rPr>
          <w:rFonts w:ascii="仿宋_GB2312" w:eastAsia="仿宋_GB2312" w:cs="仿宋_GB2312" w:hint="eastAsia"/>
          <w:sz w:val="32"/>
          <w:szCs w:val="32"/>
        </w:rPr>
        <w:t>卫生健康</w:t>
      </w:r>
      <w:r>
        <w:rPr>
          <w:rFonts w:ascii="仿宋_GB2312" w:eastAsia="仿宋_GB2312" w:hint="eastAsia"/>
          <w:sz w:val="32"/>
          <w:szCs w:val="32"/>
        </w:rPr>
        <w:t>（类）行政事业单位医疗（款）</w:t>
      </w:r>
      <w:r>
        <w:rPr>
          <w:rFonts w:ascii="仿宋_GB2312" w:eastAsia="仿宋_GB2312" w:cs="仿宋_GB2312" w:hint="eastAsia"/>
          <w:sz w:val="32"/>
          <w:szCs w:val="32"/>
        </w:rPr>
        <w:t>其他行政事业单位医疗支出（项）：指</w:t>
      </w:r>
      <w:r>
        <w:rPr>
          <w:rFonts w:ascii="仿宋_GB2312" w:eastAsia="仿宋_GB2312" w:cs="仿宋_GB2312" w:hint="eastAsia"/>
          <w:kern w:val="0"/>
          <w:sz w:val="32"/>
          <w:szCs w:val="32"/>
        </w:rPr>
        <w:t>财政部门集中安排的事业单位医疗补助缴费</w:t>
      </w:r>
      <w:r>
        <w:rPr>
          <w:rFonts w:ascii="仿宋_GB2312" w:eastAsia="仿宋_GB2312" w:cs="仿宋_GB2312" w:hint="eastAsia"/>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16.</w:t>
      </w:r>
      <w:r>
        <w:rPr>
          <w:rFonts w:ascii="仿宋_GB2312" w:eastAsia="仿宋_GB2312" w:cs="仿宋_GB2312" w:hint="eastAsia"/>
          <w:sz w:val="32"/>
          <w:szCs w:val="32"/>
        </w:rPr>
        <w:t>住房保障支出（</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）住房改革支出（</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）住房公积金（</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）：指用于按政策规定为职工缴纳的住房公积金支出。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17</w:t>
      </w:r>
      <w:r>
        <w:rPr>
          <w:rFonts w:ascii="仿宋_GB2312" w:eastAsia="仿宋_GB2312" w:cs="仿宋_GB2312" w:hint="eastAsia"/>
          <w:sz w:val="32"/>
          <w:szCs w:val="32"/>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18</w:t>
      </w:r>
      <w:r>
        <w:rPr>
          <w:rFonts w:ascii="仿宋_GB2312" w:eastAsia="仿宋_GB2312" w:cs="仿宋_GB2312" w:hint="eastAsia"/>
          <w:sz w:val="32"/>
          <w:szCs w:val="32"/>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19</w:t>
      </w:r>
      <w:r>
        <w:rPr>
          <w:rFonts w:ascii="仿宋_GB2312" w:eastAsia="仿宋_GB2312" w:cs="仿宋_GB2312" w:hint="eastAsia"/>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20</w:t>
      </w:r>
      <w:r>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5"/>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hint="eastAsia"/>
          <w:sz w:val="32"/>
          <w:szCs w:val="32"/>
        </w:rPr>
      </w:pPr>
    </w:p>
    <w:p>
      <w:pPr>
        <w:pStyle w:val="15"/>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hint="eastAsia"/>
          <w:sz w:val="32"/>
          <w:szCs w:val="32"/>
        </w:rPr>
      </w:pPr>
    </w:p>
    <w:p>
      <w:pPr>
        <w:pStyle w:val="15"/>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hint="eastAsia"/>
          <w:sz w:val="32"/>
          <w:szCs w:val="32"/>
        </w:rPr>
      </w:pPr>
    </w:p>
    <w:p>
      <w:pPr>
        <w:pStyle w:val="15"/>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hint="eastAsia"/>
          <w:sz w:val="32"/>
          <w:szCs w:val="32"/>
        </w:rPr>
      </w:pPr>
    </w:p>
    <w:p>
      <w:pPr>
        <w:pStyle w:val="15"/>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hint="eastAsia"/>
          <w:sz w:val="32"/>
          <w:szCs w:val="32"/>
        </w:rPr>
      </w:pPr>
    </w:p>
    <w:p>
      <w:pPr>
        <w:pStyle w:val="15"/>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hint="eastAsia"/>
          <w:sz w:val="32"/>
          <w:szCs w:val="32"/>
        </w:rPr>
      </w:pPr>
    </w:p>
    <w:p>
      <w:pPr>
        <w:pStyle w:val="15"/>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hint="eastAsia"/>
          <w:sz w:val="32"/>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firstLineChars="200" w:firstLine="880"/>
        <w:jc w:val="center"/>
        <w:textAlignment w:val="auto"/>
        <w:rPr>
          <w:rStyle w:val="23"/>
          <w:rFonts w:ascii="方正小标宋简体" w:eastAsia="方正小标宋简体" w:hint="eastAsia"/>
          <w:b w:val="0"/>
          <w:sz w:val="44"/>
          <w:szCs w:val="44"/>
        </w:rPr>
      </w:pPr>
      <w:r>
        <w:rPr>
          <w:rStyle w:val="23"/>
          <w:rFonts w:ascii="方正小标宋简体" w:eastAsia="方正小标宋简体" w:hint="eastAsia"/>
          <w:b w:val="0"/>
          <w:sz w:val="44"/>
          <w:szCs w:val="44"/>
        </w:rPr>
        <w:t>附件</w:t>
      </w:r>
    </w:p>
    <w:p>
      <w:pPr>
        <w:pStyle w:val="15"/>
        <w:keepNext w:val="0"/>
        <w:keepLines w:val="0"/>
        <w:pageBreakBefore w:val="0"/>
        <w:widowControl w:val="0"/>
        <w:kinsoku/>
        <w:wordWrap/>
        <w:topLinePunct w:val="0"/>
        <w:bidi w:val="0"/>
        <w:adjustRightInd/>
        <w:snapToGrid/>
        <w:spacing w:line="240" w:lineRule="auto"/>
        <w:ind w:left="0" w:firstLineChars="200" w:firstLine="640"/>
        <w:rPr>
          <w:rStyle w:val="23"/>
          <w:rFonts w:ascii="仿宋_GB2312" w:eastAsia="仿宋_GB2312" w:cs="仿宋_GB2312"/>
          <w:b w:val="0"/>
          <w:sz w:val="32"/>
          <w:szCs w:val="32"/>
          <w:lang w:val="en-US" w:eastAsia="zh-CN"/>
        </w:rPr>
      </w:pPr>
      <w:r>
        <w:rPr>
          <w:rStyle w:val="23"/>
          <w:rFonts w:ascii="仿宋_GB2312" w:eastAsia="仿宋_GB2312" w:cs="仿宋_GB2312" w:hint="eastAsia"/>
          <w:b w:val="0"/>
          <w:sz w:val="32"/>
          <w:szCs w:val="32"/>
          <w:lang w:val="en-US" w:eastAsia="zh-CN"/>
        </w:rPr>
        <w:t>附件1</w:t>
      </w:r>
      <w:r>
        <w:rPr>
          <w:rStyle w:val="23"/>
          <w:rFonts w:cs="仿宋_GB2312" w:hint="eastAsia"/>
          <w:b w:val="0"/>
          <w:sz w:val="32"/>
          <w:szCs w:val="32"/>
          <w:lang w:val="en-US" w:eastAsia="zh-CN"/>
        </w:rPr>
        <w:t>：</w:t>
      </w:r>
    </w:p>
    <w:p>
      <w:pPr>
        <w:pStyle w:val="25"/>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left="0" w:firstLineChars="200" w:firstLine="880"/>
        <w:jc w:val="center"/>
        <w:textAlignment w:val="auto"/>
        <w:rPr>
          <w:rFonts w:ascii="Times New Roman" w:eastAsia="方正小标宋简体" w:cs="Times New Roman" w:hAnsi="Times New Roman"/>
          <w:sz w:val="44"/>
          <w:szCs w:val="44"/>
        </w:rPr>
      </w:pPr>
      <w:r>
        <w:rPr>
          <w:rFonts w:ascii="方正小标宋简体" w:eastAsia="方正小标宋简体" w:cs="方正小标宋简体" w:hint="eastAsia"/>
          <w:kern w:val="0"/>
          <w:sz w:val="44"/>
          <w:szCs w:val="44"/>
          <w:lang w:val="en-US" w:eastAsia="zh-CN" w:bidi="ar-SA"/>
        </w:rPr>
        <w:t>2025</w:t>
      </w:r>
      <w:r>
        <w:rPr>
          <w:rFonts w:ascii="Times New Roman" w:eastAsia="方正小标宋简体" w:cs="Times New Roman" w:hAnsi="Times New Roman"/>
          <w:sz w:val="44"/>
          <w:szCs w:val="44"/>
          <w:lang w:val="en-US" w:eastAsia="zh-CN"/>
        </w:rPr>
        <w:t>年</w:t>
      </w:r>
      <w:r>
        <w:rPr>
          <w:rFonts w:ascii="Times New Roman" w:eastAsia="方正小标宋简体" w:cs="Times New Roman" w:hAnsi="Times New Roman"/>
          <w:sz w:val="44"/>
          <w:szCs w:val="44"/>
        </w:rPr>
        <w:t>汶川县人大常委会办公室</w:t>
      </w:r>
    </w:p>
    <w:p>
      <w:pPr>
        <w:keepNext w:val="0"/>
        <w:keepLines w:val="0"/>
        <w:pageBreakBefore w:val="0"/>
        <w:widowControl w:val="0"/>
        <w:kinsoku/>
        <w:wordWrap/>
        <w:overflowPunct w:val="0"/>
        <w:topLinePunct w:val="0"/>
        <w:autoSpaceDE/>
        <w:autoSpaceDN/>
        <w:bidi w:val="0"/>
        <w:adjustRightInd/>
        <w:snapToGrid/>
        <w:spacing w:line="560" w:lineRule="exact"/>
        <w:ind w:left="0" w:firstLineChars="200" w:firstLine="880"/>
        <w:jc w:val="center"/>
        <w:textAlignment w:val="auto"/>
        <w:rPr>
          <w:rFonts w:ascii="Times New Roman" w:eastAsia="方正小标宋简体" w:cs="Times New Roman" w:hAnsi="Times New Roman"/>
          <w:sz w:val="44"/>
          <w:szCs w:val="44"/>
          <w:lang w:val="en-US"/>
        </w:rPr>
      </w:pPr>
      <w:r>
        <w:rPr>
          <w:rFonts w:ascii="Times New Roman" w:eastAsia="方正小标宋简体" w:cs="Times New Roman" w:hAnsi="Times New Roman"/>
          <w:sz w:val="44"/>
          <w:szCs w:val="44"/>
          <w:lang w:val="en-US" w:eastAsia="zh-CN"/>
        </w:rPr>
        <w:t>部门</w:t>
      </w:r>
      <w:r>
        <w:rPr>
          <w:rFonts w:eastAsia="方正小标宋简体" w:cs="Times New Roman" w:hint="eastAsia"/>
          <w:sz w:val="44"/>
          <w:szCs w:val="44"/>
          <w:lang w:val="en-US" w:eastAsia="zh-CN"/>
        </w:rPr>
        <w:t>整体</w:t>
      </w:r>
      <w:r>
        <w:rPr>
          <w:rFonts w:ascii="Times New Roman" w:eastAsia="方正小标宋简体" w:cs="Times New Roman" w:hAnsi="Times New Roman"/>
          <w:sz w:val="44"/>
          <w:szCs w:val="44"/>
          <w:lang w:val="en-US" w:eastAsia="zh-CN"/>
        </w:rPr>
        <w:t>绩效</w:t>
      </w:r>
      <w:r>
        <w:rPr>
          <w:rFonts w:eastAsia="方正小标宋简体" w:cs="Times New Roman" w:hint="eastAsia"/>
          <w:sz w:val="44"/>
          <w:szCs w:val="44"/>
          <w:lang w:val="en-US" w:eastAsia="zh-CN"/>
        </w:rPr>
        <w:t>评价</w:t>
      </w:r>
      <w:r>
        <w:rPr>
          <w:rFonts w:ascii="Times New Roman" w:eastAsia="方正小标宋简体" w:cs="Times New Roman" w:hAnsi="Times New Roman"/>
          <w:sz w:val="44"/>
          <w:szCs w:val="44"/>
          <w:lang w:val="en-US" w:eastAsia="zh-CN"/>
        </w:rPr>
        <w:t>报告</w:t>
      </w:r>
    </w:p>
    <w:p>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left="0" w:firstLineChars="200" w:firstLine="640"/>
        <w:textAlignment w:val="auto"/>
        <w:rPr>
          <w:rFonts w:ascii="Times New Roman" w:eastAsia="仿宋_GB2312" w:cs="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lang w:val="en-US" w:eastAsia="zh-CN"/>
          <w:highlight w:val="auto"/>
        </w:rPr>
      </w:pPr>
      <w:r>
        <w:rPr>
          <w:rFonts w:ascii="黑体" w:eastAsia="黑体" w:cs="黑体" w:hint="eastAsia"/>
          <w:sz w:val="32"/>
          <w:szCs w:val="32"/>
          <w:lang w:val="zh-CN" w:eastAsia="zh-CN"/>
          <w:highlight w:val="auto"/>
        </w:rPr>
        <w:t>一、部门基本情况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b/>
          <w:bCs/>
          <w:sz w:val="32"/>
          <w:szCs w:val="32"/>
          <w:lang w:val="zh-CN" w:eastAsia="zh-CN"/>
        </w:rPr>
      </w:pPr>
      <w:r>
        <w:rPr>
          <w:rFonts w:ascii="楷体_GB2312" w:eastAsia="楷体_GB2312" w:cs="楷体_GB2312"/>
          <w:b/>
          <w:bCs/>
          <w:sz w:val="32"/>
          <w:szCs w:val="32"/>
          <w:lang w:val="zh-CN" w:eastAsia="zh-CN"/>
        </w:rPr>
        <w:t>（一）机构组成</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汶川县人民代表大会常务委员会办公室下属二级预算单位2个，其中行政单位1个，其他事业单位1个。主要包括：汶川县人大常委会办公室（本级）、汶川县人大信息和网络中心。</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b/>
          <w:bCs/>
          <w:sz w:val="32"/>
          <w:szCs w:val="32"/>
          <w:lang w:val="zh-CN" w:eastAsia="zh-CN"/>
        </w:rPr>
      </w:pPr>
      <w:r>
        <w:rPr>
          <w:rFonts w:ascii="楷体_GB2312" w:eastAsia="楷体_GB2312" w:cs="楷体_GB2312"/>
          <w:b/>
          <w:bCs/>
          <w:sz w:val="32"/>
          <w:szCs w:val="32"/>
          <w:lang w:val="zh-CN" w:eastAsia="zh-CN"/>
        </w:rPr>
        <w:t>（</w:t>
      </w:r>
      <w:r>
        <w:rPr>
          <w:rFonts w:ascii="楷体_GB2312" w:eastAsia="楷体_GB2312" w:cs="楷体_GB2312"/>
          <w:b/>
          <w:bCs/>
          <w:sz w:val="32"/>
          <w:szCs w:val="32"/>
          <w:lang w:val="en-US" w:eastAsia="zh-CN"/>
        </w:rPr>
        <w:t>二</w:t>
      </w:r>
      <w:r>
        <w:rPr>
          <w:rFonts w:ascii="楷体_GB2312" w:eastAsia="楷体_GB2312" w:cs="楷体_GB2312"/>
          <w:b/>
          <w:bCs/>
          <w:sz w:val="32"/>
          <w:szCs w:val="32"/>
          <w:lang w:val="zh-CN" w:eastAsia="zh-CN"/>
        </w:rPr>
        <w:t>）机构职能</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b/>
          <w:bCs/>
          <w:sz w:val="32"/>
          <w:szCs w:val="32"/>
          <w:lang w:val="zh-CN" w:eastAsia="zh-CN"/>
          <w:highlight w:val="auto"/>
        </w:rPr>
      </w:pPr>
      <w:r>
        <w:rPr>
          <w:rFonts w:ascii="仿宋_GB2312" w:eastAsia="仿宋_GB2312" w:cs="仿宋_GB2312"/>
          <w:b/>
          <w:bCs/>
          <w:sz w:val="32"/>
          <w:szCs w:val="32"/>
          <w:lang w:val="zh-CN" w:eastAsia="zh-CN"/>
          <w:highlight w:val="auto"/>
        </w:rPr>
        <w:t>1.县人大常委会办公室主要职责：</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（1）承担县人民代表大会会议、常委会会议、主任会议以及其他会议的筹备会务和会议决定事项的督办工作；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（2）起草有关通知、会议纪要、总结、计划、决议、决定和报告等文件，编写《公报》《工作通报》、人大大事记，搞好人大的宣传工作；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（3）搞好协调工作，上情下报，上情下达；</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（4）负责文书档案、工资福利、机关财务、机关人事管理、财产管理、小车管理和保卫工作；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（5）搞好机关精神文明建设工作；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（6）承担有关接待工作；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（7）办理常委会主任会议和领导交办的其他工作。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b/>
          <w:bCs/>
          <w:sz w:val="32"/>
          <w:szCs w:val="32"/>
          <w:lang w:val="en-US" w:eastAsia="zh-CN"/>
          <w:highlight w:val="auto"/>
        </w:rPr>
        <w:t>2</w:t>
      </w:r>
      <w:r>
        <w:rPr>
          <w:rFonts w:ascii="仿宋_GB2312" w:eastAsia="仿宋_GB2312" w:cs="仿宋_GB2312"/>
          <w:b/>
          <w:bCs/>
          <w:sz w:val="32"/>
          <w:szCs w:val="32"/>
          <w:lang w:val="zh-CN" w:eastAsia="zh-CN"/>
          <w:highlight w:val="auto"/>
        </w:rPr>
        <w:t>.县人大法制监察司法和民族宗教</w:t>
      </w:r>
      <w:r>
        <w:rPr>
          <w:rFonts w:ascii="仿宋_GB2312" w:eastAsia="仿宋_GB2312" w:cs="仿宋_GB2312"/>
          <w:b/>
          <w:bCs/>
          <w:sz w:val="32"/>
          <w:szCs w:val="32"/>
          <w:lang w:val="zh-CN" w:eastAsia="zh-CN"/>
          <w:highlight w:val="auto"/>
        </w:rPr>
        <w:t>事务</w:t>
      </w:r>
      <w:r>
        <w:rPr>
          <w:rFonts w:ascii="仿宋_GB2312" w:eastAsia="仿宋_GB2312" w:cs="仿宋_GB2312"/>
          <w:b/>
          <w:bCs/>
          <w:sz w:val="32"/>
          <w:szCs w:val="32"/>
          <w:lang w:val="zh-CN" w:eastAsia="zh-CN"/>
          <w:highlight w:val="auto"/>
        </w:rPr>
        <w:t>委员会主要职责：</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（1）为常委会行使职权和主任会议决定问题提供服务，为常委会加强对县人民政府及有关部门和“两院”的法律监督提供服务；</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2）加强同县人民政府及其有关部门和“两院”的联系，对口参加县人民政府及其有关部门和“两院”的有关重要工作会议，及时掌握对口单位的工作动态，搞好常委会相关议题的调查研究，向常委会提供高质量的调查报告，加强对相关法律法规的执法检查；</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（3）负责组织和拟定常委会有关法制工作方面的议题、审议意见、计划、汇报、报告、简报和经验材料；</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（4）承担协助上级人大立法以及</w:t>
      </w:r>
      <w:r>
        <w:rPr>
          <w:rFonts w:ascii="仿宋_GB2312" w:eastAsia="仿宋_GB2312" w:cs="仿宋_GB2312"/>
          <w:sz w:val="32"/>
          <w:szCs w:val="32"/>
          <w:lang w:val="zh-CN" w:eastAsia="zh-CN"/>
        </w:rPr>
        <w:t>修改法律</w:t>
      </w:r>
      <w:r>
        <w:rPr>
          <w:rFonts w:ascii="仿宋_GB2312" w:eastAsia="仿宋_GB2312" w:cs="仿宋_GB2312"/>
          <w:sz w:val="32"/>
          <w:szCs w:val="32"/>
          <w:lang w:val="zh-CN" w:eastAsia="zh-CN"/>
          <w:highlight w:val="auto"/>
        </w:rPr>
        <w:t>工作方面有关法律法规的征求意见工作；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（5）负责处理人大代表和人民群众有关法制方面的来信来访，加强同对口单位人大代表的联系，做好本工作委员会的文书档案和内部管理工作；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（6）完成常委会主任会议和领导交办的其他工作。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b/>
          <w:bCs/>
          <w:sz w:val="32"/>
          <w:szCs w:val="32"/>
          <w:lang w:val="zh-CN" w:eastAsia="zh-CN"/>
          <w:highlight w:val="auto"/>
        </w:rPr>
      </w:pPr>
      <w:r>
        <w:rPr>
          <w:rFonts w:ascii="仿宋_GB2312" w:eastAsia="仿宋_GB2312" w:cs="仿宋_GB2312"/>
          <w:b/>
          <w:bCs/>
          <w:sz w:val="32"/>
          <w:szCs w:val="32"/>
          <w:lang w:val="en-US" w:eastAsia="zh-CN"/>
          <w:highlight w:val="auto"/>
        </w:rPr>
        <w:t>3</w:t>
      </w:r>
      <w:r>
        <w:rPr>
          <w:rFonts w:ascii="仿宋_GB2312" w:eastAsia="仿宋_GB2312" w:cs="仿宋_GB2312"/>
          <w:b/>
          <w:bCs/>
          <w:sz w:val="32"/>
          <w:szCs w:val="32"/>
          <w:lang w:val="zh-CN" w:eastAsia="zh-CN"/>
          <w:highlight w:val="auto"/>
        </w:rPr>
        <w:t>.县人大财政经济预算和农业农村城乡环境保护委员会主要职责：</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（1）为常委会行使职权和主任会议决定问题提供服务，为常委会加强对县人民政府的法律监督提供服务；</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（2）调查了解财政经济工作方面的法律法规在本行政区域内的遵守和执行情况，加强对相关法律法规的执法检查；</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（3）负责组织和拟定常委会关于财政经济方面的议题、审议意见、计划、汇报、报告、简报和经验材料；</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（4）承担协助上级人大对有关财政经济方面的立法以及修改财经工作方面的法律法规的征求意见工作；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（5）加强同政府财政经济部门的联系，参加政府以及财政经济部门贯彻执行国家相关法律法规和常委会决议、决定、审议意见的情况和信息；</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（6）密切同县、乡（镇）财经工作战线人大代表的联系，认真做好本工作委员会的文书档案和内部管理工作，认真办理人大代表和人民群众来信来访工作；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（7）完成常委会主任会议和领导交办的其他各项工作。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b/>
          <w:bCs/>
          <w:sz w:val="32"/>
          <w:szCs w:val="32"/>
          <w:lang w:val="zh-CN" w:eastAsia="zh-CN"/>
          <w:highlight w:val="auto"/>
        </w:rPr>
      </w:pPr>
      <w:r>
        <w:rPr>
          <w:rFonts w:ascii="仿宋_GB2312" w:eastAsia="仿宋_GB2312" w:cs="仿宋_GB2312"/>
          <w:b/>
          <w:bCs/>
          <w:sz w:val="32"/>
          <w:szCs w:val="32"/>
          <w:lang w:val="en-US" w:eastAsia="zh-CN"/>
          <w:highlight w:val="auto"/>
        </w:rPr>
        <w:t>4</w:t>
      </w:r>
      <w:r>
        <w:rPr>
          <w:rFonts w:ascii="仿宋_GB2312" w:eastAsia="仿宋_GB2312" w:cs="仿宋_GB2312"/>
          <w:b/>
          <w:bCs/>
          <w:sz w:val="32"/>
          <w:szCs w:val="32"/>
          <w:lang w:val="zh-CN" w:eastAsia="zh-CN"/>
          <w:highlight w:val="auto"/>
        </w:rPr>
        <w:t>.县人大教育科学文化卫生和社会建设委员会主要职责：</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（1）为常委会行使职权和主任会议决定问题提供服务，为常委会加强对县人民政府的法律监督和工作监督提供服务；</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（2）调查了解教科文卫工作方面的法律法规在本行政区域内的遵守和执行情况，加强对相关法律法规的执法检查；</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（3）负责组织和拟定常委会关于教科文卫工作方面的议题、审议意见、计划、汇报、报告、简报和经验材料；</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（4）承担协助上级人大对有关教育、科学、文化、卫生、计划生育、广播电视等方面的立法以及相关法律法规的征求意见工作；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（5）加强同县人民政府教科文卫工作部门的联系，参加政府以及教科文卫工作部门的有关重要会议，及时掌握和反馈政府及其教科文卫工作部门贯彻执行国家相关法律法规和常委会决议、决定的情况和信息；</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（6）密切同县、乡教科文卫战线人大代表的联系，认真做好本工作委员会的文书档案和内部管理工作；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（7）完成常委会主任会议和领导交办的其他工作。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b/>
          <w:bCs/>
          <w:sz w:val="32"/>
          <w:szCs w:val="32"/>
          <w:lang w:val="en-US" w:eastAsia="zh-CN"/>
          <w:highlight w:val="auto"/>
        </w:rPr>
        <w:t>5</w:t>
      </w:r>
      <w:r>
        <w:rPr>
          <w:rFonts w:ascii="仿宋_GB2312" w:eastAsia="仿宋_GB2312" w:cs="仿宋_GB2312"/>
          <w:b/>
          <w:bCs/>
          <w:sz w:val="32"/>
          <w:szCs w:val="32"/>
          <w:lang w:val="zh-CN" w:eastAsia="zh-CN"/>
          <w:highlight w:val="auto"/>
        </w:rPr>
        <w:t>.县人大常委会人事代表工作委员会主要职责：</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（1）办理县人民代表大会及其常委会人事任免的具体工作，负责县人大常委会人事任免办法的修改、完善工作；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（2）加强与</w:t>
      </w:r>
      <w:r>
        <w:rPr>
          <w:rFonts w:ascii="仿宋_GB2312" w:eastAsia="仿宋_GB2312" w:cs="仿宋_GB2312"/>
          <w:sz w:val="32"/>
          <w:szCs w:val="32"/>
          <w:lang w:val="zh-CN" w:eastAsia="zh-CN"/>
          <w:highlight w:val="auto"/>
        </w:rPr>
        <w:t>县委</w:t>
      </w:r>
      <w:r>
        <w:rPr>
          <w:rFonts w:ascii="仿宋_GB2312" w:eastAsia="仿宋_GB2312" w:cs="仿宋_GB2312"/>
          <w:sz w:val="32"/>
          <w:szCs w:val="32"/>
          <w:lang w:val="zh-CN" w:eastAsia="zh-CN"/>
          <w:highlight w:val="auto"/>
        </w:rPr>
        <w:t>组织部、上级人大常委会对口部门、村级“一府两院”人事部门和信访部门、各乡镇人大主席团的联系；</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（3）指导乡镇人大主席团开展工作；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（4）搞好对县人大常委会任命的国家机关工作人员的述职评议工作；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（5）承办县、乡人大换届选举工作；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（6）搞好代表联络、方案办理、信访工作；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（7）承担协助上级人大立法以及修改有关法律法规的征求意见工作，做好本工作委员会的文书档案和内部管理工作；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（8）完成常委会主任会议和领导交办的其他工作。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b/>
          <w:bCs/>
          <w:sz w:val="32"/>
          <w:szCs w:val="32"/>
          <w:lang w:val="zh-CN" w:eastAsia="zh-CN"/>
          <w:highlight w:val="auto"/>
        </w:rPr>
      </w:pPr>
      <w:r>
        <w:rPr>
          <w:rFonts w:ascii="仿宋_GB2312" w:eastAsia="仿宋_GB2312" w:cs="仿宋_GB2312"/>
          <w:b/>
          <w:bCs/>
          <w:sz w:val="32"/>
          <w:szCs w:val="32"/>
          <w:lang w:val="en-US" w:eastAsia="zh-CN"/>
          <w:highlight w:val="auto"/>
        </w:rPr>
        <w:t>6</w:t>
      </w:r>
      <w:r>
        <w:rPr>
          <w:rFonts w:ascii="仿宋_GB2312" w:eastAsia="仿宋_GB2312" w:cs="仿宋_GB2312"/>
          <w:b/>
          <w:bCs/>
          <w:sz w:val="32"/>
          <w:szCs w:val="32"/>
          <w:lang w:val="zh-CN" w:eastAsia="zh-CN"/>
          <w:highlight w:val="auto"/>
        </w:rPr>
        <w:t>.县人大信息和网络中心主要职责：</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zh-CN" w:eastAsia="zh-CN"/>
          <w:highlight w:val="auto"/>
        </w:rPr>
        <w:t>负责县人大常委会机关信息化建设与信息技术等服务保障工作。</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b/>
          <w:bCs/>
          <w:sz w:val="32"/>
          <w:szCs w:val="32"/>
          <w:lang w:val="en-US" w:eastAsia="zh-CN"/>
        </w:rPr>
      </w:pPr>
      <w:r>
        <w:rPr>
          <w:rFonts w:ascii="楷体_GB2312" w:eastAsia="楷体_GB2312" w:cs="楷体_GB2312"/>
          <w:b/>
          <w:bCs/>
          <w:sz w:val="32"/>
          <w:szCs w:val="32"/>
          <w:lang w:val="zh-CN" w:eastAsia="zh-CN"/>
        </w:rPr>
        <w:t>（</w:t>
      </w:r>
      <w:r>
        <w:rPr>
          <w:rFonts w:ascii="楷体_GB2312" w:eastAsia="楷体_GB2312" w:cs="楷体_GB2312"/>
          <w:b/>
          <w:bCs/>
          <w:sz w:val="32"/>
          <w:szCs w:val="32"/>
          <w:lang w:val="en-US" w:eastAsia="zh-CN"/>
        </w:rPr>
        <w:t>三</w:t>
      </w:r>
      <w:r>
        <w:rPr>
          <w:rFonts w:ascii="楷体_GB2312" w:eastAsia="楷体_GB2312" w:cs="楷体_GB2312"/>
          <w:b/>
          <w:bCs/>
          <w:sz w:val="32"/>
          <w:szCs w:val="32"/>
          <w:lang w:val="zh-CN" w:eastAsia="zh-CN"/>
        </w:rPr>
        <w:t>）人员概况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1.年末部门实有在职人数为27人，其中：公务员20人，工勤人员3人，事业人员4人；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2.年末离退休人员情况：机关共有离休人员1人，退休人员46人；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lang w:eastAsia="zh-CN"/>
          <w:highlight w:val="auto"/>
        </w:rPr>
      </w:pPr>
      <w:r>
        <w:rPr>
          <w:rFonts w:ascii="黑体" w:eastAsia="黑体" w:cs="黑体" w:hint="eastAsia"/>
          <w:sz w:val="32"/>
          <w:szCs w:val="32"/>
          <w:lang w:eastAsia="zh-CN"/>
          <w:highlight w:val="auto"/>
        </w:rPr>
        <w:t>二、部门资金收支情况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sz w:val="32"/>
          <w:szCs w:val="32"/>
          <w:lang w:val="zh-CN" w:eastAsia="zh-CN"/>
          <w:highlight w:val="auto"/>
        </w:rPr>
      </w:pPr>
      <w:r>
        <w:rPr>
          <w:rFonts w:ascii="楷体_GB2312" w:eastAsia="楷体_GB2312" w:cs="楷体_GB2312" w:hint="eastAsia"/>
          <w:b/>
          <w:bCs/>
          <w:sz w:val="32"/>
          <w:szCs w:val="32"/>
          <w:lang w:val="zh-CN" w:eastAsia="zh-CN"/>
          <w:highlight w:val="auto"/>
        </w:rPr>
        <w:t>（一）收入情况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1.本部门</w:t>
      </w:r>
      <w:r>
        <w:rPr>
          <w:rFonts w:ascii="仿宋_GB2312" w:eastAsia="仿宋_GB2312" w:cs="仿宋_GB2312" w:hint="eastAsia"/>
          <w:sz w:val="32"/>
          <w:szCs w:val="32"/>
          <w:lang w:val="en-US" w:eastAsia="zh-CN"/>
          <w:highlight w:val="auto"/>
        </w:rPr>
        <w:t>2025</w:t>
      </w:r>
      <w:r>
        <w:rPr>
          <w:rFonts w:ascii="仿宋_GB2312" w:eastAsia="仿宋_GB2312" w:cs="仿宋_GB2312"/>
          <w:sz w:val="32"/>
          <w:szCs w:val="32"/>
          <w:lang w:val="en-US" w:eastAsia="zh-CN"/>
          <w:highlight w:val="auto"/>
        </w:rPr>
        <w:t>年年初预算收入合计</w:t>
      </w:r>
      <w:r>
        <w:rPr>
          <w:rFonts w:ascii="仿宋_GB2312" w:eastAsia="仿宋_GB2312" w:cs="仿宋_GB2312" w:hint="eastAsia"/>
          <w:sz w:val="32"/>
          <w:szCs w:val="32"/>
          <w:lang w:val="en-US" w:eastAsia="zh-CN"/>
          <w:highlight w:val="auto"/>
        </w:rPr>
        <w:t>943.24</w:t>
      </w:r>
      <w:r>
        <w:rPr>
          <w:rFonts w:ascii="仿宋_GB2312" w:eastAsia="仿宋_GB2312" w:cs="仿宋_GB2312"/>
          <w:sz w:val="32"/>
          <w:szCs w:val="32"/>
          <w:lang w:val="en-US" w:eastAsia="zh-CN"/>
          <w:highlight w:val="auto"/>
        </w:rPr>
        <w:t>万元，其中：一般公共预算财政拨款收入</w:t>
      </w:r>
      <w:r>
        <w:rPr>
          <w:rFonts w:ascii="仿宋_GB2312" w:eastAsia="仿宋_GB2312" w:cs="仿宋_GB2312" w:hint="eastAsia"/>
          <w:sz w:val="32"/>
          <w:szCs w:val="32"/>
          <w:lang w:val="en-US" w:eastAsia="zh-CN"/>
          <w:highlight w:val="auto"/>
        </w:rPr>
        <w:t>943.24</w:t>
      </w:r>
      <w:r>
        <w:rPr>
          <w:rFonts w:ascii="仿宋_GB2312" w:eastAsia="仿宋_GB2312" w:cs="仿宋_GB2312"/>
          <w:sz w:val="32"/>
          <w:szCs w:val="32"/>
          <w:lang w:val="en-US" w:eastAsia="zh-CN"/>
          <w:highlight w:val="auto"/>
        </w:rPr>
        <w:t>万元，占100%；</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2.根据部门决算报表，2025年部门决算收入合计</w:t>
      </w:r>
      <w:r>
        <w:rPr>
          <w:rFonts w:ascii="仿宋_GB2312" w:eastAsia="仿宋_GB2312" w:cs="仿宋_GB2312" w:hint="eastAsia"/>
          <w:sz w:val="32"/>
          <w:szCs w:val="32"/>
          <w:lang w:val="en-US" w:eastAsia="zh-CN"/>
          <w:highlight w:val="auto"/>
        </w:rPr>
        <w:t>1048.04</w:t>
      </w:r>
      <w:r>
        <w:rPr>
          <w:rFonts w:ascii="仿宋_GB2312" w:eastAsia="仿宋_GB2312" w:cs="仿宋_GB2312"/>
          <w:sz w:val="32"/>
          <w:szCs w:val="32"/>
          <w:lang w:val="en-US" w:eastAsia="zh-CN"/>
          <w:highlight w:val="auto"/>
        </w:rPr>
        <w:t>万元，其中：一般公共预算财政拨款收入</w:t>
      </w:r>
      <w:r>
        <w:rPr>
          <w:rFonts w:ascii="仿宋_GB2312" w:eastAsia="仿宋_GB2312" w:cs="仿宋_GB2312" w:hint="eastAsia"/>
          <w:sz w:val="32"/>
          <w:szCs w:val="32"/>
          <w:lang w:val="en-US" w:eastAsia="zh-CN"/>
          <w:highlight w:val="auto"/>
        </w:rPr>
        <w:t>1017.47</w:t>
      </w:r>
      <w:r>
        <w:rPr>
          <w:rFonts w:ascii="仿宋_GB2312" w:eastAsia="仿宋_GB2312" w:cs="仿宋_GB2312"/>
          <w:sz w:val="32"/>
          <w:szCs w:val="32"/>
          <w:lang w:val="en-US" w:eastAsia="zh-CN"/>
          <w:highlight w:val="auto"/>
        </w:rPr>
        <w:t>万元，占</w:t>
      </w:r>
      <w:r>
        <w:rPr>
          <w:rFonts w:ascii="仿宋_GB2312" w:eastAsia="仿宋_GB2312" w:cs="仿宋_GB2312" w:hint="eastAsia"/>
          <w:sz w:val="32"/>
          <w:szCs w:val="32"/>
          <w:lang w:val="en-US" w:eastAsia="zh-CN"/>
          <w:highlight w:val="auto"/>
        </w:rPr>
        <w:t>97.1</w:t>
      </w:r>
      <w:r>
        <w:rPr>
          <w:rFonts w:ascii="仿宋_GB2312" w:eastAsia="仿宋_GB2312" w:cs="仿宋_GB2312"/>
          <w:sz w:val="32"/>
          <w:szCs w:val="32"/>
          <w:lang w:val="en-US" w:eastAsia="zh-CN"/>
          <w:highlight w:val="auto"/>
        </w:rPr>
        <w:t>%；其他收入8.56万元，占</w:t>
      </w:r>
      <w:r>
        <w:rPr>
          <w:rFonts w:ascii="仿宋_GB2312" w:eastAsia="仿宋_GB2312" w:cs="仿宋_GB2312" w:hint="eastAsia"/>
          <w:sz w:val="32"/>
          <w:szCs w:val="32"/>
          <w:lang w:val="en-US" w:eastAsia="zh-CN"/>
          <w:highlight w:val="auto"/>
        </w:rPr>
        <w:t>0.8</w:t>
      </w:r>
      <w:r>
        <w:rPr>
          <w:rFonts w:ascii="仿宋_GB2312" w:eastAsia="仿宋_GB2312" w:cs="仿宋_GB2312"/>
          <w:sz w:val="32"/>
          <w:szCs w:val="32"/>
          <w:lang w:val="en-US" w:eastAsia="zh-CN"/>
          <w:highlight w:val="auto"/>
        </w:rPr>
        <w:t>%</w:t>
      </w:r>
      <w:r>
        <w:rPr>
          <w:rFonts w:ascii="仿宋_GB2312" w:eastAsia="仿宋_GB2312" w:cs="仿宋_GB2312" w:hint="eastAsia"/>
          <w:sz w:val="32"/>
          <w:szCs w:val="32"/>
          <w:lang w:val="en-US" w:eastAsia="zh-CN"/>
          <w:highlight w:val="auto"/>
        </w:rPr>
        <w:t>；年初结转和结余22.01万元，</w:t>
      </w:r>
      <w:r>
        <w:rPr>
          <w:rFonts w:ascii="仿宋_GB2312" w:eastAsia="仿宋_GB2312" w:cs="仿宋_GB2312"/>
          <w:sz w:val="32"/>
          <w:szCs w:val="32"/>
          <w:lang w:val="en-US" w:eastAsia="zh-CN"/>
          <w:highlight w:val="auto"/>
        </w:rPr>
        <w:t>占</w:t>
      </w:r>
      <w:r>
        <w:rPr>
          <w:rFonts w:ascii="仿宋_GB2312" w:eastAsia="仿宋_GB2312" w:cs="仿宋_GB2312" w:hint="eastAsia"/>
          <w:sz w:val="32"/>
          <w:szCs w:val="32"/>
          <w:lang w:val="en-US" w:eastAsia="zh-CN"/>
          <w:highlight w:val="auto"/>
        </w:rPr>
        <w:t>2.1</w:t>
      </w:r>
      <w:r>
        <w:rPr>
          <w:rFonts w:ascii="仿宋_GB2312" w:eastAsia="仿宋_GB2312" w:cs="仿宋_GB2312"/>
          <w:sz w:val="32"/>
          <w:szCs w:val="32"/>
          <w:lang w:val="en-US" w:eastAsia="zh-CN"/>
          <w:highlight w:val="auto"/>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b/>
          <w:bCs/>
          <w:sz w:val="32"/>
          <w:szCs w:val="32"/>
          <w:lang w:val="zh-CN" w:eastAsia="zh-CN"/>
          <w:highlight w:val="auto"/>
        </w:rPr>
      </w:pPr>
      <w:r>
        <w:rPr>
          <w:rFonts w:ascii="楷体_GB2312" w:eastAsia="楷体_GB2312" w:cs="楷体_GB2312"/>
          <w:b/>
          <w:bCs/>
          <w:sz w:val="32"/>
          <w:szCs w:val="32"/>
          <w:lang w:val="zh-CN" w:eastAsia="zh-CN"/>
          <w:highlight w:val="auto"/>
        </w:rPr>
        <w:t>（二）支出情况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1.本部门2025年年初预算支出合计</w:t>
      </w:r>
      <w:r>
        <w:rPr>
          <w:rFonts w:ascii="仿宋_GB2312" w:eastAsia="仿宋_GB2312" w:cs="仿宋_GB2312" w:hint="eastAsia"/>
          <w:sz w:val="32"/>
          <w:szCs w:val="32"/>
          <w:lang w:val="en-US" w:eastAsia="zh-CN"/>
          <w:highlight w:val="auto"/>
        </w:rPr>
        <w:t>943.24</w:t>
      </w:r>
      <w:r>
        <w:rPr>
          <w:rFonts w:ascii="仿宋_GB2312" w:eastAsia="仿宋_GB2312" w:cs="仿宋_GB2312"/>
          <w:sz w:val="32"/>
          <w:szCs w:val="32"/>
          <w:lang w:val="en-US" w:eastAsia="zh-CN"/>
          <w:highlight w:val="auto"/>
        </w:rPr>
        <w:t>万元，其中：基本支出</w:t>
      </w:r>
      <w:r>
        <w:rPr>
          <w:rFonts w:ascii="仿宋_GB2312" w:eastAsia="仿宋_GB2312" w:cs="仿宋_GB2312" w:hint="eastAsia"/>
          <w:sz w:val="32"/>
          <w:szCs w:val="32"/>
          <w:lang w:val="en-US" w:eastAsia="zh-CN"/>
          <w:highlight w:val="auto"/>
        </w:rPr>
        <w:t>637.3</w:t>
      </w:r>
      <w:r>
        <w:rPr>
          <w:rFonts w:ascii="仿宋_GB2312" w:eastAsia="仿宋_GB2312" w:cs="仿宋_GB2312"/>
          <w:sz w:val="32"/>
          <w:szCs w:val="32"/>
          <w:lang w:val="en-US" w:eastAsia="zh-CN"/>
          <w:highlight w:val="auto"/>
        </w:rPr>
        <w:t>万元，占</w:t>
      </w:r>
      <w:r>
        <w:rPr>
          <w:rFonts w:ascii="仿宋_GB2312" w:eastAsia="仿宋_GB2312" w:cs="仿宋_GB2312" w:hint="eastAsia"/>
          <w:sz w:val="32"/>
          <w:szCs w:val="32"/>
          <w:lang w:val="en-US" w:eastAsia="zh-CN"/>
          <w:highlight w:val="auto"/>
        </w:rPr>
        <w:t>67.56</w:t>
      </w:r>
      <w:r>
        <w:rPr>
          <w:rFonts w:ascii="仿宋_GB2312" w:eastAsia="仿宋_GB2312" w:cs="仿宋_GB2312"/>
          <w:sz w:val="32"/>
          <w:szCs w:val="32"/>
          <w:lang w:val="en-US" w:eastAsia="zh-CN"/>
          <w:highlight w:val="auto"/>
        </w:rPr>
        <w:t>%；项目支出305.94万元，占</w:t>
      </w:r>
      <w:r>
        <w:rPr>
          <w:rFonts w:ascii="仿宋_GB2312" w:eastAsia="仿宋_GB2312" w:cs="仿宋_GB2312" w:hint="eastAsia"/>
          <w:sz w:val="32"/>
          <w:szCs w:val="32"/>
          <w:lang w:val="en-US" w:eastAsia="zh-CN"/>
          <w:highlight w:val="auto"/>
        </w:rPr>
        <w:t>32.44</w:t>
      </w:r>
      <w:r>
        <w:rPr>
          <w:rFonts w:ascii="仿宋_GB2312" w:eastAsia="仿宋_GB2312" w:cs="仿宋_GB2312"/>
          <w:sz w:val="32"/>
          <w:szCs w:val="32"/>
          <w:lang w:val="en-US" w:eastAsia="zh-CN"/>
          <w:highlight w:val="auto"/>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2.根据部门决算报表，2025年部门决算支出合计</w:t>
      </w:r>
      <w:r>
        <w:rPr>
          <w:rFonts w:ascii="仿宋_GB2312" w:eastAsia="仿宋_GB2312" w:cs="仿宋_GB2312" w:hint="eastAsia"/>
          <w:sz w:val="32"/>
          <w:szCs w:val="32"/>
          <w:lang w:val="en-US" w:eastAsia="zh-CN"/>
          <w:highlight w:val="auto"/>
        </w:rPr>
        <w:t>1021.03</w:t>
      </w:r>
      <w:r>
        <w:rPr>
          <w:rFonts w:ascii="仿宋_GB2312" w:eastAsia="仿宋_GB2312" w:cs="仿宋_GB2312"/>
          <w:sz w:val="32"/>
          <w:szCs w:val="32"/>
          <w:lang w:val="en-US" w:eastAsia="zh-CN"/>
          <w:highlight w:val="auto"/>
        </w:rPr>
        <w:t>万元，其中：基本支出</w:t>
      </w:r>
      <w:r>
        <w:rPr>
          <w:rFonts w:ascii="仿宋_GB2312" w:eastAsia="仿宋_GB2312" w:cs="仿宋_GB2312" w:hint="eastAsia"/>
          <w:sz w:val="32"/>
          <w:szCs w:val="32"/>
          <w:lang w:val="en-US" w:eastAsia="zh-CN"/>
          <w:highlight w:val="auto"/>
        </w:rPr>
        <w:t>864.41</w:t>
      </w:r>
      <w:r>
        <w:rPr>
          <w:rFonts w:ascii="仿宋_GB2312" w:eastAsia="仿宋_GB2312" w:cs="仿宋_GB2312"/>
          <w:sz w:val="32"/>
          <w:szCs w:val="32"/>
          <w:lang w:val="en-US" w:eastAsia="zh-CN"/>
          <w:highlight w:val="auto"/>
        </w:rPr>
        <w:t>万元，占</w:t>
      </w:r>
      <w:r>
        <w:rPr>
          <w:rFonts w:ascii="仿宋_GB2312" w:eastAsia="仿宋_GB2312" w:cs="仿宋_GB2312" w:hint="eastAsia"/>
          <w:sz w:val="32"/>
          <w:szCs w:val="32"/>
          <w:lang w:val="en-US" w:eastAsia="zh-CN"/>
          <w:highlight w:val="auto"/>
        </w:rPr>
        <w:t>84.7</w:t>
      </w:r>
      <w:r>
        <w:rPr>
          <w:rFonts w:ascii="仿宋_GB2312" w:eastAsia="仿宋_GB2312" w:cs="仿宋_GB2312"/>
          <w:sz w:val="32"/>
          <w:szCs w:val="32"/>
          <w:lang w:val="en-US" w:eastAsia="zh-CN"/>
          <w:highlight w:val="auto"/>
        </w:rPr>
        <w:t>%；项目支出156.6</w:t>
      </w:r>
      <w:r>
        <w:rPr>
          <w:rFonts w:ascii="仿宋_GB2312" w:eastAsia="仿宋_GB2312" w:cs="仿宋_GB2312" w:hint="eastAsia"/>
          <w:sz w:val="32"/>
          <w:szCs w:val="32"/>
          <w:lang w:val="en-US" w:eastAsia="zh-CN"/>
          <w:highlight w:val="auto"/>
        </w:rPr>
        <w:t>2</w:t>
      </w:r>
      <w:r>
        <w:rPr>
          <w:rFonts w:ascii="仿宋_GB2312" w:eastAsia="仿宋_GB2312" w:cs="仿宋_GB2312"/>
          <w:sz w:val="32"/>
          <w:szCs w:val="32"/>
          <w:lang w:val="en-US" w:eastAsia="zh-CN"/>
          <w:highlight w:val="auto"/>
        </w:rPr>
        <w:t>万元，占</w:t>
      </w:r>
      <w:r>
        <w:rPr>
          <w:rFonts w:ascii="仿宋_GB2312" w:eastAsia="仿宋_GB2312" w:cs="仿宋_GB2312" w:hint="eastAsia"/>
          <w:sz w:val="32"/>
          <w:szCs w:val="32"/>
          <w:lang w:val="en-US" w:eastAsia="zh-CN"/>
          <w:highlight w:val="auto"/>
        </w:rPr>
        <w:t>15.3</w:t>
      </w:r>
      <w:r>
        <w:rPr>
          <w:rFonts w:ascii="仿宋_GB2312" w:eastAsia="仿宋_GB2312" w:cs="仿宋_GB2312"/>
          <w:sz w:val="32"/>
          <w:szCs w:val="32"/>
          <w:lang w:val="en-US" w:eastAsia="zh-CN"/>
          <w:highlight w:val="auto"/>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b/>
          <w:bCs/>
          <w:sz w:val="32"/>
          <w:szCs w:val="32"/>
          <w:lang w:val="zh-CN" w:eastAsia="zh-CN"/>
          <w:highlight w:val="auto"/>
        </w:rPr>
      </w:pPr>
      <w:r>
        <w:rPr>
          <w:rFonts w:ascii="楷体_GB2312" w:eastAsia="楷体_GB2312" w:cs="楷体_GB2312"/>
          <w:b/>
          <w:bCs/>
          <w:sz w:val="32"/>
          <w:szCs w:val="32"/>
          <w:lang w:val="zh-CN" w:eastAsia="zh-CN"/>
          <w:highlight w:val="auto"/>
        </w:rPr>
        <w:t>（三）结余分配和结转结余情况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根据部门决算报表，2025年部门</w:t>
      </w:r>
      <w:r>
        <w:rPr>
          <w:rFonts w:ascii="仿宋_GB2312" w:eastAsia="仿宋_GB2312" w:cs="仿宋_GB2312" w:hint="eastAsia"/>
          <w:sz w:val="32"/>
          <w:szCs w:val="32"/>
          <w:lang w:val="en-US" w:eastAsia="zh-CN"/>
          <w:highlight w:val="auto"/>
        </w:rPr>
        <w:t>调整后</w:t>
      </w:r>
      <w:r>
        <w:rPr>
          <w:rFonts w:ascii="仿宋_GB2312" w:eastAsia="仿宋_GB2312" w:cs="仿宋_GB2312"/>
          <w:sz w:val="32"/>
          <w:szCs w:val="32"/>
          <w:lang w:val="en-US" w:eastAsia="zh-CN"/>
          <w:highlight w:val="auto"/>
        </w:rPr>
        <w:t>年初结转和结余22.01万元，年末结转和结余27.02万元，均为非本级财政拨款收支结转和结余。</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lang w:eastAsia="zh-CN"/>
          <w:highlight w:val="auto"/>
        </w:rPr>
      </w:pPr>
      <w:r>
        <w:rPr>
          <w:rFonts w:ascii="黑体" w:eastAsia="黑体" w:cs="黑体" w:hint="eastAsia"/>
          <w:sz w:val="32"/>
          <w:szCs w:val="32"/>
          <w:lang w:eastAsia="zh-CN"/>
          <w:highlight w:val="auto"/>
        </w:rPr>
        <w:t>三、部门预算绩效分析</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楷体_GB2312" w:eastAsia="楷体_GB2312" w:cs="楷体_GB2312" w:hint="eastAsia"/>
          <w:b/>
          <w:bCs/>
          <w:sz w:val="32"/>
          <w:szCs w:val="32"/>
          <w:lang w:val="zh-CN" w:eastAsia="zh-CN"/>
          <w:highlight w:val="auto"/>
        </w:rPr>
        <w:t>（一）部门预算总体绩效分析。</w:t>
      </w:r>
      <w:r>
        <w:rPr>
          <w:rFonts w:ascii="仿宋_GB2312" w:eastAsia="仿宋_GB2312" w:cs="仿宋_GB2312"/>
          <w:sz w:val="32"/>
          <w:szCs w:val="32"/>
          <w:lang w:val="zh-CN" w:eastAsia="zh-CN"/>
          <w:highlight w:val="auto"/>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1.</w:t>
      </w:r>
      <w:r>
        <w:rPr>
          <w:rFonts w:ascii="仿宋_GB2312" w:eastAsia="仿宋_GB2312" w:cs="仿宋_GB2312"/>
          <w:sz w:val="32"/>
          <w:szCs w:val="32"/>
          <w:lang w:val="zh-CN" w:eastAsia="zh-CN"/>
          <w:highlight w:val="auto"/>
        </w:rPr>
        <w:t>履职效能（</w:t>
      </w:r>
      <w:r>
        <w:rPr>
          <w:rFonts w:ascii="仿宋_GB2312" w:eastAsia="仿宋_GB2312" w:cs="仿宋_GB2312"/>
          <w:sz w:val="32"/>
          <w:szCs w:val="32"/>
          <w:lang w:val="en-US" w:eastAsia="zh-CN"/>
          <w:highlight w:val="auto"/>
        </w:rPr>
        <w:t>15分）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2025年，县人大常委会积极依法履职，全年组织召开党组会议14次，主任会8次，常委会7次，人代会1次，全县人大监督工作会等重要会议7次，听取和审议“一府一委两院”工作报告19个，作出决议决定30项，县十五届人大四次会议确定的39件代表建议已全部办结，答复率、办结率均达100%，圆满完成了县十五届人大四次会议确定的各项目标任务。充分发挥人大监督职能，紧扣中心大局、紧贴民生福祉，行使正确监督、有效监督、依法监督，依法任免国家机关工作人员49人次。依法完成代表动态调整，接受5名县人大代表辞职，补选9名县人大代表，持续优化代表结构。强化任后履职监督，认真组织开展国家机关工作人员履职评议47人次，提出评议意见68条，同步建立履职动态档案，形成评议结果反馈机制，推动干部队伍能力持续提升。创新“集中培训+专题课堂”双轨赋能模式，举办代表和系统干部培训班2期、“人大代表大课堂”16场，覆盖代表790人次，有效提升履职能力。邀请24名基层代表列席常委会会议，开展直选代表述职月活动62场次，523名县、镇人大代表现场接受选民提问，人大代表主体意识进一步增强。举办代表和系统干部培训班2期、“人大代表大课堂”16场，覆盖代表790人次，有效提升履职能力。邀请24名基层代表列席常委会会议，开展直选代表述职月活动62场次，523名县、镇人大代表现场接受选民提问，人大代表主体意识进一步增强。组织代表参与视察调研、执法检查等活动，开展跨区域联动，拓宽代表视野。推进全过程人民民主基层单元建设，9个“代表之家”、30个“代表联络站”迭代升级，代表进站率100%，开展各类活动241次，参与代表3700余人次。深化代表“双联”制度，固定联系群众459户，开展“我为群众办实事—人大代表在行动”活动，走访接待服务群众7000余人次，协调解决农村安全饮水巩固提升项目、县城市政基础设施建设项目等急难愁盼问题280余件，让人大工作延伸到群众身边。</w:t>
      </w:r>
      <w:r>
        <w:rPr>
          <w:rFonts w:ascii="仿宋_GB2312" w:eastAsia="仿宋_GB2312" w:cs="仿宋_GB2312"/>
          <w:sz w:val="32"/>
          <w:szCs w:val="32"/>
          <w:lang w:val="zh-CN" w:eastAsia="zh-CN"/>
          <w:highlight w:val="auto"/>
        </w:rPr>
        <w:t>综上，根据评分标准，该项指标，得</w:t>
      </w:r>
      <w:r>
        <w:rPr>
          <w:rFonts w:ascii="仿宋_GB2312" w:eastAsia="仿宋_GB2312" w:cs="仿宋_GB2312"/>
          <w:sz w:val="32"/>
          <w:szCs w:val="32"/>
          <w:lang w:val="en-US" w:eastAsia="zh-CN"/>
          <w:highlight w:val="auto"/>
        </w:rPr>
        <w:t>15</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2.</w:t>
      </w:r>
      <w:r>
        <w:rPr>
          <w:rFonts w:ascii="仿宋_GB2312" w:eastAsia="仿宋_GB2312" w:cs="仿宋_GB2312"/>
          <w:sz w:val="32"/>
          <w:szCs w:val="32"/>
          <w:lang w:val="zh-CN" w:eastAsia="zh-CN"/>
          <w:highlight w:val="auto"/>
        </w:rPr>
        <w:t>预算管理（</w:t>
      </w:r>
      <w:r>
        <w:rPr>
          <w:rFonts w:ascii="仿宋_GB2312" w:eastAsia="仿宋_GB2312" w:cs="仿宋_GB2312"/>
          <w:sz w:val="32"/>
          <w:szCs w:val="32"/>
          <w:lang w:val="en-US" w:eastAsia="zh-CN"/>
          <w:highlight w:val="auto"/>
        </w:rPr>
        <w:t>25分）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2025年严格按照要求编制年初部门预算，预算编制质量较高，财政拨款预算偏离度为0.01。基本</w:t>
      </w:r>
      <w:r>
        <w:rPr>
          <w:rFonts w:ascii="仿宋_GB2312" w:eastAsia="仿宋_GB2312" w:cs="仿宋_GB2312"/>
          <w:sz w:val="32"/>
          <w:szCs w:val="32"/>
          <w:lang w:val="zh-CN" w:eastAsia="zh-CN"/>
          <w:highlight w:val="auto"/>
        </w:rPr>
        <w:t>支出</w:t>
      </w:r>
      <w:r>
        <w:rPr>
          <w:rFonts w:ascii="仿宋_GB2312" w:eastAsia="仿宋_GB2312" w:cs="仿宋_GB2312"/>
          <w:sz w:val="32"/>
          <w:szCs w:val="32"/>
          <w:lang w:val="en-US" w:eastAsia="zh-CN"/>
          <w:highlight w:val="auto"/>
        </w:rPr>
        <w:t>全年按照序时</w:t>
      </w:r>
      <w:r>
        <w:rPr>
          <w:rFonts w:ascii="仿宋_GB2312" w:eastAsia="仿宋_GB2312" w:cs="仿宋_GB2312"/>
          <w:sz w:val="32"/>
          <w:szCs w:val="32"/>
          <w:lang w:val="zh-CN" w:eastAsia="zh-CN"/>
          <w:highlight w:val="auto"/>
        </w:rPr>
        <w:t>进度执行，</w:t>
      </w:r>
      <w:r>
        <w:rPr>
          <w:rFonts w:ascii="仿宋_GB2312" w:eastAsia="仿宋_GB2312" w:cs="仿宋_GB2312"/>
          <w:sz w:val="32"/>
          <w:szCs w:val="32"/>
          <w:lang w:val="en-US" w:eastAsia="zh-CN"/>
          <w:highlight w:val="auto"/>
        </w:rPr>
        <w:t>项目实行滚动管理，动态调整，财政拨款预算执行率达到100%，</w:t>
      </w:r>
      <w:r>
        <w:rPr>
          <w:rFonts w:ascii="仿宋_GB2312" w:eastAsia="仿宋_GB2312" w:cs="仿宋_GB2312"/>
          <w:sz w:val="32"/>
          <w:szCs w:val="32"/>
          <w:lang w:val="zh-CN" w:eastAsia="zh-CN"/>
          <w:highlight w:val="auto"/>
        </w:rPr>
        <w:t>预算年终</w:t>
      </w:r>
      <w:r>
        <w:rPr>
          <w:rFonts w:ascii="仿宋_GB2312" w:eastAsia="仿宋_GB2312" w:cs="仿宋_GB2312"/>
          <w:sz w:val="32"/>
          <w:szCs w:val="32"/>
          <w:lang w:val="en-US" w:eastAsia="zh-CN"/>
          <w:highlight w:val="auto"/>
        </w:rPr>
        <w:t>无</w:t>
      </w:r>
      <w:r>
        <w:rPr>
          <w:rFonts w:ascii="仿宋_GB2312" w:eastAsia="仿宋_GB2312" w:cs="仿宋_GB2312"/>
          <w:sz w:val="32"/>
          <w:szCs w:val="32"/>
          <w:lang w:val="zh-CN" w:eastAsia="zh-CN"/>
          <w:highlight w:val="auto"/>
        </w:rPr>
        <w:t>结余。</w:t>
      </w:r>
      <w:r>
        <w:rPr>
          <w:rFonts w:ascii="仿宋_GB2312" w:eastAsia="仿宋_GB2312" w:cs="仿宋_GB2312"/>
          <w:sz w:val="32"/>
          <w:szCs w:val="32"/>
          <w:lang w:val="en-US" w:eastAsia="zh-CN"/>
          <w:highlight w:val="auto"/>
        </w:rPr>
        <w:t>2025年，非本级财政拨款8.56万元，调整非财政拨款年初结余10.26万元，非财政拨款年末结余27.02万元</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严控一般性支出，</w:t>
      </w:r>
      <w:r>
        <w:rPr>
          <w:rFonts w:ascii="仿宋_GB2312" w:eastAsia="仿宋_GB2312" w:cs="仿宋_GB2312" w:hint="eastAsia"/>
          <w:sz w:val="32"/>
          <w:szCs w:val="32"/>
          <w:lang w:val="en-US" w:eastAsia="zh-CN"/>
          <w:highlight w:val="auto"/>
        </w:rPr>
        <w:t>2025年年末人数27人，较上年年末人数23人，增加4人的情况下，</w:t>
      </w:r>
      <w:r>
        <w:rPr>
          <w:rFonts w:ascii="仿宋_GB2312" w:eastAsia="仿宋_GB2312" w:cs="仿宋_GB2312"/>
          <w:sz w:val="32"/>
          <w:szCs w:val="32"/>
          <w:lang w:val="en-US" w:eastAsia="zh-CN"/>
          <w:highlight w:val="auto"/>
        </w:rPr>
        <w:t>全年支出数较上年</w:t>
      </w:r>
      <w:r>
        <w:rPr>
          <w:rFonts w:ascii="仿宋_GB2312" w:eastAsia="仿宋_GB2312" w:cs="仿宋_GB2312" w:hint="eastAsia"/>
          <w:sz w:val="32"/>
          <w:szCs w:val="32"/>
          <w:lang w:val="en-US" w:eastAsia="zh-CN"/>
          <w:highlight w:val="auto"/>
        </w:rPr>
        <w:t>增长</w:t>
      </w:r>
      <w:r>
        <w:rPr>
          <w:rFonts w:ascii="仿宋_GB2312" w:eastAsia="仿宋_GB2312" w:cs="仿宋_GB2312"/>
          <w:sz w:val="32"/>
          <w:szCs w:val="32"/>
          <w:lang w:val="en-US" w:eastAsia="zh-CN"/>
          <w:highlight w:val="auto"/>
        </w:rPr>
        <w:t>3%，其中：基本支出</w:t>
      </w:r>
      <w:r>
        <w:rPr>
          <w:rFonts w:ascii="仿宋_GB2312" w:eastAsia="仿宋_GB2312" w:cs="仿宋_GB2312" w:hint="eastAsia"/>
          <w:sz w:val="32"/>
          <w:szCs w:val="32"/>
          <w:lang w:val="en-US" w:eastAsia="zh-CN"/>
          <w:highlight w:val="auto"/>
        </w:rPr>
        <w:t>增长6.3</w:t>
      </w:r>
      <w:r>
        <w:rPr>
          <w:rFonts w:ascii="仿宋_GB2312" w:eastAsia="仿宋_GB2312" w:cs="仿宋_GB2312"/>
          <w:sz w:val="32"/>
          <w:szCs w:val="32"/>
          <w:lang w:val="en-US" w:eastAsia="zh-CN"/>
          <w:highlight w:val="auto"/>
        </w:rPr>
        <w:t>%、项目支出下降11.9%</w:t>
      </w:r>
      <w:r>
        <w:rPr>
          <w:rFonts w:ascii="仿宋_GB2312" w:eastAsia="仿宋_GB2312" w:cs="仿宋_GB2312" w:hint="eastAsia"/>
          <w:sz w:val="32"/>
          <w:szCs w:val="32"/>
          <w:lang w:val="en-US" w:eastAsia="zh-CN"/>
          <w:highlight w:val="auto"/>
        </w:rPr>
        <w:t>。</w:t>
      </w:r>
      <w:r>
        <w:rPr>
          <w:rFonts w:ascii="仿宋_GB2312" w:eastAsia="仿宋_GB2312" w:cs="仿宋_GB2312"/>
          <w:sz w:val="32"/>
          <w:szCs w:val="32"/>
          <w:lang w:val="en-US" w:eastAsia="zh-CN"/>
          <w:highlight w:val="auto"/>
        </w:rPr>
        <w:t>部门预算经费有效保障了县人民代表大会、常委会及各类专题工作会议的召开，保障了监督、代表等各项工作依法有序开展，保障了县人大各专门委员会和常委会开展各项调查研究工作，保障了人大信息化工作有效开展，保障了人大常委会办公室日常工作运行，各项工作项目绩效指标完成情况良好。</w:t>
      </w:r>
      <w:r>
        <w:rPr>
          <w:rFonts w:ascii="仿宋_GB2312" w:eastAsia="仿宋_GB2312" w:cs="仿宋_GB2312"/>
          <w:sz w:val="32"/>
          <w:szCs w:val="32"/>
          <w:lang w:val="zh-CN" w:eastAsia="zh-CN"/>
          <w:highlight w:val="auto"/>
        </w:rPr>
        <w:t>综上，根据评分标准，该项指标，得</w:t>
      </w:r>
      <w:r>
        <w:rPr>
          <w:rFonts w:ascii="仿宋_GB2312" w:eastAsia="仿宋_GB2312" w:cs="仿宋_GB2312"/>
          <w:sz w:val="32"/>
          <w:szCs w:val="32"/>
          <w:lang w:val="en-US" w:eastAsia="zh-CN"/>
          <w:highlight w:val="auto"/>
        </w:rPr>
        <w:t>22</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3.</w:t>
      </w:r>
      <w:r>
        <w:rPr>
          <w:rFonts w:ascii="仿宋_GB2312" w:eastAsia="仿宋_GB2312" w:cs="仿宋_GB2312"/>
          <w:sz w:val="32"/>
          <w:szCs w:val="32"/>
          <w:lang w:val="zh-CN" w:eastAsia="zh-CN"/>
          <w:highlight w:val="auto"/>
        </w:rPr>
        <w:t>财务管理（</w:t>
      </w:r>
      <w:r>
        <w:rPr>
          <w:rFonts w:ascii="仿宋_GB2312" w:eastAsia="仿宋_GB2312" w:cs="仿宋_GB2312"/>
          <w:sz w:val="32"/>
          <w:szCs w:val="32"/>
          <w:lang w:val="en-US" w:eastAsia="zh-CN"/>
          <w:highlight w:val="auto"/>
        </w:rPr>
        <w:t>10分）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本部门制定了内部财务管理制度等制度机制，明确了财务内控、职能分工、工作流程等事项。部门资金使用符合相关财务管理制度规定，但在执行过程中还存在职责权限需进一步明确的情况。</w:t>
      </w:r>
      <w:r>
        <w:rPr>
          <w:rFonts w:ascii="仿宋_GB2312" w:eastAsia="仿宋_GB2312" w:cs="仿宋_GB2312"/>
          <w:sz w:val="32"/>
          <w:szCs w:val="32"/>
          <w:lang w:val="zh-CN" w:eastAsia="zh-CN"/>
          <w:highlight w:val="auto"/>
        </w:rPr>
        <w:t>综上，根据评分标准，该项指标，得</w:t>
      </w:r>
      <w:r>
        <w:rPr>
          <w:rFonts w:ascii="仿宋_GB2312" w:eastAsia="仿宋_GB2312" w:cs="仿宋_GB2312"/>
          <w:sz w:val="32"/>
          <w:szCs w:val="32"/>
          <w:lang w:val="en-US" w:eastAsia="zh-CN"/>
          <w:highlight w:val="auto"/>
        </w:rPr>
        <w:t>9</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4.</w:t>
      </w:r>
      <w:r>
        <w:rPr>
          <w:rFonts w:ascii="仿宋_GB2312" w:eastAsia="仿宋_GB2312" w:cs="仿宋_GB2312"/>
          <w:sz w:val="32"/>
          <w:szCs w:val="32"/>
          <w:lang w:val="zh-CN" w:eastAsia="zh-CN"/>
          <w:highlight w:val="auto"/>
        </w:rPr>
        <w:t>资产管理（</w:t>
      </w:r>
      <w:r>
        <w:rPr>
          <w:rFonts w:ascii="仿宋_GB2312" w:eastAsia="仿宋_GB2312" w:cs="仿宋_GB2312"/>
          <w:sz w:val="32"/>
          <w:szCs w:val="32"/>
          <w:lang w:val="en-US" w:eastAsia="zh-CN"/>
          <w:highlight w:val="auto"/>
        </w:rPr>
        <w:t>9分）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rPr>
        <w:t>截至</w:t>
      </w:r>
      <w:r>
        <w:rPr>
          <w:rFonts w:ascii="仿宋_GB2312" w:eastAsia="仿宋_GB2312" w:cs="仿宋_GB2312"/>
          <w:sz w:val="32"/>
          <w:szCs w:val="32"/>
          <w:lang w:val="en-US" w:eastAsia="zh-CN"/>
          <w:highlight w:val="auto"/>
        </w:rPr>
        <w:t>2025年12月31日，本部门固定资产原值588.24万元，较上年增加17.49%。固定资产净值201.80万元，较上年增加11.15%。部门人均资产变化率为-5.32%，主要原因在于年末在职人数27人较上年末增加4人；部门办公家具超最低使用年限资产利用率0%，办公设备超最低使用年限资产利用率为50.14%；2024和2025年均无闲置资产。</w:t>
      </w:r>
      <w:r>
        <w:rPr>
          <w:rFonts w:ascii="仿宋_GB2312" w:eastAsia="仿宋_GB2312" w:cs="仿宋_GB2312"/>
          <w:sz w:val="32"/>
          <w:szCs w:val="32"/>
          <w:lang w:val="zh-CN" w:eastAsia="zh-CN"/>
          <w:highlight w:val="auto"/>
        </w:rPr>
        <w:t>综上，根据评分标准，该项指标，得</w:t>
      </w:r>
      <w:r>
        <w:rPr>
          <w:rFonts w:ascii="仿宋_GB2312" w:eastAsia="仿宋_GB2312" w:cs="仿宋_GB2312"/>
          <w:sz w:val="32"/>
          <w:szCs w:val="32"/>
          <w:lang w:val="en-US" w:eastAsia="zh-CN"/>
          <w:highlight w:val="auto"/>
        </w:rPr>
        <w:t>9</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5.</w:t>
      </w:r>
      <w:r>
        <w:rPr>
          <w:rFonts w:ascii="仿宋_GB2312" w:eastAsia="仿宋_GB2312" w:cs="仿宋_GB2312"/>
          <w:sz w:val="32"/>
          <w:szCs w:val="32"/>
          <w:lang w:val="zh-CN" w:eastAsia="zh-CN"/>
          <w:highlight w:val="auto"/>
        </w:rPr>
        <w:t>采购管理（</w:t>
      </w:r>
      <w:r>
        <w:rPr>
          <w:rFonts w:ascii="仿宋_GB2312" w:eastAsia="仿宋_GB2312" w:cs="仿宋_GB2312"/>
          <w:sz w:val="32"/>
          <w:szCs w:val="32"/>
          <w:lang w:val="en-US" w:eastAsia="zh-CN"/>
          <w:highlight w:val="auto"/>
        </w:rPr>
        <w:t>6分）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本部门严格执行政府采购促进中小企业发展相关管理办法，</w:t>
      </w:r>
      <w:r>
        <w:rPr>
          <w:rFonts w:ascii="仿宋_GB2312" w:eastAsia="仿宋_GB2312" w:cs="仿宋_GB2312"/>
          <w:sz w:val="32"/>
          <w:szCs w:val="32"/>
          <w:lang w:val="zh-CN" w:eastAsia="zh-CN"/>
          <w:highlight w:val="auto"/>
        </w:rPr>
        <w:t>采购执行率</w:t>
      </w:r>
      <w:r>
        <w:rPr>
          <w:rFonts w:ascii="仿宋_GB2312" w:eastAsia="仿宋_GB2312" w:cs="仿宋_GB2312"/>
          <w:sz w:val="32"/>
          <w:szCs w:val="32"/>
          <w:lang w:val="en-US" w:eastAsia="zh-CN"/>
          <w:highlight w:val="auto"/>
        </w:rPr>
        <w:t>100%</w:t>
      </w:r>
      <w:r>
        <w:rPr>
          <w:rFonts w:ascii="仿宋_GB2312" w:eastAsia="仿宋_GB2312" w:cs="仿宋_GB2312"/>
          <w:sz w:val="32"/>
          <w:szCs w:val="32"/>
          <w:lang w:val="zh-CN" w:eastAsia="zh-CN"/>
          <w:highlight w:val="auto"/>
        </w:rPr>
        <w:t>。综上，根据评分标准，该项指标，得</w:t>
      </w:r>
      <w:r>
        <w:rPr>
          <w:rFonts w:ascii="仿宋_GB2312" w:eastAsia="仿宋_GB2312" w:cs="仿宋_GB2312"/>
          <w:sz w:val="32"/>
          <w:szCs w:val="32"/>
          <w:lang w:val="en-US" w:eastAsia="zh-CN"/>
          <w:highlight w:val="auto"/>
        </w:rPr>
        <w:t>6</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楷体_GB2312" w:eastAsia="楷体_GB2312" w:cs="楷体_GB2312"/>
          <w:b/>
          <w:bCs/>
          <w:sz w:val="32"/>
          <w:szCs w:val="32"/>
          <w:lang w:val="zh-CN" w:eastAsia="zh-CN"/>
          <w:highlight w:val="auto"/>
        </w:rPr>
        <w:t>（二）部门预算项目绩效分析。</w:t>
      </w:r>
      <w:r>
        <w:rPr>
          <w:rFonts w:ascii="仿宋_GB2312" w:eastAsia="仿宋_GB2312" w:cs="仿宋_GB2312"/>
          <w:sz w:val="32"/>
          <w:szCs w:val="32"/>
          <w:lang w:val="zh-CN" w:eastAsia="zh-CN"/>
          <w:highlight w:val="auto"/>
        </w:rPr>
        <w:t>填报以下数据，并根据部门预算绩效评价指标体系“项目绩效”涉及二、三级指标进行逐项绩效分析并评分，依次包括项目</w:t>
      </w:r>
      <w:r>
        <w:rPr>
          <w:rFonts w:ascii="仿宋_GB2312" w:eastAsia="仿宋_GB2312" w:cs="仿宋_GB2312"/>
          <w:sz w:val="32"/>
          <w:szCs w:val="32"/>
          <w:lang w:val="en-US" w:eastAsia="zh-CN"/>
          <w:highlight w:val="auto"/>
        </w:rPr>
        <w:t>决策、项目执行、目标实现等情况。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项目绩效分析。</w:t>
      </w:r>
      <w:r>
        <w:rPr>
          <w:rFonts w:ascii="仿宋_GB2312" w:eastAsia="仿宋_GB2312" w:cs="仿宋_GB2312"/>
          <w:sz w:val="32"/>
          <w:szCs w:val="32"/>
          <w:lang w:val="zh-CN" w:eastAsia="zh-CN"/>
          <w:highlight w:val="auto"/>
        </w:rPr>
        <w:t>该类项目总数</w:t>
      </w:r>
      <w:r>
        <w:rPr>
          <w:rFonts w:ascii="仿宋_GB2312" w:eastAsia="仿宋_GB2312" w:cs="仿宋_GB2312"/>
          <w:sz w:val="32"/>
          <w:szCs w:val="32"/>
          <w:lang w:val="en-US" w:eastAsia="zh-CN"/>
          <w:highlight w:val="auto"/>
        </w:rPr>
        <w:t>6</w:t>
      </w:r>
      <w:r>
        <w:rPr>
          <w:rFonts w:ascii="仿宋_GB2312" w:eastAsia="仿宋_GB2312" w:cs="仿宋_GB2312"/>
          <w:sz w:val="32"/>
          <w:szCs w:val="32"/>
          <w:lang w:val="zh-CN" w:eastAsia="zh-CN"/>
          <w:highlight w:val="auto"/>
        </w:rPr>
        <w:t>个，涉及</w:t>
      </w:r>
      <w:r>
        <w:rPr>
          <w:rFonts w:ascii="仿宋_GB2312" w:eastAsia="仿宋_GB2312" w:cs="仿宋_GB2312"/>
          <w:sz w:val="32"/>
          <w:szCs w:val="32"/>
          <w:lang w:val="en-US" w:eastAsia="zh-CN"/>
          <w:highlight w:val="auto"/>
        </w:rPr>
        <w:t>财政拨款</w:t>
      </w:r>
      <w:r>
        <w:rPr>
          <w:rFonts w:ascii="仿宋_GB2312" w:eastAsia="仿宋_GB2312" w:cs="仿宋_GB2312"/>
          <w:sz w:val="32"/>
          <w:szCs w:val="32"/>
          <w:lang w:val="zh-CN" w:eastAsia="zh-CN"/>
          <w:highlight w:val="auto"/>
        </w:rPr>
        <w:t>预算总金额</w:t>
      </w:r>
      <w:r>
        <w:rPr>
          <w:rFonts w:ascii="仿宋_GB2312" w:eastAsia="仿宋_GB2312" w:cs="仿宋_GB2312" w:hint="eastAsia"/>
          <w:sz w:val="32"/>
          <w:szCs w:val="32"/>
          <w:lang w:val="en-US" w:eastAsia="zh-CN"/>
          <w:highlight w:val="auto"/>
        </w:rPr>
        <w:t>153.05</w:t>
      </w:r>
      <w:r>
        <w:rPr>
          <w:rFonts w:ascii="仿宋_GB2312" w:eastAsia="仿宋_GB2312" w:cs="仿宋_GB2312"/>
          <w:sz w:val="32"/>
          <w:szCs w:val="32"/>
          <w:lang w:val="zh-CN" w:eastAsia="zh-CN"/>
          <w:highlight w:val="auto"/>
        </w:rPr>
        <w:t>万元，1</w:t>
      </w:r>
      <w:r>
        <w:rPr>
          <w:rFonts w:ascii="仿宋_GB2312" w:eastAsia="仿宋_GB2312" w:cs="仿宋_GB2312" w:hint="eastAsia"/>
          <w:sz w:val="32"/>
          <w:szCs w:val="32"/>
          <w:lang w:val="zh-CN" w:eastAsia="zh-CN"/>
          <w:highlight w:val="auto"/>
        </w:rPr>
        <w:t>—</w:t>
      </w:r>
      <w:r>
        <w:rPr>
          <w:rFonts w:ascii="仿宋_GB2312" w:eastAsia="仿宋_GB2312" w:cs="仿宋_GB2312"/>
          <w:sz w:val="32"/>
          <w:szCs w:val="32"/>
          <w:lang w:val="zh-CN" w:eastAsia="zh-CN"/>
          <w:highlight w:val="auto"/>
        </w:rPr>
        <w:t>1</w:t>
      </w:r>
      <w:r>
        <w:rPr>
          <w:rFonts w:ascii="仿宋_GB2312" w:eastAsia="仿宋_GB2312" w:cs="仿宋_GB2312"/>
          <w:sz w:val="32"/>
          <w:szCs w:val="32"/>
          <w:lang w:val="en-US" w:eastAsia="zh-CN"/>
          <w:highlight w:val="auto"/>
        </w:rPr>
        <w:t>2</w:t>
      </w:r>
      <w:r>
        <w:rPr>
          <w:rFonts w:ascii="仿宋_GB2312" w:eastAsia="仿宋_GB2312" w:cs="仿宋_GB2312"/>
          <w:sz w:val="32"/>
          <w:szCs w:val="32"/>
          <w:lang w:val="zh-CN" w:eastAsia="zh-CN"/>
          <w:highlight w:val="auto"/>
        </w:rPr>
        <w:t>月预算执行总体进度为</w:t>
      </w:r>
      <w:r>
        <w:rPr>
          <w:rFonts w:ascii="仿宋_GB2312" w:eastAsia="仿宋_GB2312" w:cs="仿宋_GB2312"/>
          <w:sz w:val="32"/>
          <w:szCs w:val="32"/>
          <w:lang w:val="en-US" w:eastAsia="zh-CN"/>
          <w:highlight w:val="auto"/>
        </w:rPr>
        <w:t>100</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6个项目均自评。其中1个阶段（一次性）项目。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1.</w:t>
      </w:r>
      <w:r>
        <w:rPr>
          <w:rFonts w:ascii="仿宋_GB2312" w:eastAsia="仿宋_GB2312" w:cs="仿宋_GB2312"/>
          <w:sz w:val="32"/>
          <w:szCs w:val="32"/>
          <w:lang w:val="zh-CN" w:eastAsia="zh-CN"/>
          <w:highlight w:val="auto"/>
        </w:rPr>
        <w:t>项目决策（</w:t>
      </w:r>
      <w:r>
        <w:rPr>
          <w:rFonts w:ascii="仿宋_GB2312" w:eastAsia="仿宋_GB2312" w:cs="仿宋_GB2312"/>
          <w:sz w:val="32"/>
          <w:szCs w:val="32"/>
          <w:lang w:val="en-US" w:eastAsia="zh-CN"/>
          <w:highlight w:val="auto"/>
        </w:rPr>
        <w:t>12分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本部门项目的申报严格按照</w:t>
      </w:r>
      <w:r>
        <w:rPr>
          <w:rFonts w:ascii="仿宋_GB2312" w:eastAsia="仿宋_GB2312" w:cs="仿宋_GB2312" w:hint="eastAsia"/>
          <w:sz w:val="32"/>
          <w:szCs w:val="32"/>
          <w:lang w:val="en-US" w:eastAsia="zh-CN"/>
          <w:highlight w:val="auto"/>
        </w:rPr>
        <w:t>相关规定</w:t>
      </w:r>
      <w:r>
        <w:rPr>
          <w:rFonts w:ascii="仿宋_GB2312" w:eastAsia="仿宋_GB2312" w:cs="仿宋_GB2312"/>
          <w:sz w:val="32"/>
          <w:szCs w:val="32"/>
          <w:lang w:val="en-US" w:eastAsia="zh-CN"/>
          <w:highlight w:val="auto"/>
        </w:rPr>
        <w:t>，结合工作计划和职能职责明确目标任务。绩效目标编制要素较为完整，从项目完成数质量、项目效益、满意度等方面设置绩效指标。各项目绩效目标由部门各委室在编报年度预算时同预算项目一并提交审核后集中报送财政。</w:t>
      </w:r>
      <w:r>
        <w:rPr>
          <w:rFonts w:ascii="仿宋_GB2312" w:eastAsia="仿宋_GB2312" w:cs="仿宋_GB2312"/>
          <w:sz w:val="32"/>
          <w:szCs w:val="32"/>
          <w:lang w:val="zh-CN" w:eastAsia="zh-CN"/>
          <w:highlight w:val="auto"/>
        </w:rPr>
        <w:t>根据评分标准，该项指标，得</w:t>
      </w:r>
      <w:r>
        <w:rPr>
          <w:rFonts w:ascii="仿宋_GB2312" w:eastAsia="仿宋_GB2312" w:cs="仿宋_GB2312"/>
          <w:sz w:val="32"/>
          <w:szCs w:val="32"/>
          <w:lang w:val="en-US" w:eastAsia="zh-CN"/>
          <w:highlight w:val="auto"/>
        </w:rPr>
        <w:t>10</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2.项目执行</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12分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本部门通过预算管理一体化平台系统绩效自行监控，对执行进度滞后、绩效目标完成度不高的项目及时纠偏纠错，督促项目负责人加快预算执行进度。结合实际情况对部分项目及时进行项目调整。</w:t>
      </w:r>
      <w:r>
        <w:rPr>
          <w:rFonts w:ascii="仿宋_GB2312" w:eastAsia="仿宋_GB2312" w:cs="仿宋_GB2312"/>
          <w:sz w:val="32"/>
          <w:szCs w:val="32"/>
          <w:lang w:val="zh-CN" w:eastAsia="zh-CN"/>
          <w:highlight w:val="auto"/>
        </w:rPr>
        <w:t>根据评分标准，该项指标，得</w:t>
      </w:r>
      <w:r>
        <w:rPr>
          <w:rFonts w:ascii="仿宋_GB2312" w:eastAsia="仿宋_GB2312" w:cs="仿宋_GB2312"/>
          <w:sz w:val="32"/>
          <w:szCs w:val="32"/>
          <w:lang w:val="en-US" w:eastAsia="zh-CN"/>
          <w:highlight w:val="auto"/>
        </w:rPr>
        <w:t>9</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仿宋_GB2312" w:eastAsia="仿宋_GB2312" w:cs="仿宋_GB2312"/>
          <w:sz w:val="32"/>
          <w:szCs w:val="32"/>
          <w:lang w:val="en-US" w:eastAsia="zh-CN"/>
          <w:highlight w:val="auto"/>
        </w:rPr>
        <w:t>3.</w:t>
      </w:r>
      <w:r>
        <w:rPr>
          <w:rFonts w:ascii="仿宋_GB2312" w:eastAsia="仿宋_GB2312" w:cs="仿宋_GB2312"/>
          <w:sz w:val="32"/>
          <w:szCs w:val="32"/>
          <w:lang w:val="zh-CN" w:eastAsia="zh-CN"/>
          <w:highlight w:val="auto"/>
        </w:rPr>
        <w:t>目标实现（</w:t>
      </w:r>
      <w:r>
        <w:rPr>
          <w:rFonts w:ascii="仿宋_GB2312" w:eastAsia="仿宋_GB2312" w:cs="仿宋_GB2312"/>
          <w:sz w:val="32"/>
          <w:szCs w:val="32"/>
          <w:lang w:val="en-US" w:eastAsia="zh-CN"/>
          <w:highlight w:val="auto"/>
        </w:rPr>
        <w:t>11分</w:t>
      </w:r>
      <w:r>
        <w:rPr>
          <w:rFonts w:ascii="仿宋_GB2312" w:eastAsia="仿宋_GB2312" w:cs="仿宋_GB2312"/>
          <w:sz w:val="32"/>
          <w:szCs w:val="32"/>
          <w:lang w:val="zh-CN" w:eastAsia="zh-CN"/>
          <w:highlight w:val="auto"/>
        </w:rPr>
        <w:t>）。</w:t>
      </w:r>
      <w:r>
        <w:rPr>
          <w:rFonts w:ascii="仿宋_GB2312" w:eastAsia="仿宋_GB2312" w:cs="仿宋_GB2312"/>
          <w:sz w:val="32"/>
          <w:szCs w:val="32"/>
          <w:lang w:val="en-US" w:eastAsia="zh-CN"/>
          <w:highlight w:val="auto"/>
        </w:rPr>
        <w:t>2025年部门预算项目实际完成情况数基本达到预期绩效目标，实现程度与预期目标基本相符。</w:t>
      </w:r>
      <w:r>
        <w:rPr>
          <w:rFonts w:ascii="仿宋_GB2312" w:eastAsia="仿宋_GB2312" w:cs="仿宋_GB2312"/>
          <w:sz w:val="32"/>
          <w:szCs w:val="32"/>
          <w:lang w:val="zh-CN" w:eastAsia="zh-CN"/>
          <w:highlight w:val="auto"/>
        </w:rPr>
        <w:t>根据评分标准，该项指标，得</w:t>
      </w:r>
      <w:r>
        <w:rPr>
          <w:rFonts w:ascii="仿宋_GB2312" w:eastAsia="仿宋_GB2312" w:cs="仿宋_GB2312"/>
          <w:sz w:val="32"/>
          <w:szCs w:val="32"/>
          <w:lang w:val="en-US" w:eastAsia="zh-CN"/>
          <w:highlight w:val="auto"/>
        </w:rPr>
        <w:t>8</w:t>
      </w:r>
      <w:r>
        <w:rPr>
          <w:rFonts w:ascii="仿宋_GB2312" w:eastAsia="仿宋_GB2312" w:cs="仿宋_GB2312"/>
          <w:sz w:val="32"/>
          <w:szCs w:val="32"/>
          <w:lang w:val="zh-CN" w:eastAsia="zh-CN"/>
          <w:highlight w:val="auto"/>
        </w:rPr>
        <w:t>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zh-CN" w:eastAsia="zh-CN"/>
          <w:highlight w:val="auto"/>
        </w:rPr>
      </w:pPr>
      <w:r>
        <w:rPr>
          <w:rFonts w:ascii="楷体_GB2312" w:eastAsia="楷体_GB2312" w:cs="楷体_GB2312"/>
          <w:b/>
          <w:bCs/>
          <w:sz w:val="32"/>
          <w:szCs w:val="32"/>
          <w:lang w:val="zh-CN" w:eastAsia="zh-CN"/>
          <w:highlight w:val="auto"/>
        </w:rPr>
        <w:t>（三）重点领域绩效分析。</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本部门固定资产原值588.24万元，较上年增加17.49%。固定资产净值201.80万元，较上年增加11.15%。部门人均资产变化率为-5.32%，主要原因在于年末在职人数27人较上年末增加4人。2025年政府采购项目13.71万元，不涉及债券资金和政府购买服务等。</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b/>
          <w:bCs/>
          <w:sz w:val="32"/>
          <w:szCs w:val="32"/>
          <w:lang w:val="zh-CN" w:eastAsia="zh-CN"/>
          <w:highlight w:val="auto"/>
        </w:rPr>
      </w:pPr>
      <w:r>
        <w:rPr>
          <w:rFonts w:ascii="楷体_GB2312" w:eastAsia="楷体_GB2312" w:cs="楷体_GB2312"/>
          <w:b/>
          <w:bCs/>
          <w:sz w:val="32"/>
          <w:szCs w:val="32"/>
          <w:lang w:val="zh-CN" w:eastAsia="zh-CN"/>
          <w:highlight w:val="auto"/>
        </w:rPr>
        <w:t>（</w:t>
      </w:r>
      <w:r>
        <w:rPr>
          <w:rFonts w:ascii="楷体_GB2312" w:eastAsia="楷体_GB2312" w:cs="楷体_GB2312"/>
          <w:b/>
          <w:bCs/>
          <w:sz w:val="32"/>
          <w:szCs w:val="32"/>
          <w:lang w:val="en-US" w:eastAsia="zh-CN"/>
          <w:highlight w:val="auto"/>
        </w:rPr>
        <w:t>四</w:t>
      </w:r>
      <w:r>
        <w:rPr>
          <w:rFonts w:ascii="楷体_GB2312" w:eastAsia="楷体_GB2312" w:cs="楷体_GB2312"/>
          <w:b/>
          <w:bCs/>
          <w:sz w:val="32"/>
          <w:szCs w:val="32"/>
          <w:lang w:val="zh-CN" w:eastAsia="zh-CN"/>
          <w:highlight w:val="auto"/>
        </w:rPr>
        <w:t>）绩效结果应用情况。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1.内部应用。县人大常委会办公室本级和下属二级预算单位均将绩效自评纳入考核体系，并建立对部门和二级预算单位预算与绩效挂钩机制，对绩效考核情况不理想的项目，在下年预算编制时提出意见和建议。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2.信息公开。按照财政局要求，县人大常委会办公室在规定时限内在门户网站上公开了部门预决算信息、部门绩效目标编制完成情况、“三公”经费信息、机关运行经费的安排使用情况，主动接受社会监督。</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sz w:val="32"/>
          <w:szCs w:val="32"/>
          <w:lang w:val="en-US" w:eastAsia="zh-CN"/>
          <w:highlight w:val="auto"/>
        </w:rPr>
        <w:t>3.问题整改。通过对2025年部门整体支出的绩效自评工作，对部门整体支出情况有了进一步完整、全面地了解。针对绩效自评发现的问题，将不断加强内部管理，完善部门整体支出绩效评价指标体系建设，切实提高财政资金使用效益。</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lang w:eastAsia="zh-CN"/>
          <w:highlight w:val="auto"/>
        </w:rPr>
      </w:pPr>
      <w:r>
        <w:rPr>
          <w:rFonts w:ascii="黑体" w:eastAsia="黑体" w:cs="黑体" w:hint="eastAsia"/>
          <w:sz w:val="32"/>
          <w:szCs w:val="32"/>
          <w:lang w:eastAsia="zh-CN"/>
          <w:highlight w:val="auto"/>
        </w:rPr>
        <w:t>四、评价结论及建议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楷体_GB2312" w:eastAsia="楷体_GB2312" w:cs="楷体_GB2312" w:hint="eastAsia"/>
          <w:b/>
          <w:bCs/>
          <w:sz w:val="32"/>
          <w:szCs w:val="32"/>
          <w:lang w:val="zh-CN" w:eastAsia="zh-CN"/>
          <w:highlight w:val="auto"/>
        </w:rPr>
        <w:t>（一）评价结论。</w:t>
      </w:r>
      <w:r>
        <w:rPr>
          <w:rFonts w:ascii="仿宋_GB2312" w:eastAsia="仿宋_GB2312" w:cs="仿宋_GB2312"/>
          <w:sz w:val="32"/>
          <w:szCs w:val="32"/>
          <w:lang w:val="en-US" w:eastAsia="zh-CN"/>
          <w:highlight w:val="auto"/>
        </w:rPr>
        <w:t>根据部门自评，本部门资金使用达到了预期效果，较好地服务和保障了县人大常委会圆满完成年度监督工作、调研工作、代表工作等重要任务，较好实现了2025年财政预算支出的绩效目标。经过认真自评，汶川县人大常委会办公室2025年度部门整体支出绩效评价得分88分。</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楷体_GB2312" w:eastAsia="楷体_GB2312" w:cs="楷体_GB2312"/>
          <w:b/>
          <w:bCs/>
          <w:sz w:val="32"/>
          <w:szCs w:val="32"/>
          <w:lang w:val="zh-CN" w:eastAsia="zh-CN"/>
          <w:highlight w:val="auto"/>
        </w:rPr>
        <w:t>（</w:t>
      </w:r>
      <w:r>
        <w:rPr>
          <w:rFonts w:ascii="楷体_GB2312" w:eastAsia="楷体_GB2312" w:cs="楷体_GB2312"/>
          <w:b/>
          <w:bCs/>
          <w:sz w:val="32"/>
          <w:szCs w:val="32"/>
          <w:lang w:val="en-US" w:eastAsia="zh-CN"/>
          <w:highlight w:val="auto"/>
        </w:rPr>
        <w:t>二</w:t>
      </w:r>
      <w:r>
        <w:rPr>
          <w:rFonts w:ascii="楷体_GB2312" w:eastAsia="楷体_GB2312" w:cs="楷体_GB2312"/>
          <w:b/>
          <w:bCs/>
          <w:sz w:val="32"/>
          <w:szCs w:val="32"/>
          <w:lang w:val="zh-CN" w:eastAsia="zh-CN"/>
          <w:highlight w:val="auto"/>
        </w:rPr>
        <w:t>）存在问题。</w:t>
      </w:r>
      <w:r>
        <w:rPr>
          <w:rFonts w:ascii="仿宋_GB2312" w:eastAsia="仿宋_GB2312" w:cs="仿宋_GB2312"/>
          <w:sz w:val="32"/>
          <w:szCs w:val="32"/>
          <w:lang w:val="en-US" w:eastAsia="zh-CN"/>
          <w:highlight w:val="auto"/>
        </w:rPr>
        <w:t>预算项目事前管理还需进一步加强，事前绩效评估还不够细致严谨，精准度和前瞻性还有待提高；项目监控工作也需进一步深入。</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楷体_GB2312" w:eastAsia="楷体_GB2312" w:cs="楷体_GB2312"/>
          <w:b/>
          <w:bCs/>
          <w:sz w:val="32"/>
          <w:szCs w:val="32"/>
          <w:lang w:val="zh-CN" w:eastAsia="zh-CN"/>
          <w:highlight w:val="auto"/>
        </w:rPr>
        <w:t>（</w:t>
      </w:r>
      <w:r>
        <w:rPr>
          <w:rFonts w:ascii="楷体_GB2312" w:eastAsia="楷体_GB2312" w:cs="楷体_GB2312"/>
          <w:b/>
          <w:bCs/>
          <w:sz w:val="32"/>
          <w:szCs w:val="32"/>
          <w:lang w:val="en-US" w:eastAsia="zh-CN"/>
          <w:highlight w:val="auto"/>
        </w:rPr>
        <w:t>三</w:t>
      </w:r>
      <w:r>
        <w:rPr>
          <w:rFonts w:ascii="楷体_GB2312" w:eastAsia="楷体_GB2312" w:cs="楷体_GB2312"/>
          <w:b/>
          <w:bCs/>
          <w:sz w:val="32"/>
          <w:szCs w:val="32"/>
          <w:lang w:val="zh-CN" w:eastAsia="zh-CN"/>
          <w:highlight w:val="auto"/>
        </w:rPr>
        <w:t>）改进建议。</w:t>
      </w:r>
      <w:r>
        <w:rPr>
          <w:rFonts w:ascii="仿宋_GB2312" w:eastAsia="仿宋_GB2312" w:cs="仿宋_GB2312"/>
          <w:sz w:val="32"/>
          <w:szCs w:val="32"/>
          <w:lang w:val="en-US" w:eastAsia="zh-CN"/>
          <w:highlight w:val="auto"/>
        </w:rPr>
        <w:t>下一年度开展绩效目标编制时，应根据项目的实际情况充分做好前期调研，为预算编制工作提供较为精准的数据支撑，提高预算编报的准确性，更为科学合理地体现项目预期效果和资金使用效益；进一步加强绩效评价结果应用，提高部门绩效监控和自评工作质量。</w:t>
      </w:r>
    </w:p>
    <w:p>
      <w:pPr>
        <w:keepNext w:val="0"/>
        <w:keepLines w:val="0"/>
        <w:pageBreakBefore w:val="0"/>
        <w:widowControl w:val="0"/>
        <w:tabs>
          <w:tab w:val="left" w:pos="2315"/>
        </w:tabs>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val="en-US" w:eastAsia="zh-CN"/>
          <w:highlight w:val="auto"/>
        </w:rPr>
      </w:pPr>
      <w:r>
        <w:rPr>
          <w:rFonts w:ascii="仿宋_GB2312" w:eastAsia="仿宋_GB2312" w:cs="仿宋_GB2312" w:hint="eastAsia"/>
          <w:sz w:val="32"/>
          <w:szCs w:val="32"/>
          <w:lang w:val="en-US" w:eastAsia="zh-CN"/>
          <w:highlight w:val="auto"/>
        </w:rPr>
        <w:tab/>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sz w:val="32"/>
          <w:szCs w:val="32"/>
          <w:lang w:eastAsia="zh-CN"/>
          <w:highlight w:val="auto"/>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cs="仿宋_GB2312"/>
          <w:sz w:val="32"/>
          <w:szCs w:val="32"/>
          <w:lang w:eastAsia="zh-CN"/>
          <w:highlight w:val="auto"/>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sz w:val="32"/>
          <w:szCs w:val="32"/>
          <w:lang w:eastAsia="zh-CN"/>
          <w:highlight w:val="auto"/>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640"/>
        <w:rPr>
          <w:rFonts w:ascii="仿宋_GB2312" w:eastAsia="仿宋_GB2312" w:cs="仿宋_GB2312"/>
          <w:sz w:val="32"/>
          <w:szCs w:val="32"/>
          <w:lang w:eastAsia="zh-CN"/>
          <w:highlight w:val="auto"/>
        </w:rPr>
      </w:pPr>
    </w:p>
    <w:p>
      <w:pPr>
        <w:keepNext w:val="0"/>
        <w:keepLines w:val="0"/>
        <w:pageBreakBefore w:val="0"/>
        <w:widowControl w:val="0"/>
        <w:kinsoku/>
        <w:wordWrap/>
        <w:topLinePunct w:val="0"/>
        <w:bidi w:val="0"/>
        <w:adjustRightInd/>
        <w:snapToGrid/>
        <w:spacing w:line="240" w:lineRule="auto"/>
        <w:ind w:left="0" w:firstLineChars="200" w:firstLine="640"/>
        <w:rPr>
          <w:rFonts w:ascii="仿宋_GB2312" w:eastAsia="仿宋_GB2312" w:cs="仿宋_GB2312"/>
          <w:sz w:val="32"/>
          <w:szCs w:val="32"/>
          <w:lang w:eastAsia="zh-CN"/>
          <w:highlight w:val="auto"/>
        </w:rPr>
      </w:pPr>
    </w:p>
    <w:p>
      <w:pPr>
        <w:pStyle w:val="17"/>
        <w:keepNext w:val="0"/>
        <w:keepLines w:val="0"/>
        <w:pageBreakBefore w:val="0"/>
        <w:widowControl w:val="0"/>
        <w:tabs>
          <w:tab w:val="center" w:pos="4153"/>
          <w:tab w:val="right" w:pos="8306"/>
        </w:tabs>
        <w:kinsoku/>
        <w:wordWrap/>
        <w:topLinePunct w:val="0"/>
        <w:bidi w:val="0"/>
        <w:adjustRightInd/>
        <w:snapToGrid/>
        <w:spacing w:line="240" w:lineRule="auto"/>
        <w:ind w:left="0" w:firstLineChars="200" w:firstLine="360"/>
        <w:rPr>
          <w:lang w:eastAsia="zh-CN"/>
        </w:rPr>
      </w:pPr>
    </w:p>
    <w:p>
      <w:pPr>
        <w:pStyle w:val="15"/>
        <w:keepNext w:val="0"/>
        <w:keepLines w:val="0"/>
        <w:pageBreakBefore w:val="0"/>
        <w:widowControl w:val="0"/>
        <w:tabs>
          <w:tab w:val="left" w:pos="2064"/>
        </w:tabs>
        <w:kinsoku/>
        <w:wordWrap/>
        <w:topLinePunct w:val="0"/>
        <w:bidi w:val="0"/>
        <w:adjustRightInd/>
        <w:snapToGrid/>
        <w:spacing w:line="240" w:lineRule="auto"/>
        <w:ind w:left="0" w:firstLineChars="200" w:firstLine="600"/>
        <w:rPr>
          <w:rFonts w:ascii="Times New Roman" w:cs="Times New Roman" w:hAnsi="Times New Roman" w:hint="eastAsia"/>
          <w:lang w:eastAsia="zh-CN"/>
        </w:rPr>
      </w:pPr>
      <w:r>
        <w:rPr>
          <w:rFonts w:ascii="Times New Roman" w:cs="Times New Roman" w:hAnsi="Times New Roman" w:hint="eastAsia"/>
          <w:lang w:eastAsia="zh-CN"/>
        </w:rPr>
        <w:tab/>
      </w:r>
    </w:p>
    <w:p>
      <w:pPr>
        <w:pStyle w:val="15"/>
        <w:keepNext w:val="0"/>
        <w:keepLines w:val="0"/>
        <w:pageBreakBefore w:val="0"/>
        <w:widowControl w:val="0"/>
        <w:tabs>
          <w:tab w:val="left" w:pos="2064"/>
        </w:tabs>
        <w:kinsoku/>
        <w:wordWrap/>
        <w:topLinePunct w:val="0"/>
        <w:bidi w:val="0"/>
        <w:adjustRightInd/>
        <w:snapToGrid/>
        <w:spacing w:line="240" w:lineRule="auto"/>
        <w:ind w:left="0" w:firstLineChars="200" w:firstLine="600"/>
        <w:rPr>
          <w:rFonts w:ascii="Times New Roman" w:cs="Times New Roman" w:hAnsi="Times New Roman" w:hint="eastAsia"/>
          <w:lang w:eastAsia="zh-CN"/>
        </w:rPr>
      </w:pPr>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55"/>
        <w:gridCol w:w="730"/>
        <w:gridCol w:w="868"/>
        <w:gridCol w:w="2279"/>
        <w:gridCol w:w="838"/>
        <w:gridCol w:w="829"/>
        <w:gridCol w:w="764"/>
        <w:gridCol w:w="764"/>
        <w:gridCol w:w="1122"/>
      </w:tblGrid>
      <w:tr>
        <w:trPr>
          <w:trHeight w:val="982"/>
        </w:trPr>
        <w:tc>
          <w:tcPr>
            <w:tcW w:w="5000" w:type="pct"/>
            <w:gridSpan w:val="9"/>
            <w:tcBorders>
              <w:top w:val="nil"/>
              <w:left w:val="nil"/>
              <w:bottom w:val="nil"/>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600"/>
              <w:jc w:val="center"/>
              <w:textAlignment w:val="center"/>
              <w:rPr>
                <w:rFonts w:ascii="方正小标宋简体" w:eastAsia="方正小标宋简体" w:cs="方正小标宋简体" w:hint="eastAsia"/>
                <w:i w:val="0"/>
                <w:iCs w:val="0"/>
                <w:color w:val="000000"/>
                <w:kern w:val="0"/>
                <w:sz w:val="30"/>
                <w:szCs w:val="30"/>
                <w:u w:val="none"/>
                <w:lang w:val="en-US" w:eastAsia="zh-CN"/>
              </w:rPr>
            </w:pPr>
          </w:p>
          <w:p>
            <w:pPr>
              <w:keepNext w:val="0"/>
              <w:keepLines w:val="0"/>
              <w:pageBreakBefore w:val="0"/>
              <w:widowControl/>
              <w:suppressLineNumbers w:val="0"/>
              <w:kinsoku/>
              <w:wordWrap/>
              <w:topLinePunct w:val="0"/>
              <w:bidi w:val="0"/>
              <w:adjustRightInd/>
              <w:snapToGrid/>
              <w:spacing w:line="240" w:lineRule="auto"/>
              <w:ind w:left="0" w:firstLineChars="200" w:firstLine="600"/>
              <w:jc w:val="center"/>
              <w:textAlignment w:val="center"/>
              <w:rPr>
                <w:rFonts w:ascii="宋体" w:eastAsia="宋体" w:cs="宋体" w:hint="eastAsia"/>
                <w:i w:val="0"/>
                <w:iCs w:val="0"/>
                <w:color w:val="000000"/>
                <w:sz w:val="13"/>
                <w:szCs w:val="13"/>
                <w:u w:val="none"/>
              </w:rPr>
            </w:pPr>
            <w:r>
              <w:rPr>
                <w:rFonts w:ascii="方正小标宋简体" w:eastAsia="方正小标宋简体" w:cs="方正小标宋简体" w:hint="eastAsia"/>
                <w:i w:val="0"/>
                <w:iCs w:val="0"/>
                <w:color w:val="000000"/>
                <w:kern w:val="0"/>
                <w:sz w:val="30"/>
                <w:szCs w:val="30"/>
                <w:u w:val="none"/>
                <w:lang w:val="en-US" w:eastAsia="zh-CN"/>
              </w:rPr>
              <w:t>部门</w:t>
            </w:r>
            <w:r>
              <w:rPr>
                <w:rFonts w:ascii="方正小标宋简体" w:eastAsia="方正小标宋简体" w:cs="方正小标宋简体"/>
                <w:i w:val="0"/>
                <w:iCs w:val="0"/>
                <w:color w:val="000000"/>
                <w:kern w:val="0"/>
                <w:sz w:val="30"/>
                <w:szCs w:val="30"/>
                <w:u w:val="none"/>
                <w:lang w:val="en-US" w:eastAsia="zh-CN"/>
              </w:rPr>
              <w:t>整体支出绩效目标完成情况自评表</w:t>
            </w:r>
          </w:p>
        </w:tc>
      </w:tr>
      <w:tr>
        <w:trPr>
          <w:trHeight w:val="198"/>
        </w:trPr>
        <w:tc>
          <w:tcPr>
            <w:tcW w:w="5000" w:type="pct"/>
            <w:gridSpan w:val="9"/>
            <w:tcBorders>
              <w:top w:val="nil"/>
              <w:left w:val="nil"/>
              <w:bottom w:val="nil"/>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（2025年度）</w:t>
            </w:r>
          </w:p>
        </w:tc>
      </w:tr>
      <w:tr>
        <w:trPr>
          <w:trHeight w:val="198"/>
        </w:trPr>
        <w:tc>
          <w:tcPr>
            <w:tcW w:w="5000" w:type="pct"/>
            <w:gridSpan w:val="9"/>
            <w:tcBorders>
              <w:top w:val="nil"/>
              <w:left w:val="nil"/>
              <w:bottom w:val="nil"/>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righ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单位：万元</w:t>
            </w:r>
          </w:p>
        </w:tc>
      </w:tr>
      <w:tr>
        <w:trPr>
          <w:trHeight w:val="411"/>
        </w:trPr>
        <w:tc>
          <w:tcPr>
            <w:tcW w:w="1315" w:type="pct"/>
            <w:gridSpan w:val="3"/>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部门名称</w:t>
            </w:r>
          </w:p>
        </w:tc>
        <w:tc>
          <w:tcPr>
            <w:tcW w:w="3684" w:type="pct"/>
            <w:gridSpan w:val="6"/>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汶川县人民代表大会常务委员会办公室本级</w:t>
            </w:r>
          </w:p>
        </w:tc>
      </w:tr>
      <w:tr>
        <w:trPr>
          <w:trHeight w:val="516"/>
        </w:trPr>
        <w:tc>
          <w:tcPr>
            <w:tcW w:w="422"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年度部门整体支出预算</w:t>
            </w:r>
          </w:p>
        </w:tc>
        <w:tc>
          <w:tcPr>
            <w:tcW w:w="892" w:type="pct"/>
            <w:gridSpan w:val="2"/>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资金总额</w:t>
            </w:r>
          </w:p>
        </w:tc>
        <w:tc>
          <w:tcPr>
            <w:tcW w:w="1741" w:type="pct"/>
            <w:gridSpan w:val="2"/>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财政拨款</w:t>
            </w:r>
          </w:p>
        </w:tc>
        <w:tc>
          <w:tcPr>
            <w:tcW w:w="1942" w:type="pct"/>
            <w:gridSpan w:val="4"/>
            <w:tcBorders>
              <w:top w:val="single" w:sz="4" w:space="0" w:color="000000"/>
              <w:left w:val="single" w:sz="4" w:space="0" w:color="000000"/>
              <w:bottom w:val="nil"/>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其他资金</w:t>
            </w:r>
          </w:p>
        </w:tc>
      </w:tr>
      <w:tr>
        <w:trPr>
          <w:trHeight w:val="473"/>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892" w:type="pct"/>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righ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1,021.03</w:t>
            </w:r>
          </w:p>
        </w:tc>
        <w:tc>
          <w:tcPr>
            <w:tcW w:w="1741" w:type="pct"/>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righ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1,017.47</w:t>
            </w:r>
          </w:p>
        </w:tc>
        <w:tc>
          <w:tcPr>
            <w:tcW w:w="1942" w:type="pct"/>
            <w:gridSpan w:val="4"/>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right"/>
              <w:textAlignment w:val="center"/>
              <w:rPr>
                <w:rFonts w:ascii="宋体" w:eastAsia="宋体" w:cs="宋体" w:hint="eastAsia"/>
                <w:i w:val="0"/>
                <w:iCs w:val="0"/>
                <w:color w:val="000000"/>
                <w:sz w:val="13"/>
                <w:szCs w:val="13"/>
                <w:u w:val="none"/>
                <w:lang w:val="en-US"/>
              </w:rPr>
            </w:pPr>
            <w:r>
              <w:rPr>
                <w:rFonts w:ascii="宋体" w:eastAsia="宋体" w:cs="宋体" w:hint="eastAsia"/>
                <w:i w:val="0"/>
                <w:iCs w:val="0"/>
                <w:color w:val="000000"/>
                <w:kern w:val="0"/>
                <w:sz w:val="13"/>
                <w:szCs w:val="13"/>
                <w:u w:val="none"/>
                <w:lang w:val="en-US" w:eastAsia="zh-CN"/>
              </w:rPr>
              <w:t>3.56</w:t>
            </w:r>
          </w:p>
        </w:tc>
      </w:tr>
      <w:tr>
        <w:trPr>
          <w:trHeight w:val="989"/>
        </w:trPr>
        <w:tc>
          <w:tcPr>
            <w:tcW w:w="42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年度总体目标</w:t>
            </w:r>
          </w:p>
        </w:tc>
        <w:tc>
          <w:tcPr>
            <w:tcW w:w="4577" w:type="pct"/>
            <w:gridSpan w:val="8"/>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认真听取审议工作报告，依法开展专题询问，扎实开展执法检查工作，加强对经济运行和预算工作的监督，开展规范性文件备案审查工作，加强和改进人大信访工作，认真做好人事任免工作，切实加强代表议案建设办理工作，做好代表培训工作，组织代表开展集中视察和专题调研，继续推进预算联网监督平台建设，建立预算审查联系代表机制，加强人大常委会机关自身建设。</w:t>
            </w:r>
          </w:p>
        </w:tc>
      </w:tr>
      <w:tr>
        <w:trPr>
          <w:trHeight w:val="388"/>
        </w:trPr>
        <w:tc>
          <w:tcPr>
            <w:tcW w:w="422"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年度主要任务</w:t>
            </w:r>
          </w:p>
        </w:tc>
        <w:tc>
          <w:tcPr>
            <w:tcW w:w="892" w:type="pct"/>
            <w:gridSpan w:val="2"/>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任务名称</w:t>
            </w:r>
          </w:p>
        </w:tc>
        <w:tc>
          <w:tcPr>
            <w:tcW w:w="3684" w:type="pct"/>
            <w:gridSpan w:val="6"/>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主要内容</w:t>
            </w:r>
          </w:p>
        </w:tc>
      </w:tr>
      <w:tr>
        <w:trPr>
          <w:trHeight w:val="417"/>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892" w:type="pct"/>
            <w:gridSpan w:val="2"/>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0"/>
                <w:w w:val="89"/>
                <w:kern w:val="0"/>
                <w:sz w:val="13"/>
                <w:szCs w:val="13"/>
                <w:u w:val="none"/>
                <w:lang w:val="en-US" w:eastAsia="zh-CN"/>
              </w:rPr>
              <w:t>做好人大会议服务保障工作</w:t>
            </w:r>
          </w:p>
        </w:tc>
        <w:tc>
          <w:tcPr>
            <w:tcW w:w="3684" w:type="pct"/>
            <w:gridSpan w:val="6"/>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服务保障县人代会、常委会、主任会等人大法定会议顺利召开。</w:t>
            </w:r>
          </w:p>
        </w:tc>
      </w:tr>
      <w:tr>
        <w:trPr>
          <w:trHeight w:val="458"/>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892" w:type="pct"/>
            <w:gridSpan w:val="2"/>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5"/>
                <w:kern w:val="0"/>
                <w:sz w:val="13"/>
                <w:szCs w:val="13"/>
                <w:u w:val="none"/>
                <w:lang w:val="en-US" w:eastAsia="zh-CN"/>
              </w:rPr>
              <w:t>做好重点工作保障工</w:t>
            </w:r>
            <w:r>
              <w:rPr>
                <w:rFonts w:ascii="宋体" w:eastAsia="宋体" w:cs="宋体" w:hint="eastAsia"/>
                <w:i w:val="0"/>
                <w:iCs w:val="0"/>
                <w:color w:val="000000"/>
                <w:spacing w:val="0"/>
                <w:kern w:val="0"/>
                <w:sz w:val="13"/>
                <w:szCs w:val="13"/>
                <w:u w:val="none"/>
                <w:lang w:val="en-US" w:eastAsia="zh-CN"/>
              </w:rPr>
              <w:t>作</w:t>
            </w:r>
          </w:p>
        </w:tc>
        <w:tc>
          <w:tcPr>
            <w:tcW w:w="3684" w:type="pct"/>
            <w:gridSpan w:val="6"/>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保障县人大办正常运转，完成县人大常委会及各专委会重点工作任务。</w:t>
            </w:r>
          </w:p>
        </w:tc>
      </w:tr>
      <w:tr>
        <w:trPr>
          <w:trHeight w:val="402"/>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892" w:type="pct"/>
            <w:gridSpan w:val="2"/>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0"/>
                <w:w w:val="71"/>
                <w:kern w:val="0"/>
                <w:sz w:val="13"/>
                <w:szCs w:val="13"/>
                <w:u w:val="none"/>
                <w:lang w:val="en-US" w:eastAsia="zh-CN"/>
              </w:rPr>
              <w:t>做好人大常委会机关运行保障工作</w:t>
            </w:r>
          </w:p>
        </w:tc>
        <w:tc>
          <w:tcPr>
            <w:tcW w:w="3684" w:type="pct"/>
            <w:gridSpan w:val="6"/>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严格执行相关政策，保障工资及时发放、足额发放，及时、足额缴纳职工各项社会保障缴费；保障单位日常运转。</w:t>
            </w:r>
          </w:p>
        </w:tc>
      </w:tr>
      <w:tr>
        <w:trPr>
          <w:trHeight w:val="652"/>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892" w:type="pct"/>
            <w:gridSpan w:val="2"/>
            <w:tcBorders>
              <w:top w:val="single" w:sz="4" w:space="0" w:color="000000"/>
              <w:left w:val="single" w:sz="4" w:space="0" w:color="000000"/>
              <w:bottom w:val="single" w:sz="4" w:space="0" w:color="auto"/>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0"/>
                <w:w w:val="97"/>
                <w:kern w:val="0"/>
                <w:sz w:val="13"/>
                <w:szCs w:val="13"/>
                <w:u w:val="none"/>
                <w:lang w:val="en-US" w:eastAsia="zh-CN"/>
              </w:rPr>
              <w:t>做好人大志编纂后续工作</w:t>
            </w:r>
          </w:p>
        </w:tc>
        <w:tc>
          <w:tcPr>
            <w:tcW w:w="3684" w:type="pct"/>
            <w:gridSpan w:val="6"/>
            <w:tcBorders>
              <w:top w:val="nil"/>
              <w:left w:val="single" w:sz="4" w:space="0" w:color="000000"/>
              <w:bottom w:val="single" w:sz="4" w:space="0" w:color="auto"/>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完成人大志编纂后续工作，全面客观地记述和反映1998年以来汶川县人大及其常委会在县委的正确领导下，坚持和完善人民代表大会制度的基本实践经验，推进社会主义民主</w:t>
            </w:r>
            <w:r>
              <w:rPr>
                <w:rFonts w:ascii="宋体" w:eastAsia="宋体" w:cs="宋体"/>
                <w:i w:val="0"/>
                <w:iCs w:val="0"/>
                <w:color w:val="000000"/>
                <w:kern w:val="0"/>
                <w:sz w:val="13"/>
                <w:szCs w:val="13"/>
                <w:u w:val="none"/>
                <w:lang w:val="en-US" w:eastAsia="zh-CN"/>
              </w:rPr>
              <w:t>法治</w:t>
            </w:r>
            <w:r>
              <w:rPr>
                <w:rFonts w:ascii="宋体" w:eastAsia="宋体" w:cs="宋体" w:hint="eastAsia"/>
                <w:i w:val="0"/>
                <w:iCs w:val="0"/>
                <w:color w:val="000000"/>
                <w:kern w:val="0"/>
                <w:sz w:val="13"/>
                <w:szCs w:val="13"/>
                <w:u w:val="none"/>
                <w:lang w:val="en-US" w:eastAsia="zh-CN"/>
              </w:rPr>
              <w:t>建设和参与汶川县经济社会发展进步的历程。</w:t>
            </w:r>
          </w:p>
        </w:tc>
      </w:tr>
      <w:tr>
        <w:trPr>
          <w:trHeight w:val="610"/>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892" w:type="pct"/>
            <w:gridSpan w:val="2"/>
            <w:tcBorders>
              <w:top w:val="single" w:sz="4" w:space="0" w:color="auto"/>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做好人大监督工作</w:t>
            </w:r>
          </w:p>
        </w:tc>
        <w:tc>
          <w:tcPr>
            <w:tcW w:w="3684" w:type="pct"/>
            <w:gridSpan w:val="6"/>
            <w:tcBorders>
              <w:top w:val="single" w:sz="4" w:space="0" w:color="auto"/>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紧紧围绕县委中心工作和政府重点工作，听取和审议工作报告，开展执法检查和重点课题调研，加强代表议案督办工作。</w:t>
            </w:r>
          </w:p>
        </w:tc>
      </w:tr>
      <w:tr>
        <w:trPr>
          <w:trHeight w:val="652"/>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892" w:type="pct"/>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做好人大代表工作</w:t>
            </w:r>
          </w:p>
        </w:tc>
        <w:tc>
          <w:tcPr>
            <w:tcW w:w="3684" w:type="pct"/>
            <w:gridSpan w:val="6"/>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为闭会期间县人</w:t>
            </w:r>
            <w:r>
              <w:rPr>
                <w:rFonts w:ascii="宋体" w:eastAsia="宋体" w:cs="宋体"/>
                <w:i w:val="0"/>
                <w:iCs w:val="0"/>
                <w:color w:val="000000"/>
                <w:kern w:val="0"/>
                <w:sz w:val="13"/>
                <w:szCs w:val="13"/>
                <w:u w:val="none"/>
                <w:lang w:val="en-US" w:eastAsia="zh-CN"/>
              </w:rPr>
              <w:t>大</w:t>
            </w:r>
            <w:r>
              <w:rPr>
                <w:rFonts w:ascii="宋体" w:eastAsia="宋体" w:cs="宋体" w:hint="eastAsia"/>
                <w:i w:val="0"/>
                <w:iCs w:val="0"/>
                <w:color w:val="000000"/>
                <w:kern w:val="0"/>
                <w:sz w:val="13"/>
                <w:szCs w:val="13"/>
                <w:u w:val="none"/>
                <w:lang w:val="en-US" w:eastAsia="zh-CN"/>
              </w:rPr>
              <w:t>代表活动提供经费保障，组织代表活动，加强代表培训，提高代表素质；开展人大常委会委员联系代表、代表联系选民的活动，收集代表和群众意见； 县人大代表参与视察、执法检查、工作评议和庭审等活动。</w:t>
            </w:r>
          </w:p>
        </w:tc>
      </w:tr>
      <w:tr>
        <w:trPr>
          <w:trHeight w:val="454"/>
        </w:trPr>
        <w:tc>
          <w:tcPr>
            <w:tcW w:w="422"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年度绩效指标</w:t>
            </w:r>
          </w:p>
        </w:tc>
        <w:tc>
          <w:tcPr>
            <w:tcW w:w="40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一级指标</w:t>
            </w:r>
          </w:p>
        </w:tc>
        <w:tc>
          <w:tcPr>
            <w:tcW w:w="484"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sz w:val="13"/>
                <w:szCs w:val="13"/>
              </w:rPr>
            </w:pPr>
            <w:r>
              <w:rPr>
                <w:rFonts w:ascii="宋体" w:eastAsia="宋体" w:cs="宋体" w:hint="eastAsia"/>
                <w:i w:val="0"/>
                <w:iCs w:val="0"/>
                <w:color w:val="000000"/>
                <w:kern w:val="0"/>
                <w:sz w:val="13"/>
                <w:szCs w:val="13"/>
                <w:u w:val="none"/>
                <w:lang w:val="en-US" w:eastAsia="zh-CN"/>
              </w:rPr>
              <w:t>二级指标</w:t>
            </w:r>
          </w:p>
        </w:tc>
        <w:tc>
          <w:tcPr>
            <w:tcW w:w="1273" w:type="pct"/>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center"/>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三级指标</w:t>
            </w:r>
          </w:p>
        </w:tc>
        <w:tc>
          <w:tcPr>
            <w:tcW w:w="467" w:type="pct"/>
            <w:tcBorders>
              <w:top w:val="nil"/>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spacing w:val="0"/>
                <w:sz w:val="13"/>
                <w:szCs w:val="13"/>
              </w:rPr>
            </w:pPr>
            <w:r>
              <w:rPr>
                <w:rFonts w:ascii="宋体" w:eastAsia="宋体" w:cs="宋体" w:hint="eastAsia"/>
                <w:i w:val="0"/>
                <w:iCs w:val="0"/>
                <w:color w:val="000000"/>
                <w:spacing w:val="0"/>
                <w:w w:val="79"/>
                <w:kern w:val="0"/>
                <w:sz w:val="13"/>
                <w:szCs w:val="13"/>
                <w:u w:val="none"/>
                <w:lang w:val="en-US" w:eastAsia="zh-CN"/>
              </w:rPr>
              <w:t>绩效指标性质</w:t>
            </w:r>
          </w:p>
        </w:tc>
        <w:tc>
          <w:tcPr>
            <w:tcW w:w="463" w:type="pct"/>
            <w:tcBorders>
              <w:top w:val="nil"/>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spacing w:val="0"/>
                <w:sz w:val="13"/>
                <w:szCs w:val="13"/>
              </w:rPr>
            </w:pPr>
            <w:r>
              <w:rPr>
                <w:rFonts w:ascii="宋体" w:eastAsia="宋体" w:cs="宋体" w:hint="eastAsia"/>
                <w:i w:val="0"/>
                <w:iCs w:val="0"/>
                <w:color w:val="000000"/>
                <w:spacing w:val="8"/>
                <w:w w:val="84"/>
                <w:kern w:val="0"/>
                <w:sz w:val="13"/>
                <w:szCs w:val="13"/>
                <w:u w:val="none"/>
                <w:lang w:val="en-US" w:eastAsia="zh-CN"/>
              </w:rPr>
              <w:t>绩效指标</w:t>
            </w:r>
            <w:r>
              <w:rPr>
                <w:rFonts w:ascii="宋体" w:eastAsia="宋体" w:cs="宋体" w:hint="eastAsia"/>
                <w:i w:val="0"/>
                <w:iCs w:val="0"/>
                <w:color w:val="000000"/>
                <w:spacing w:val="0"/>
                <w:w w:val="84"/>
                <w:kern w:val="0"/>
                <w:sz w:val="13"/>
                <w:szCs w:val="13"/>
                <w:u w:val="none"/>
                <w:lang w:val="en-US" w:eastAsia="zh-CN"/>
              </w:rPr>
              <w:t>值</w:t>
            </w:r>
          </w:p>
        </w:tc>
        <w:tc>
          <w:tcPr>
            <w:tcW w:w="427" w:type="pct"/>
            <w:tcBorders>
              <w:top w:val="nil"/>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spacing w:val="0"/>
                <w:w w:val="84"/>
                <w:kern w:val="0"/>
                <w:sz w:val="13"/>
                <w:szCs w:val="13"/>
                <w:u w:val="none"/>
                <w:lang w:val="en-US" w:eastAsia="zh-CN"/>
              </w:rPr>
            </w:pPr>
            <w:r>
              <w:rPr>
                <w:rFonts w:ascii="宋体" w:eastAsia="宋体" w:cs="宋体" w:hint="eastAsia"/>
                <w:i w:val="0"/>
                <w:iCs w:val="0"/>
                <w:color w:val="000000"/>
                <w:spacing w:val="3"/>
                <w:w w:val="66"/>
                <w:kern w:val="0"/>
                <w:sz w:val="13"/>
                <w:szCs w:val="13"/>
                <w:u w:val="none"/>
                <w:lang w:val="en-US" w:eastAsia="zh-CN"/>
              </w:rPr>
              <w:t>绩效度量单</w:t>
            </w:r>
            <w:r>
              <w:rPr>
                <w:rFonts w:ascii="宋体" w:eastAsia="宋体" w:cs="宋体" w:hint="eastAsia"/>
                <w:i w:val="0"/>
                <w:iCs w:val="0"/>
                <w:color w:val="000000"/>
                <w:spacing w:val="0"/>
                <w:w w:val="66"/>
                <w:kern w:val="0"/>
                <w:sz w:val="13"/>
                <w:szCs w:val="13"/>
                <w:u w:val="none"/>
                <w:lang w:val="en-US" w:eastAsia="zh-CN"/>
              </w:rPr>
              <w:t>位</w:t>
            </w:r>
          </w:p>
        </w:tc>
        <w:tc>
          <w:tcPr>
            <w:tcW w:w="427" w:type="pct"/>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center"/>
              <w:textAlignment w:val="center"/>
              <w:rPr>
                <w:rFonts w:ascii="宋体" w:eastAsia="宋体" w:cs="宋体" w:hint="eastAsia"/>
                <w:i w:val="0"/>
                <w:iCs w:val="0"/>
                <w:color w:val="000000"/>
                <w:w w:val="84"/>
                <w:kern w:val="0"/>
                <w:sz w:val="13"/>
                <w:szCs w:val="13"/>
                <w:u w:val="none"/>
                <w:lang w:val="en-US" w:eastAsia="zh-CN"/>
              </w:rPr>
            </w:pPr>
            <w:r>
              <w:rPr>
                <w:rFonts w:ascii="宋体" w:eastAsia="宋体" w:cs="宋体" w:hint="eastAsia"/>
                <w:i w:val="0"/>
                <w:iCs w:val="0"/>
                <w:color w:val="000000"/>
                <w:w w:val="84"/>
                <w:kern w:val="0"/>
                <w:sz w:val="13"/>
                <w:szCs w:val="13"/>
                <w:u w:val="none"/>
                <w:lang w:val="en-US" w:eastAsia="zh-CN"/>
              </w:rPr>
              <w:t>权重</w:t>
            </w:r>
          </w:p>
        </w:tc>
        <w:tc>
          <w:tcPr>
            <w:tcW w:w="625" w:type="pct"/>
            <w:tcBorders>
              <w:top w:val="nil"/>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sz w:val="13"/>
                <w:szCs w:val="13"/>
              </w:rPr>
            </w:pPr>
            <w:r>
              <w:rPr>
                <w:rFonts w:ascii="宋体" w:eastAsia="宋体" w:cs="宋体" w:hint="eastAsia"/>
                <w:i w:val="0"/>
                <w:iCs w:val="0"/>
                <w:color w:val="000000"/>
                <w:w w:val="84"/>
                <w:kern w:val="0"/>
                <w:sz w:val="13"/>
                <w:szCs w:val="13"/>
                <w:u w:val="none"/>
                <w:lang w:val="en-US" w:eastAsia="zh-CN"/>
              </w:rPr>
              <w:t>实际完成指标值</w:t>
            </w:r>
          </w:p>
        </w:tc>
      </w:tr>
      <w:tr>
        <w:trPr>
          <w:trHeight w:val="372"/>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产出指标</w:t>
            </w:r>
          </w:p>
        </w:tc>
        <w:tc>
          <w:tcPr>
            <w:tcW w:w="484"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数量指标</w:t>
            </w:r>
          </w:p>
        </w:tc>
        <w:tc>
          <w:tcPr>
            <w:tcW w:w="127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听取和审议工作报告</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20</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次</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28</w:t>
            </w:r>
          </w:p>
        </w:tc>
      </w:tr>
      <w:tr>
        <w:trPr>
          <w:trHeight w:val="427"/>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tcBorders>
              <w:top w:val="single" w:sz="4" w:space="0" w:color="000000"/>
              <w:left w:val="single" w:sz="4" w:space="0" w:color="000000"/>
              <w:bottom w:val="single" w:sz="4" w:space="0" w:color="000000"/>
              <w:right w:val="single" w:sz="4" w:space="0" w:color="000000"/>
            </w:tcBorders>
            <w:noWrap/>
            <w:vAlign w:val="center"/>
          </w:tcPr>
          <w:p/>
        </w:tc>
        <w:tc>
          <w:tcPr>
            <w:tcW w:w="484" w:type="pct"/>
            <w:vMerge/>
            <w:tcBorders>
              <w:top w:val="single" w:sz="4" w:space="0" w:color="000000"/>
              <w:left w:val="single" w:sz="4" w:space="0" w:color="000000"/>
              <w:bottom w:val="single" w:sz="4" w:space="0" w:color="000000"/>
              <w:right w:val="single" w:sz="4" w:space="0" w:color="000000"/>
            </w:tcBorders>
            <w:noWrap/>
            <w:vAlign w:val="center"/>
          </w:tcPr>
          <w:p/>
        </w:tc>
        <w:tc>
          <w:tcPr>
            <w:tcW w:w="1273" w:type="pct"/>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kern w:val="0"/>
                <w:sz w:val="13"/>
                <w:szCs w:val="13"/>
                <w:u w:val="none"/>
                <w:lang w:val="en-US" w:eastAsia="zh-CN"/>
              </w:rPr>
            </w:pPr>
            <w:r>
              <w:rPr>
                <w:rFonts w:ascii="宋体" w:eastAsia="宋体" w:cs="宋体" w:hint="eastAsia"/>
                <w:i w:val="0"/>
                <w:iCs w:val="0"/>
                <w:color w:val="000000"/>
                <w:spacing w:val="6"/>
                <w:w w:val="97"/>
                <w:kern w:val="0"/>
                <w:sz w:val="13"/>
                <w:szCs w:val="13"/>
                <w:u w:val="none"/>
                <w:lang w:val="en-US" w:eastAsia="zh-CN"/>
              </w:rPr>
              <w:t>组织代表开展集中视察和专题调</w:t>
            </w:r>
            <w:r>
              <w:rPr>
                <w:rFonts w:ascii="宋体" w:eastAsia="宋体" w:cs="宋体" w:hint="eastAsia"/>
                <w:i w:val="0"/>
                <w:iCs w:val="0"/>
                <w:color w:val="000000"/>
                <w:spacing w:val="0"/>
                <w:w w:val="97"/>
                <w:kern w:val="0"/>
                <w:sz w:val="13"/>
                <w:szCs w:val="13"/>
                <w:u w:val="none"/>
                <w:lang w:val="en-US" w:eastAsia="zh-CN"/>
              </w:rPr>
              <w:t>研</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8</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次</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9</w:t>
            </w:r>
          </w:p>
        </w:tc>
      </w:tr>
      <w:tr>
        <w:trPr>
          <w:trHeight w:val="283"/>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tcBorders>
              <w:top w:val="single" w:sz="4" w:space="0" w:color="000000"/>
              <w:left w:val="single" w:sz="4" w:space="0" w:color="000000"/>
              <w:bottom w:val="single" w:sz="4" w:space="0" w:color="000000"/>
              <w:right w:val="single" w:sz="4" w:space="0" w:color="000000"/>
            </w:tcBorders>
            <w:noWrap/>
            <w:vAlign w:val="center"/>
          </w:tcPr>
          <w:p/>
        </w:tc>
        <w:tc>
          <w:tcPr>
            <w:tcW w:w="484" w:type="pct"/>
            <w:vMerge/>
            <w:tcBorders>
              <w:top w:val="single" w:sz="4" w:space="0" w:color="000000"/>
              <w:left w:val="single" w:sz="4" w:space="0" w:color="000000"/>
              <w:bottom w:val="single" w:sz="4" w:space="0" w:color="000000"/>
              <w:right w:val="single" w:sz="4" w:space="0" w:color="000000"/>
            </w:tcBorders>
            <w:noWrap/>
            <w:vAlign w:val="center"/>
          </w:tcPr>
          <w:p/>
        </w:tc>
        <w:tc>
          <w:tcPr>
            <w:tcW w:w="1273" w:type="pct"/>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w w:val="97"/>
                <w:kern w:val="0"/>
                <w:sz w:val="13"/>
                <w:szCs w:val="13"/>
                <w:u w:val="none"/>
                <w:lang w:val="en-US" w:eastAsia="zh-CN"/>
              </w:rPr>
            </w:pPr>
            <w:r>
              <w:rPr>
                <w:rFonts w:ascii="宋体" w:eastAsia="宋体" w:cs="宋体" w:hint="eastAsia"/>
                <w:i w:val="0"/>
                <w:iCs w:val="0"/>
                <w:color w:val="000000"/>
                <w:spacing w:val="18"/>
                <w:w w:val="97"/>
                <w:kern w:val="0"/>
                <w:sz w:val="13"/>
                <w:szCs w:val="13"/>
                <w:u w:val="none"/>
                <w:lang w:val="en-US" w:eastAsia="zh-CN"/>
              </w:rPr>
              <w:t>召开人代会、常委会及主任</w:t>
            </w:r>
            <w:r>
              <w:rPr>
                <w:rFonts w:ascii="宋体" w:eastAsia="宋体" w:cs="宋体" w:hint="eastAsia"/>
                <w:i w:val="0"/>
                <w:iCs w:val="0"/>
                <w:color w:val="000000"/>
                <w:spacing w:val="0"/>
                <w:w w:val="97"/>
                <w:kern w:val="0"/>
                <w:sz w:val="13"/>
                <w:szCs w:val="13"/>
                <w:u w:val="none"/>
                <w:lang w:val="en-US" w:eastAsia="zh-CN"/>
              </w:rPr>
              <w:t>会</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lang w:val="en-US"/>
              </w:rPr>
            </w:pPr>
            <w:r>
              <w:rPr>
                <w:rFonts w:ascii="宋体" w:eastAsia="宋体" w:cs="宋体" w:hint="eastAsia"/>
                <w:i w:val="0"/>
                <w:iCs w:val="0"/>
                <w:color w:val="000000"/>
                <w:kern w:val="0"/>
                <w:sz w:val="13"/>
                <w:szCs w:val="13"/>
                <w:u w:val="none"/>
                <w:lang w:val="en-US" w:eastAsia="zh-CN"/>
              </w:rPr>
              <w:t>10</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次</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lang w:val="en-US"/>
              </w:rPr>
            </w:pPr>
            <w:r>
              <w:rPr>
                <w:rFonts w:ascii="宋体" w:eastAsia="宋体" w:cs="宋体" w:hint="eastAsia"/>
                <w:i w:val="0"/>
                <w:iCs w:val="0"/>
                <w:color w:val="000000"/>
                <w:kern w:val="0"/>
                <w:sz w:val="13"/>
                <w:szCs w:val="13"/>
                <w:u w:val="none"/>
                <w:lang w:val="en-US" w:eastAsia="zh-CN"/>
              </w:rPr>
              <w:t>16</w:t>
            </w:r>
          </w:p>
        </w:tc>
      </w:tr>
      <w:tr>
        <w:trPr>
          <w:trHeight w:val="326"/>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tcBorders>
              <w:top w:val="single" w:sz="4" w:space="0" w:color="000000"/>
              <w:left w:val="single" w:sz="4" w:space="0" w:color="000000"/>
              <w:bottom w:val="single" w:sz="4" w:space="0" w:color="000000"/>
              <w:right w:val="single" w:sz="4" w:space="0" w:color="000000"/>
            </w:tcBorders>
            <w:noWrap/>
            <w:vAlign w:val="center"/>
          </w:tcPr>
          <w:p/>
        </w:tc>
        <w:tc>
          <w:tcPr>
            <w:tcW w:w="484" w:type="pct"/>
            <w:vMerge/>
            <w:tcBorders>
              <w:top w:val="single" w:sz="4" w:space="0" w:color="000000"/>
              <w:left w:val="single" w:sz="4" w:space="0" w:color="000000"/>
              <w:bottom w:val="single" w:sz="4" w:space="0" w:color="000000"/>
              <w:right w:val="single" w:sz="4" w:space="0" w:color="000000"/>
            </w:tcBorders>
            <w:noWrap/>
            <w:vAlign w:val="center"/>
          </w:tcPr>
          <w:p/>
        </w:tc>
        <w:tc>
          <w:tcPr>
            <w:tcW w:w="1273" w:type="pct"/>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w w:val="97"/>
                <w:kern w:val="0"/>
                <w:sz w:val="13"/>
                <w:szCs w:val="13"/>
                <w:u w:val="none"/>
                <w:lang w:val="en-US" w:eastAsia="zh-CN"/>
              </w:rPr>
            </w:pPr>
            <w:r>
              <w:rPr>
                <w:rFonts w:ascii="宋体" w:eastAsia="宋体" w:cs="宋体" w:hint="eastAsia"/>
                <w:i w:val="0"/>
                <w:iCs w:val="0"/>
                <w:color w:val="000000"/>
                <w:spacing w:val="25"/>
                <w:w w:val="97"/>
                <w:kern w:val="0"/>
                <w:sz w:val="13"/>
                <w:szCs w:val="13"/>
                <w:u w:val="none"/>
                <w:lang w:val="en-US" w:eastAsia="zh-CN"/>
              </w:rPr>
              <w:t>组织人大代表培训交流人</w:t>
            </w:r>
            <w:r>
              <w:rPr>
                <w:rFonts w:ascii="宋体" w:eastAsia="宋体" w:cs="宋体" w:hint="eastAsia"/>
                <w:i w:val="0"/>
                <w:iCs w:val="0"/>
                <w:color w:val="000000"/>
                <w:spacing w:val="0"/>
                <w:w w:val="97"/>
                <w:kern w:val="0"/>
                <w:sz w:val="13"/>
                <w:szCs w:val="13"/>
                <w:u w:val="none"/>
                <w:lang w:val="en-US" w:eastAsia="zh-CN"/>
              </w:rPr>
              <w:t>次</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400</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人次</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410</w:t>
            </w:r>
          </w:p>
        </w:tc>
      </w:tr>
      <w:tr>
        <w:trPr>
          <w:trHeight w:val="358"/>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tcBorders>
              <w:top w:val="single" w:sz="4" w:space="0" w:color="000000"/>
              <w:left w:val="single" w:sz="4" w:space="0" w:color="000000"/>
              <w:bottom w:val="single" w:sz="4" w:space="0" w:color="000000"/>
              <w:right w:val="single" w:sz="4" w:space="0" w:color="000000"/>
            </w:tcBorders>
            <w:noWrap/>
            <w:vAlign w:val="center"/>
          </w:tcPr>
          <w:p/>
        </w:tc>
        <w:tc>
          <w:tcPr>
            <w:tcW w:w="484"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质量指标</w:t>
            </w:r>
          </w:p>
        </w:tc>
        <w:tc>
          <w:tcPr>
            <w:tcW w:w="127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kern w:val="0"/>
                <w:sz w:val="13"/>
                <w:szCs w:val="13"/>
                <w:u w:val="none"/>
                <w:lang w:val="en-US" w:eastAsia="zh-CN"/>
              </w:rPr>
            </w:pPr>
            <w:r>
              <w:rPr>
                <w:rFonts w:ascii="宋体" w:eastAsia="宋体" w:cs="宋体" w:hint="eastAsia"/>
                <w:i w:val="0"/>
                <w:iCs w:val="0"/>
                <w:color w:val="000000"/>
                <w:kern w:val="0"/>
                <w:sz w:val="13"/>
                <w:szCs w:val="13"/>
                <w:u w:val="none"/>
                <w:lang w:val="en-US" w:eastAsia="zh-CN"/>
              </w:rPr>
              <w:t>推动化解信访件数</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2</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件</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3</w:t>
            </w:r>
          </w:p>
        </w:tc>
      </w:tr>
      <w:tr>
        <w:trPr>
          <w:trHeight w:val="405"/>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tcBorders>
              <w:top w:val="single" w:sz="4" w:space="0" w:color="000000"/>
              <w:left w:val="single" w:sz="4" w:space="0" w:color="000000"/>
              <w:bottom w:val="single" w:sz="4" w:space="0" w:color="000000"/>
              <w:right w:val="single" w:sz="4" w:space="0" w:color="000000"/>
            </w:tcBorders>
            <w:noWrap/>
            <w:vAlign w:val="center"/>
          </w:tcPr>
          <w:p/>
        </w:tc>
        <w:tc>
          <w:tcPr>
            <w:tcW w:w="484"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时效指标</w:t>
            </w:r>
          </w:p>
        </w:tc>
        <w:tc>
          <w:tcPr>
            <w:tcW w:w="127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收到提交规范性文件备案审查时间</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30</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天</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lang w:val="en-US"/>
              </w:rPr>
            </w:pPr>
            <w:r>
              <w:rPr>
                <w:rFonts w:ascii="宋体" w:eastAsia="宋体" w:cs="宋体" w:hint="eastAsia"/>
                <w:i w:val="0"/>
                <w:iCs w:val="0"/>
                <w:color w:val="000000"/>
                <w:kern w:val="0"/>
                <w:sz w:val="13"/>
                <w:szCs w:val="13"/>
                <w:u w:val="none"/>
                <w:lang w:val="en-US" w:eastAsia="zh-CN"/>
              </w:rPr>
              <w:t>30</w:t>
            </w:r>
          </w:p>
        </w:tc>
      </w:tr>
      <w:tr>
        <w:trPr>
          <w:trHeight w:val="357"/>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val="restart"/>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0"/>
                <w:w w:val="99"/>
                <w:kern w:val="0"/>
                <w:sz w:val="13"/>
                <w:szCs w:val="13"/>
                <w:u w:val="none"/>
                <w:lang w:val="en-US" w:eastAsia="zh-CN"/>
              </w:rPr>
              <w:t>效益指标</w:t>
            </w:r>
          </w:p>
        </w:tc>
        <w:tc>
          <w:tcPr>
            <w:tcW w:w="484" w:type="pct"/>
            <w:vMerge w:val="restart"/>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0"/>
                <w:w w:val="83"/>
                <w:kern w:val="0"/>
                <w:sz w:val="13"/>
                <w:szCs w:val="13"/>
                <w:u w:val="none"/>
                <w:lang w:val="en-US" w:eastAsia="zh-CN"/>
              </w:rPr>
              <w:t>社会效益指标</w:t>
            </w:r>
          </w:p>
        </w:tc>
        <w:tc>
          <w:tcPr>
            <w:tcW w:w="127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对社会关系的调整规范</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定性</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有效</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其他</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有效</w:t>
            </w:r>
          </w:p>
        </w:tc>
      </w:tr>
      <w:tr>
        <w:trPr>
          <w:trHeight w:val="341"/>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vMerge/>
            <w:tcBorders>
              <w:top w:val="single" w:sz="4" w:space="0" w:color="000000"/>
              <w:left w:val="single" w:sz="4" w:space="0" w:color="000000"/>
              <w:bottom w:val="single" w:sz="4" w:space="0" w:color="000000"/>
              <w:right w:val="single" w:sz="4" w:space="0" w:color="000000"/>
            </w:tcBorders>
            <w:noWrap/>
            <w:tcFitText/>
            <w:vAlign w:val="center"/>
          </w:tcPr>
          <w:p/>
        </w:tc>
        <w:tc>
          <w:tcPr>
            <w:tcW w:w="484" w:type="pct"/>
            <w:vMerge/>
            <w:tcBorders>
              <w:top w:val="single" w:sz="4" w:space="0" w:color="000000"/>
              <w:left w:val="single" w:sz="4" w:space="0" w:color="000000"/>
              <w:bottom w:val="single" w:sz="4" w:space="0" w:color="000000"/>
              <w:right w:val="single" w:sz="4" w:space="0" w:color="000000"/>
            </w:tcBorders>
            <w:noWrap/>
            <w:tcFitText/>
            <w:vAlign w:val="center"/>
          </w:tcPr>
          <w:p/>
        </w:tc>
        <w:tc>
          <w:tcPr>
            <w:tcW w:w="127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监督政府依法行政</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定性</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好</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其他</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好</w:t>
            </w:r>
          </w:p>
        </w:tc>
      </w:tr>
      <w:tr>
        <w:trPr>
          <w:trHeight w:val="436"/>
        </w:trPr>
        <w:tc>
          <w:tcPr>
            <w:tcW w:w="422" w:type="pct"/>
            <w:vMerge/>
            <w:tcBorders>
              <w:top w:val="single" w:sz="4" w:space="0" w:color="000000"/>
              <w:left w:val="single" w:sz="4" w:space="0" w:color="000000"/>
              <w:bottom w:val="single" w:sz="4" w:space="0" w:color="000000"/>
              <w:right w:val="single" w:sz="4" w:space="0" w:color="000000"/>
            </w:tcBorders>
            <w:noWrap/>
            <w:vAlign w:val="center"/>
          </w:tcPr>
          <w:p/>
        </w:tc>
        <w:tc>
          <w:tcPr>
            <w:tcW w:w="408" w:type="pct"/>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0"/>
                <w:w w:val="78"/>
                <w:kern w:val="0"/>
                <w:sz w:val="13"/>
                <w:szCs w:val="13"/>
                <w:u w:val="none"/>
                <w:lang w:val="en-US" w:eastAsia="zh-CN"/>
              </w:rPr>
              <w:t>满意度指标</w:t>
            </w:r>
          </w:p>
        </w:tc>
        <w:tc>
          <w:tcPr>
            <w:tcW w:w="484" w:type="pct"/>
            <w:tcBorders>
              <w:top w:val="single" w:sz="4" w:space="0" w:color="000000"/>
              <w:left w:val="single" w:sz="4" w:space="0" w:color="000000"/>
              <w:bottom w:val="single" w:sz="4" w:space="0" w:color="000000"/>
              <w:right w:val="single" w:sz="4" w:space="0" w:color="000000"/>
            </w:tcBorders>
            <w:noWrap/>
            <w:tcFitText/>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sz w:val="13"/>
                <w:szCs w:val="13"/>
                <w:u w:val="none"/>
              </w:rPr>
            </w:pPr>
            <w:r>
              <w:rPr>
                <w:rFonts w:ascii="宋体" w:eastAsia="宋体" w:cs="宋体" w:hint="eastAsia"/>
                <w:i w:val="0"/>
                <w:iCs w:val="0"/>
                <w:color w:val="000000"/>
                <w:spacing w:val="0"/>
                <w:kern w:val="0"/>
                <w:sz w:val="13"/>
                <w:szCs w:val="13"/>
                <w:u w:val="none"/>
                <w:lang w:val="en-US" w:eastAsia="zh-CN"/>
              </w:rPr>
              <w:t>满意度指标</w:t>
            </w:r>
          </w:p>
        </w:tc>
        <w:tc>
          <w:tcPr>
            <w:tcW w:w="127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社会公众对人大工作的满意度指标</w:t>
            </w:r>
          </w:p>
        </w:tc>
        <w:tc>
          <w:tcPr>
            <w:tcW w:w="46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定性</w:t>
            </w:r>
          </w:p>
        </w:tc>
        <w:tc>
          <w:tcPr>
            <w:tcW w:w="463"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高</w:t>
            </w:r>
          </w:p>
        </w:tc>
        <w:tc>
          <w:tcPr>
            <w:tcW w:w="42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其他</w:t>
            </w:r>
          </w:p>
        </w:tc>
        <w:tc>
          <w:tcPr>
            <w:tcW w:w="427" w:type="pct"/>
            <w:tcBorders>
              <w:top w:val="single" w:sz="4" w:space="0" w:color="000000"/>
              <w:left w:val="single" w:sz="4" w:space="0" w:color="000000"/>
              <w:bottom w:val="single" w:sz="4" w:space="0" w:color="000000"/>
              <w:right w:val="nil"/>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10</w:t>
            </w:r>
          </w:p>
        </w:tc>
        <w:tc>
          <w:tcPr>
            <w:tcW w:w="6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60"/>
              <w:jc w:val="left"/>
              <w:textAlignment w:val="center"/>
              <w:rPr>
                <w:rFonts w:ascii="宋体" w:eastAsia="宋体" w:cs="宋体" w:hint="eastAsia"/>
                <w:i w:val="0"/>
                <w:iCs w:val="0"/>
                <w:color w:val="000000"/>
                <w:sz w:val="13"/>
                <w:szCs w:val="13"/>
                <w:u w:val="none"/>
              </w:rPr>
            </w:pPr>
            <w:r>
              <w:rPr>
                <w:rFonts w:ascii="宋体" w:eastAsia="宋体" w:cs="宋体" w:hint="eastAsia"/>
                <w:i w:val="0"/>
                <w:iCs w:val="0"/>
                <w:color w:val="000000"/>
                <w:kern w:val="0"/>
                <w:sz w:val="13"/>
                <w:szCs w:val="13"/>
                <w:u w:val="none"/>
                <w:lang w:val="en-US" w:eastAsia="zh-CN"/>
              </w:rPr>
              <w:t>高</w:t>
            </w:r>
          </w:p>
        </w:tc>
      </w:tr>
    </w:tbl>
    <w:p>
      <w:pPr>
        <w:keepNext w:val="0"/>
        <w:keepLines w:val="0"/>
        <w:pageBreakBefore w:val="0"/>
        <w:widowControl w:val="0"/>
        <w:kinsoku/>
        <w:wordWrap/>
        <w:overflowPunct/>
        <w:topLinePunct w:val="0"/>
        <w:autoSpaceDE/>
        <w:autoSpaceDN/>
        <w:bidi w:val="0"/>
        <w:adjustRightInd/>
        <w:snapToGrid/>
        <w:spacing w:line="240" w:lineRule="auto"/>
        <w:ind w:left="0" w:firstLineChars="200" w:firstLine="800"/>
        <w:jc w:val="center"/>
        <w:textAlignment w:val="auto"/>
        <w:rPr>
          <w:rFonts w:ascii="方正小标宋简体" w:eastAsia="方正小标宋简体" w:cs="方正小标宋简体" w:hint="eastAsia"/>
          <w:spacing w:val="-20"/>
          <w:kern w:val="1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仿宋_GB2312" w:eastAsia="仿宋_GB2312" w:cs="仿宋_GB2312" w:hint="eastAsia"/>
          <w:color w:val="000000"/>
          <w:sz w:val="32"/>
          <w:szCs w:val="32"/>
          <w:lang w:val="en-US" w:eastAsia="zh-CN"/>
        </w:rPr>
      </w:pPr>
      <w:r>
        <w:rPr>
          <w:rFonts w:ascii="仿宋_GB2312" w:eastAsia="仿宋_GB2312" w:cs="仿宋_GB2312" w:hint="eastAsia"/>
          <w:color w:val="000000"/>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800"/>
        <w:jc w:val="center"/>
        <w:textAlignment w:val="auto"/>
        <w:rPr>
          <w:rFonts w:ascii="方正小标宋简体" w:eastAsia="方正小标宋简体" w:cs="方正小标宋简体" w:hint="eastAsia"/>
          <w:spacing w:val="-20"/>
          <w:kern w:val="10"/>
          <w:sz w:val="44"/>
          <w:szCs w:val="44"/>
        </w:rPr>
      </w:pPr>
      <w:r>
        <w:rPr>
          <w:rFonts w:ascii="方正小标宋简体" w:eastAsia="方正小标宋简体" w:cs="方正小标宋简体" w:hint="eastAsia"/>
          <w:spacing w:val="-20"/>
          <w:kern w:val="10"/>
          <w:sz w:val="44"/>
          <w:szCs w:val="44"/>
          <w:lang w:val="en-US" w:eastAsia="zh-CN"/>
        </w:rPr>
        <w:t>2025年</w:t>
      </w:r>
      <w:r>
        <w:rPr>
          <w:rFonts w:ascii="方正小标宋简体" w:eastAsia="方正小标宋简体" w:cs="方正小标宋简体" w:hint="eastAsia"/>
          <w:spacing w:val="-20"/>
          <w:kern w:val="10"/>
          <w:sz w:val="44"/>
          <w:szCs w:val="44"/>
        </w:rPr>
        <w:t>人大监督</w:t>
      </w:r>
      <w:r>
        <w:rPr>
          <w:rFonts w:ascii="方正小标宋简体" w:eastAsia="方正小标宋简体" w:cs="方正小标宋简体" w:hint="eastAsia"/>
          <w:spacing w:val="-20"/>
          <w:kern w:val="10"/>
          <w:sz w:val="44"/>
          <w:szCs w:val="44"/>
          <w:lang w:val="en-US" w:eastAsia="zh-CN"/>
        </w:rPr>
        <w:t>项目</w:t>
      </w:r>
      <w:r>
        <w:rPr>
          <w:rFonts w:ascii="方正小标宋简体" w:eastAsia="方正小标宋简体" w:cs="方正小标宋简体" w:hint="eastAsia"/>
          <w:spacing w:val="-20"/>
          <w:kern w:val="10"/>
          <w:sz w:val="44"/>
          <w:szCs w:val="44"/>
        </w:rPr>
        <w:t>支出绩效评价报告</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rPr>
      </w:pPr>
      <w:r>
        <w:rPr>
          <w:rFonts w:ascii="黑体" w:eastAsia="黑体" w:cs="黑体" w:hint="eastAsia"/>
          <w:sz w:val="32"/>
          <w:szCs w:val="32"/>
        </w:rPr>
        <w:t>一、评价工作开展及项目情况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方正楷体_GBK" w:eastAsia="方正楷体_GBK" w:cs="方正楷体_GBK" w:hint="eastAsia"/>
          <w:b w:val="0"/>
          <w:bCs/>
          <w:lang w:val="zh-CN"/>
        </w:rPr>
      </w:pPr>
      <w:r>
        <w:rPr>
          <w:rFonts w:ascii="楷体_GB2312" w:eastAsia="楷体_GB2312" w:cs="楷体_GB2312" w:hint="eastAsia"/>
          <w:b/>
          <w:bCs w:val="0"/>
          <w:sz w:val="32"/>
          <w:szCs w:val="32"/>
          <w:lang w:val="zh-CN"/>
        </w:rPr>
        <w:t>（一）项目资金申报及批复情况。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color w:val="000000"/>
          <w:sz w:val="32"/>
          <w:szCs w:val="32"/>
          <w:lang w:val="en-US" w:eastAsia="zh-CN"/>
        </w:rPr>
        <w:t>1.</w:t>
      </w:r>
      <w:r>
        <w:rPr>
          <w:rFonts w:ascii="仿宋_GB2312" w:eastAsia="仿宋_GB2312" w:cs="仿宋_GB2312" w:hint="eastAsia"/>
          <w:color w:val="000000"/>
          <w:sz w:val="32"/>
          <w:szCs w:val="32"/>
        </w:rPr>
        <w:t>听取审议工作报告</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 xml:space="preserve"> </w:t>
      </w:r>
      <w:r>
        <w:rPr>
          <w:rFonts w:ascii="仿宋_GB2312" w:eastAsia="仿宋_GB2312" w:cs="仿宋_GB2312" w:hint="eastAsia"/>
          <w:color w:val="000000"/>
          <w:sz w:val="32"/>
          <w:szCs w:val="32"/>
          <w:lang w:val="en-US" w:eastAsia="zh-CN"/>
        </w:rPr>
        <w:t>2.</w:t>
      </w:r>
      <w:r>
        <w:rPr>
          <w:rFonts w:ascii="仿宋_GB2312" w:eastAsia="仿宋_GB2312" w:cs="仿宋_GB2312" w:hint="eastAsia"/>
          <w:color w:val="000000"/>
          <w:sz w:val="32"/>
          <w:szCs w:val="32"/>
        </w:rPr>
        <w:t>开展执法检查</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 xml:space="preserve"> </w:t>
      </w:r>
      <w:r>
        <w:rPr>
          <w:rFonts w:ascii="仿宋_GB2312" w:eastAsia="仿宋_GB2312" w:cs="仿宋_GB2312" w:hint="eastAsia"/>
          <w:color w:val="000000"/>
          <w:sz w:val="32"/>
          <w:szCs w:val="32"/>
          <w:lang w:val="en-US" w:eastAsia="zh-CN"/>
        </w:rPr>
        <w:t>3.</w:t>
      </w:r>
      <w:r>
        <w:rPr>
          <w:rFonts w:ascii="仿宋_GB2312" w:eastAsia="仿宋_GB2312" w:cs="仿宋_GB2312" w:hint="eastAsia"/>
          <w:color w:val="000000"/>
          <w:sz w:val="32"/>
          <w:szCs w:val="32"/>
        </w:rPr>
        <w:t>开展视察、调研</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 xml:space="preserve"> </w:t>
      </w:r>
      <w:r>
        <w:rPr>
          <w:rFonts w:ascii="仿宋_GB2312" w:eastAsia="仿宋_GB2312" w:cs="仿宋_GB2312" w:hint="eastAsia"/>
          <w:color w:val="000000"/>
          <w:sz w:val="32"/>
          <w:szCs w:val="32"/>
          <w:lang w:val="en-US" w:eastAsia="zh-CN"/>
        </w:rPr>
        <w:t>4.</w:t>
      </w:r>
      <w:r>
        <w:rPr>
          <w:rFonts w:ascii="仿宋_GB2312" w:eastAsia="仿宋_GB2312" w:cs="仿宋_GB2312" w:hint="eastAsia"/>
          <w:color w:val="000000"/>
          <w:sz w:val="32"/>
          <w:szCs w:val="32"/>
        </w:rPr>
        <w:t>强化对审议意见落实和代表意见建议的办理的监督</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 xml:space="preserve"> </w:t>
      </w:r>
      <w:r>
        <w:rPr>
          <w:rFonts w:ascii="仿宋_GB2312" w:eastAsia="仿宋_GB2312" w:cs="仿宋_GB2312" w:hint="eastAsia"/>
          <w:color w:val="000000"/>
          <w:sz w:val="32"/>
          <w:szCs w:val="32"/>
          <w:lang w:val="en-US" w:eastAsia="zh-CN"/>
        </w:rPr>
        <w:t>5.</w:t>
      </w:r>
      <w:r>
        <w:rPr>
          <w:rFonts w:ascii="仿宋_GB2312" w:eastAsia="仿宋_GB2312" w:cs="仿宋_GB2312" w:hint="eastAsia"/>
          <w:color w:val="000000"/>
          <w:sz w:val="32"/>
          <w:szCs w:val="32"/>
        </w:rPr>
        <w:t>强化对人民群众来信来访的接待办理和监督</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lang w:val="en-US" w:eastAsia="zh-CN"/>
        </w:rPr>
        <w:t>6.</w:t>
      </w:r>
      <w:r>
        <w:rPr>
          <w:rFonts w:ascii="仿宋_GB2312" w:eastAsia="仿宋_GB2312" w:cs="仿宋_GB2312" w:hint="eastAsia"/>
          <w:color w:val="000000"/>
          <w:sz w:val="32"/>
          <w:szCs w:val="32"/>
        </w:rPr>
        <w:t>通过任前任后监督等措施加强对“一府</w:t>
      </w:r>
      <w:r>
        <w:rPr>
          <w:rFonts w:ascii="仿宋_GB2312" w:eastAsia="仿宋_GB2312" w:cs="仿宋_GB2312" w:hint="eastAsia"/>
          <w:color w:val="000000"/>
          <w:sz w:val="32"/>
          <w:szCs w:val="32"/>
          <w:lang w:val="en-US" w:eastAsia="zh-CN"/>
        </w:rPr>
        <w:t>一委</w:t>
      </w:r>
      <w:r>
        <w:rPr>
          <w:rFonts w:ascii="仿宋_GB2312" w:eastAsia="仿宋_GB2312" w:cs="仿宋_GB2312" w:hint="eastAsia"/>
          <w:color w:val="000000"/>
          <w:sz w:val="32"/>
          <w:szCs w:val="32"/>
        </w:rPr>
        <w:t>两院”工作人员监督</w:t>
      </w:r>
      <w:r>
        <w:rPr>
          <w:rFonts w:ascii="仿宋_GB2312" w:eastAsia="仿宋_GB2312" w:cs="仿宋_GB2312" w:hint="eastAsia"/>
          <w:color w:val="000000"/>
          <w:sz w:val="32"/>
          <w:szCs w:val="32"/>
          <w:lang w:eastAsia="zh-CN"/>
        </w:rPr>
        <w:t>。</w:t>
      </w:r>
      <w:r>
        <w:rPr>
          <w:rFonts w:ascii="仿宋_GB2312" w:eastAsia="仿宋_GB2312" w:cs="仿宋_GB2312" w:hint="eastAsia"/>
          <w:sz w:val="32"/>
          <w:szCs w:val="32"/>
          <w:lang w:val="en-US" w:eastAsia="zh-CN"/>
        </w:rPr>
        <w:t>需资金：人大</w:t>
      </w:r>
      <w:r>
        <w:rPr>
          <w:rStyle w:val="0"/>
          <w:rFonts w:ascii="仿宋_GB2312" w:eastAsia="仿宋_GB2312" w:cs="仿宋_GB2312" w:hint="eastAsia"/>
          <w:kern w:val="2"/>
          <w:sz w:val="32"/>
          <w:szCs w:val="32"/>
          <w:lang w:val="en-US" w:eastAsia="zh-CN" w:bidi="ar-SA"/>
        </w:rPr>
        <w:t>监督工作经费25万元，来源为一般预算拨款25万元，实际下达年初预算资金25万元。</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lang w:val="zh-CN"/>
        </w:rPr>
      </w:pPr>
      <w:r>
        <w:rPr>
          <w:rFonts w:ascii="楷体_GB2312" w:eastAsia="楷体_GB2312" w:cs="楷体_GB2312" w:hint="eastAsia"/>
          <w:b/>
          <w:bCs w:val="0"/>
          <w:sz w:val="32"/>
          <w:szCs w:val="32"/>
          <w:lang w:val="zh-CN"/>
        </w:rPr>
        <w:t>（</w:t>
      </w:r>
      <w:r>
        <w:rPr>
          <w:rFonts w:ascii="楷体_GB2312" w:eastAsia="楷体_GB2312" w:cs="楷体_GB2312" w:hint="eastAsia"/>
          <w:b/>
          <w:bCs w:val="0"/>
          <w:sz w:val="32"/>
          <w:szCs w:val="32"/>
          <w:lang w:val="en-US" w:eastAsia="zh-CN"/>
        </w:rPr>
        <w:t>二</w:t>
      </w:r>
      <w:r>
        <w:rPr>
          <w:rFonts w:ascii="楷体_GB2312" w:eastAsia="楷体_GB2312" w:cs="楷体_GB2312" w:hint="eastAsia"/>
          <w:b/>
          <w:bCs w:val="0"/>
          <w:sz w:val="32"/>
          <w:szCs w:val="32"/>
          <w:lang w:val="zh-CN"/>
        </w:rPr>
        <w:t>）项目绩效目标。</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color w:val="000000"/>
          <w:sz w:val="32"/>
          <w:szCs w:val="32"/>
          <w:lang w:val="en-US" w:eastAsia="zh-CN"/>
        </w:rPr>
      </w:pPr>
      <w:r>
        <w:rPr>
          <w:rFonts w:ascii="仿宋_GB2312" w:eastAsia="仿宋_GB2312" w:cs="仿宋_GB2312"/>
          <w:color w:val="000000"/>
          <w:sz w:val="32"/>
          <w:szCs w:val="32"/>
          <w:lang w:val="en-US" w:eastAsia="zh-CN"/>
        </w:rPr>
        <w:t>完成调研工作</w:t>
      </w:r>
      <w:r>
        <w:rPr>
          <w:rFonts w:ascii="仿宋_GB2312" w:eastAsia="仿宋_GB2312" w:cs="仿宋_GB2312" w:hint="eastAsia"/>
          <w:color w:val="000000"/>
          <w:sz w:val="32"/>
          <w:szCs w:val="32"/>
          <w:lang w:val="en-US" w:eastAsia="zh-CN"/>
        </w:rPr>
        <w:t>；</w:t>
      </w:r>
      <w:r>
        <w:rPr>
          <w:rFonts w:ascii="仿宋_GB2312" w:eastAsia="仿宋_GB2312" w:cs="仿宋_GB2312"/>
          <w:color w:val="000000"/>
          <w:sz w:val="32"/>
          <w:szCs w:val="32"/>
          <w:lang w:val="en-US" w:eastAsia="zh-CN"/>
        </w:rPr>
        <w:t>履行监督职责；组织代表邀请专家参与监督，提升监督能力；完善预算联网监督平台</w:t>
      </w:r>
      <w:r>
        <w:rPr>
          <w:rFonts w:ascii="仿宋_GB2312" w:eastAsia="仿宋_GB2312" w:cs="仿宋_GB2312" w:hint="eastAsia"/>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w:t>
      </w:r>
      <w:r>
        <w:rPr>
          <w:rFonts w:ascii="楷体_GB2312" w:eastAsia="楷体_GB2312" w:cs="楷体_GB2312" w:hint="eastAsia"/>
          <w:b/>
          <w:bCs w:val="0"/>
          <w:sz w:val="32"/>
          <w:szCs w:val="32"/>
          <w:lang w:val="en-US" w:eastAsia="zh-CN"/>
        </w:rPr>
        <w:t>三</w:t>
      </w:r>
      <w:r>
        <w:rPr>
          <w:rFonts w:ascii="楷体_GB2312" w:eastAsia="楷体_GB2312" w:cs="楷体_GB2312" w:hint="eastAsia"/>
          <w:b/>
          <w:bCs w:val="0"/>
          <w:sz w:val="32"/>
          <w:szCs w:val="32"/>
          <w:lang w:val="zh-CN"/>
        </w:rPr>
        <w:t>）项目资金申报相符性。</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color w:val="000000"/>
          <w:sz w:val="32"/>
          <w:szCs w:val="32"/>
          <w:lang w:val="en-US" w:eastAsia="zh-CN"/>
        </w:rPr>
      </w:pPr>
      <w:r>
        <w:rPr>
          <w:rFonts w:ascii="仿宋_GB2312" w:eastAsia="仿宋_GB2312" w:cs="仿宋_GB2312"/>
          <w:color w:val="000000"/>
          <w:sz w:val="32"/>
          <w:szCs w:val="32"/>
          <w:lang w:val="en-US" w:eastAsia="zh-CN"/>
        </w:rPr>
        <w:t>人大</w:t>
      </w:r>
      <w:r>
        <w:rPr>
          <w:rFonts w:ascii="仿宋_GB2312" w:eastAsia="仿宋_GB2312" w:cs="仿宋_GB2312" w:hint="eastAsia"/>
          <w:color w:val="000000"/>
          <w:sz w:val="32"/>
          <w:szCs w:val="32"/>
          <w:lang w:val="en-US" w:eastAsia="zh-CN"/>
        </w:rPr>
        <w:t>监督</w:t>
      </w:r>
      <w:r>
        <w:rPr>
          <w:rFonts w:ascii="仿宋_GB2312" w:eastAsia="仿宋_GB2312" w:cs="仿宋_GB2312"/>
          <w:color w:val="000000"/>
          <w:sz w:val="32"/>
          <w:szCs w:val="32"/>
          <w:lang w:val="en-US" w:eastAsia="zh-CN"/>
        </w:rPr>
        <w:t>工作经费年初申报预算</w:t>
      </w:r>
      <w:r>
        <w:rPr>
          <w:rFonts w:ascii="仿宋_GB2312" w:eastAsia="仿宋_GB2312" w:cs="仿宋_GB2312" w:hint="eastAsia"/>
          <w:color w:val="000000"/>
          <w:sz w:val="32"/>
          <w:szCs w:val="32"/>
          <w:lang w:val="en-US" w:eastAsia="zh-CN"/>
        </w:rPr>
        <w:t>25</w:t>
      </w:r>
      <w:r>
        <w:rPr>
          <w:rFonts w:ascii="仿宋_GB2312" w:eastAsia="仿宋_GB2312" w:cs="仿宋_GB2312"/>
          <w:color w:val="000000"/>
          <w:sz w:val="32"/>
          <w:szCs w:val="32"/>
          <w:lang w:val="en-US" w:eastAsia="zh-CN"/>
        </w:rPr>
        <w:t>万元，实际下达预算资金总额</w:t>
      </w:r>
      <w:r>
        <w:rPr>
          <w:rFonts w:ascii="仿宋_GB2312" w:eastAsia="仿宋_GB2312" w:cs="仿宋_GB2312" w:hint="eastAsia"/>
          <w:color w:val="000000"/>
          <w:sz w:val="32"/>
          <w:szCs w:val="32"/>
          <w:lang w:val="en-US" w:eastAsia="zh-CN"/>
        </w:rPr>
        <w:t>25</w:t>
      </w:r>
      <w:r>
        <w:rPr>
          <w:rFonts w:ascii="仿宋_GB2312" w:eastAsia="仿宋_GB2312" w:cs="仿宋_GB2312"/>
          <w:color w:val="000000"/>
          <w:sz w:val="32"/>
          <w:szCs w:val="32"/>
          <w:lang w:val="en-US" w:eastAsia="zh-CN"/>
        </w:rPr>
        <w:t>万元，资金来源于财政拨款</w:t>
      </w:r>
      <w:r>
        <w:rPr>
          <w:rFonts w:ascii="仿宋_GB2312" w:eastAsia="仿宋_GB2312" w:cs="仿宋_GB2312" w:hint="eastAsia"/>
          <w:color w:val="000000"/>
          <w:sz w:val="32"/>
          <w:szCs w:val="32"/>
          <w:lang w:val="en-US" w:eastAsia="zh-CN"/>
        </w:rPr>
        <w:t>，调整后预算数5.22万元</w:t>
      </w:r>
      <w:r>
        <w:rPr>
          <w:rFonts w:ascii="仿宋_GB2312" w:eastAsia="仿宋_GB2312" w:cs="仿宋_GB2312"/>
          <w:color w:val="000000"/>
          <w:sz w:val="32"/>
          <w:szCs w:val="32"/>
          <w:lang w:val="en-US" w:eastAsia="zh-CN"/>
        </w:rPr>
        <w:t>。费用开支标准沿用历史标准测算，依据充分且符合财务管理相关规定</w:t>
      </w:r>
      <w:r>
        <w:rPr>
          <w:rFonts w:ascii="仿宋_GB2312" w:eastAsia="仿宋_GB2312" w:cs="仿宋_GB2312" w:hint="eastAsia"/>
          <w:color w:val="000000"/>
          <w:sz w:val="32"/>
          <w:szCs w:val="32"/>
          <w:lang w:val="en-US" w:eastAsia="zh-CN"/>
        </w:rPr>
        <w:t>，预算执行率100%</w:t>
      </w:r>
      <w:r>
        <w:rPr>
          <w:rFonts w:ascii="仿宋_GB2312" w:eastAsia="仿宋_GB2312" w:cs="仿宋_GB2312"/>
          <w:color w:val="000000"/>
          <w:sz w:val="32"/>
          <w:szCs w:val="32"/>
          <w:lang w:val="zh-CN" w:eastAsia="zh-CN"/>
        </w:rPr>
        <w:t>。</w:t>
      </w:r>
      <w:r>
        <w:rPr>
          <w:rFonts w:ascii="仿宋_GB2312" w:eastAsia="仿宋_GB2312" w:cs="仿宋_GB2312"/>
          <w:color w:val="000000"/>
          <w:sz w:val="32"/>
          <w:szCs w:val="32"/>
          <w:lang w:val="en-US" w:eastAsia="zh-CN"/>
        </w:rPr>
        <w:t>与部门的长期规划目标、年度工作目标相一致。</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rPr>
      </w:pPr>
      <w:r>
        <w:rPr>
          <w:rFonts w:ascii="黑体" w:eastAsia="黑体" w:cs="黑体" w:hint="eastAsia"/>
          <w:sz w:val="32"/>
          <w:szCs w:val="32"/>
        </w:rPr>
        <w:t>二、项目实施及管理情况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（一）资金计划、到位及使用情况。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color w:val="000000"/>
          <w:sz w:val="32"/>
          <w:szCs w:val="32"/>
          <w:lang w:val="en-US" w:eastAsia="zh-CN"/>
        </w:rPr>
      </w:pPr>
      <w:r>
        <w:rPr>
          <w:rFonts w:ascii="仿宋_GB2312" w:eastAsia="仿宋_GB2312" w:cs="仿宋_GB2312"/>
          <w:b/>
          <w:bCs/>
          <w:color w:val="000000"/>
          <w:sz w:val="32"/>
          <w:szCs w:val="32"/>
          <w:lang w:val="zh-CN" w:eastAsia="zh-CN"/>
        </w:rPr>
        <w:t>1．资金计划及到位。</w:t>
      </w:r>
      <w:r>
        <w:rPr>
          <w:rFonts w:ascii="仿宋_GB2312" w:eastAsia="仿宋_GB2312" w:cs="仿宋_GB2312" w:hint="eastAsia"/>
          <w:color w:val="000000"/>
          <w:sz w:val="32"/>
          <w:szCs w:val="32"/>
          <w:lang w:val="en-US" w:eastAsia="zh-CN"/>
        </w:rPr>
        <w:t>人大监督工作</w:t>
      </w:r>
      <w:r>
        <w:rPr>
          <w:rFonts w:ascii="仿宋_GB2312" w:eastAsia="仿宋_GB2312" w:cs="仿宋_GB2312"/>
          <w:color w:val="000000"/>
          <w:sz w:val="32"/>
          <w:szCs w:val="32"/>
          <w:lang w:val="en-US" w:eastAsia="zh-CN"/>
        </w:rPr>
        <w:t>经费</w:t>
      </w:r>
      <w:r>
        <w:rPr>
          <w:rFonts w:ascii="仿宋_GB2312" w:eastAsia="仿宋_GB2312" w:cs="仿宋_GB2312" w:hint="eastAsia"/>
          <w:color w:val="000000"/>
          <w:sz w:val="32"/>
          <w:szCs w:val="32"/>
          <w:lang w:val="en-US" w:eastAsia="zh-CN"/>
        </w:rPr>
        <w:t>25</w:t>
      </w:r>
      <w:r>
        <w:rPr>
          <w:rFonts w:ascii="仿宋_GB2312" w:eastAsia="仿宋_GB2312" w:cs="仿宋_GB2312"/>
          <w:color w:val="000000"/>
          <w:sz w:val="32"/>
          <w:szCs w:val="32"/>
          <w:lang w:val="en-US" w:eastAsia="zh-CN"/>
        </w:rPr>
        <w:t>万元，来源为一般预算拨款</w:t>
      </w:r>
      <w:r>
        <w:rPr>
          <w:rFonts w:ascii="仿宋_GB2312" w:eastAsia="仿宋_GB2312" w:cs="仿宋_GB2312" w:hint="eastAsia"/>
          <w:color w:val="000000"/>
          <w:sz w:val="32"/>
          <w:szCs w:val="32"/>
          <w:lang w:val="en-US" w:eastAsia="zh-CN"/>
        </w:rPr>
        <w:t>25</w:t>
      </w:r>
      <w:r>
        <w:rPr>
          <w:rFonts w:ascii="仿宋_GB2312" w:eastAsia="仿宋_GB2312" w:cs="仿宋_GB2312"/>
          <w:color w:val="000000"/>
          <w:sz w:val="32"/>
          <w:szCs w:val="32"/>
          <w:lang w:val="en-US" w:eastAsia="zh-CN"/>
        </w:rPr>
        <w:t>万元，</w:t>
      </w:r>
      <w:r>
        <w:rPr>
          <w:rFonts w:ascii="仿宋_GB2312" w:eastAsia="仿宋_GB2312" w:cs="仿宋_GB2312" w:hint="eastAsia"/>
          <w:color w:val="000000"/>
          <w:sz w:val="32"/>
          <w:szCs w:val="32"/>
          <w:lang w:val="en-US" w:eastAsia="zh-CN"/>
        </w:rPr>
        <w:t>调整预算后</w:t>
      </w:r>
      <w:r>
        <w:rPr>
          <w:rFonts w:ascii="仿宋_GB2312" w:eastAsia="仿宋_GB2312" w:cs="仿宋_GB2312"/>
          <w:color w:val="000000"/>
          <w:sz w:val="32"/>
          <w:szCs w:val="32"/>
          <w:lang w:val="en-US" w:eastAsia="zh-CN"/>
        </w:rPr>
        <w:t>实际到位资金</w:t>
      </w:r>
      <w:r>
        <w:rPr>
          <w:rFonts w:ascii="仿宋_GB2312" w:eastAsia="仿宋_GB2312" w:cs="仿宋_GB2312" w:hint="eastAsia"/>
          <w:color w:val="000000"/>
          <w:sz w:val="32"/>
          <w:szCs w:val="32"/>
          <w:lang w:val="en-US" w:eastAsia="zh-CN"/>
        </w:rPr>
        <w:t>5.22</w:t>
      </w:r>
      <w:r>
        <w:rPr>
          <w:rFonts w:ascii="仿宋_GB2312" w:eastAsia="仿宋_GB2312" w:cs="仿宋_GB2312"/>
          <w:color w:val="000000"/>
          <w:sz w:val="32"/>
          <w:szCs w:val="32"/>
          <w:lang w:val="en-US" w:eastAsia="zh-CN"/>
        </w:rPr>
        <w:t>万元。</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color w:val="000000"/>
          <w:kern w:val="2"/>
          <w:sz w:val="32"/>
          <w:szCs w:val="32"/>
          <w:lang w:val="en-US" w:eastAsia="zh-CN" w:bidi="ar-SA"/>
        </w:rPr>
      </w:pPr>
      <w:r>
        <w:rPr>
          <w:rFonts w:ascii="仿宋_GB2312" w:eastAsia="仿宋_GB2312" w:cs="仿宋_GB2312"/>
          <w:b/>
          <w:bCs/>
          <w:color w:val="000000"/>
          <w:kern w:val="2"/>
          <w:sz w:val="32"/>
          <w:szCs w:val="32"/>
          <w:lang w:val="zh-CN" w:eastAsia="zh-CN" w:bidi="ar-SA"/>
        </w:rPr>
        <w:t>2．资金使用。</w:t>
      </w:r>
      <w:r>
        <w:rPr>
          <w:rFonts w:ascii="仿宋_GB2312" w:eastAsia="仿宋_GB2312" w:cs="仿宋_GB2312" w:hint="eastAsia"/>
          <w:b/>
          <w:bCs/>
          <w:color w:val="000000"/>
          <w:kern w:val="2"/>
          <w:sz w:val="32"/>
          <w:szCs w:val="32"/>
          <w:lang w:val="en-US" w:eastAsia="zh-CN" w:bidi="ar-SA"/>
        </w:rPr>
        <w:t>2</w:t>
      </w:r>
      <w:r>
        <w:rPr>
          <w:rFonts w:ascii="仿宋_GB2312" w:eastAsia="仿宋_GB2312" w:cs="仿宋_GB2312" w:hint="eastAsia"/>
          <w:color w:val="000000"/>
          <w:kern w:val="2"/>
          <w:sz w:val="32"/>
          <w:szCs w:val="32"/>
          <w:lang w:val="en-US" w:eastAsia="zh-CN" w:bidi="ar-SA"/>
        </w:rPr>
        <w:t>025年县人大监督工作</w:t>
      </w:r>
      <w:r>
        <w:rPr>
          <w:rFonts w:ascii="仿宋_GB2312" w:eastAsia="仿宋_GB2312" w:cs="仿宋_GB2312"/>
          <w:color w:val="000000"/>
          <w:kern w:val="2"/>
          <w:sz w:val="32"/>
          <w:szCs w:val="32"/>
          <w:lang w:val="en-US" w:eastAsia="zh-CN" w:bidi="ar-SA"/>
        </w:rPr>
        <w:t>经费实际下达预算资金总额</w:t>
      </w:r>
      <w:r>
        <w:rPr>
          <w:rFonts w:ascii="仿宋_GB2312" w:eastAsia="仿宋_GB2312" w:cs="仿宋_GB2312" w:hint="eastAsia"/>
          <w:color w:val="000000"/>
          <w:kern w:val="2"/>
          <w:sz w:val="32"/>
          <w:szCs w:val="32"/>
          <w:lang w:val="en-US" w:eastAsia="zh-CN" w:bidi="ar-SA"/>
        </w:rPr>
        <w:t>25</w:t>
      </w:r>
      <w:r>
        <w:rPr>
          <w:rFonts w:ascii="仿宋_GB2312" w:eastAsia="仿宋_GB2312" w:cs="仿宋_GB2312"/>
          <w:color w:val="000000"/>
          <w:kern w:val="2"/>
          <w:sz w:val="32"/>
          <w:szCs w:val="32"/>
          <w:lang w:val="en-US" w:eastAsia="zh-CN" w:bidi="ar-SA"/>
        </w:rPr>
        <w:t>万元。截至</w:t>
      </w:r>
      <w:r>
        <w:rPr>
          <w:rFonts w:ascii="仿宋_GB2312" w:eastAsia="仿宋_GB2312" w:cs="仿宋_GB2312" w:hint="eastAsia"/>
          <w:color w:val="000000"/>
          <w:kern w:val="2"/>
          <w:sz w:val="32"/>
          <w:szCs w:val="32"/>
          <w:lang w:val="en-US" w:eastAsia="zh-CN" w:bidi="ar-SA"/>
        </w:rPr>
        <w:t>2025年</w:t>
      </w:r>
      <w:r>
        <w:rPr>
          <w:rFonts w:ascii="仿宋_GB2312" w:eastAsia="仿宋_GB2312" w:cs="仿宋_GB2312"/>
          <w:color w:val="000000"/>
          <w:kern w:val="2"/>
          <w:sz w:val="32"/>
          <w:szCs w:val="32"/>
          <w:lang w:val="en-US" w:eastAsia="zh-CN" w:bidi="ar-SA"/>
        </w:rPr>
        <w:t>12月31日，项目实际支出</w:t>
      </w:r>
      <w:r>
        <w:rPr>
          <w:rFonts w:ascii="仿宋_GB2312" w:eastAsia="仿宋_GB2312" w:cs="仿宋_GB2312" w:hint="eastAsia"/>
          <w:color w:val="000000"/>
          <w:kern w:val="2"/>
          <w:sz w:val="32"/>
          <w:szCs w:val="32"/>
          <w:lang w:val="en-US" w:eastAsia="zh-CN" w:bidi="ar-SA"/>
        </w:rPr>
        <w:t>5.22</w:t>
      </w:r>
      <w:r>
        <w:rPr>
          <w:rFonts w:ascii="仿宋_GB2312" w:eastAsia="仿宋_GB2312" w:cs="仿宋_GB2312"/>
          <w:color w:val="000000"/>
          <w:kern w:val="2"/>
          <w:sz w:val="32"/>
          <w:szCs w:val="32"/>
          <w:lang w:val="en-US" w:eastAsia="zh-CN" w:bidi="ar-SA"/>
        </w:rPr>
        <w:t>万元，</w:t>
      </w:r>
      <w:r>
        <w:rPr>
          <w:rFonts w:ascii="仿宋_GB2312" w:eastAsia="仿宋_GB2312" w:cs="仿宋_GB2312" w:hint="eastAsia"/>
          <w:color w:val="000000"/>
          <w:kern w:val="2"/>
          <w:sz w:val="32"/>
          <w:szCs w:val="32"/>
          <w:lang w:val="en-US" w:eastAsia="zh-CN" w:bidi="ar-SA"/>
        </w:rPr>
        <w:t>调整后预算数5.22万元，</w:t>
      </w:r>
      <w:r>
        <w:rPr>
          <w:rFonts w:ascii="仿宋_GB2312" w:eastAsia="仿宋_GB2312" w:cs="仿宋_GB2312"/>
          <w:color w:val="000000"/>
          <w:kern w:val="2"/>
          <w:sz w:val="32"/>
          <w:szCs w:val="32"/>
          <w:lang w:val="en-US" w:eastAsia="zh-CN" w:bidi="ar-SA"/>
        </w:rPr>
        <w:t>预算执行率为</w:t>
      </w:r>
      <w:r>
        <w:rPr>
          <w:rFonts w:ascii="仿宋_GB2312" w:eastAsia="仿宋_GB2312" w:cs="仿宋_GB2312" w:hint="eastAsia"/>
          <w:color w:val="000000"/>
          <w:kern w:val="2"/>
          <w:sz w:val="32"/>
          <w:szCs w:val="32"/>
          <w:lang w:val="en-US" w:eastAsia="zh-CN" w:bidi="ar-SA"/>
        </w:rPr>
        <w:t>100</w:t>
      </w:r>
      <w:r>
        <w:rPr>
          <w:rFonts w:ascii="仿宋_GB2312" w:eastAsia="仿宋_GB2312" w:cs="仿宋_GB2312"/>
          <w:color w:val="000000"/>
          <w:kern w:val="2"/>
          <w:sz w:val="32"/>
          <w:szCs w:val="32"/>
          <w:lang w:val="en-US" w:eastAsia="zh-CN" w:bidi="ar-SA"/>
        </w:rPr>
        <w:t>%，</w:t>
      </w:r>
      <w:r>
        <w:rPr>
          <w:rFonts w:ascii="仿宋_GB2312" w:eastAsia="仿宋_GB2312" w:cs="仿宋_GB2312" w:hint="eastAsia"/>
          <w:color w:val="000000"/>
          <w:kern w:val="2"/>
          <w:sz w:val="32"/>
          <w:szCs w:val="32"/>
          <w:lang w:val="en-US" w:eastAsia="zh-CN" w:bidi="ar-SA"/>
        </w:rPr>
        <w:t>资金</w:t>
      </w:r>
      <w:r>
        <w:rPr>
          <w:rFonts w:ascii="仿宋_GB2312" w:eastAsia="仿宋_GB2312" w:cs="仿宋_GB2312"/>
          <w:color w:val="000000"/>
          <w:kern w:val="2"/>
          <w:sz w:val="32"/>
          <w:szCs w:val="32"/>
          <w:lang w:val="zh-CN" w:eastAsia="zh-CN" w:bidi="ar-SA"/>
        </w:rPr>
        <w:t>支付依据合规合法</w:t>
      </w:r>
      <w:r>
        <w:rPr>
          <w:rFonts w:ascii="仿宋_GB2312" w:eastAsia="仿宋_GB2312" w:cs="仿宋_GB2312"/>
          <w:color w:val="00000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（二）项目财务管理情况。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Times New Roman" w:eastAsia="方正仿宋_GBK" w:cs="Times New Roman" w:hAnsi="Times New Roman"/>
          <w:sz w:val="32"/>
          <w:szCs w:val="32"/>
        </w:rPr>
      </w:pPr>
      <w:r>
        <w:rPr>
          <w:rFonts w:ascii="仿宋_GB2312" w:eastAsia="仿宋_GB2312" w:cs="仿宋_GB2312"/>
          <w:color w:val="000000"/>
          <w:sz w:val="32"/>
          <w:szCs w:val="32"/>
          <w:lang w:val="en-US" w:eastAsia="zh-CN"/>
        </w:rPr>
        <w:t>项目开支范围</w:t>
      </w:r>
      <w:r>
        <w:rPr>
          <w:rFonts w:ascii="仿宋_GB2312" w:eastAsia="仿宋_GB2312" w:cs="仿宋_GB2312"/>
          <w:color w:val="000000"/>
          <w:sz w:val="32"/>
          <w:szCs w:val="32"/>
          <w:lang w:val="zh-CN" w:eastAsia="zh-CN"/>
        </w:rPr>
        <w:t>依法实施监督所需的差旅费、交通费以及其他费用。</w:t>
      </w:r>
      <w:r>
        <w:rPr>
          <w:rFonts w:ascii="仿宋_GB2312" w:eastAsia="仿宋_GB2312" w:cs="仿宋_GB2312" w:hint="eastAsia"/>
          <w:color w:val="000000"/>
          <w:sz w:val="32"/>
          <w:szCs w:val="32"/>
          <w:lang w:val="en-US" w:eastAsia="zh-CN"/>
        </w:rPr>
        <w:t>汶川县人大</w:t>
      </w:r>
      <w:r>
        <w:rPr>
          <w:rFonts w:ascii="仿宋_GB2312" w:eastAsia="仿宋_GB2312" w:cs="仿宋_GB2312"/>
          <w:color w:val="000000"/>
          <w:sz w:val="32"/>
          <w:szCs w:val="32"/>
          <w:lang w:val="en-US" w:eastAsia="zh-CN"/>
        </w:rPr>
        <w:t>常委会</w:t>
      </w:r>
      <w:r>
        <w:rPr>
          <w:rFonts w:ascii="仿宋_GB2312" w:eastAsia="仿宋_GB2312" w:cs="仿宋_GB2312"/>
          <w:color w:val="000000"/>
          <w:sz w:val="32"/>
          <w:szCs w:val="32"/>
          <w:lang w:val="zh-CN" w:eastAsia="zh-CN"/>
        </w:rPr>
        <w:t>办公室制定有《</w:t>
      </w:r>
      <w:r>
        <w:rPr>
          <w:rFonts w:ascii="仿宋_GB2312" w:eastAsia="仿宋_GB2312" w:cs="仿宋_GB2312" w:hint="eastAsia"/>
          <w:color w:val="000000"/>
          <w:sz w:val="32"/>
          <w:szCs w:val="32"/>
          <w:lang w:val="en-US" w:eastAsia="zh-CN"/>
        </w:rPr>
        <w:t>汶川县人大</w:t>
      </w:r>
      <w:r>
        <w:rPr>
          <w:rFonts w:ascii="仿宋_GB2312" w:eastAsia="仿宋_GB2312" w:cs="仿宋_GB2312"/>
          <w:color w:val="000000"/>
          <w:sz w:val="32"/>
          <w:szCs w:val="32"/>
          <w:lang w:val="en-US" w:eastAsia="zh-CN"/>
        </w:rPr>
        <w:t>常委会</w:t>
      </w:r>
      <w:r>
        <w:rPr>
          <w:rFonts w:ascii="仿宋_GB2312" w:eastAsia="仿宋_GB2312" w:cs="仿宋_GB2312"/>
          <w:color w:val="000000"/>
          <w:sz w:val="32"/>
          <w:szCs w:val="32"/>
          <w:lang w:val="zh-CN" w:eastAsia="zh-CN"/>
        </w:rPr>
        <w:t>机关财务管理办法》，对单位专项经费的支出申请报销等流程做了严格规定，项目财务管理制度健全。</w:t>
      </w:r>
      <w:r>
        <w:rPr>
          <w:rFonts w:ascii="仿宋_GB2312" w:eastAsia="仿宋_GB2312" w:cs="仿宋_GB2312" w:hint="eastAsia"/>
          <w:color w:val="000000"/>
          <w:sz w:val="32"/>
          <w:szCs w:val="32"/>
          <w:lang w:val="en-US" w:eastAsia="zh-CN"/>
        </w:rPr>
        <w:t>2025年</w:t>
      </w:r>
      <w:r>
        <w:rPr>
          <w:rFonts w:ascii="仿宋_GB2312" w:eastAsia="仿宋_GB2312" w:cs="仿宋_GB2312"/>
          <w:color w:val="000000"/>
          <w:sz w:val="32"/>
          <w:szCs w:val="32"/>
          <w:lang w:val="zh-CN" w:eastAsia="zh-CN"/>
        </w:rPr>
        <w:t>本项目严格按照《</w:t>
      </w:r>
      <w:r>
        <w:rPr>
          <w:rFonts w:ascii="仿宋_GB2312" w:eastAsia="仿宋_GB2312" w:cs="仿宋_GB2312" w:hint="eastAsia"/>
          <w:color w:val="000000"/>
          <w:sz w:val="32"/>
          <w:szCs w:val="32"/>
          <w:lang w:val="en-US" w:eastAsia="zh-CN"/>
        </w:rPr>
        <w:t>汶川县人大</w:t>
      </w:r>
      <w:r>
        <w:rPr>
          <w:rFonts w:ascii="仿宋_GB2312" w:eastAsia="仿宋_GB2312" w:cs="仿宋_GB2312"/>
          <w:color w:val="000000"/>
          <w:sz w:val="32"/>
          <w:szCs w:val="32"/>
          <w:lang w:val="en-US" w:eastAsia="zh-CN"/>
        </w:rPr>
        <w:t>常委会</w:t>
      </w:r>
      <w:r>
        <w:rPr>
          <w:rFonts w:ascii="仿宋_GB2312" w:eastAsia="仿宋_GB2312" w:cs="仿宋_GB2312"/>
          <w:color w:val="000000"/>
          <w:sz w:val="32"/>
          <w:szCs w:val="32"/>
          <w:lang w:val="zh-CN" w:eastAsia="zh-CN"/>
        </w:rPr>
        <w:t>机关财务管理办法》进行管理，资金支出程序合格，财务处理及时，会计核算规范，资金使用规范，财务监管制度执行有效。</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项目组织实施情况。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color w:val="000000"/>
          <w:sz w:val="32"/>
          <w:szCs w:val="32"/>
          <w:lang w:val="zh-CN" w:eastAsia="zh-CN"/>
        </w:rPr>
      </w:pPr>
      <w:r>
        <w:rPr>
          <w:rFonts w:ascii="仿宋_GB2312" w:eastAsia="仿宋_GB2312" w:cs="仿宋_GB2312" w:hint="eastAsia"/>
          <w:sz w:val="32"/>
          <w:szCs w:val="32"/>
          <w:lang w:val="en-US" w:eastAsia="zh-CN"/>
        </w:rPr>
        <w:t>充分发挥人大监督职能，紧扣中心大局、紧贴民生福祉，行使正确监督、有效监督、依法监督，切实将“制度优势”转化为“治理效能”。组织召开全县人大监督工作会等重要会议7次，</w:t>
      </w:r>
      <w:r>
        <w:rPr>
          <w:rFonts w:ascii="Times New Roman" w:eastAsia="仿宋_GB2312" w:cs="Times New Roman" w:hAnsi="Times New Roman"/>
          <w:color w:val="auto"/>
          <w:sz w:val="32"/>
          <w:szCs w:val="32"/>
          <w:shd w:val="clear" w:color="auto" w:fill="auto"/>
          <w:highlight w:val="auto"/>
        </w:rPr>
        <w:t>听取和审议</w:t>
      </w:r>
      <w:r>
        <w:rPr>
          <w:rFonts w:ascii="Times New Roman" w:eastAsia="仿宋_GB2312" w:cs="Times New Roman" w:hAnsi="Times New Roman" w:hint="eastAsia"/>
          <w:color w:val="auto"/>
          <w:sz w:val="32"/>
          <w:szCs w:val="32"/>
          <w:shd w:val="clear" w:color="auto" w:fill="auto"/>
          <w:lang w:eastAsia="zh-CN"/>
          <w:highlight w:val="auto"/>
        </w:rPr>
        <w:t>“</w:t>
      </w:r>
      <w:r>
        <w:rPr>
          <w:rFonts w:ascii="Times New Roman" w:eastAsia="仿宋_GB2312" w:cs="Times New Roman" w:hAnsi="Times New Roman"/>
          <w:color w:val="auto"/>
          <w:sz w:val="32"/>
          <w:szCs w:val="32"/>
          <w:shd w:val="clear" w:color="auto" w:fill="auto"/>
          <w:highlight w:val="auto"/>
        </w:rPr>
        <w:t>一府一委两院</w:t>
      </w:r>
      <w:r>
        <w:rPr>
          <w:rFonts w:ascii="Times New Roman" w:eastAsia="仿宋_GB2312" w:cs="Times New Roman" w:hAnsi="Times New Roman" w:hint="eastAsia"/>
          <w:color w:val="auto"/>
          <w:sz w:val="32"/>
          <w:szCs w:val="32"/>
          <w:shd w:val="clear" w:color="auto" w:fill="auto"/>
          <w:lang w:eastAsia="zh-CN"/>
          <w:highlight w:val="auto"/>
        </w:rPr>
        <w:t>”</w:t>
      </w:r>
      <w:r>
        <w:rPr>
          <w:rFonts w:ascii="Times New Roman" w:eastAsia="仿宋_GB2312" w:cs="Times New Roman" w:hAnsi="Times New Roman"/>
          <w:color w:val="auto"/>
          <w:sz w:val="32"/>
          <w:szCs w:val="32"/>
          <w:shd w:val="clear" w:color="auto" w:fill="auto"/>
          <w:highlight w:val="auto"/>
        </w:rPr>
        <w:t>工作报告</w:t>
      </w:r>
      <w:r>
        <w:rPr>
          <w:rFonts w:ascii="Times New Roman" w:eastAsia="仿宋_GB2312" w:cs="Times New Roman" w:hAnsi="Times New Roman" w:hint="eastAsia"/>
          <w:color w:val="auto"/>
          <w:sz w:val="32"/>
          <w:szCs w:val="32"/>
          <w:shd w:val="clear" w:color="auto" w:fill="auto"/>
          <w:lang w:val="en-US" w:eastAsia="zh-CN"/>
          <w:highlight w:val="auto"/>
        </w:rPr>
        <w:t>19</w:t>
      </w:r>
      <w:r>
        <w:rPr>
          <w:rFonts w:ascii="Times New Roman" w:eastAsia="仿宋_GB2312" w:cs="Times New Roman" w:hAnsi="Times New Roman"/>
          <w:color w:val="auto"/>
          <w:sz w:val="32"/>
          <w:szCs w:val="32"/>
          <w:shd w:val="clear" w:color="auto" w:fill="auto"/>
          <w:highlight w:val="auto"/>
        </w:rPr>
        <w:t>个</w:t>
      </w:r>
      <w:r>
        <w:rPr>
          <w:rFonts w:ascii="Times New Roman" w:eastAsia="仿宋_GB2312" w:cs="Times New Roman" w:hAnsi="Times New Roman" w:hint="eastAsia"/>
          <w:color w:val="auto"/>
          <w:sz w:val="32"/>
          <w:szCs w:val="32"/>
          <w:shd w:val="clear" w:color="auto" w:fill="auto"/>
          <w:lang w:eastAsia="zh-CN"/>
          <w:highlight w:val="auto"/>
        </w:rPr>
        <w:t>，</w:t>
      </w:r>
      <w:r>
        <w:rPr>
          <w:rFonts w:ascii="仿宋_GB2312" w:eastAsia="仿宋_GB2312" w:cs="仿宋_GB2312" w:hint="eastAsia"/>
          <w:sz w:val="32"/>
          <w:szCs w:val="32"/>
          <w:lang w:val="en-US" w:eastAsia="zh-CN"/>
          <w:highlight w:val="auto"/>
        </w:rPr>
        <w:t>作出决议决定30项，圆满完成了县十五届人大四次会议确定的各项目标任务。</w:t>
      </w:r>
      <w:r>
        <w:rPr>
          <w:rFonts w:ascii="仿宋_GB2312" w:eastAsia="仿宋_GB2312" w:cs="仿宋_GB2312" w:hint="eastAsia"/>
          <w:sz w:val="32"/>
          <w:szCs w:val="32"/>
          <w:lang w:val="en-US" w:eastAsia="zh-CN"/>
        </w:rPr>
        <w:t>开展社区矫正专项视察、未成年人检察工作以及打击电信网络诈骗违法犯罪专题调研，提出审议意见9条，</w:t>
      </w:r>
      <w:r>
        <w:rPr>
          <w:rFonts w:ascii="仿宋_GB2312" w:eastAsia="仿宋_GB2312" w:cs="仿宋_GB2312" w:hint="eastAsia"/>
          <w:i w:val="0"/>
          <w:iCs w:val="0"/>
          <w:caps w:val="0"/>
          <w:smallCaps w:val="0"/>
          <w:color w:val="auto"/>
          <w:spacing w:val="0"/>
          <w:sz w:val="32"/>
          <w:szCs w:val="32"/>
          <w:shd w:val="clear" w:color="auto" w:fill="auto"/>
        </w:rPr>
        <w:t>一体推进相关领域突出问题治理，助推依法治县走深走实</w:t>
      </w:r>
      <w:r>
        <w:rPr>
          <w:rFonts w:ascii="仿宋_GB2312" w:eastAsia="仿宋_GB2312" w:cs="仿宋_GB2312" w:hint="eastAsia"/>
          <w:sz w:val="32"/>
          <w:szCs w:val="32"/>
          <w:lang w:val="en-US" w:eastAsia="zh-CN"/>
        </w:rPr>
        <w:t>。积极配合全国、省、州人大开展“旅游警务”、铸牢中华民族共同体意识等调研4次，协同执法检查7次，有效助推区域法治化进程。全年完成规范性文件备案审查5件，</w:t>
      </w:r>
      <w:r>
        <w:rPr>
          <w:rFonts w:ascii="仿宋_GB2312" w:eastAsia="仿宋_GB2312" w:cs="仿宋_GB2312" w:hint="eastAsia"/>
          <w:i w:val="0"/>
          <w:iCs w:val="0"/>
          <w:caps w:val="0"/>
          <w:smallCaps w:val="0"/>
          <w:color w:val="auto"/>
          <w:spacing w:val="0"/>
          <w:sz w:val="32"/>
          <w:szCs w:val="32"/>
          <w:shd w:val="clear" w:color="auto" w:fill="auto"/>
        </w:rPr>
        <w:t>维护法制统一与政令畅通</w:t>
      </w:r>
      <w:r>
        <w:rPr>
          <w:rFonts w:ascii="仿宋_GB2312" w:eastAsia="仿宋_GB2312" w:cs="仿宋_GB2312" w:hint="eastAsia"/>
          <w:i w:val="0"/>
          <w:iCs w:val="0"/>
          <w:caps w:val="0"/>
          <w:smallCaps w:val="0"/>
          <w:spacing w:val="0"/>
          <w:sz w:val="32"/>
          <w:szCs w:val="32"/>
          <w:shd w:val="clear" w:color="auto" w:fill="auto"/>
          <w:lang w:eastAsia="zh-CN"/>
        </w:rPr>
        <w:t>；</w:t>
      </w:r>
      <w:r>
        <w:rPr>
          <w:rFonts w:ascii="仿宋_GB2312" w:eastAsia="仿宋_GB2312" w:cs="仿宋_GB2312" w:hint="eastAsia"/>
          <w:sz w:val="32"/>
          <w:szCs w:val="32"/>
          <w:lang w:val="en-US" w:eastAsia="zh-CN"/>
        </w:rPr>
        <w:t>审议9个乡镇人民政府职责事项清单，</w:t>
      </w:r>
      <w:r>
        <w:rPr>
          <w:rFonts w:ascii="仿宋_GB2312" w:eastAsia="仿宋_GB2312" w:cs="仿宋_GB2312" w:hint="eastAsia"/>
          <w:i w:val="0"/>
          <w:iCs w:val="0"/>
          <w:caps w:val="0"/>
          <w:smallCaps w:val="0"/>
          <w:color w:val="auto"/>
          <w:spacing w:val="0"/>
          <w:sz w:val="32"/>
          <w:szCs w:val="32"/>
          <w:shd w:val="clear" w:color="auto" w:fill="auto"/>
        </w:rPr>
        <w:t>推动基层治理权责清晰</w:t>
      </w:r>
      <w:r>
        <w:rPr>
          <w:rFonts w:ascii="仿宋_GB2312" w:eastAsia="仿宋_GB2312" w:cs="仿宋_GB2312" w:hint="eastAsia"/>
          <w:sz w:val="32"/>
          <w:szCs w:val="32"/>
          <w:lang w:val="en-US" w:eastAsia="zh-CN"/>
        </w:rPr>
        <w:t>；开展</w:t>
      </w:r>
      <w:r>
        <w:rPr>
          <w:rFonts w:ascii="仿宋_GB2312" w:eastAsia="仿宋_GB2312" w:cs="仿宋_GB2312" w:hint="eastAsia"/>
          <w:sz w:val="32"/>
          <w:szCs w:val="32"/>
          <w:lang w:val="en-US" w:eastAsia="zh-CN"/>
          <w:highlight w:val="auto"/>
        </w:rPr>
        <w:t>“八五”普法活动3次，</w:t>
      </w:r>
      <w:r>
        <w:rPr>
          <w:rFonts w:ascii="仿宋_GB2312" w:eastAsia="仿宋_GB2312" w:cs="仿宋_GB2312" w:hint="eastAsia"/>
          <w:sz w:val="32"/>
          <w:szCs w:val="32"/>
          <w:lang w:val="en-US" w:eastAsia="zh-CN"/>
        </w:rPr>
        <w:t>推动法治意识深入人心。营造了全县尊法、学法、守法、用法的良好氛围，为“高水平安全典范”筑牢法治根基。全过程开展民生实事人大代表票决项目监督工作，8个县级项目、</w:t>
      </w:r>
      <w:r>
        <w:rPr>
          <w:rFonts w:ascii="仿宋_GB2312" w:eastAsia="仿宋_GB2312" w:cs="仿宋_GB2312" w:hint="eastAsia"/>
          <w:sz w:val="32"/>
          <w:szCs w:val="32"/>
          <w:lang w:val="en-US" w:eastAsia="zh-CN"/>
          <w:highlight w:val="auto"/>
        </w:rPr>
        <w:t>23</w:t>
      </w:r>
      <w:r>
        <w:rPr>
          <w:rFonts w:ascii="仿宋_GB2312" w:eastAsia="仿宋_GB2312" w:cs="仿宋_GB2312" w:hint="eastAsia"/>
          <w:sz w:val="32"/>
          <w:szCs w:val="32"/>
          <w:lang w:val="en-US" w:eastAsia="zh-CN"/>
        </w:rPr>
        <w:t>个镇级项目全面完成，有力推动全县民生福祉整体提升，为“高水平民生典范”夯实幸福根基。严格执行拟任命人员任前法律知识考试、任前陈述、向宪法宣誓等程序，依法任免国家机关工作人员</w:t>
      </w:r>
      <w:r>
        <w:rPr>
          <w:rFonts w:ascii="仿宋_GB2312" w:eastAsia="仿宋_GB2312" w:cs="仿宋_GB2312" w:hint="eastAsia"/>
          <w:sz w:val="32"/>
          <w:szCs w:val="32"/>
          <w:lang w:val="en-US" w:eastAsia="zh-CN"/>
          <w:highlight w:val="auto"/>
        </w:rPr>
        <w:t>49人次</w:t>
      </w:r>
      <w:r>
        <w:rPr>
          <w:rFonts w:ascii="仿宋_GB2312" w:eastAsia="仿宋_GB2312" w:cs="仿宋_GB2312" w:hint="eastAsia"/>
          <w:sz w:val="32"/>
          <w:szCs w:val="32"/>
          <w:lang w:val="en-US" w:eastAsia="zh-CN"/>
        </w:rPr>
        <w:t>。强化任后履职监督，认真组织开展国家机关工作人员履职评议</w:t>
      </w:r>
      <w:r>
        <w:rPr>
          <w:rFonts w:ascii="仿宋_GB2312" w:eastAsia="仿宋_GB2312" w:cs="仿宋_GB2312" w:hint="eastAsia"/>
          <w:sz w:val="32"/>
          <w:szCs w:val="32"/>
          <w:lang w:val="en-US" w:eastAsia="zh-CN"/>
          <w:highlight w:val="auto"/>
        </w:rPr>
        <w:t>47人次</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val="en-US" w:eastAsia="zh-CN"/>
          <w:highlight w:val="auto"/>
        </w:rPr>
        <w:t>提出评议意见68条，同步建立履职动态档案</w:t>
      </w:r>
      <w:r>
        <w:rPr>
          <w:rFonts w:ascii="仿宋_GB2312" w:eastAsia="仿宋_GB2312" w:cs="仿宋_GB2312" w:hint="eastAsia"/>
          <w:sz w:val="32"/>
          <w:szCs w:val="32"/>
          <w:lang w:val="en-US" w:eastAsia="zh-CN"/>
        </w:rPr>
        <w:t>，形成评议结果反馈机制，推动干部队伍能力持续提升</w:t>
      </w:r>
      <w:r>
        <w:rPr>
          <w:rFonts w:ascii="仿宋_GB2312" w:eastAsia="仿宋_GB2312" w:cs="仿宋_GB2312" w:hint="eastAsia"/>
          <w:sz w:val="32"/>
          <w:szCs w:val="32"/>
          <w:lang w:val="en-US" w:eastAsia="zh-CN"/>
          <w:highlight w:val="auto"/>
        </w:rPr>
        <w:t>。</w:t>
      </w:r>
      <w:r>
        <w:rPr>
          <w:rFonts w:ascii="仿宋_GB2312" w:eastAsia="仿宋_GB2312" w:cs="仿宋_GB2312" w:hint="eastAsia"/>
          <w:color w:val="000000"/>
          <w:sz w:val="32"/>
          <w:szCs w:val="32"/>
          <w:lang w:val="en-US" w:eastAsia="zh-CN"/>
        </w:rPr>
        <w:t>项目开支</w:t>
      </w:r>
      <w:r>
        <w:rPr>
          <w:rFonts w:ascii="仿宋_GB2312" w:eastAsia="仿宋_GB2312" w:cs="仿宋_GB2312" w:hint="eastAsia"/>
          <w:color w:val="000000"/>
          <w:sz w:val="32"/>
          <w:szCs w:val="32"/>
          <w:lang w:val="zh-CN" w:eastAsia="zh-CN"/>
        </w:rPr>
        <w:t>严格按照《</w:t>
      </w:r>
      <w:r>
        <w:rPr>
          <w:rFonts w:ascii="仿宋_GB2312" w:eastAsia="仿宋_GB2312" w:cs="仿宋_GB2312" w:hint="eastAsia"/>
          <w:color w:val="000000"/>
          <w:sz w:val="32"/>
          <w:szCs w:val="32"/>
          <w:lang w:val="en-US" w:eastAsia="zh-CN"/>
        </w:rPr>
        <w:t>汶川县行政事业单位差旅费管理办法（修订）</w:t>
      </w:r>
      <w:r>
        <w:rPr>
          <w:rFonts w:ascii="仿宋_GB2312" w:eastAsia="仿宋_GB2312" w:cs="仿宋_GB2312" w:hint="eastAsia"/>
          <w:color w:val="000000"/>
          <w:sz w:val="32"/>
          <w:szCs w:val="32"/>
          <w:lang w:val="zh-CN" w:eastAsia="zh-CN"/>
        </w:rPr>
        <w:t>》</w:t>
      </w:r>
      <w:r>
        <w:rPr>
          <w:rFonts w:ascii="仿宋_GB2312" w:eastAsia="仿宋_GB2312" w:cs="仿宋_GB2312" w:hint="eastAsia"/>
          <w:color w:val="000000"/>
          <w:sz w:val="32"/>
          <w:szCs w:val="32"/>
          <w:lang w:val="en-US" w:eastAsia="zh-CN"/>
        </w:rPr>
        <w:t>规定标准执行</w:t>
      </w:r>
      <w:r>
        <w:rPr>
          <w:rFonts w:ascii="仿宋_GB2312" w:eastAsia="仿宋_GB2312" w:cs="仿宋_GB2312" w:hint="eastAsia"/>
          <w:color w:val="000000"/>
          <w:sz w:val="32"/>
          <w:szCs w:val="32"/>
          <w:lang w:val="zh-CN" w:eastAsia="zh-CN"/>
        </w:rPr>
        <w:t>，项目组织管理均符合相关规定，管理制度执行有效。</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lang w:val="zh-CN"/>
        </w:rPr>
      </w:pPr>
      <w:r>
        <w:rPr>
          <w:rFonts w:ascii="黑体" w:eastAsia="黑体" w:cs="黑体" w:hint="eastAsia"/>
          <w:sz w:val="32"/>
          <w:szCs w:val="32"/>
        </w:rPr>
        <w:t>三、项目绩效情况</w:t>
      </w:r>
      <w:r>
        <w:rPr>
          <w:rFonts w:ascii="黑体" w:eastAsia="黑体" w:cs="黑体" w:hint="eastAsia"/>
          <w:sz w:val="32"/>
          <w:szCs w:val="32"/>
          <w:lang w:val="zh-CN"/>
        </w:rPr>
        <w:tab/>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（一）项目完成情况。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color w:val="000000"/>
          <w:sz w:val="32"/>
          <w:szCs w:val="32"/>
          <w:lang w:val="en-US" w:eastAsia="zh-CN"/>
        </w:rPr>
      </w:pPr>
      <w:r>
        <w:rPr>
          <w:rFonts w:ascii="仿宋_GB2312" w:eastAsia="仿宋_GB2312" w:cs="仿宋_GB2312"/>
          <w:color w:val="000000"/>
          <w:sz w:val="32"/>
          <w:szCs w:val="32"/>
          <w:lang w:val="en-US" w:eastAsia="zh-CN"/>
        </w:rPr>
        <w:t>项目实际支出</w:t>
      </w:r>
      <w:r>
        <w:rPr>
          <w:rFonts w:ascii="仿宋_GB2312" w:eastAsia="仿宋_GB2312" w:cs="仿宋_GB2312" w:hint="eastAsia"/>
          <w:color w:val="000000"/>
          <w:sz w:val="32"/>
          <w:szCs w:val="32"/>
          <w:lang w:val="en-US" w:eastAsia="zh-CN"/>
        </w:rPr>
        <w:t>5.22</w:t>
      </w:r>
      <w:r>
        <w:rPr>
          <w:rFonts w:ascii="仿宋_GB2312" w:eastAsia="仿宋_GB2312" w:cs="仿宋_GB2312"/>
          <w:color w:val="000000"/>
          <w:sz w:val="32"/>
          <w:szCs w:val="32"/>
          <w:lang w:val="en-US" w:eastAsia="zh-CN"/>
        </w:rPr>
        <w:t>万元，实际拨付</w:t>
      </w:r>
      <w:r>
        <w:rPr>
          <w:rFonts w:ascii="仿宋_GB2312" w:eastAsia="仿宋_GB2312" w:cs="仿宋_GB2312" w:hint="eastAsia"/>
          <w:color w:val="000000"/>
          <w:sz w:val="32"/>
          <w:szCs w:val="32"/>
          <w:lang w:val="en-US" w:eastAsia="zh-CN"/>
        </w:rPr>
        <w:t>等于调整后</w:t>
      </w:r>
      <w:r>
        <w:rPr>
          <w:rFonts w:ascii="仿宋_GB2312" w:eastAsia="仿宋_GB2312" w:cs="仿宋_GB2312"/>
          <w:color w:val="000000"/>
          <w:sz w:val="32"/>
          <w:szCs w:val="32"/>
          <w:lang w:val="en-US" w:eastAsia="zh-CN"/>
        </w:rPr>
        <w:t>预算下达资金</w:t>
      </w:r>
      <w:r>
        <w:rPr>
          <w:rFonts w:ascii="仿宋_GB2312" w:eastAsia="仿宋_GB2312" w:cs="仿宋_GB2312" w:hint="eastAsia"/>
          <w:color w:val="000000"/>
          <w:sz w:val="32"/>
          <w:szCs w:val="32"/>
          <w:lang w:val="en-US" w:eastAsia="zh-CN"/>
        </w:rPr>
        <w:t>，主要原因是出行采取整合车辆等方式，</w:t>
      </w:r>
      <w:r>
        <w:rPr>
          <w:rFonts w:ascii="仿宋_GB2312" w:eastAsia="仿宋_GB2312" w:cs="仿宋_GB2312"/>
          <w:color w:val="000000"/>
          <w:sz w:val="32"/>
          <w:szCs w:val="32"/>
          <w:lang w:val="en-US" w:eastAsia="zh-CN"/>
        </w:rPr>
        <w:t>项目成本控制情况较好。</w:t>
      </w:r>
      <w:r>
        <w:rPr>
          <w:rFonts w:ascii="仿宋_GB2312" w:eastAsia="仿宋_GB2312" w:cs="仿宋_GB2312" w:hint="eastAsia"/>
          <w:color w:val="000000"/>
          <w:sz w:val="32"/>
          <w:szCs w:val="32"/>
          <w:lang w:val="en-US" w:eastAsia="zh-CN"/>
        </w:rPr>
        <w:t>项目开支均按《汶川县行政事业单位差旅费管理办法（修订）》规定标准执行，项目完成及时且高效。</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w:t>
      </w:r>
      <w:r>
        <w:rPr>
          <w:rFonts w:ascii="楷体_GB2312" w:eastAsia="楷体_GB2312" w:cs="楷体_GB2312" w:hint="eastAsia"/>
          <w:b/>
          <w:bCs w:val="0"/>
          <w:sz w:val="32"/>
          <w:szCs w:val="32"/>
          <w:lang w:val="en-US" w:eastAsia="zh-CN"/>
        </w:rPr>
        <w:t>二</w:t>
      </w:r>
      <w:r>
        <w:rPr>
          <w:rFonts w:ascii="楷体_GB2312" w:eastAsia="楷体_GB2312" w:cs="楷体_GB2312" w:hint="eastAsia"/>
          <w:b/>
          <w:bCs w:val="0"/>
          <w:sz w:val="32"/>
          <w:szCs w:val="32"/>
          <w:lang w:val="zh-CN"/>
        </w:rPr>
        <w:t>）项目效益情况。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color w:val="000000"/>
          <w:sz w:val="32"/>
          <w:szCs w:val="32"/>
          <w:lang w:val="en-US" w:eastAsia="zh-CN"/>
        </w:rPr>
      </w:pPr>
      <w:r>
        <w:rPr>
          <w:rFonts w:ascii="仿宋_GB2312" w:eastAsia="仿宋_GB2312" w:cs="仿宋_GB2312"/>
          <w:b/>
          <w:bCs/>
          <w:color w:val="000000"/>
          <w:sz w:val="32"/>
          <w:szCs w:val="32"/>
          <w:lang w:val="en-US" w:eastAsia="zh-CN"/>
        </w:rPr>
        <w:t>1.经济性</w:t>
      </w:r>
      <w:r>
        <w:rPr>
          <w:rFonts w:ascii="仿宋_GB2312" w:eastAsia="仿宋_GB2312" w:cs="仿宋_GB2312" w:hint="eastAsia"/>
          <w:b/>
          <w:bCs/>
          <w:color w:val="000000"/>
          <w:sz w:val="32"/>
          <w:szCs w:val="32"/>
          <w:lang w:val="en-US" w:eastAsia="zh-CN"/>
        </w:rPr>
        <w:t>。</w:t>
      </w:r>
      <w:r>
        <w:rPr>
          <w:rFonts w:ascii="仿宋_GB2312" w:eastAsia="仿宋_GB2312" w:cs="仿宋_GB2312"/>
          <w:color w:val="000000"/>
          <w:sz w:val="32"/>
          <w:szCs w:val="32"/>
          <w:lang w:val="en-US" w:eastAsia="zh-CN"/>
        </w:rPr>
        <w:t>项目实际支出</w:t>
      </w:r>
      <w:r>
        <w:rPr>
          <w:rFonts w:ascii="仿宋_GB2312" w:eastAsia="仿宋_GB2312" w:cs="仿宋_GB2312" w:hint="eastAsia"/>
          <w:color w:val="000000"/>
          <w:sz w:val="32"/>
          <w:szCs w:val="32"/>
          <w:lang w:val="en-US" w:eastAsia="zh-CN"/>
        </w:rPr>
        <w:t>5.22</w:t>
      </w:r>
      <w:r>
        <w:rPr>
          <w:rFonts w:ascii="仿宋_GB2312" w:eastAsia="仿宋_GB2312" w:cs="仿宋_GB2312"/>
          <w:color w:val="000000"/>
          <w:sz w:val="32"/>
          <w:szCs w:val="32"/>
          <w:lang w:val="en-US" w:eastAsia="zh-CN"/>
        </w:rPr>
        <w:t>万元，实际拨付</w:t>
      </w:r>
      <w:r>
        <w:rPr>
          <w:rFonts w:ascii="仿宋_GB2312" w:eastAsia="仿宋_GB2312" w:cs="仿宋_GB2312" w:hint="eastAsia"/>
          <w:color w:val="000000"/>
          <w:sz w:val="32"/>
          <w:szCs w:val="32"/>
          <w:lang w:val="en-US" w:eastAsia="zh-CN"/>
        </w:rPr>
        <w:t>等于调整后</w:t>
      </w:r>
      <w:r>
        <w:rPr>
          <w:rFonts w:ascii="仿宋_GB2312" w:eastAsia="仿宋_GB2312" w:cs="仿宋_GB2312"/>
          <w:color w:val="000000"/>
          <w:sz w:val="32"/>
          <w:szCs w:val="32"/>
          <w:lang w:val="en-US" w:eastAsia="zh-CN"/>
        </w:rPr>
        <w:t>预算下达资金</w:t>
      </w:r>
      <w:r>
        <w:rPr>
          <w:rFonts w:ascii="仿宋_GB2312" w:eastAsia="仿宋_GB2312" w:cs="仿宋_GB2312" w:hint="eastAsia"/>
          <w:color w:val="000000"/>
          <w:sz w:val="32"/>
          <w:szCs w:val="32"/>
          <w:lang w:val="en-US" w:eastAsia="zh-CN"/>
        </w:rPr>
        <w:t>，主要原因是</w:t>
      </w:r>
      <w:r>
        <w:rPr>
          <w:rFonts w:ascii="仿宋_GB2312" w:eastAsia="仿宋_GB2312" w:cs="仿宋_GB2312"/>
          <w:color w:val="000000"/>
          <w:sz w:val="32"/>
          <w:szCs w:val="32"/>
          <w:lang w:val="en-US" w:eastAsia="zh-CN"/>
        </w:rPr>
        <w:t>项目成本控制情况较好。</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color w:val="000000"/>
          <w:sz w:val="32"/>
          <w:szCs w:val="32"/>
          <w:lang w:val="en-US" w:eastAsia="zh-CN"/>
        </w:rPr>
      </w:pPr>
      <w:r>
        <w:rPr>
          <w:rFonts w:ascii="仿宋_GB2312" w:eastAsia="仿宋_GB2312" w:cs="仿宋_GB2312"/>
          <w:b/>
          <w:bCs/>
          <w:color w:val="000000"/>
          <w:sz w:val="32"/>
          <w:szCs w:val="32"/>
          <w:lang w:val="en-US" w:eastAsia="zh-CN"/>
        </w:rPr>
        <w:t>2.效率性</w:t>
      </w:r>
      <w:r>
        <w:rPr>
          <w:rFonts w:ascii="仿宋_GB2312" w:eastAsia="仿宋_GB2312" w:cs="仿宋_GB2312" w:hint="eastAsia"/>
          <w:b/>
          <w:bCs/>
          <w:color w:val="000000"/>
          <w:sz w:val="32"/>
          <w:szCs w:val="32"/>
          <w:lang w:val="en-US" w:eastAsia="zh-CN"/>
        </w:rPr>
        <w:t>。</w:t>
      </w:r>
      <w:r>
        <w:rPr>
          <w:rFonts w:ascii="仿宋_GB2312" w:eastAsia="仿宋_GB2312" w:cs="仿宋_GB2312" w:hint="eastAsia"/>
          <w:color w:val="000000"/>
          <w:sz w:val="32"/>
          <w:szCs w:val="32"/>
          <w:lang w:val="en-US" w:eastAsia="zh-CN"/>
        </w:rPr>
        <w:t>预算资金执行率高，保障了工作任务的完成数量、质量，资金到位及时保障了项目的实效性，项目的效率性高。</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color w:val="000000"/>
          <w:sz w:val="32"/>
          <w:szCs w:val="32"/>
          <w:lang w:val="en-US" w:eastAsia="zh-CN"/>
        </w:rPr>
      </w:pPr>
      <w:r>
        <w:rPr>
          <w:rFonts w:ascii="仿宋_GB2312" w:eastAsia="仿宋_GB2312" w:cs="仿宋_GB2312" w:hint="eastAsia"/>
          <w:b/>
          <w:bCs/>
          <w:color w:val="000000"/>
          <w:sz w:val="32"/>
          <w:szCs w:val="32"/>
          <w:lang w:val="en-US" w:eastAsia="zh-CN"/>
        </w:rPr>
        <w:t>3.满意度。</w:t>
      </w:r>
      <w:r>
        <w:rPr>
          <w:rFonts w:ascii="仿宋_GB2312" w:eastAsia="仿宋_GB2312" w:cs="仿宋_GB2312"/>
          <w:color w:val="000000"/>
          <w:sz w:val="32"/>
          <w:szCs w:val="32"/>
          <w:lang w:val="en-US" w:eastAsia="zh-CN"/>
        </w:rPr>
        <w:t>本项目</w:t>
      </w:r>
      <w:r>
        <w:rPr>
          <w:rFonts w:ascii="仿宋_GB2312" w:eastAsia="仿宋_GB2312" w:cs="仿宋_GB2312" w:hint="eastAsia"/>
          <w:color w:val="000000"/>
          <w:sz w:val="32"/>
          <w:szCs w:val="32"/>
          <w:lang w:val="en-US" w:eastAsia="zh-CN"/>
        </w:rPr>
        <w:t>2025年</w:t>
      </w:r>
      <w:r>
        <w:rPr>
          <w:rFonts w:ascii="仿宋_GB2312" w:eastAsia="仿宋_GB2312" w:cs="仿宋_GB2312"/>
          <w:color w:val="000000"/>
          <w:sz w:val="32"/>
          <w:szCs w:val="32"/>
          <w:lang w:val="en-US" w:eastAsia="zh-CN"/>
        </w:rPr>
        <w:t>实施情况良好，各项任务均按计划完成且达到预期效果，无绩效目标未完成的情况。提升了预算绩效管理工作水平，强化支出责任，规范资金管理行为，提高财政资金使用效益，机关干部职工以及下级人大</w:t>
      </w:r>
      <w:r>
        <w:rPr>
          <w:rFonts w:ascii="仿宋_GB2312" w:eastAsia="仿宋_GB2312" w:cs="仿宋_GB2312"/>
          <w:color w:val="000000"/>
          <w:sz w:val="32"/>
          <w:szCs w:val="32"/>
          <w:lang w:val="en-US" w:eastAsia="zh-CN"/>
        </w:rPr>
        <w:t>常委会</w:t>
      </w:r>
      <w:r>
        <w:rPr>
          <w:rFonts w:ascii="仿宋_GB2312" w:eastAsia="仿宋_GB2312" w:cs="仿宋_GB2312"/>
          <w:color w:val="000000"/>
          <w:sz w:val="32"/>
          <w:szCs w:val="32"/>
          <w:lang w:val="en-US" w:eastAsia="zh-CN"/>
        </w:rPr>
        <w:t>机关和代表的满意度达到100%。</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rPr>
      </w:pPr>
      <w:r>
        <w:rPr>
          <w:rFonts w:ascii="黑体" w:eastAsia="黑体" w:cs="黑体" w:hint="eastAsia"/>
          <w:sz w:val="32"/>
          <w:szCs w:val="32"/>
        </w:rPr>
        <w:t>四、问题及建议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en-US" w:eastAsia="zh-CN"/>
        </w:rPr>
      </w:pPr>
      <w:r>
        <w:rPr>
          <w:rFonts w:ascii="楷体_GB2312" w:eastAsia="楷体_GB2312" w:cs="楷体_GB2312" w:hint="eastAsia"/>
          <w:b/>
          <w:bCs w:val="0"/>
          <w:sz w:val="32"/>
          <w:szCs w:val="32"/>
          <w:lang w:val="zh-CN" w:eastAsia="zh-CN"/>
        </w:rPr>
        <w:t>（</w:t>
      </w:r>
      <w:r>
        <w:rPr>
          <w:rFonts w:ascii="楷体_GB2312" w:eastAsia="楷体_GB2312" w:cs="楷体_GB2312" w:hint="eastAsia"/>
          <w:b/>
          <w:bCs w:val="0"/>
          <w:sz w:val="32"/>
          <w:szCs w:val="32"/>
          <w:lang w:val="en-US" w:eastAsia="zh-CN"/>
        </w:rPr>
        <w:t>一</w:t>
      </w:r>
      <w:r>
        <w:rPr>
          <w:rFonts w:ascii="楷体_GB2312" w:eastAsia="楷体_GB2312" w:cs="楷体_GB2312" w:hint="eastAsia"/>
          <w:b/>
          <w:bCs w:val="0"/>
          <w:sz w:val="32"/>
          <w:szCs w:val="32"/>
          <w:lang w:val="zh-CN" w:eastAsia="zh-CN"/>
        </w:rPr>
        <w:t>）</w:t>
      </w:r>
      <w:r>
        <w:rPr>
          <w:rFonts w:ascii="楷体_GB2312" w:eastAsia="楷体_GB2312" w:cs="楷体_GB2312" w:hint="eastAsia"/>
          <w:b/>
          <w:bCs w:val="0"/>
          <w:sz w:val="32"/>
          <w:szCs w:val="32"/>
          <w:lang w:val="zh-CN"/>
        </w:rPr>
        <w:t>存在主要问题</w:t>
      </w:r>
      <w:r>
        <w:rPr>
          <w:rFonts w:ascii="楷体_GB2312" w:eastAsia="楷体_GB2312" w:cs="楷体_GB2312" w:hint="eastAsia"/>
          <w:b/>
          <w:bCs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监督方式还需进一步创新，监督力度还需进一步加强。</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eastAsia="zh-CN"/>
        </w:rPr>
      </w:pPr>
      <w:r>
        <w:rPr>
          <w:rFonts w:ascii="楷体_GB2312" w:eastAsia="楷体_GB2312" w:cs="楷体_GB2312" w:hint="eastAsia"/>
          <w:b/>
          <w:bCs w:val="0"/>
          <w:sz w:val="32"/>
          <w:szCs w:val="32"/>
          <w:lang w:val="zh-CN" w:eastAsia="zh-CN"/>
        </w:rPr>
        <w:t>（</w:t>
      </w:r>
      <w:r>
        <w:rPr>
          <w:rFonts w:ascii="楷体_GB2312" w:eastAsia="楷体_GB2312" w:cs="楷体_GB2312" w:hint="eastAsia"/>
          <w:b/>
          <w:bCs w:val="0"/>
          <w:sz w:val="32"/>
          <w:szCs w:val="32"/>
          <w:lang w:val="en-US" w:eastAsia="zh-CN"/>
        </w:rPr>
        <w:t>二</w:t>
      </w:r>
      <w:r>
        <w:rPr>
          <w:rFonts w:ascii="楷体_GB2312" w:eastAsia="楷体_GB2312" w:cs="楷体_GB2312" w:hint="eastAsia"/>
          <w:b/>
          <w:bCs w:val="0"/>
          <w:sz w:val="32"/>
          <w:szCs w:val="32"/>
          <w:lang w:val="zh-CN" w:eastAsia="zh-CN"/>
        </w:rPr>
        <w:t>）相关措施建议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着力完善工作机制，加强调查研究，提高代表素质，讲求监督实效，加强指导、协调运转等方式，以充分发挥人大监督职能，提高代表工作积极性，提升人大的监督力度和水平。</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Times New Roman" w:eastAsia="仿宋_GB2312" w:cs="Times New Roman" w:hAnsi="Times New Roman"/>
          <w:sz w:val="28"/>
          <w:szCs w:val="28"/>
          <w:lang w:val="en-US" w:eastAsia="zh-CN"/>
        </w:rPr>
      </w:pPr>
      <w:r>
        <w:rPr>
          <w:rFonts w:ascii="Times New Roman" w:eastAsia="仿宋_GB2312" w:cs="Times New Roman" w:hAnsi="Times New Roman"/>
          <w:sz w:val="32"/>
          <w:szCs w:val="32"/>
          <w:lang w:val="en-US" w:eastAsia="zh-CN"/>
        </w:rPr>
        <w:t xml:space="preserve">    </w:t>
      </w:r>
      <w:r>
        <w:rPr>
          <w:rFonts w:eastAsia="仿宋_GB2312" w:cs="Times New Roman" w:hint="eastAsia"/>
          <w:sz w:val="32"/>
          <w:szCs w:val="32"/>
          <w:lang w:val="en-US" w:eastAsia="zh-CN"/>
        </w:rPr>
        <w:t xml:space="preserve">          </w:t>
      </w: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tbl>
      <w:tblPr>
        <w:jc w:val="left"/>
        <w:tblInd w:w="0" w:type="dxa"/>
        <w:tblW w:w="9060"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748"/>
        <w:gridCol w:w="1160"/>
        <w:gridCol w:w="1237"/>
        <w:gridCol w:w="1213"/>
        <w:gridCol w:w="529"/>
        <w:gridCol w:w="517"/>
        <w:gridCol w:w="475"/>
        <w:gridCol w:w="738"/>
        <w:gridCol w:w="492"/>
        <w:gridCol w:w="454"/>
        <w:gridCol w:w="1497"/>
      </w:tblGrid>
      <w:tr>
        <w:trPr>
          <w:cantSplit/>
          <w:trHeight w:hRule="exact" w:val="577"/>
        </w:trPr>
        <w:tc>
          <w:tcPr>
            <w:tcW w:w="9060"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600"/>
              <w:jc w:val="center"/>
              <w:textAlignment w:val="center"/>
              <w:rPr>
                <w:rFonts w:ascii="黑体" w:eastAsia="黑体" w:cs="黑体"/>
                <w:b/>
                <w:bCs/>
                <w:i w:val="0"/>
                <w:iCs w:val="0"/>
                <w:color w:val="000000"/>
                <w:w w:val="8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cantSplit/>
          <w:trHeight w:hRule="exact" w:val="338"/>
        </w:trPr>
        <w:tc>
          <w:tcPr>
            <w:tcW w:w="190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项目名称</w:t>
            </w:r>
          </w:p>
        </w:tc>
        <w:tc>
          <w:tcPr>
            <w:tcW w:w="7152"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51322121T000000156443-人大监督工作经费</w:t>
            </w:r>
          </w:p>
        </w:tc>
      </w:tr>
      <w:tr>
        <w:trPr>
          <w:cantSplit/>
          <w:trHeight w:hRule="exact" w:val="364"/>
        </w:trPr>
        <w:tc>
          <w:tcPr>
            <w:tcW w:w="190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主管部门</w:t>
            </w:r>
          </w:p>
        </w:tc>
        <w:tc>
          <w:tcPr>
            <w:tcW w:w="3971"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汶川县人民代表大会常务委员会办公室本级</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实施单位 （盖章）</w:t>
            </w:r>
          </w:p>
        </w:tc>
        <w:tc>
          <w:tcPr>
            <w:tcW w:w="24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汶川县人民代表大会常务委员会办公室</w:t>
            </w:r>
          </w:p>
        </w:tc>
      </w:tr>
      <w:tr>
        <w:trPr>
          <w:cantSplit/>
          <w:trHeight w:hRule="exact" w:val="291"/>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项目基本</w:t>
            </w:r>
          </w:p>
          <w:p>
            <w:pPr>
              <w:keepNext w:val="0"/>
              <w:keepLines w:val="0"/>
              <w:pageBreakBefore w:val="0"/>
              <w:widowControl/>
              <w:suppressLineNumbers w:val="0"/>
              <w:kinsoku/>
              <w:wordWrap/>
              <w:topLinePunct w:val="0"/>
              <w:bidi w:val="0"/>
              <w:adjustRightInd/>
              <w:snapToGrid/>
              <w:spacing w:line="240" w:lineRule="auto"/>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情况</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1.项目年度目标完成情况</w:t>
            </w:r>
          </w:p>
        </w:tc>
        <w:tc>
          <w:tcPr>
            <w:tcW w:w="3971"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项目年度目标</w:t>
            </w:r>
          </w:p>
        </w:tc>
        <w:tc>
          <w:tcPr>
            <w:tcW w:w="3181"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年度目标完成情况</w:t>
            </w:r>
          </w:p>
        </w:tc>
      </w:tr>
      <w:tr>
        <w:trPr>
          <w:cantSplit/>
          <w:trHeight w:hRule="exact" w:val="2148"/>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971"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保障常委会和委员会日常监督工作顺利开展。紧紧围绕县委工作重点，发挥各委员会及代表的桥梁纽带作用，集中反映民意，促进依法履职监督。服务保障正确监督、有效监督、依法监督工作开展。</w:t>
            </w:r>
          </w:p>
        </w:tc>
        <w:tc>
          <w:tcPr>
            <w:tcW w:w="3181"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圆满完成了县十五届人大四次会议确定的各项目标任务。</w:t>
            </w:r>
            <w:r>
              <w:rPr>
                <w:rFonts w:ascii="宋体" w:cs="宋体" w:hint="eastAsia"/>
                <w:i w:val="0"/>
                <w:iCs w:val="0"/>
                <w:color w:val="000000"/>
                <w:w w:val="80"/>
                <w:kern w:val="0"/>
                <w:sz w:val="13"/>
                <w:szCs w:val="13"/>
                <w:u w:val="none"/>
                <w:lang w:val="en-US" w:eastAsia="zh-CN"/>
              </w:rPr>
              <w:t>及时</w:t>
            </w:r>
            <w:r>
              <w:rPr>
                <w:rFonts w:ascii="宋体" w:eastAsia="宋体" w:cs="宋体" w:hint="eastAsia"/>
                <w:i w:val="0"/>
                <w:iCs w:val="0"/>
                <w:color w:val="000000"/>
                <w:w w:val="80"/>
                <w:kern w:val="0"/>
                <w:sz w:val="13"/>
                <w:szCs w:val="13"/>
                <w:u w:val="none"/>
                <w:lang w:val="en-US" w:eastAsia="zh-CN"/>
              </w:rPr>
              <w:t>完成规范性文件备案审查；审议乡镇人民政府职责事项清单，推动基层治理权责清晰；全过程开展民生实事人大代表票决项目监督工作，8个县级项目、23个镇级项目全面完成，依法任免国家机关工作人员。强化任后履职监督，认真组织开展国家机关工作人员履职评议47人次，提出评议意见68条。</w:t>
            </w:r>
          </w:p>
        </w:tc>
      </w:tr>
      <w:tr>
        <w:trPr>
          <w:cantSplit/>
          <w:trHeight w:hRule="exact" w:val="1077"/>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2.项目实施内容及过程概述</w:t>
            </w:r>
          </w:p>
        </w:tc>
        <w:tc>
          <w:tcPr>
            <w:tcW w:w="7152"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充分发挥人大监督职能，紧扣中心大局、紧贴民生福祉，行使正确监督、有效监督、依法监督，切实将“制度优势”转化为“治理效能”。</w:t>
            </w:r>
          </w:p>
        </w:tc>
      </w:tr>
      <w:tr>
        <w:trPr>
          <w:cantSplit/>
          <w:trHeight w:hRule="exact" w:val="357"/>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预算执行情况（10分）</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年度预算数（万元）</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年初预算</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调整后预算数</w:t>
            </w:r>
          </w:p>
        </w:tc>
        <w:tc>
          <w:tcPr>
            <w:tcW w:w="152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预算执行数</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预算执行率</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spacing w:val="0"/>
                <w:w w:val="100"/>
                <w:kern w:val="0"/>
                <w:sz w:val="13"/>
                <w:szCs w:val="13"/>
                <w:u w:val="none"/>
                <w:lang w:val="en-US" w:eastAsia="zh-CN"/>
              </w:rPr>
            </w:pPr>
            <w:r>
              <w:rPr>
                <w:rFonts w:ascii="宋体" w:eastAsia="宋体" w:cs="宋体" w:hint="eastAsia"/>
                <w:i w:val="0"/>
                <w:iCs w:val="0"/>
                <w:color w:val="000000"/>
                <w:spacing w:val="0"/>
                <w:w w:val="100"/>
                <w:kern w:val="0"/>
                <w:sz w:val="13"/>
                <w:szCs w:val="13"/>
                <w:u w:val="none"/>
                <w:lang w:val="en-US" w:eastAsia="zh-CN"/>
              </w:rPr>
              <w:t>权重</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得分</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原因</w:t>
            </w:r>
          </w:p>
        </w:tc>
      </w:tr>
      <w:tr>
        <w:trPr>
          <w:cantSplit/>
          <w:trHeight w:hRule="exact" w:val="295"/>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总额</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25.00</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152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both"/>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1.预算执行率大100%;2.年末根据工作开展的实际</w:t>
            </w:r>
            <w:r>
              <w:rPr>
                <w:rFonts w:ascii="宋体" w:cs="宋体" w:hint="eastAsia"/>
                <w:i w:val="0"/>
                <w:iCs w:val="0"/>
                <w:color w:val="000000"/>
                <w:w w:val="80"/>
                <w:kern w:val="0"/>
                <w:sz w:val="13"/>
                <w:szCs w:val="13"/>
                <w:u w:val="none"/>
                <w:lang w:val="en-US" w:eastAsia="zh-CN"/>
              </w:rPr>
              <w:t>情况</w:t>
            </w:r>
            <w:r>
              <w:rPr>
                <w:rFonts w:ascii="宋体" w:eastAsia="宋体" w:cs="宋体" w:hint="eastAsia"/>
                <w:i w:val="0"/>
                <w:iCs w:val="0"/>
                <w:color w:val="000000"/>
                <w:w w:val="80"/>
                <w:kern w:val="0"/>
                <w:sz w:val="13"/>
                <w:szCs w:val="13"/>
                <w:u w:val="none"/>
                <w:lang w:val="en-US" w:eastAsia="zh-CN"/>
              </w:rPr>
              <w:t>，调减了年初预算,</w:t>
            </w:r>
          </w:p>
        </w:tc>
      </w:tr>
      <w:tr>
        <w:trPr>
          <w:cantSplit/>
          <w:trHeight w:hRule="exact" w:val="372"/>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其中：财政资金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25.00</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152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305"/>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财政专户管理资金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52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296"/>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单位资金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52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295"/>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其他资金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p>
        </w:tc>
        <w:tc>
          <w:tcPr>
            <w:tcW w:w="152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391"/>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绩效指标（90分）</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一级指标</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二级指标</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三级指标</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w w:val="100"/>
                <w:kern w:val="0"/>
                <w:sz w:val="13"/>
                <w:szCs w:val="13"/>
                <w:u w:val="none"/>
                <w:lang w:val="en-US" w:eastAsia="zh-CN"/>
              </w:rPr>
            </w:pPr>
            <w:r>
              <w:rPr>
                <w:rFonts w:ascii="宋体" w:eastAsia="宋体" w:cs="宋体" w:hint="eastAsia"/>
                <w:i w:val="0"/>
                <w:iCs w:val="0"/>
                <w:color w:val="000000"/>
                <w:spacing w:val="0"/>
                <w:w w:val="100"/>
                <w:kern w:val="0"/>
                <w:sz w:val="13"/>
                <w:szCs w:val="13"/>
                <w:u w:val="none"/>
                <w:lang w:val="en-US" w:eastAsia="zh-CN"/>
              </w:rPr>
              <w:t>指标性质</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指标值</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spacing w:val="0"/>
                <w:w w:val="100"/>
                <w:kern w:val="0"/>
                <w:sz w:val="13"/>
                <w:szCs w:val="13"/>
                <w:u w:val="none"/>
                <w:lang w:val="en-US" w:eastAsia="zh-CN"/>
              </w:rPr>
            </w:pPr>
            <w:r>
              <w:rPr>
                <w:rFonts w:ascii="宋体" w:eastAsia="宋体" w:cs="宋体" w:hint="eastAsia"/>
                <w:i w:val="0"/>
                <w:iCs w:val="0"/>
                <w:color w:val="000000"/>
                <w:spacing w:val="0"/>
                <w:w w:val="100"/>
                <w:kern w:val="0"/>
                <w:sz w:val="13"/>
                <w:szCs w:val="13"/>
                <w:u w:val="none"/>
                <w:lang w:val="en-US" w:eastAsia="zh-CN"/>
              </w:rPr>
              <w:t>度量单位</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完成值</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权重</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得分</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未完成原因分析</w:t>
            </w:r>
          </w:p>
        </w:tc>
      </w:tr>
      <w:tr>
        <w:trPr>
          <w:cantSplit/>
          <w:trHeight w:hRule="exact" w:val="291"/>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产出指标</w:t>
            </w:r>
          </w:p>
        </w:tc>
        <w:tc>
          <w:tcPr>
            <w:tcW w:w="123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数量指标</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听取和审议专项工作报告个数</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8</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次</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19</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291"/>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执法检查次数</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次</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7</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291"/>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代表建议督办个数</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个</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39</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291"/>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监督信息收集和分析</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个</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7627</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355"/>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质量指标</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备案审查件数</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件</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347"/>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效益指标</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社会效益指标</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推动重大方针政策落实发挥作用</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定性</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有效</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有效</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346"/>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满意度指标</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服务对象满意度指标</w:t>
            </w:r>
          </w:p>
        </w:tc>
        <w:tc>
          <w:tcPr>
            <w:tcW w:w="12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代表满意度</w:t>
            </w:r>
          </w:p>
        </w:tc>
        <w:tc>
          <w:tcPr>
            <w:tcW w:w="52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95</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98%</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511"/>
        </w:trPr>
        <w:tc>
          <w:tcPr>
            <w:tcW w:w="6617"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合</w:t>
            </w:r>
            <w:r>
              <w:rPr>
                <w:rFonts w:ascii="宋体" w:cs="宋体" w:hint="eastAsia"/>
                <w:i w:val="0"/>
                <w:iCs w:val="0"/>
                <w:color w:val="000000"/>
                <w:w w:val="80"/>
                <w:kern w:val="0"/>
                <w:sz w:val="13"/>
                <w:szCs w:val="13"/>
                <w:u w:val="none"/>
                <w:lang w:val="en-US" w:eastAsia="zh-CN"/>
              </w:rPr>
              <w:t xml:space="preserve">   </w:t>
            </w:r>
            <w:r>
              <w:rPr>
                <w:rFonts w:ascii="宋体" w:eastAsia="宋体" w:cs="宋体" w:hint="eastAsia"/>
                <w:i w:val="0"/>
                <w:iCs w:val="0"/>
                <w:color w:val="000000"/>
                <w:w w:val="80"/>
                <w:kern w:val="0"/>
                <w:sz w:val="13"/>
                <w:szCs w:val="13"/>
                <w:u w:val="none"/>
                <w:lang w:val="en-US" w:eastAsia="zh-CN"/>
              </w:rPr>
              <w:t>计</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99</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424"/>
        </w:trPr>
        <w:tc>
          <w:tcPr>
            <w:tcW w:w="7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评价结论</w:t>
            </w:r>
          </w:p>
        </w:tc>
        <w:tc>
          <w:tcPr>
            <w:tcW w:w="8312"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2025年，县人大常委会履行人大监督职能，不断加强和改进监督工作，推动全县各项工作在法治轨道上有序运行。</w:t>
            </w:r>
          </w:p>
        </w:tc>
      </w:tr>
      <w:tr>
        <w:trPr>
          <w:cantSplit/>
          <w:trHeight w:hRule="exact" w:val="541"/>
        </w:trPr>
        <w:tc>
          <w:tcPr>
            <w:tcW w:w="7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存在问题</w:t>
            </w:r>
          </w:p>
        </w:tc>
        <w:tc>
          <w:tcPr>
            <w:tcW w:w="8312"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监督方式还需进一步创新，监督力度还需进一步加强。</w:t>
            </w:r>
          </w:p>
        </w:tc>
      </w:tr>
      <w:tr>
        <w:trPr>
          <w:cantSplit/>
          <w:trHeight w:hRule="exact" w:val="532"/>
        </w:trPr>
        <w:tc>
          <w:tcPr>
            <w:tcW w:w="7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改进措施</w:t>
            </w:r>
          </w:p>
        </w:tc>
        <w:tc>
          <w:tcPr>
            <w:tcW w:w="8312"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牢牢把握宪法和法律赋予的职责，大力宣传人大监督的目的和意义，进一步营造依法进行监督、主动接受监督、积极配合监督的良好氛围，确保人大监督工作落到实处</w:t>
            </w:r>
            <w:r>
              <w:rPr>
                <w:rFonts w:ascii="宋体" w:cs="宋体" w:hint="eastAsia"/>
                <w:i w:val="0"/>
                <w:iCs w:val="0"/>
                <w:color w:val="000000"/>
                <w:w w:val="80"/>
                <w:kern w:val="0"/>
                <w:sz w:val="13"/>
                <w:szCs w:val="13"/>
                <w:u w:val="none"/>
                <w:lang w:val="en-US" w:eastAsia="zh-CN"/>
              </w:rPr>
              <w:t>。</w:t>
            </w:r>
          </w:p>
        </w:tc>
      </w:tr>
    </w:tbl>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800"/>
        <w:jc w:val="center"/>
        <w:textAlignment w:val="auto"/>
        <w:rPr>
          <w:rFonts w:ascii="方正小标宋简体" w:eastAsia="方正小标宋简体" w:cs="方正小标宋简体" w:hint="eastAsia"/>
          <w:spacing w:val="-20"/>
          <w:kern w:val="10"/>
          <w:sz w:val="44"/>
          <w:szCs w:val="44"/>
        </w:rPr>
      </w:pPr>
      <w:r>
        <w:rPr>
          <w:rFonts w:ascii="方正小标宋简体" w:eastAsia="方正小标宋简体" w:cs="方正小标宋简体" w:hint="eastAsia"/>
          <w:spacing w:val="-20"/>
          <w:kern w:val="10"/>
          <w:sz w:val="44"/>
          <w:szCs w:val="44"/>
          <w:lang w:eastAsia="zh-CN"/>
        </w:rPr>
        <w:t>2025年</w:t>
      </w:r>
      <w:r>
        <w:rPr>
          <w:rFonts w:ascii="方正小标宋简体" w:eastAsia="方正小标宋简体" w:cs="方正小标宋简体" w:hint="eastAsia"/>
          <w:spacing w:val="-20"/>
          <w:kern w:val="10"/>
          <w:sz w:val="44"/>
          <w:szCs w:val="44"/>
        </w:rPr>
        <w:t>人大会议项目支出绩效评价报告</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一、评价工作开展及项目情况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bCs w:val="0"/>
          <w:sz w:val="32"/>
          <w:szCs w:val="32"/>
          <w:lang w:val="zh-CN"/>
        </w:rPr>
      </w:pPr>
      <w:r>
        <w:rPr>
          <w:rFonts w:ascii="楷体_GB2312" w:eastAsia="楷体_GB2312" w:cs="楷体_GB2312" w:hint="eastAsia"/>
          <w:b/>
          <w:bCs w:val="0"/>
          <w:sz w:val="32"/>
          <w:szCs w:val="32"/>
          <w:lang w:val="zh-CN"/>
        </w:rPr>
        <w:t>（一）项目资金申报及批复情况。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按工作安排召开一年一度的全县人民代表大会，计划召开10次常委会、12次主任会日常会议，年初预算所需资金：人代会经费58.72万元，常委会会议费9.9万元，主任会会议费4.32万元，来源为一般预算拨款72.94万元。</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bCs w:val="0"/>
          <w:sz w:val="32"/>
          <w:szCs w:val="32"/>
          <w:lang w:val="zh-CN"/>
        </w:rPr>
      </w:pPr>
      <w:r>
        <w:rPr>
          <w:rFonts w:ascii="楷体_GB2312" w:eastAsia="楷体_GB2312" w:cs="楷体_GB2312" w:hint="eastAsia"/>
          <w:b/>
          <w:bCs w:val="0"/>
          <w:sz w:val="32"/>
          <w:szCs w:val="32"/>
          <w:lang w:val="zh-CN"/>
        </w:rPr>
        <w:t>（</w:t>
      </w:r>
      <w:r>
        <w:rPr>
          <w:rFonts w:ascii="楷体_GB2312" w:eastAsia="楷体_GB2312" w:cs="楷体_GB2312" w:hint="eastAsia"/>
          <w:b/>
          <w:bCs w:val="0"/>
          <w:sz w:val="32"/>
          <w:szCs w:val="32"/>
          <w:lang w:val="en-US" w:eastAsia="zh-CN"/>
        </w:rPr>
        <w:t>二</w:t>
      </w:r>
      <w:r>
        <w:rPr>
          <w:rFonts w:ascii="楷体_GB2312" w:eastAsia="楷体_GB2312" w:cs="楷体_GB2312" w:hint="eastAsia"/>
          <w:b/>
          <w:bCs w:val="0"/>
          <w:sz w:val="32"/>
          <w:szCs w:val="32"/>
          <w:lang w:val="zh-CN"/>
        </w:rPr>
        <w:t>）项目绩效目标。</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会议深入贯彻落实省、州、县重大部署，回顾总结县人大常委会2025年工作，安排部署2025年任务，团结带领全县各级人大代表，围绕中心、认真履职、主动作为，努力提升代表履职能力水平提升，也是一个体察民情、反映民意、集中民智、凝聚民心的过程，达到了保障人大代表履职建言的效果，充分发扬了民主，为科学决策打下坚实基础。</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w:t>
      </w:r>
      <w:r>
        <w:rPr>
          <w:rFonts w:ascii="楷体_GB2312" w:eastAsia="楷体_GB2312" w:cs="楷体_GB2312" w:hint="eastAsia"/>
          <w:b/>
          <w:bCs w:val="0"/>
          <w:sz w:val="32"/>
          <w:szCs w:val="32"/>
          <w:lang w:val="en-US" w:eastAsia="zh-CN"/>
        </w:rPr>
        <w:t>三</w:t>
      </w:r>
      <w:r>
        <w:rPr>
          <w:rFonts w:ascii="楷体_GB2312" w:eastAsia="楷体_GB2312" w:cs="楷体_GB2312" w:hint="eastAsia"/>
          <w:b/>
          <w:bCs w:val="0"/>
          <w:sz w:val="32"/>
          <w:szCs w:val="32"/>
          <w:lang w:val="zh-CN"/>
        </w:rPr>
        <w:t>）项目资金申报相符性。</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人大会议年初申报预算72.94万元，实际下达预算资金总额72.94万元，资金来源于财政拨款。费用开支标准沿用历史标准测算，依据充分且符合财务管理相关规定</w:t>
      </w:r>
      <w:r>
        <w:rPr>
          <w:rFonts w:ascii="仿宋_GB2312" w:eastAsia="仿宋_GB2312" w:cs="仿宋_GB2312" w:hint="eastAsia"/>
          <w:kern w:val="0"/>
          <w:sz w:val="32"/>
          <w:szCs w:val="32"/>
          <w:lang w:val="zh-CN" w:eastAsia="zh-CN" w:bidi="ar-SA"/>
        </w:rPr>
        <w:t>。</w:t>
      </w:r>
      <w:r>
        <w:rPr>
          <w:rFonts w:ascii="仿宋_GB2312" w:eastAsia="仿宋_GB2312" w:cs="仿宋_GB2312" w:hint="eastAsia"/>
          <w:kern w:val="0"/>
          <w:sz w:val="32"/>
          <w:szCs w:val="32"/>
          <w:lang w:val="en-US" w:eastAsia="zh-CN" w:bidi="ar-SA"/>
        </w:rPr>
        <w:t>与部门的长期规划目标、年度工作目标相一致。</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二、项目实施及管理情况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（一）资金计划、到位及使用情况。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kern w:val="0"/>
          <w:sz w:val="32"/>
          <w:szCs w:val="32"/>
          <w:lang w:val="en-US" w:eastAsia="zh-CN" w:bidi="ar-SA"/>
        </w:rPr>
      </w:pPr>
      <w:r>
        <w:rPr>
          <w:rFonts w:ascii="仿宋_GB2312" w:eastAsia="仿宋_GB2312" w:cs="仿宋_GB2312" w:hint="eastAsia"/>
          <w:b/>
          <w:bCs/>
          <w:kern w:val="0"/>
          <w:sz w:val="32"/>
          <w:szCs w:val="32"/>
          <w:lang w:val="zh-CN" w:eastAsia="zh-CN" w:bidi="ar-SA"/>
        </w:rPr>
        <w:t>1.资金计划及到位。</w:t>
      </w:r>
      <w:r>
        <w:rPr>
          <w:rFonts w:ascii="仿宋_GB2312" w:eastAsia="仿宋_GB2312" w:cs="仿宋_GB2312" w:hint="eastAsia"/>
          <w:kern w:val="0"/>
          <w:sz w:val="32"/>
          <w:szCs w:val="32"/>
          <w:lang w:val="en-US" w:eastAsia="zh-CN" w:bidi="ar-SA"/>
        </w:rPr>
        <w:t>人代会经费58.72万元，常委会会议费9.9万元，主任会会议费4.32万元，来源为一般预算拨款72.94万元，年初预算实际到位资金72.94万元。</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kern w:val="0"/>
          <w:sz w:val="32"/>
          <w:szCs w:val="32"/>
          <w:lang w:val="en-US" w:eastAsia="zh-CN" w:bidi="ar-SA"/>
        </w:rPr>
      </w:pPr>
      <w:r>
        <w:rPr>
          <w:rFonts w:ascii="仿宋_GB2312" w:eastAsia="仿宋_GB2312" w:cs="仿宋_GB2312" w:hint="eastAsia"/>
          <w:b/>
          <w:bCs/>
          <w:kern w:val="0"/>
          <w:sz w:val="32"/>
          <w:szCs w:val="32"/>
          <w:lang w:val="zh-CN" w:eastAsia="zh-CN" w:bidi="ar-SA"/>
        </w:rPr>
        <w:t>2.资金使用</w:t>
      </w:r>
      <w:r>
        <w:rPr>
          <w:rFonts w:ascii="仿宋_GB2312" w:eastAsia="仿宋_GB2312" w:cs="仿宋_GB2312" w:hint="eastAsia"/>
          <w:kern w:val="0"/>
          <w:sz w:val="32"/>
          <w:szCs w:val="32"/>
          <w:lang w:val="zh-CN" w:eastAsia="zh-CN" w:bidi="ar-SA"/>
        </w:rPr>
        <w:t>。</w:t>
      </w:r>
      <w:r>
        <w:rPr>
          <w:rFonts w:ascii="仿宋_GB2312" w:eastAsia="仿宋_GB2312" w:cs="仿宋_GB2312" w:hint="eastAsia"/>
          <w:kern w:val="0"/>
          <w:sz w:val="32"/>
          <w:szCs w:val="32"/>
          <w:lang w:val="en-US" w:eastAsia="zh-CN" w:bidi="ar-SA"/>
        </w:rPr>
        <w:t>2025年人大会议经费实际下达年初预算资金总额72.94万元。截至2025年12月31日，调整后预算数为48.50万元，项目实际支出48.50万元，预算执行率为100%，</w:t>
      </w:r>
      <w:r>
        <w:rPr>
          <w:rFonts w:ascii="仿宋_GB2312" w:eastAsia="仿宋_GB2312" w:cs="仿宋_GB2312" w:hint="eastAsia"/>
          <w:kern w:val="0"/>
          <w:sz w:val="32"/>
          <w:szCs w:val="32"/>
          <w:lang w:val="zh-CN" w:eastAsia="zh-CN" w:bidi="ar-SA"/>
        </w:rPr>
        <w:t>支付依据合规合法。</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（二）项目财务管理情况。</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kern w:val="0"/>
          <w:sz w:val="32"/>
          <w:szCs w:val="32"/>
          <w:lang w:val="en-US" w:eastAsia="zh-CN" w:bidi="ar-SA"/>
        </w:rPr>
        <w:t>汶川县人大常委会</w:t>
      </w:r>
      <w:r>
        <w:rPr>
          <w:rFonts w:ascii="仿宋_GB2312" w:eastAsia="仿宋_GB2312" w:cs="仿宋_GB2312" w:hint="eastAsia"/>
          <w:kern w:val="0"/>
          <w:sz w:val="32"/>
          <w:szCs w:val="32"/>
          <w:lang w:val="zh-CN" w:eastAsia="zh-CN" w:bidi="ar-SA"/>
        </w:rPr>
        <w:t>办公室制定有《</w:t>
      </w:r>
      <w:r>
        <w:rPr>
          <w:rFonts w:ascii="仿宋_GB2312" w:eastAsia="仿宋_GB2312" w:cs="仿宋_GB2312" w:hint="eastAsia"/>
          <w:kern w:val="0"/>
          <w:sz w:val="32"/>
          <w:szCs w:val="32"/>
          <w:lang w:val="en-US" w:eastAsia="zh-CN" w:bidi="ar-SA"/>
        </w:rPr>
        <w:t>汶川县人大常委会</w:t>
      </w:r>
      <w:r>
        <w:rPr>
          <w:rFonts w:ascii="仿宋_GB2312" w:eastAsia="仿宋_GB2312" w:cs="仿宋_GB2312" w:hint="eastAsia"/>
          <w:kern w:val="0"/>
          <w:sz w:val="32"/>
          <w:szCs w:val="32"/>
          <w:lang w:val="zh-CN" w:eastAsia="zh-CN" w:bidi="ar-SA"/>
        </w:rPr>
        <w:t>机关财务管理办法》，对单位专项经费的支出申请报销等流程做了严格规定，项目财务管理制度健全。</w:t>
      </w:r>
      <w:r>
        <w:rPr>
          <w:rFonts w:ascii="仿宋_GB2312" w:eastAsia="仿宋_GB2312" w:cs="仿宋_GB2312" w:hint="eastAsia"/>
          <w:kern w:val="0"/>
          <w:sz w:val="32"/>
          <w:szCs w:val="32"/>
          <w:lang w:val="en-US" w:eastAsia="zh-CN" w:bidi="ar-SA"/>
        </w:rPr>
        <w:t>2025年</w:t>
      </w:r>
      <w:r>
        <w:rPr>
          <w:rFonts w:ascii="仿宋_GB2312" w:eastAsia="仿宋_GB2312" w:cs="仿宋_GB2312" w:hint="eastAsia"/>
          <w:kern w:val="0"/>
          <w:sz w:val="32"/>
          <w:szCs w:val="32"/>
          <w:lang w:val="zh-CN" w:eastAsia="zh-CN" w:bidi="ar-SA"/>
        </w:rPr>
        <w:t>本项目严格按照《</w:t>
      </w:r>
      <w:r>
        <w:rPr>
          <w:rFonts w:ascii="仿宋_GB2312" w:eastAsia="仿宋_GB2312" w:cs="仿宋_GB2312" w:hint="eastAsia"/>
          <w:kern w:val="0"/>
          <w:sz w:val="32"/>
          <w:szCs w:val="32"/>
          <w:lang w:val="en-US" w:eastAsia="zh-CN" w:bidi="ar-SA"/>
        </w:rPr>
        <w:t>汶川县党政机关会议费管理办法</w:t>
      </w:r>
      <w:r>
        <w:rPr>
          <w:rFonts w:ascii="仿宋_GB2312" w:eastAsia="仿宋_GB2312" w:cs="仿宋_GB2312" w:hint="eastAsia"/>
          <w:kern w:val="0"/>
          <w:sz w:val="32"/>
          <w:szCs w:val="32"/>
          <w:lang w:val="zh-CN" w:eastAsia="zh-CN" w:bidi="ar-SA"/>
        </w:rPr>
        <w:t>》、《</w:t>
      </w:r>
      <w:r>
        <w:rPr>
          <w:rFonts w:ascii="仿宋_GB2312" w:eastAsia="仿宋_GB2312" w:cs="仿宋_GB2312" w:hint="eastAsia"/>
          <w:kern w:val="0"/>
          <w:sz w:val="32"/>
          <w:szCs w:val="32"/>
          <w:lang w:val="en-US" w:eastAsia="zh-CN" w:bidi="ar-SA"/>
        </w:rPr>
        <w:t>汶川县人大常委会</w:t>
      </w:r>
      <w:r>
        <w:rPr>
          <w:rFonts w:ascii="仿宋_GB2312" w:eastAsia="仿宋_GB2312" w:cs="仿宋_GB2312" w:hint="eastAsia"/>
          <w:kern w:val="0"/>
          <w:sz w:val="32"/>
          <w:szCs w:val="32"/>
          <w:lang w:val="zh-CN" w:eastAsia="zh-CN" w:bidi="ar-SA"/>
        </w:rPr>
        <w:t>机关财务管理办法》进行管理，资金支出程序合格，财务处理及时，会计核算规范，资金使用规范，财务监管制度执行有效。</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（三）项目组织实施情况。</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召开县人大常委会党组会议14次、主任会议8次、常委会会议7次，人代会1次。听取和审议国民经济和社会发展计划执行、民营经济发展等情况报告。充分发挥人大在依法治县中的重要作用，强化对“一府一委两院”重点领域、重要岗位的监督。</w:t>
      </w:r>
      <w:r>
        <w:rPr>
          <w:rFonts w:ascii="仿宋_GB2312" w:eastAsia="仿宋_GB2312" w:cs="仿宋_GB2312" w:hint="eastAsia"/>
          <w:color w:val="auto"/>
          <w:sz w:val="32"/>
          <w:szCs w:val="32"/>
          <w:shd w:val="clear" w:color="auto" w:fill="auto"/>
          <w:highlight w:val="auto"/>
        </w:rPr>
        <w:t>听取和审议</w:t>
      </w:r>
      <w:r>
        <w:rPr>
          <w:rFonts w:ascii="仿宋_GB2312" w:eastAsia="仿宋_GB2312" w:cs="仿宋_GB2312" w:hint="eastAsia"/>
          <w:color w:val="auto"/>
          <w:sz w:val="32"/>
          <w:szCs w:val="32"/>
          <w:shd w:val="clear" w:color="auto" w:fill="auto"/>
          <w:lang w:eastAsia="zh-CN"/>
          <w:highlight w:val="auto"/>
        </w:rPr>
        <w:t>“</w:t>
      </w:r>
      <w:r>
        <w:rPr>
          <w:rFonts w:ascii="仿宋_GB2312" w:eastAsia="仿宋_GB2312" w:cs="仿宋_GB2312" w:hint="eastAsia"/>
          <w:color w:val="auto"/>
          <w:sz w:val="32"/>
          <w:szCs w:val="32"/>
          <w:shd w:val="clear" w:color="auto" w:fill="auto"/>
          <w:highlight w:val="auto"/>
        </w:rPr>
        <w:t>一府一委两院</w:t>
      </w:r>
      <w:r>
        <w:rPr>
          <w:rFonts w:ascii="仿宋_GB2312" w:eastAsia="仿宋_GB2312" w:cs="仿宋_GB2312" w:hint="eastAsia"/>
          <w:color w:val="auto"/>
          <w:sz w:val="32"/>
          <w:szCs w:val="32"/>
          <w:shd w:val="clear" w:color="auto" w:fill="auto"/>
          <w:lang w:eastAsia="zh-CN"/>
          <w:highlight w:val="auto"/>
        </w:rPr>
        <w:t>”</w:t>
      </w:r>
      <w:r>
        <w:rPr>
          <w:rFonts w:ascii="仿宋_GB2312" w:eastAsia="仿宋_GB2312" w:cs="仿宋_GB2312" w:hint="eastAsia"/>
          <w:color w:val="auto"/>
          <w:sz w:val="32"/>
          <w:szCs w:val="32"/>
          <w:shd w:val="clear" w:color="auto" w:fill="auto"/>
          <w:highlight w:val="auto"/>
        </w:rPr>
        <w:t>工作报告</w:t>
      </w:r>
      <w:r>
        <w:rPr>
          <w:rFonts w:ascii="仿宋_GB2312" w:eastAsia="仿宋_GB2312" w:cs="仿宋_GB2312" w:hint="eastAsia"/>
          <w:color w:val="auto"/>
          <w:sz w:val="32"/>
          <w:szCs w:val="32"/>
          <w:shd w:val="clear" w:color="auto" w:fill="auto"/>
          <w:lang w:val="en-US" w:eastAsia="zh-CN"/>
          <w:highlight w:val="auto"/>
        </w:rPr>
        <w:t>19</w:t>
      </w:r>
      <w:r>
        <w:rPr>
          <w:rFonts w:ascii="仿宋_GB2312" w:eastAsia="仿宋_GB2312" w:cs="仿宋_GB2312" w:hint="eastAsia"/>
          <w:color w:val="auto"/>
          <w:sz w:val="32"/>
          <w:szCs w:val="32"/>
          <w:shd w:val="clear" w:color="auto" w:fill="auto"/>
          <w:highlight w:val="auto"/>
        </w:rPr>
        <w:t>个</w:t>
      </w:r>
      <w:r>
        <w:rPr>
          <w:rFonts w:ascii="仿宋_GB2312" w:eastAsia="仿宋_GB2312" w:cs="仿宋_GB2312" w:hint="eastAsia"/>
          <w:color w:val="auto"/>
          <w:sz w:val="32"/>
          <w:szCs w:val="32"/>
          <w:shd w:val="clear" w:color="auto" w:fill="auto"/>
          <w:lang w:eastAsia="zh-CN"/>
          <w:highlight w:val="auto"/>
        </w:rPr>
        <w:t>，</w:t>
      </w:r>
      <w:r>
        <w:rPr>
          <w:rFonts w:ascii="仿宋_GB2312" w:eastAsia="仿宋_GB2312" w:cs="仿宋_GB2312" w:hint="eastAsia"/>
          <w:sz w:val="32"/>
          <w:szCs w:val="32"/>
          <w:lang w:val="en-US" w:eastAsia="zh-CN"/>
          <w:highlight w:val="auto"/>
        </w:rPr>
        <w:t>作出决议决定30项，圆满完成了县十五届人大四次会议确定的各项目标任务。</w:t>
      </w:r>
      <w:r>
        <w:rPr>
          <w:rFonts w:ascii="仿宋_GB2312" w:eastAsia="仿宋_GB2312" w:cs="仿宋_GB2312" w:hint="eastAsia"/>
          <w:kern w:val="0"/>
          <w:sz w:val="32"/>
          <w:szCs w:val="32"/>
          <w:lang w:val="en-US" w:eastAsia="zh-CN" w:bidi="ar-SA"/>
        </w:rPr>
        <w:t>坚持党管干部原则和人大依法任免有机统一，全年任免国家机关工作人员</w:t>
      </w:r>
      <w:r>
        <w:rPr>
          <w:rFonts w:ascii="仿宋_GB2312" w:eastAsia="仿宋_GB2312" w:cs="仿宋_GB2312" w:hint="eastAsia"/>
          <w:sz w:val="32"/>
          <w:szCs w:val="32"/>
          <w:lang w:val="en-US" w:eastAsia="zh-CN"/>
          <w:highlight w:val="auto"/>
        </w:rPr>
        <w:t>49</w:t>
      </w:r>
      <w:r>
        <w:rPr>
          <w:rFonts w:ascii="仿宋_GB2312" w:eastAsia="仿宋_GB2312" w:cs="仿宋_GB2312" w:hint="eastAsia"/>
          <w:kern w:val="0"/>
          <w:sz w:val="32"/>
          <w:szCs w:val="32"/>
          <w:lang w:val="en-US" w:eastAsia="zh-CN" w:bidi="ar-SA"/>
        </w:rPr>
        <w:t>人次。</w:t>
      </w:r>
      <w:r>
        <w:rPr>
          <w:rFonts w:ascii="仿宋_GB2312" w:eastAsia="仿宋_GB2312" w:cs="仿宋_GB2312" w:hint="eastAsia"/>
          <w:sz w:val="32"/>
          <w:szCs w:val="32"/>
          <w:lang w:val="en-US" w:eastAsia="zh-CN"/>
        </w:rPr>
        <w:t>认真组织开展国家机关工作人员履职评议</w:t>
      </w:r>
      <w:r>
        <w:rPr>
          <w:rFonts w:ascii="仿宋_GB2312" w:eastAsia="仿宋_GB2312" w:cs="仿宋_GB2312" w:hint="eastAsia"/>
          <w:sz w:val="32"/>
          <w:szCs w:val="32"/>
          <w:lang w:val="en-US" w:eastAsia="zh-CN"/>
          <w:highlight w:val="auto"/>
        </w:rPr>
        <w:t>47人次</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val="en-US" w:eastAsia="zh-CN"/>
          <w:highlight w:val="auto"/>
        </w:rPr>
        <w:t>提出评议意见68条，</w:t>
      </w:r>
      <w:r>
        <w:rPr>
          <w:rFonts w:ascii="仿宋_GB2312" w:eastAsia="仿宋_GB2312" w:cs="仿宋_GB2312" w:hint="eastAsia"/>
          <w:kern w:val="0"/>
          <w:sz w:val="32"/>
          <w:szCs w:val="32"/>
          <w:lang w:val="en-US" w:eastAsia="zh-CN" w:bidi="ar-SA"/>
        </w:rPr>
        <w:t>人大任命人员能力素质持续提升。听取县人民法院执行工作开展、县人民检察院行政检察工作开展等情况报告，持续促进“两院”公正司法。</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会议严格按照《</w:t>
      </w:r>
      <w:r>
        <w:rPr>
          <w:rFonts w:ascii="仿宋_GB2312" w:eastAsia="仿宋_GB2312" w:cs="仿宋_GB2312" w:hint="eastAsia"/>
          <w:kern w:val="0"/>
          <w:sz w:val="32"/>
          <w:szCs w:val="32"/>
          <w:lang w:val="en-US" w:eastAsia="zh-CN" w:bidi="ar-SA"/>
        </w:rPr>
        <w:t>汶川县党政机关会议费管理办法</w:t>
      </w:r>
      <w:r>
        <w:rPr>
          <w:rFonts w:ascii="仿宋_GB2312" w:eastAsia="仿宋_GB2312" w:cs="仿宋_GB2312" w:hint="eastAsia"/>
          <w:kern w:val="0"/>
          <w:sz w:val="32"/>
          <w:szCs w:val="32"/>
          <w:lang w:val="zh-CN" w:eastAsia="zh-CN" w:bidi="ar-SA"/>
        </w:rPr>
        <w:t>》进行管理，会议举行之前，按要求进行准备工作，提出会议的议程草案和日程草案的建议；会议议程严格按照工作要求流程进行，开幕会完成通过议程、听取常务委员会工作报告等任务，闭幕会完成通过各项决议和报告、通过</w:t>
      </w:r>
      <w:r>
        <w:rPr>
          <w:rFonts w:ascii="仿宋_GB2312" w:eastAsia="仿宋_GB2312" w:cs="仿宋_GB2312" w:hint="eastAsia"/>
          <w:kern w:val="0"/>
          <w:sz w:val="32"/>
          <w:szCs w:val="32"/>
          <w:lang w:val="en-US" w:eastAsia="zh-CN" w:bidi="ar-SA"/>
        </w:rPr>
        <w:t>代表</w:t>
      </w:r>
      <w:r>
        <w:rPr>
          <w:rFonts w:ascii="仿宋_GB2312" w:eastAsia="仿宋_GB2312" w:cs="仿宋_GB2312" w:hint="eastAsia"/>
          <w:kern w:val="0"/>
          <w:sz w:val="32"/>
          <w:szCs w:val="32"/>
          <w:lang w:val="zh-CN" w:eastAsia="zh-CN" w:bidi="ar-SA"/>
        </w:rPr>
        <w:t>建议等任务；</w:t>
      </w:r>
      <w:r>
        <w:rPr>
          <w:rFonts w:ascii="仿宋_GB2312" w:eastAsia="仿宋_GB2312" w:cs="仿宋_GB2312" w:hint="eastAsia"/>
          <w:kern w:val="0"/>
          <w:sz w:val="32"/>
          <w:szCs w:val="32"/>
          <w:lang w:val="en-US" w:eastAsia="zh-CN" w:bidi="ar-SA"/>
        </w:rPr>
        <w:t>与会代表</w:t>
      </w:r>
      <w:r>
        <w:rPr>
          <w:rFonts w:ascii="仿宋_GB2312" w:eastAsia="仿宋_GB2312" w:cs="仿宋_GB2312" w:hint="eastAsia"/>
          <w:kern w:val="0"/>
          <w:sz w:val="32"/>
          <w:szCs w:val="32"/>
          <w:lang w:val="zh-CN" w:eastAsia="zh-CN" w:bidi="ar-SA"/>
        </w:rPr>
        <w:t>建议案符合相关审查流程。项目组织管理均符合相关规定，管理制度执行有效</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zh-CN"/>
        </w:rPr>
      </w:pPr>
      <w:r>
        <w:rPr>
          <w:rFonts w:ascii="黑体" w:eastAsia="黑体" w:cs="黑体" w:hint="eastAsia"/>
          <w:sz w:val="32"/>
          <w:szCs w:val="32"/>
        </w:rPr>
        <w:t>三、项目绩效情况</w:t>
      </w:r>
      <w:r>
        <w:rPr>
          <w:rFonts w:ascii="黑体" w:eastAsia="黑体" w:cs="黑体" w:hint="eastAsia"/>
          <w:sz w:val="32"/>
          <w:szCs w:val="32"/>
          <w:lang w:val="zh-CN"/>
        </w:rPr>
        <w:tab/>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（一）项目完成情况。</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项目实际支出</w:t>
      </w:r>
      <w:r>
        <w:rPr>
          <w:rFonts w:ascii="仿宋_GB2312" w:eastAsia="仿宋_GB2312" w:cs="仿宋_GB2312" w:hint="eastAsia"/>
          <w:sz w:val="32"/>
          <w:szCs w:val="32"/>
          <w:lang w:val="en-US" w:eastAsia="zh-CN"/>
        </w:rPr>
        <w:t>48.50</w:t>
      </w:r>
      <w:r>
        <w:rPr>
          <w:rFonts w:ascii="仿宋_GB2312" w:eastAsia="仿宋_GB2312" w:cs="仿宋_GB2312" w:hint="eastAsia"/>
          <w:sz w:val="32"/>
          <w:szCs w:val="32"/>
        </w:rPr>
        <w:t xml:space="preserve">万元，项目成本控制情况较好。 </w:t>
      </w:r>
      <w:r>
        <w:rPr>
          <w:rFonts w:ascii="仿宋_GB2312" w:eastAsia="仿宋_GB2312" w:cs="仿宋_GB2312" w:hint="eastAsia"/>
          <w:sz w:val="32"/>
          <w:szCs w:val="32"/>
          <w:lang w:val="en-US" w:eastAsia="zh-CN"/>
        </w:rPr>
        <w:t>会议开支均按</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汶川县党政机关会议费管理办法</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规定标准</w:t>
      </w:r>
      <w:r>
        <w:rPr>
          <w:rFonts w:ascii="仿宋_GB2312" w:eastAsia="仿宋_GB2312" w:cs="仿宋_GB2312" w:hint="eastAsia"/>
          <w:sz w:val="32"/>
          <w:szCs w:val="32"/>
        </w:rPr>
        <w:t>执行，项目完成及时且高效。</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eastAsia="zh-CN"/>
        </w:rPr>
        <w:t>（</w:t>
      </w:r>
      <w:r>
        <w:rPr>
          <w:rFonts w:ascii="楷体_GB2312" w:eastAsia="楷体_GB2312" w:cs="楷体_GB2312" w:hint="eastAsia"/>
          <w:b/>
          <w:bCs w:val="0"/>
          <w:sz w:val="32"/>
          <w:szCs w:val="32"/>
          <w:lang w:val="en-US" w:eastAsia="zh-CN"/>
        </w:rPr>
        <w:t>二</w:t>
      </w:r>
      <w:r>
        <w:rPr>
          <w:rFonts w:ascii="楷体_GB2312" w:eastAsia="楷体_GB2312" w:cs="楷体_GB2312" w:hint="eastAsia"/>
          <w:b/>
          <w:bCs w:val="0"/>
          <w:sz w:val="32"/>
          <w:szCs w:val="32"/>
          <w:lang w:val="zh-CN" w:eastAsia="zh-CN"/>
        </w:rPr>
        <w:t>）项目效益情况。</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rPr>
        <w:t>1.经济性</w:t>
      </w:r>
      <w:r>
        <w:rPr>
          <w:rFonts w:ascii="仿宋_GB2312" w:eastAsia="仿宋_GB2312" w:cs="仿宋_GB2312" w:hint="eastAsia"/>
          <w:b/>
          <w:bCs/>
          <w:sz w:val="32"/>
          <w:szCs w:val="32"/>
          <w:lang w:eastAsia="zh-CN"/>
        </w:rPr>
        <w:t>。</w:t>
      </w:r>
      <w:r>
        <w:rPr>
          <w:rFonts w:ascii="仿宋_GB2312" w:eastAsia="仿宋_GB2312" w:cs="仿宋_GB2312" w:hint="eastAsia"/>
          <w:sz w:val="32"/>
          <w:szCs w:val="32"/>
        </w:rPr>
        <w:t>项目实际支出</w:t>
      </w:r>
      <w:r>
        <w:rPr>
          <w:rFonts w:ascii="仿宋_GB2312" w:eastAsia="仿宋_GB2312" w:cs="仿宋_GB2312" w:hint="eastAsia"/>
          <w:sz w:val="32"/>
          <w:szCs w:val="32"/>
          <w:lang w:val="en-US" w:eastAsia="zh-CN"/>
        </w:rPr>
        <w:t>48.50</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项目</w:t>
      </w:r>
      <w:r>
        <w:rPr>
          <w:rFonts w:ascii="仿宋_GB2312" w:eastAsia="仿宋_GB2312" w:cs="仿宋_GB2312" w:hint="eastAsia"/>
          <w:sz w:val="32"/>
          <w:szCs w:val="32"/>
        </w:rPr>
        <w:t>支出方向与预算资金测算相符，项目成本控制情况较好。</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rPr>
        <w:t>2.效率性</w:t>
      </w:r>
      <w:r>
        <w:rPr>
          <w:rFonts w:ascii="仿宋_GB2312" w:eastAsia="仿宋_GB2312" w:cs="仿宋_GB2312" w:hint="eastAsia"/>
          <w:b/>
          <w:bCs/>
          <w:sz w:val="32"/>
          <w:szCs w:val="32"/>
          <w:lang w:eastAsia="zh-CN"/>
        </w:rPr>
        <w:t>。</w:t>
      </w:r>
      <w:r>
        <w:rPr>
          <w:rFonts w:ascii="仿宋_GB2312" w:eastAsia="仿宋_GB2312" w:cs="仿宋_GB2312" w:hint="eastAsia"/>
          <w:sz w:val="32"/>
          <w:szCs w:val="32"/>
        </w:rPr>
        <w:t>会议</w:t>
      </w:r>
      <w:r>
        <w:rPr>
          <w:rFonts w:ascii="仿宋_GB2312" w:eastAsia="仿宋_GB2312" w:cs="仿宋_GB2312" w:hint="eastAsia"/>
          <w:sz w:val="32"/>
          <w:szCs w:val="32"/>
          <w:lang w:val="en-US" w:eastAsia="zh-CN"/>
        </w:rPr>
        <w:t>均</w:t>
      </w:r>
      <w:r>
        <w:rPr>
          <w:rFonts w:ascii="仿宋_GB2312" w:eastAsia="仿宋_GB2312" w:cs="仿宋_GB2312" w:hint="eastAsia"/>
          <w:sz w:val="32"/>
          <w:szCs w:val="32"/>
        </w:rPr>
        <w:t>按时举办并完成，各项会议议程严格按照《</w:t>
      </w:r>
      <w:bookmarkStart w:id="19" w:name="_GoBack"/>
      <w:bookmarkEnd w:id="19"/>
      <w:r>
        <w:rPr>
          <w:rFonts w:ascii="仿宋_GB2312" w:eastAsia="仿宋_GB2312" w:cs="仿宋_GB2312" w:hint="eastAsia"/>
          <w:sz w:val="32"/>
          <w:szCs w:val="32"/>
          <w:lang w:val="en-US" w:eastAsia="zh-CN"/>
        </w:rPr>
        <w:t>汶川县党政机关会议费管理办法</w:t>
      </w:r>
      <w:r>
        <w:rPr>
          <w:rFonts w:ascii="仿宋_GB2312" w:eastAsia="仿宋_GB2312" w:cs="仿宋_GB2312" w:hint="eastAsia"/>
          <w:sz w:val="32"/>
          <w:szCs w:val="32"/>
        </w:rPr>
        <w:t>》进行管理，执行</w:t>
      </w:r>
      <w:r>
        <w:rPr>
          <w:rFonts w:ascii="仿宋_GB2312" w:eastAsia="仿宋_GB2312" w:cs="仿宋_GB2312" w:hint="eastAsia"/>
          <w:sz w:val="32"/>
          <w:szCs w:val="32"/>
          <w:lang w:val="en-US" w:eastAsia="zh-CN"/>
        </w:rPr>
        <w:t>规定标准</w:t>
      </w:r>
      <w:r>
        <w:rPr>
          <w:rFonts w:ascii="仿宋_GB2312" w:eastAsia="仿宋_GB2312" w:cs="仿宋_GB2312" w:hint="eastAsia"/>
          <w:sz w:val="32"/>
          <w:szCs w:val="32"/>
        </w:rPr>
        <w:t>，项目完成及时且高效。</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b/>
          <w:bCs/>
          <w:sz w:val="32"/>
          <w:szCs w:val="32"/>
          <w:lang w:val="en-US" w:eastAsia="zh-CN"/>
        </w:rPr>
        <w:t>3.满意度。</w:t>
      </w:r>
      <w:r>
        <w:rPr>
          <w:rFonts w:ascii="仿宋_GB2312" w:eastAsia="仿宋_GB2312" w:cs="仿宋_GB2312" w:hint="eastAsia"/>
          <w:sz w:val="32"/>
          <w:szCs w:val="32"/>
        </w:rPr>
        <w:t>本项目</w:t>
      </w:r>
      <w:r>
        <w:rPr>
          <w:rFonts w:ascii="仿宋_GB2312" w:eastAsia="仿宋_GB2312" w:cs="仿宋_GB2312" w:hint="eastAsia"/>
          <w:sz w:val="32"/>
          <w:szCs w:val="32"/>
          <w:lang w:eastAsia="zh-CN"/>
        </w:rPr>
        <w:t>2025年</w:t>
      </w:r>
      <w:r>
        <w:rPr>
          <w:rFonts w:ascii="仿宋_GB2312" w:eastAsia="仿宋_GB2312" w:cs="仿宋_GB2312" w:hint="eastAsia"/>
          <w:sz w:val="32"/>
          <w:szCs w:val="32"/>
        </w:rPr>
        <w:t>实施情况良好，各项任务均按计划完成且达到预期效果，无绩效目标未完成的情况。</w:t>
      </w:r>
      <w:r>
        <w:rPr>
          <w:rFonts w:ascii="仿宋_GB2312" w:eastAsia="仿宋_GB2312" w:cs="仿宋_GB2312" w:hint="eastAsia"/>
          <w:sz w:val="32"/>
          <w:szCs w:val="32"/>
          <w:lang w:val="en-US" w:eastAsia="zh-CN"/>
        </w:rPr>
        <w:t>提升了预算绩效管理工作水平，强化支出责任，规范资金管理行为，提高财政资金使用效益，代表的满意度达到100%。</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黑体" w:eastAsia="黑体" w:cs="黑体" w:hint="eastAsia"/>
          <w:sz w:val="32"/>
          <w:szCs w:val="32"/>
        </w:rPr>
      </w:pPr>
      <w:r>
        <w:rPr>
          <w:rFonts w:ascii="黑体" w:eastAsia="黑体" w:cs="黑体" w:hint="eastAsia"/>
          <w:sz w:val="32"/>
          <w:szCs w:val="32"/>
        </w:rPr>
        <w:t>四、问题及建议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eastAsia="zh-CN"/>
        </w:rPr>
      </w:pPr>
      <w:r>
        <w:rPr>
          <w:rFonts w:ascii="楷体_GB2312" w:eastAsia="楷体_GB2312" w:cs="楷体_GB2312" w:hint="eastAsia"/>
          <w:b/>
          <w:bCs w:val="0"/>
          <w:sz w:val="32"/>
          <w:szCs w:val="32"/>
          <w:lang w:val="zh-CN" w:eastAsia="zh-CN"/>
        </w:rPr>
        <w:t>（一）存在的问题。</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绩效目标精细化水平有待提高</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会议</w:t>
      </w:r>
      <w:r>
        <w:rPr>
          <w:rFonts w:ascii="仿宋_GB2312" w:eastAsia="仿宋_GB2312" w:cs="仿宋_GB2312" w:hint="eastAsia"/>
          <w:sz w:val="32"/>
          <w:szCs w:val="32"/>
        </w:rPr>
        <w:t>目标任务为完成</w:t>
      </w:r>
      <w:r>
        <w:rPr>
          <w:rFonts w:ascii="仿宋_GB2312" w:eastAsia="仿宋_GB2312" w:cs="仿宋_GB2312" w:hint="eastAsia"/>
          <w:sz w:val="32"/>
          <w:szCs w:val="32"/>
          <w:lang w:val="en-US" w:eastAsia="zh-CN"/>
        </w:rPr>
        <w:t>汶川县人大常委会</w:t>
      </w:r>
      <w:r>
        <w:rPr>
          <w:rFonts w:ascii="仿宋_GB2312" w:eastAsia="仿宋_GB2312" w:cs="仿宋_GB2312" w:hint="eastAsia"/>
          <w:sz w:val="32"/>
          <w:szCs w:val="32"/>
        </w:rPr>
        <w:t>会议各项会议议程，达到保障</w:t>
      </w:r>
      <w:r>
        <w:rPr>
          <w:rFonts w:ascii="仿宋_GB2312" w:eastAsia="仿宋_GB2312" w:cs="仿宋_GB2312" w:hint="eastAsia"/>
          <w:sz w:val="32"/>
          <w:szCs w:val="32"/>
          <w:lang w:val="en-US" w:eastAsia="zh-CN"/>
        </w:rPr>
        <w:t>人大代表</w:t>
      </w:r>
      <w:r>
        <w:rPr>
          <w:rFonts w:ascii="仿宋_GB2312" w:eastAsia="仿宋_GB2312" w:cs="仿宋_GB2312" w:hint="eastAsia"/>
          <w:sz w:val="32"/>
          <w:szCs w:val="32"/>
        </w:rPr>
        <w:t>履职建言的效果，项目产出和效果目标明确，但绩效目标量化程度不足，未能完全准确体现与预算的匹配性。</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楷体_GB2312" w:eastAsia="楷体_GB2312" w:cs="楷体_GB2312" w:hint="eastAsia"/>
          <w:b/>
          <w:bCs w:val="0"/>
          <w:sz w:val="32"/>
          <w:szCs w:val="32"/>
          <w:lang w:val="zh-CN" w:eastAsia="zh-CN"/>
        </w:rPr>
      </w:pPr>
      <w:r>
        <w:rPr>
          <w:rFonts w:ascii="楷体_GB2312" w:eastAsia="楷体_GB2312" w:cs="楷体_GB2312" w:hint="eastAsia"/>
          <w:b/>
          <w:bCs w:val="0"/>
          <w:sz w:val="32"/>
          <w:szCs w:val="32"/>
          <w:lang w:val="zh-CN" w:eastAsia="zh-CN"/>
        </w:rPr>
        <w:t>（二）相关建议。</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下一年度开展绩效目标编制时，根据项目会议预期任务、实施内容和完成效果等内容，细化量化绩效目标，使目标与预算相匹配，提高绩效目标精细化水平，更为科学合理地体现项目预期效果和资金使用效益。</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p>
    <w:tbl>
      <w:tblPr>
        <w:jc w:val="center"/>
        <w:tblW w:w="5000"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762"/>
        <w:gridCol w:w="626"/>
        <w:gridCol w:w="884"/>
        <w:gridCol w:w="1113"/>
        <w:gridCol w:w="723"/>
        <w:gridCol w:w="789"/>
        <w:gridCol w:w="728"/>
        <w:gridCol w:w="909"/>
        <w:gridCol w:w="789"/>
        <w:gridCol w:w="732"/>
        <w:gridCol w:w="891"/>
      </w:tblGrid>
      <w:t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600"/>
              <w:jc w:val="center"/>
              <w:textAlignment w:val="center"/>
              <w:rPr>
                <w:rFonts w:ascii="黑体" w:eastAsia="黑体" w:cs="黑体"/>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341"/>
        </w:trPr>
        <w:tc>
          <w:tcPr>
            <w:tcW w:w="77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项目名称</w:t>
            </w:r>
          </w:p>
        </w:tc>
        <w:tc>
          <w:tcPr>
            <w:tcW w:w="422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51322121T000000156579-人大会议</w:t>
            </w:r>
          </w:p>
        </w:tc>
      </w:tr>
      <w:tr>
        <w:trPr>
          <w:trHeight w:val="422"/>
        </w:trPr>
        <w:tc>
          <w:tcPr>
            <w:tcW w:w="77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主管部门</w:t>
            </w:r>
          </w:p>
        </w:tc>
        <w:tc>
          <w:tcPr>
            <w:tcW w:w="236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汶川县人民代表大会常务委员会办公室本级</w:t>
            </w:r>
          </w:p>
        </w:tc>
        <w:tc>
          <w:tcPr>
            <w:tcW w:w="50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 xml:space="preserve">实施单位 </w:t>
            </w:r>
          </w:p>
        </w:tc>
        <w:tc>
          <w:tcPr>
            <w:tcW w:w="13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汶川县人民代表大会常务委员会办公室</w:t>
            </w:r>
          </w:p>
        </w:tc>
      </w:tr>
      <w:tr>
        <w:trPr>
          <w:trHeight w:val="402"/>
        </w:trPr>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项目基本情况</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1.项目年度目标完成情况</w:t>
            </w:r>
          </w:p>
        </w:tc>
        <w:tc>
          <w:tcPr>
            <w:tcW w:w="236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项目年度目标</w:t>
            </w:r>
          </w:p>
        </w:tc>
        <w:tc>
          <w:tcPr>
            <w:tcW w:w="185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年度目标完成情况</w:t>
            </w:r>
          </w:p>
        </w:tc>
      </w:tr>
      <w:tr>
        <w:trPr>
          <w:trHeight w:val="1205"/>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6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目标1：听取和审议县人大常委会、县人民政府、县人民法院、县人民检察院工作报告；</w:t>
              <w:br/>
              <w:t>目标2：审查和批准汶川县财政预算执行情况报告和财政预算；</w:t>
              <w:br/>
              <w:t>目标3：审查和批准汶川县国民经济和社会发展计划执行情况报告及国民经济和社会发展计划。</w:t>
              <w:br/>
              <w:t>目标4：召开人大常委会听取审议相关报告、人事任免。</w:t>
              <w:br/>
              <w:t>目标5：完成选举工作。</w:t>
            </w:r>
          </w:p>
        </w:tc>
        <w:tc>
          <w:tcPr>
            <w:tcW w:w="185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按县委工作安排召开了一年一度的全县人民代表大会，召开了7次常委会及8次主任会。达到了保障人大代表履职建言的效果，充分发扬了民主，为科学决策打下坚实基础。</w:t>
            </w:r>
          </w:p>
        </w:tc>
      </w:tr>
      <w:tr>
        <w:trPr>
          <w:trHeight w:val="706"/>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2.项目实施内容及过程概述</w:t>
            </w:r>
          </w:p>
        </w:tc>
        <w:tc>
          <w:tcPr>
            <w:tcW w:w="422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会议举行前，按要求进行准备，提出会议的议程草案和日程草案的建议；会议议程严格按照工作要求流程进行，开幕会完成通过议程、听取常委会工作报告等任务，闭幕会完成各项决议和报告、通过代表建议等任务；与会代表建议案符合相关审查流程。</w:t>
            </w:r>
          </w:p>
        </w:tc>
      </w:tr>
      <w:tr>
        <w:trPr>
          <w:trHeight w:val="395"/>
        </w:trPr>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预算执行情况（10分）</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年度预算数（万元）</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年初预算</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调整后预算数</w:t>
            </w:r>
          </w:p>
        </w:tc>
        <w:tc>
          <w:tcPr>
            <w:tcW w:w="12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预算执行数</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预算执行率</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原因</w:t>
            </w:r>
          </w:p>
        </w:tc>
      </w:tr>
      <w:tr>
        <w:trPr>
          <w:trHeight w:val="280"/>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总额</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72.94</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48.5</w:t>
            </w:r>
            <w:r>
              <w:rPr>
                <w:rFonts w:ascii="宋体" w:cs="宋体" w:hint="eastAsia"/>
                <w:i w:val="0"/>
                <w:iCs w:val="0"/>
                <w:color w:val="000000"/>
                <w:w w:val="80"/>
                <w:kern w:val="0"/>
                <w:sz w:val="13"/>
                <w:szCs w:val="13"/>
                <w:u w:val="none"/>
                <w:lang w:val="en-US" w:eastAsia="zh-CN" w:bidi="ar-SA"/>
              </w:rPr>
              <w:t>0</w:t>
            </w:r>
          </w:p>
        </w:tc>
        <w:tc>
          <w:tcPr>
            <w:tcW w:w="12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48.50</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9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1.预算执行率大100%;2.年末根据工作开展的实际支出数，调减了年初预算,</w:t>
            </w:r>
          </w:p>
        </w:tc>
      </w:tr>
      <w:tr>
        <w:trPr>
          <w:trHeight w:val="442"/>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其中：财政资金</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72.94</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48.5</w:t>
            </w:r>
            <w:r>
              <w:rPr>
                <w:rFonts w:ascii="宋体" w:cs="宋体" w:hint="eastAsia"/>
                <w:i w:val="0"/>
                <w:iCs w:val="0"/>
                <w:color w:val="000000"/>
                <w:w w:val="80"/>
                <w:kern w:val="0"/>
                <w:sz w:val="13"/>
                <w:szCs w:val="13"/>
                <w:u w:val="none"/>
                <w:lang w:val="en-US" w:eastAsia="zh-CN" w:bidi="ar-SA"/>
              </w:rPr>
              <w:t>0</w:t>
            </w:r>
          </w:p>
        </w:tc>
        <w:tc>
          <w:tcPr>
            <w:tcW w:w="12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48.50</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9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财政专户管理资金</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2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9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240"/>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单位资金</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2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9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273"/>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其他资金</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c>
          <w:tcPr>
            <w:tcW w:w="12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9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4"/>
        </w:trPr>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绩效指标（90分）</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一级指标</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二级指标</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三级指标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指标性质</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指标值</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度量单位</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完成值</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w w:val="73"/>
                <w:kern w:val="0"/>
                <w:sz w:val="13"/>
                <w:szCs w:val="13"/>
                <w:u w:val="none"/>
                <w:lang w:val="en-US" w:eastAsia="zh-CN" w:bidi="ar-SA"/>
              </w:rPr>
              <w:t>未完成原因分析</w:t>
            </w:r>
          </w:p>
        </w:tc>
      </w:tr>
      <w:tr>
        <w:trPr>
          <w:trHeight w:val="379"/>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产出指标</w:t>
            </w:r>
          </w:p>
        </w:tc>
        <w:tc>
          <w:tcPr>
            <w:tcW w:w="49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数量指标</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
                <w:w w:val="75"/>
                <w:kern w:val="0"/>
                <w:sz w:val="13"/>
                <w:szCs w:val="13"/>
                <w:u w:val="none"/>
                <w:lang w:val="en-US" w:eastAsia="zh-CN" w:bidi="ar-SA"/>
              </w:rPr>
              <w:t>召开县级人大常委</w:t>
            </w:r>
            <w:r>
              <w:rPr>
                <w:rFonts w:ascii="宋体" w:eastAsia="宋体" w:cs="宋体" w:hint="eastAsia"/>
                <w:i w:val="0"/>
                <w:iCs w:val="0"/>
                <w:color w:val="000000"/>
                <w:spacing w:val="0"/>
                <w:w w:val="75"/>
                <w:kern w:val="0"/>
                <w:sz w:val="13"/>
                <w:szCs w:val="13"/>
                <w:u w:val="none"/>
                <w:lang w:val="en-US" w:eastAsia="zh-CN" w:bidi="ar-SA"/>
              </w:rPr>
              <w:t>会</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次</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7</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精简会议</w:t>
            </w:r>
          </w:p>
        </w:tc>
      </w:tr>
      <w:tr>
        <w:trPr>
          <w:trHeight w:val="359"/>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召开主任会议</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12</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次</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8</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精简会议</w:t>
            </w:r>
          </w:p>
        </w:tc>
      </w:tr>
      <w:tr>
        <w:trPr>
          <w:trHeight w:val="278"/>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
                <w:w w:val="61"/>
                <w:kern w:val="0"/>
                <w:sz w:val="13"/>
                <w:szCs w:val="13"/>
                <w:u w:val="none"/>
                <w:lang w:val="en-US" w:eastAsia="zh-CN" w:bidi="ar-SA"/>
              </w:rPr>
              <w:t>召开县人民代表大会次</w:t>
            </w:r>
            <w:r>
              <w:rPr>
                <w:rFonts w:ascii="宋体" w:eastAsia="宋体" w:cs="宋体" w:hint="eastAsia"/>
                <w:i w:val="0"/>
                <w:iCs w:val="0"/>
                <w:color w:val="000000"/>
                <w:spacing w:val="0"/>
                <w:w w:val="61"/>
                <w:kern w:val="0"/>
                <w:sz w:val="13"/>
                <w:szCs w:val="13"/>
                <w:u w:val="none"/>
                <w:lang w:val="en-US" w:eastAsia="zh-CN" w:bidi="ar-SA"/>
              </w:rPr>
              <w:t>数</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次</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r>
      <w:tr>
        <w:trPr>
          <w:trHeight w:val="281"/>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质量指标</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
                <w:w w:val="61"/>
                <w:kern w:val="0"/>
                <w:sz w:val="13"/>
                <w:szCs w:val="13"/>
                <w:u w:val="none"/>
                <w:lang w:val="en-US" w:eastAsia="zh-CN" w:bidi="ar-SA"/>
              </w:rPr>
              <w:t>按计划完成各项会议议</w:t>
            </w:r>
            <w:r>
              <w:rPr>
                <w:rFonts w:ascii="宋体" w:eastAsia="宋体" w:cs="宋体" w:hint="eastAsia"/>
                <w:i w:val="0"/>
                <w:iCs w:val="0"/>
                <w:color w:val="000000"/>
                <w:spacing w:val="0"/>
                <w:w w:val="61"/>
                <w:kern w:val="0"/>
                <w:sz w:val="13"/>
                <w:szCs w:val="13"/>
                <w:u w:val="none"/>
                <w:lang w:val="en-US" w:eastAsia="zh-CN" w:bidi="ar-SA"/>
              </w:rPr>
              <w:t>程</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r>
      <w:tr>
        <w:trPr>
          <w:trHeight w:val="256"/>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县人大代表参会率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90</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95</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r>
      <w:tr>
        <w:trPr>
          <w:trHeight w:val="295"/>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时效指标</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
                <w:w w:val="61"/>
                <w:kern w:val="0"/>
                <w:sz w:val="13"/>
                <w:szCs w:val="13"/>
                <w:u w:val="none"/>
                <w:lang w:val="en-US" w:eastAsia="zh-CN" w:bidi="ar-SA"/>
              </w:rPr>
              <w:t>县人民代表大会召开时</w:t>
            </w:r>
            <w:r>
              <w:rPr>
                <w:rFonts w:ascii="宋体" w:eastAsia="宋体" w:cs="宋体" w:hint="eastAsia"/>
                <w:i w:val="0"/>
                <w:iCs w:val="0"/>
                <w:color w:val="000000"/>
                <w:spacing w:val="0"/>
                <w:w w:val="61"/>
                <w:kern w:val="0"/>
                <w:sz w:val="13"/>
                <w:szCs w:val="13"/>
                <w:u w:val="none"/>
                <w:lang w:val="en-US" w:eastAsia="zh-CN" w:bidi="ar-SA"/>
              </w:rPr>
              <w:t>间</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12</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月</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r>
      <w:tr>
        <w:trPr>
          <w:trHeight w:val="267"/>
        </w:trP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
                <w:w w:val="61"/>
                <w:kern w:val="0"/>
                <w:sz w:val="13"/>
                <w:szCs w:val="13"/>
                <w:u w:val="none"/>
                <w:lang w:val="en-US" w:eastAsia="zh-CN" w:bidi="ar-SA"/>
              </w:rPr>
              <w:t>县人民代表大会会议时</w:t>
            </w:r>
            <w:r>
              <w:rPr>
                <w:rFonts w:ascii="宋体" w:eastAsia="宋体" w:cs="宋体" w:hint="eastAsia"/>
                <w:i w:val="0"/>
                <w:iCs w:val="0"/>
                <w:color w:val="000000"/>
                <w:spacing w:val="0"/>
                <w:w w:val="61"/>
                <w:kern w:val="0"/>
                <w:sz w:val="13"/>
                <w:szCs w:val="13"/>
                <w:u w:val="none"/>
                <w:lang w:val="en-US" w:eastAsia="zh-CN" w:bidi="ar-SA"/>
              </w:rPr>
              <w:t>间</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3</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天</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3</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r>
      <w:t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效益指标</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3"/>
                <w:w w:val="68"/>
                <w:kern w:val="0"/>
                <w:sz w:val="13"/>
                <w:szCs w:val="13"/>
                <w:u w:val="none"/>
                <w:lang w:val="en-US" w:eastAsia="zh-CN" w:bidi="ar-SA"/>
              </w:rPr>
              <w:t>社会效益指</w:t>
            </w:r>
            <w:r>
              <w:rPr>
                <w:rFonts w:ascii="宋体" w:eastAsia="宋体" w:cs="宋体" w:hint="eastAsia"/>
                <w:i w:val="0"/>
                <w:iCs w:val="0"/>
                <w:color w:val="000000"/>
                <w:spacing w:val="0"/>
                <w:w w:val="68"/>
                <w:kern w:val="0"/>
                <w:sz w:val="13"/>
                <w:szCs w:val="13"/>
                <w:u w:val="none"/>
                <w:lang w:val="en-US" w:eastAsia="zh-CN" w:bidi="ar-SA"/>
              </w:rPr>
              <w:t>标</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县人大代表能够认真履行职责，充分发挥党和国家机关联系人民群众的桥梁和纽带的作用</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定性</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优良中低差</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优</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r>
      <w:tr>
        <w:tc>
          <w:tcPr>
            <w:tcW w:w="4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满意度指标</w:t>
            </w:r>
          </w:p>
        </w:tc>
        <w:tc>
          <w:tcPr>
            <w:tcW w:w="49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满意度指标</w:t>
            </w:r>
          </w:p>
        </w:tc>
        <w:tc>
          <w:tcPr>
            <w:tcW w:w="6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县人大代表满意率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90</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cs="宋体" w:hint="eastAsia"/>
                <w:i w:val="0"/>
                <w:iCs w:val="0"/>
                <w:color w:val="000000"/>
                <w:w w:val="80"/>
                <w:kern w:val="0"/>
                <w:sz w:val="13"/>
                <w:szCs w:val="13"/>
                <w:u w:val="none"/>
                <w:lang w:val="en-US" w:eastAsia="zh-CN" w:bidi="ar-SA"/>
              </w:rPr>
              <w:t>100</w:t>
            </w:r>
            <w:r>
              <w:rPr>
                <w:rFonts w:ascii="宋体" w:eastAsia="宋体" w:cs="宋体" w:hint="eastAsia"/>
                <w:i w:val="0"/>
                <w:iCs w:val="0"/>
                <w:color w:val="000000"/>
                <w:w w:val="80"/>
                <w:kern w:val="0"/>
                <w:sz w:val="13"/>
                <w:szCs w:val="13"/>
                <w:u w:val="none"/>
                <w:lang w:val="en-US" w:eastAsia="zh-CN" w:bidi="ar-SA"/>
              </w:rPr>
              <w:t>%</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val="0"/>
              <w:kinsoku/>
              <w:wordWrap/>
              <w:topLinePunct w:val="0"/>
              <w:bidi w:val="0"/>
              <w:adjustRightInd/>
              <w:snapToGrid w:val="0"/>
              <w:spacing w:line="240" w:lineRule="auto"/>
              <w:ind w:left="0" w:firstLineChars="200" w:firstLine="208"/>
              <w:jc w:val="center"/>
              <w:rPr>
                <w:rFonts w:ascii="宋体" w:eastAsia="宋体" w:cs="宋体" w:hint="eastAsia"/>
                <w:i w:val="0"/>
                <w:iCs w:val="0"/>
                <w:color w:val="000000"/>
                <w:w w:val="80"/>
                <w:kern w:val="0"/>
                <w:sz w:val="13"/>
                <w:szCs w:val="13"/>
                <w:u w:val="none"/>
                <w:lang w:val="en-US" w:eastAsia="zh-CN" w:bidi="ar-SA"/>
              </w:rPr>
            </w:pPr>
          </w:p>
        </w:tc>
      </w:tr>
      <w:tr>
        <w:trPr>
          <w:trHeight w:val="321"/>
        </w:trPr>
        <w:tc>
          <w:tcPr>
            <w:tcW w:w="365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合计</w:t>
            </w:r>
          </w:p>
        </w:tc>
        <w:tc>
          <w:tcPr>
            <w:tcW w:w="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4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98</w:t>
            </w:r>
          </w:p>
        </w:tc>
        <w:tc>
          <w:tcPr>
            <w:tcW w:w="4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368"/>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评价结论</w:t>
            </w:r>
          </w:p>
        </w:tc>
        <w:tc>
          <w:tcPr>
            <w:tcW w:w="457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本项目实施情况良好，会议严格按照《汶川县党政机关会议费管理办法》进行管理，各项任务均按计划完成且达到预期效果。</w:t>
            </w:r>
          </w:p>
        </w:tc>
      </w:tr>
      <w:tr>
        <w:trPr>
          <w:trHeight w:val="409"/>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存在问题</w:t>
            </w:r>
          </w:p>
        </w:tc>
        <w:tc>
          <w:tcPr>
            <w:tcW w:w="457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绩效目标量化程度不足，为能完全准确体现与预算的匹配性。</w:t>
            </w:r>
          </w:p>
        </w:tc>
      </w:tr>
      <w:tr>
        <w:trPr>
          <w:trHeight w:val="755"/>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改进措施</w:t>
            </w:r>
          </w:p>
        </w:tc>
        <w:tc>
          <w:tcPr>
            <w:tcW w:w="457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下一年开展绩效目标编制时，根据项目会议预期任务、实施内容和完成效果等内容，细化量化绩效目标，使目标和预算相匹配，提高绩效目标精细化水平，更为科学合理地体现项目预期效果和资金使用效益。</w:t>
            </w:r>
          </w:p>
        </w:tc>
      </w:tr>
    </w:tbl>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方正小标宋简体" w:eastAsia="方正小标宋简体" w:cs="方正小标宋简体" w:hint="eastAsia"/>
          <w:spacing w:val="-20"/>
          <w:sz w:val="44"/>
          <w:szCs w:val="44"/>
        </w:rPr>
      </w:pPr>
      <w:r>
        <w:rPr>
          <w:rFonts w:ascii="方正小标宋简体" w:eastAsia="方正小标宋简体" w:cs="方正小标宋简体" w:hint="eastAsia"/>
          <w:spacing w:val="-20"/>
          <w:sz w:val="44"/>
          <w:szCs w:val="44"/>
          <w:lang w:eastAsia="zh-CN"/>
        </w:rPr>
        <w:t>2025年</w:t>
      </w:r>
      <w:r>
        <w:rPr>
          <w:rFonts w:ascii="方正小标宋简体" w:eastAsia="方正小标宋简体" w:cs="方正小标宋简体" w:hint="eastAsia"/>
          <w:spacing w:val="-20"/>
          <w:sz w:val="44"/>
          <w:szCs w:val="44"/>
        </w:rPr>
        <w:t>代表履职能力提升</w:t>
      </w:r>
      <w:r>
        <w:rPr>
          <w:rFonts w:ascii="方正小标宋简体" w:eastAsia="方正小标宋简体" w:cs="方正小标宋简体" w:hint="eastAsia"/>
          <w:spacing w:val="-20"/>
          <w:sz w:val="44"/>
          <w:szCs w:val="44"/>
          <w:lang w:val="en-US" w:eastAsia="zh-CN"/>
        </w:rPr>
        <w:t>培训</w:t>
      </w:r>
      <w:r>
        <w:rPr>
          <w:rFonts w:ascii="方正小标宋简体" w:eastAsia="方正小标宋简体" w:cs="方正小标宋简体" w:hint="eastAsia"/>
          <w:spacing w:val="-20"/>
          <w:sz w:val="44"/>
          <w:szCs w:val="44"/>
        </w:rPr>
        <w:t>项目支出绩效评价报</w:t>
      </w:r>
      <w:r>
        <w:rPr>
          <w:rFonts w:ascii="方正小标宋简体" w:eastAsia="方正小标宋简体" w:cs="方正小标宋简体" w:hint="eastAsia"/>
          <w:spacing w:val="-20"/>
          <w:sz w:val="44"/>
          <w:szCs w:val="44"/>
          <w:lang w:val="en-US" w:eastAsia="zh-CN"/>
        </w:rPr>
        <w:t xml:space="preserve">   </w:t>
      </w:r>
      <w:r>
        <w:rPr>
          <w:rFonts w:ascii="方正小标宋简体" w:eastAsia="方正小标宋简体" w:cs="方正小标宋简体" w:hint="eastAsia"/>
          <w:spacing w:val="-20"/>
          <w:sz w:val="44"/>
          <w:szCs w:val="44"/>
        </w:rPr>
        <w:t>告</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cs="黑体" w:hint="eastAsia"/>
          <w:sz w:val="32"/>
          <w:szCs w:val="32"/>
        </w:rPr>
      </w:pPr>
      <w:r>
        <w:rPr>
          <w:rFonts w:ascii="黑体" w:eastAsia="黑体" w:cs="黑体" w:hint="eastAsia"/>
          <w:sz w:val="32"/>
          <w:szCs w:val="32"/>
        </w:rPr>
        <w:t>一、评价工作开展及项目情况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方正楷体_GBK" w:eastAsia="方正楷体_GBK" w:cs="方正楷体_GBK" w:hint="eastAsia"/>
          <w:b w:val="0"/>
          <w:bCs/>
          <w:sz w:val="32"/>
          <w:szCs w:val="32"/>
          <w:lang w:val="zh-CN"/>
        </w:rPr>
      </w:pPr>
      <w:r>
        <w:rPr>
          <w:rFonts w:ascii="楷体_GB2312" w:eastAsia="楷体_GB2312" w:cs="楷体_GB2312" w:hint="eastAsia"/>
          <w:b/>
          <w:bCs w:val="0"/>
          <w:sz w:val="32"/>
          <w:szCs w:val="32"/>
          <w:lang w:val="zh-CN"/>
        </w:rPr>
        <w:t>（一）项目资金申报及批复情况。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根据阿委发</w:t>
      </w:r>
      <w:r>
        <w:rPr>
          <w:rFonts w:ascii="仿宋_GB2312" w:eastAsia="仿宋_GB2312" w:cs="仿宋_GB2312" w:hint="eastAsia"/>
          <w:sz w:val="32"/>
          <w:szCs w:val="32"/>
        </w:rPr>
        <w:t>〔2016〕</w:t>
      </w:r>
      <w:r>
        <w:rPr>
          <w:rFonts w:ascii="仿宋_GB2312" w:eastAsia="仿宋_GB2312" w:cs="仿宋_GB2312" w:hint="eastAsia"/>
          <w:sz w:val="32"/>
          <w:szCs w:val="32"/>
          <w:lang w:val="en-US" w:eastAsia="zh-CN"/>
        </w:rPr>
        <w:t>1号文精神：要建立和完善人大代表培训制度，增强人大代表履职意识，提高人大代表履职能力；按照汶委</w:t>
      </w:r>
      <w:r>
        <w:rPr>
          <w:rFonts w:ascii="仿宋_GB2312" w:eastAsia="仿宋_GB2312" w:cs="仿宋_GB2312" w:hint="eastAsia"/>
          <w:sz w:val="32"/>
          <w:szCs w:val="32"/>
        </w:rPr>
        <w:t>〔20</w:t>
      </w:r>
      <w:r>
        <w:rPr>
          <w:rFonts w:ascii="仿宋_GB2312" w:eastAsia="仿宋_GB2312" w:cs="仿宋_GB2312" w:hint="eastAsia"/>
          <w:sz w:val="32"/>
          <w:szCs w:val="32"/>
          <w:lang w:val="en-US" w:eastAsia="zh-CN"/>
        </w:rPr>
        <w:t>20</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49号通知要求：县人大应对乡镇人大主席、副主席、秘书及工作人员进行培训。2025年计划组织3期履职能力提升培训，</w:t>
      </w:r>
      <w:r>
        <w:rPr>
          <w:rFonts w:ascii="仿宋_GB2312" w:eastAsia="仿宋_GB2312" w:cs="仿宋_GB2312"/>
          <w:sz w:val="32"/>
          <w:szCs w:val="32"/>
          <w:lang w:val="en-US" w:eastAsia="zh-CN"/>
        </w:rPr>
        <w:t>提升人大代表履职能力。需资金：代表</w:t>
      </w:r>
      <w:r>
        <w:rPr>
          <w:rFonts w:ascii="仿宋_GB2312" w:eastAsia="仿宋_GB2312" w:cs="仿宋_GB2312" w:hint="eastAsia"/>
          <w:sz w:val="32"/>
          <w:szCs w:val="32"/>
          <w:lang w:val="en-US" w:eastAsia="zh-CN"/>
        </w:rPr>
        <w:t>培训</w:t>
      </w:r>
      <w:r>
        <w:rPr>
          <w:rFonts w:ascii="仿宋_GB2312" w:eastAsia="仿宋_GB2312" w:cs="仿宋_GB2312"/>
          <w:sz w:val="32"/>
          <w:szCs w:val="32"/>
          <w:lang w:val="en-US" w:eastAsia="zh-CN"/>
        </w:rPr>
        <w:t>经费</w:t>
      </w:r>
      <w:r>
        <w:rPr>
          <w:rFonts w:ascii="仿宋_GB2312" w:eastAsia="仿宋_GB2312" w:cs="仿宋_GB2312" w:hint="eastAsia"/>
          <w:sz w:val="32"/>
          <w:szCs w:val="32"/>
          <w:lang w:val="en-US" w:eastAsia="zh-CN"/>
        </w:rPr>
        <w:t>115.80</w:t>
      </w:r>
      <w:r>
        <w:rPr>
          <w:rFonts w:ascii="仿宋_GB2312" w:eastAsia="仿宋_GB2312" w:cs="仿宋_GB2312"/>
          <w:sz w:val="32"/>
          <w:szCs w:val="32"/>
          <w:lang w:val="en-US" w:eastAsia="zh-CN"/>
        </w:rPr>
        <w:t>万元，来源为一般预算拨款</w:t>
      </w:r>
      <w:r>
        <w:rPr>
          <w:rFonts w:ascii="仿宋_GB2312" w:eastAsia="仿宋_GB2312" w:cs="仿宋_GB2312" w:hint="eastAsia"/>
          <w:sz w:val="32"/>
          <w:szCs w:val="32"/>
          <w:lang w:val="en-US" w:eastAsia="zh-CN"/>
        </w:rPr>
        <w:t>115.80</w:t>
      </w:r>
      <w:r>
        <w:rPr>
          <w:rFonts w:ascii="仿宋_GB2312" w:eastAsia="仿宋_GB2312" w:cs="仿宋_GB2312"/>
          <w:sz w:val="32"/>
          <w:szCs w:val="32"/>
          <w:lang w:val="en-US" w:eastAsia="zh-CN"/>
        </w:rPr>
        <w:t>万元。</w:t>
      </w:r>
      <w:r>
        <w:rPr>
          <w:rFonts w:ascii="仿宋_GB2312" w:eastAsia="仿宋_GB2312" w:cs="仿宋_GB2312" w:hint="eastAsia"/>
          <w:sz w:val="32"/>
          <w:szCs w:val="32"/>
          <w:lang w:val="en-US" w:eastAsia="zh-CN"/>
        </w:rPr>
        <w:t>年初预算</w:t>
      </w:r>
      <w:r>
        <w:rPr>
          <w:rFonts w:ascii="仿宋_GB2312" w:eastAsia="仿宋_GB2312" w:cs="仿宋_GB2312"/>
          <w:sz w:val="32"/>
          <w:szCs w:val="32"/>
          <w:lang w:val="en-US" w:eastAsia="zh-CN"/>
        </w:rPr>
        <w:t>实际下达资金</w:t>
      </w:r>
      <w:r>
        <w:rPr>
          <w:rFonts w:ascii="仿宋_GB2312" w:eastAsia="仿宋_GB2312" w:cs="仿宋_GB2312" w:hint="eastAsia"/>
          <w:sz w:val="32"/>
          <w:szCs w:val="32"/>
          <w:lang w:val="en-US" w:eastAsia="zh-CN"/>
        </w:rPr>
        <w:t>115.80</w:t>
      </w:r>
      <w:r>
        <w:rPr>
          <w:rFonts w:ascii="仿宋_GB2312" w:eastAsia="仿宋_GB2312" w:cs="仿宋_GB2312"/>
          <w:sz w:val="32"/>
          <w:szCs w:val="32"/>
          <w:lang w:val="en-US" w:eastAsia="zh-CN"/>
        </w:rPr>
        <w:t>万元</w:t>
      </w:r>
      <w:r>
        <w:rPr>
          <w:rFonts w:ascii="仿宋_GB2312" w:eastAsia="仿宋_GB2312" w:cs="仿宋_GB2312" w:hint="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w:t>
      </w:r>
      <w:r>
        <w:rPr>
          <w:rFonts w:ascii="楷体_GB2312" w:eastAsia="楷体_GB2312" w:cs="楷体_GB2312" w:hint="eastAsia"/>
          <w:b/>
          <w:bCs w:val="0"/>
          <w:sz w:val="32"/>
          <w:szCs w:val="32"/>
          <w:lang w:val="en-US" w:eastAsia="zh-CN"/>
        </w:rPr>
        <w:t>二</w:t>
      </w:r>
      <w:r>
        <w:rPr>
          <w:rFonts w:ascii="楷体_GB2312" w:eastAsia="楷体_GB2312" w:cs="楷体_GB2312" w:hint="eastAsia"/>
          <w:b/>
          <w:bCs w:val="0"/>
          <w:sz w:val="32"/>
          <w:szCs w:val="32"/>
          <w:lang w:val="zh-CN"/>
        </w:rPr>
        <w:t>）项目绩效目标。</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sz w:val="32"/>
          <w:szCs w:val="32"/>
          <w:lang w:val="en-US" w:eastAsia="zh-CN"/>
        </w:rPr>
      </w:pPr>
      <w:r>
        <w:rPr>
          <w:rFonts w:ascii="仿宋_GB2312" w:eastAsia="仿宋_GB2312" w:cs="仿宋_GB2312"/>
          <w:sz w:val="32"/>
          <w:szCs w:val="32"/>
          <w:lang w:val="en-US" w:eastAsia="zh-CN"/>
        </w:rPr>
        <w:t>通过举办专题培训及考察学习，不断提高代表理论武装水平，激发代表履职热情，不断提高代表依法履职能力,加强人大系统干部队伍建设。代表培训合格率为100%</w:t>
      </w:r>
      <w:r>
        <w:rPr>
          <w:rFonts w:ascii="仿宋_GB2312" w:eastAsia="仿宋_GB2312" w:cs="仿宋_GB2312" w:hint="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方正楷体_GBK" w:eastAsia="方正楷体_GBK" w:cs="方正楷体_GBK" w:hint="eastAsia"/>
          <w:b w:val="0"/>
          <w:bCs/>
          <w:sz w:val="32"/>
          <w:szCs w:val="32"/>
          <w:lang w:val="zh-CN"/>
        </w:rPr>
      </w:pPr>
      <w:r>
        <w:rPr>
          <w:rFonts w:ascii="楷体_GB2312" w:eastAsia="楷体_GB2312" w:cs="楷体_GB2312" w:hint="eastAsia"/>
          <w:b/>
          <w:bCs w:val="0"/>
          <w:sz w:val="32"/>
          <w:szCs w:val="32"/>
          <w:lang w:val="zh-CN"/>
        </w:rPr>
        <w:t>（</w:t>
      </w:r>
      <w:r>
        <w:rPr>
          <w:rFonts w:ascii="楷体_GB2312" w:eastAsia="楷体_GB2312" w:cs="楷体_GB2312" w:hint="eastAsia"/>
          <w:b/>
          <w:bCs w:val="0"/>
          <w:sz w:val="32"/>
          <w:szCs w:val="32"/>
          <w:lang w:val="en-US" w:eastAsia="zh-CN"/>
        </w:rPr>
        <w:t>三</w:t>
      </w:r>
      <w:r>
        <w:rPr>
          <w:rFonts w:ascii="楷体_GB2312" w:eastAsia="楷体_GB2312" w:cs="楷体_GB2312" w:hint="eastAsia"/>
          <w:b/>
          <w:bCs w:val="0"/>
          <w:sz w:val="32"/>
          <w:szCs w:val="32"/>
          <w:lang w:val="zh-CN"/>
        </w:rPr>
        <w:t>）项目资金申报相符性。</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Times New Roman" w:eastAsia="方正仿宋_GBK" w:cs="Times New Roman" w:hAnsi="Times New Roman"/>
          <w:sz w:val="32"/>
          <w:szCs w:val="32"/>
          <w:lang w:eastAsia="zh-CN"/>
        </w:rPr>
      </w:pPr>
      <w:r>
        <w:rPr>
          <w:rFonts w:ascii="仿宋_GB2312" w:eastAsia="仿宋_GB2312" w:cs="仿宋_GB2312"/>
          <w:sz w:val="32"/>
          <w:szCs w:val="32"/>
          <w:lang w:val="en-US" w:eastAsia="zh-CN"/>
        </w:rPr>
        <w:t>代表履职能力提升经费年初申报预算</w:t>
      </w:r>
      <w:r>
        <w:rPr>
          <w:rFonts w:ascii="仿宋_GB2312" w:eastAsia="仿宋_GB2312" w:cs="仿宋_GB2312" w:hint="eastAsia"/>
          <w:sz w:val="32"/>
          <w:szCs w:val="32"/>
          <w:lang w:val="en-US" w:eastAsia="zh-CN"/>
        </w:rPr>
        <w:t>115.80</w:t>
      </w:r>
      <w:r>
        <w:rPr>
          <w:rFonts w:ascii="仿宋_GB2312" w:eastAsia="仿宋_GB2312" w:cs="仿宋_GB2312"/>
          <w:sz w:val="32"/>
          <w:szCs w:val="32"/>
          <w:lang w:val="en-US" w:eastAsia="zh-CN"/>
        </w:rPr>
        <w:t>万元，实际下达预算资金总额</w:t>
      </w:r>
      <w:r>
        <w:rPr>
          <w:rFonts w:ascii="仿宋_GB2312" w:eastAsia="仿宋_GB2312" w:cs="仿宋_GB2312" w:hint="eastAsia"/>
          <w:sz w:val="32"/>
          <w:szCs w:val="32"/>
          <w:lang w:val="en-US" w:eastAsia="zh-CN"/>
        </w:rPr>
        <w:t>115.80</w:t>
      </w:r>
      <w:r>
        <w:rPr>
          <w:rFonts w:ascii="仿宋_GB2312" w:eastAsia="仿宋_GB2312" w:cs="仿宋_GB2312"/>
          <w:sz w:val="32"/>
          <w:szCs w:val="32"/>
          <w:lang w:val="en-US" w:eastAsia="zh-CN"/>
        </w:rPr>
        <w:t>万元，资金来源于财政拨款。</w:t>
      </w:r>
      <w:r>
        <w:rPr>
          <w:rFonts w:ascii="仿宋_GB2312" w:eastAsia="仿宋_GB2312" w:cs="仿宋_GB2312" w:hint="eastAsia"/>
          <w:sz w:val="32"/>
          <w:szCs w:val="32"/>
          <w:lang w:val="en-US" w:eastAsia="zh-CN"/>
        </w:rPr>
        <w:t>调整后预算数29.47万元。</w:t>
      </w:r>
      <w:r>
        <w:rPr>
          <w:rFonts w:ascii="仿宋_GB2312" w:eastAsia="仿宋_GB2312" w:cs="仿宋_GB2312"/>
          <w:sz w:val="32"/>
          <w:szCs w:val="32"/>
          <w:lang w:val="en-US" w:eastAsia="zh-CN"/>
        </w:rPr>
        <w:t>费用开支标准沿用历史标准测算，依据充分且符合财务管理相关规定</w:t>
      </w:r>
      <w:r>
        <w:rPr>
          <w:rFonts w:ascii="仿宋_GB2312" w:eastAsia="仿宋_GB2312" w:cs="仿宋_GB2312"/>
          <w:sz w:val="32"/>
          <w:szCs w:val="32"/>
          <w:lang w:val="zh-CN" w:eastAsia="zh-CN"/>
        </w:rPr>
        <w:t>。</w:t>
      </w:r>
      <w:r>
        <w:rPr>
          <w:rFonts w:ascii="仿宋_GB2312" w:eastAsia="仿宋_GB2312" w:cs="仿宋_GB2312"/>
          <w:sz w:val="32"/>
          <w:szCs w:val="32"/>
          <w:lang w:val="en-US" w:eastAsia="zh-CN"/>
        </w:rPr>
        <w:t>与部门的长期规划目标、年度工作目标相一致。</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sz w:val="32"/>
          <w:szCs w:val="32"/>
        </w:rPr>
      </w:pPr>
      <w:r>
        <w:rPr>
          <w:rFonts w:ascii="黑体" w:eastAsia="黑体" w:hint="eastAsia"/>
          <w:sz w:val="32"/>
          <w:szCs w:val="32"/>
        </w:rPr>
        <w:t>二、项目实施及管理情况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val="0"/>
          <w:sz w:val="32"/>
          <w:szCs w:val="32"/>
          <w:lang w:val="zh-CN"/>
        </w:rPr>
      </w:pPr>
      <w:r>
        <w:rPr>
          <w:rFonts w:ascii="楷体_GB2312" w:eastAsia="楷体_GB2312" w:cs="楷体_GB2312" w:hint="eastAsia"/>
          <w:b/>
          <w:bCs w:val="0"/>
          <w:sz w:val="32"/>
          <w:szCs w:val="32"/>
          <w:lang w:val="zh-CN"/>
        </w:rPr>
        <w:t>（一）资金计划、到位及使用情况。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sz w:val="32"/>
          <w:szCs w:val="32"/>
          <w:lang w:val="en-US" w:eastAsia="zh-CN"/>
        </w:rPr>
      </w:pPr>
      <w:r>
        <w:rPr>
          <w:rFonts w:ascii="仿宋_GB2312" w:eastAsia="仿宋_GB2312" w:cs="仿宋_GB2312"/>
          <w:b/>
          <w:bCs/>
          <w:sz w:val="32"/>
          <w:szCs w:val="32"/>
          <w:lang w:val="zh-CN" w:eastAsia="zh-CN"/>
        </w:rPr>
        <w:t>1．资金计划及到位</w:t>
      </w:r>
      <w:r>
        <w:rPr>
          <w:rFonts w:ascii="仿宋_GB2312" w:eastAsia="仿宋_GB2312" w:cs="仿宋_GB2312"/>
          <w:sz w:val="32"/>
          <w:szCs w:val="32"/>
          <w:lang w:val="zh-CN" w:eastAsia="zh-CN"/>
        </w:rPr>
        <w:t>。</w:t>
      </w:r>
      <w:r>
        <w:rPr>
          <w:rFonts w:ascii="仿宋_GB2312" w:eastAsia="仿宋_GB2312" w:cs="仿宋_GB2312" w:hint="eastAsia"/>
          <w:sz w:val="32"/>
          <w:szCs w:val="32"/>
          <w:lang w:val="en-US" w:eastAsia="zh-CN"/>
        </w:rPr>
        <w:t>原计划</w:t>
      </w:r>
      <w:r>
        <w:rPr>
          <w:rFonts w:ascii="仿宋_GB2312" w:eastAsia="仿宋_GB2312" w:cs="仿宋_GB2312"/>
          <w:sz w:val="32"/>
          <w:szCs w:val="32"/>
          <w:lang w:val="en-US" w:eastAsia="zh-CN"/>
        </w:rPr>
        <w:t>按</w:t>
      </w:r>
      <w:r>
        <w:rPr>
          <w:rFonts w:ascii="仿宋_GB2312" w:eastAsia="仿宋_GB2312" w:cs="仿宋_GB2312" w:hint="eastAsia"/>
          <w:sz w:val="32"/>
          <w:szCs w:val="32"/>
          <w:lang w:val="en-US" w:eastAsia="zh-CN"/>
        </w:rPr>
        <w:t>3</w:t>
      </w:r>
      <w:r>
        <w:rPr>
          <w:rFonts w:ascii="仿宋_GB2312" w:eastAsia="仿宋_GB2312" w:cs="仿宋_GB2312"/>
          <w:sz w:val="32"/>
          <w:szCs w:val="32"/>
          <w:lang w:val="en-US" w:eastAsia="zh-CN"/>
        </w:rPr>
        <w:t>期</w:t>
      </w:r>
      <w:r>
        <w:rPr>
          <w:rFonts w:ascii="仿宋_GB2312" w:eastAsia="仿宋_GB2312" w:cs="仿宋_GB2312" w:hint="eastAsia"/>
          <w:sz w:val="32"/>
          <w:szCs w:val="32"/>
          <w:lang w:val="en-US" w:eastAsia="zh-CN"/>
        </w:rPr>
        <w:t>分县内1期、省外2期实施</w:t>
      </w:r>
      <w:r>
        <w:rPr>
          <w:rFonts w:ascii="仿宋_GB2312" w:eastAsia="仿宋_GB2312" w:cs="仿宋_GB2312"/>
          <w:sz w:val="32"/>
          <w:szCs w:val="32"/>
          <w:lang w:val="en-US" w:eastAsia="zh-CN"/>
        </w:rPr>
        <w:t>，每期人</w:t>
      </w:r>
      <w:r>
        <w:rPr>
          <w:rFonts w:ascii="仿宋_GB2312" w:eastAsia="仿宋_GB2312" w:cs="仿宋_GB2312" w:hint="eastAsia"/>
          <w:sz w:val="32"/>
          <w:szCs w:val="32"/>
          <w:lang w:val="en-US" w:eastAsia="zh-CN"/>
        </w:rPr>
        <w:t>数不等</w:t>
      </w:r>
      <w:r>
        <w:rPr>
          <w:rFonts w:ascii="仿宋_GB2312" w:eastAsia="仿宋_GB2312" w:cs="仿宋_GB2312"/>
          <w:sz w:val="32"/>
          <w:szCs w:val="32"/>
          <w:lang w:val="en-US" w:eastAsia="zh-CN"/>
        </w:rPr>
        <w:t>，按时完成培训，</w:t>
      </w:r>
      <w:r>
        <w:rPr>
          <w:rFonts w:ascii="仿宋_GB2312" w:eastAsia="仿宋_GB2312" w:cs="仿宋_GB2312" w:hint="eastAsia"/>
          <w:sz w:val="32"/>
          <w:szCs w:val="32"/>
          <w:lang w:val="en-US" w:eastAsia="zh-CN"/>
        </w:rPr>
        <w:t>年初预算所需代表培训经费115.80</w:t>
      </w:r>
      <w:r>
        <w:rPr>
          <w:rFonts w:ascii="仿宋_GB2312" w:eastAsia="仿宋_GB2312" w:cs="仿宋_GB2312"/>
          <w:sz w:val="32"/>
          <w:szCs w:val="32"/>
          <w:lang w:val="en-US" w:eastAsia="zh-CN"/>
        </w:rPr>
        <w:t>万元，来源为一般预算拨款，</w:t>
      </w:r>
      <w:r>
        <w:rPr>
          <w:rFonts w:ascii="仿宋_GB2312" w:eastAsia="仿宋_GB2312" w:cs="仿宋_GB2312" w:hint="eastAsia"/>
          <w:sz w:val="32"/>
          <w:szCs w:val="32"/>
          <w:lang w:val="en-US" w:eastAsia="zh-CN"/>
        </w:rPr>
        <w:t>后因实际情况省外培训减少1期。调整预算后</w:t>
      </w:r>
      <w:r>
        <w:rPr>
          <w:rFonts w:ascii="仿宋_GB2312" w:eastAsia="仿宋_GB2312" w:cs="仿宋_GB2312"/>
          <w:sz w:val="32"/>
          <w:szCs w:val="32"/>
          <w:lang w:val="en-US" w:eastAsia="zh-CN"/>
        </w:rPr>
        <w:t>实际到位资金</w:t>
      </w:r>
      <w:r>
        <w:rPr>
          <w:rFonts w:ascii="仿宋_GB2312" w:eastAsia="仿宋_GB2312" w:cs="仿宋_GB2312" w:hint="eastAsia"/>
          <w:sz w:val="32"/>
          <w:szCs w:val="32"/>
          <w:lang w:val="en-US" w:eastAsia="zh-CN"/>
        </w:rPr>
        <w:t>29.47万元</w:t>
      </w:r>
      <w:r>
        <w:rPr>
          <w:rFonts w:asci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b/>
          <w:bCs/>
          <w:sz w:val="32"/>
          <w:szCs w:val="32"/>
          <w:lang w:val="zh-CN" w:eastAsia="zh-CN"/>
        </w:rPr>
        <w:t>2．资金使用</w:t>
      </w:r>
      <w:r>
        <w:rPr>
          <w:rFonts w:ascii="仿宋_GB2312" w:eastAsia="仿宋_GB2312" w:cs="仿宋_GB2312"/>
          <w:sz w:val="32"/>
          <w:szCs w:val="32"/>
          <w:lang w:val="zh-CN" w:eastAsia="zh-CN"/>
        </w:rPr>
        <w:t>。</w:t>
      </w:r>
      <w:r>
        <w:rPr>
          <w:rFonts w:ascii="仿宋_GB2312" w:eastAsia="仿宋_GB2312" w:cs="仿宋_GB2312" w:hint="eastAsia"/>
          <w:sz w:val="32"/>
          <w:szCs w:val="32"/>
          <w:lang w:val="en-US" w:eastAsia="zh-CN"/>
        </w:rPr>
        <w:t>2025年调整预算后代表培训</w:t>
      </w:r>
      <w:r>
        <w:rPr>
          <w:rFonts w:ascii="仿宋_GB2312" w:eastAsia="仿宋_GB2312" w:cs="仿宋_GB2312"/>
          <w:sz w:val="32"/>
          <w:szCs w:val="32"/>
          <w:lang w:val="en-US" w:eastAsia="zh-CN"/>
        </w:rPr>
        <w:t>经费实际下达预算资金总额</w:t>
      </w:r>
      <w:r>
        <w:rPr>
          <w:rFonts w:ascii="仿宋_GB2312" w:eastAsia="仿宋_GB2312" w:cs="仿宋_GB2312" w:hint="eastAsia"/>
          <w:sz w:val="32"/>
          <w:szCs w:val="32"/>
          <w:lang w:val="en-US" w:eastAsia="zh-CN"/>
        </w:rPr>
        <w:t>29.47万元</w:t>
      </w:r>
      <w:r>
        <w:rPr>
          <w:rFonts w:ascii="仿宋_GB2312" w:eastAsia="仿宋_GB2312" w:cs="仿宋_GB2312"/>
          <w:sz w:val="32"/>
          <w:szCs w:val="32"/>
          <w:lang w:val="en-US" w:eastAsia="zh-CN"/>
        </w:rPr>
        <w:t>。截至</w:t>
      </w:r>
      <w:r>
        <w:rPr>
          <w:rFonts w:ascii="仿宋_GB2312" w:eastAsia="仿宋_GB2312" w:cs="仿宋_GB2312" w:hint="eastAsia"/>
          <w:sz w:val="32"/>
          <w:szCs w:val="32"/>
          <w:lang w:val="en-US" w:eastAsia="zh-CN"/>
        </w:rPr>
        <w:t>2025年</w:t>
      </w:r>
      <w:r>
        <w:rPr>
          <w:rFonts w:ascii="仿宋_GB2312" w:eastAsia="仿宋_GB2312" w:cs="仿宋_GB2312"/>
          <w:sz w:val="32"/>
          <w:szCs w:val="32"/>
          <w:lang w:val="en-US" w:eastAsia="zh-CN"/>
        </w:rPr>
        <w:t>12月31日，</w:t>
      </w:r>
      <w:r>
        <w:rPr>
          <w:rFonts w:ascii="仿宋_GB2312" w:eastAsia="仿宋_GB2312" w:cs="仿宋_GB2312" w:hint="eastAsia"/>
          <w:sz w:val="32"/>
          <w:szCs w:val="32"/>
          <w:lang w:val="en-US" w:eastAsia="zh-CN"/>
        </w:rPr>
        <w:t>省外培训1期，县内培训1期，参加人数80余人。</w:t>
      </w:r>
      <w:r>
        <w:rPr>
          <w:rFonts w:ascii="仿宋_GB2312" w:eastAsia="仿宋_GB2312" w:cs="仿宋_GB2312"/>
          <w:sz w:val="32"/>
          <w:szCs w:val="32"/>
          <w:lang w:val="en-US" w:eastAsia="zh-CN"/>
        </w:rPr>
        <w:t>项目实际支出</w:t>
      </w:r>
      <w:r>
        <w:rPr>
          <w:rFonts w:ascii="仿宋_GB2312" w:eastAsia="仿宋_GB2312" w:cs="仿宋_GB2312" w:hint="eastAsia"/>
          <w:sz w:val="32"/>
          <w:szCs w:val="32"/>
          <w:lang w:val="en-US" w:eastAsia="zh-CN"/>
        </w:rPr>
        <w:t>29.47万元</w:t>
      </w:r>
      <w:r>
        <w:rPr>
          <w:rFonts w:ascii="仿宋_GB2312" w:eastAsia="仿宋_GB2312" w:cs="仿宋_GB2312"/>
          <w:sz w:val="32"/>
          <w:szCs w:val="32"/>
          <w:lang w:val="en-US" w:eastAsia="zh-CN"/>
        </w:rPr>
        <w:t>，预算执行率为</w:t>
      </w:r>
      <w:r>
        <w:rPr>
          <w:rFonts w:ascii="仿宋_GB2312" w:eastAsia="仿宋_GB2312" w:cs="仿宋_GB2312" w:hint="eastAsia"/>
          <w:sz w:val="32"/>
          <w:szCs w:val="32"/>
          <w:lang w:val="en-US" w:eastAsia="zh-CN"/>
        </w:rPr>
        <w:t>100</w:t>
      </w:r>
      <w:r>
        <w:rPr>
          <w:rFonts w:ascii="仿宋_GB2312" w:eastAsia="仿宋_GB2312" w:cs="仿宋_GB2312"/>
          <w:sz w:val="32"/>
          <w:szCs w:val="32"/>
          <w:lang w:val="en-US" w:eastAsia="zh-CN"/>
        </w:rPr>
        <w:t>%，</w:t>
      </w:r>
      <w:r>
        <w:rPr>
          <w:rFonts w:ascii="仿宋_GB2312" w:eastAsia="仿宋_GB2312" w:cs="仿宋_GB2312" w:hint="eastAsia"/>
          <w:sz w:val="32"/>
          <w:szCs w:val="32"/>
          <w:lang w:val="en-US" w:eastAsia="zh-CN"/>
        </w:rPr>
        <w:t>资金</w:t>
      </w:r>
      <w:r>
        <w:rPr>
          <w:rFonts w:ascii="仿宋_GB2312" w:eastAsia="仿宋_GB2312" w:cs="仿宋_GB2312"/>
          <w:sz w:val="32"/>
          <w:szCs w:val="32"/>
          <w:lang w:val="zh-CN" w:eastAsia="zh-CN"/>
        </w:rPr>
        <w:t>支付依据合规合法</w:t>
      </w:r>
      <w:r>
        <w:rPr>
          <w:rFonts w:asci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sz w:val="32"/>
          <w:szCs w:val="32"/>
          <w:lang w:val="zh-CN" w:eastAsia="zh-CN"/>
        </w:rPr>
      </w:pPr>
      <w:r>
        <w:rPr>
          <w:rFonts w:ascii="楷体_GB2312" w:eastAsia="楷体_GB2312" w:cs="楷体_GB2312" w:hint="eastAsia"/>
          <w:b/>
          <w:bCs/>
          <w:sz w:val="32"/>
          <w:szCs w:val="32"/>
          <w:lang w:val="zh-CN" w:eastAsia="zh-CN"/>
        </w:rPr>
        <w:t>（二）项目财务管理情况。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sz w:val="32"/>
          <w:szCs w:val="32"/>
          <w:lang w:val="en-US" w:eastAsia="zh-CN"/>
        </w:rPr>
      </w:pPr>
      <w:r>
        <w:rPr>
          <w:rFonts w:ascii="仿宋_GB2312" w:eastAsia="仿宋_GB2312" w:cs="仿宋_GB2312"/>
          <w:sz w:val="32"/>
          <w:szCs w:val="32"/>
          <w:lang w:val="en-US" w:eastAsia="zh-CN"/>
        </w:rPr>
        <w:t>开展培训直接发生的各项支出，包括师资费、住宿费、伙食费、培训场地费、培训资料费、交通费以及其他费用。</w:t>
      </w:r>
      <w:r>
        <w:rPr>
          <w:rFonts w:ascii="仿宋_GB2312" w:eastAsia="仿宋_GB2312" w:cs="仿宋_GB2312" w:hint="eastAsia"/>
          <w:sz w:val="32"/>
          <w:szCs w:val="32"/>
          <w:lang w:val="en-US" w:eastAsia="zh-CN"/>
        </w:rPr>
        <w:t>汶川县</w:t>
      </w:r>
      <w:r>
        <w:rPr>
          <w:rFonts w:ascii="仿宋_GB2312" w:eastAsia="仿宋_GB2312" w:cs="仿宋_GB2312"/>
          <w:sz w:val="32"/>
          <w:szCs w:val="32"/>
          <w:lang w:val="en-US" w:eastAsia="zh-CN"/>
        </w:rPr>
        <w:t>人大常委会办公室制定有《</w:t>
      </w:r>
      <w:r>
        <w:rPr>
          <w:rFonts w:ascii="仿宋_GB2312" w:eastAsia="仿宋_GB2312" w:cs="仿宋_GB2312" w:hint="eastAsia"/>
          <w:sz w:val="32"/>
          <w:szCs w:val="32"/>
          <w:lang w:val="en-US" w:eastAsia="zh-CN"/>
        </w:rPr>
        <w:t>汶川县</w:t>
      </w:r>
      <w:r>
        <w:rPr>
          <w:rFonts w:ascii="仿宋_GB2312" w:eastAsia="仿宋_GB2312" w:cs="仿宋_GB2312"/>
          <w:sz w:val="32"/>
          <w:szCs w:val="32"/>
          <w:lang w:val="en-US" w:eastAsia="zh-CN"/>
        </w:rPr>
        <w:t>人大常委会机关财务管理办法》，对单位专项经费的支出申请报销等流程做了严格规定，项目财务管理制度健全。</w:t>
      </w:r>
      <w:r>
        <w:rPr>
          <w:rFonts w:ascii="仿宋_GB2312" w:eastAsia="仿宋_GB2312" w:cs="仿宋_GB2312" w:hint="eastAsia"/>
          <w:sz w:val="32"/>
          <w:szCs w:val="32"/>
          <w:lang w:val="en-US" w:eastAsia="zh-CN"/>
        </w:rPr>
        <w:t>2025年</w:t>
      </w:r>
      <w:r>
        <w:rPr>
          <w:rFonts w:ascii="仿宋_GB2312" w:eastAsia="仿宋_GB2312" w:cs="仿宋_GB2312"/>
          <w:sz w:val="32"/>
          <w:szCs w:val="32"/>
          <w:lang w:val="en-US" w:eastAsia="zh-CN"/>
        </w:rPr>
        <w:t>本项目严格按照《</w:t>
      </w:r>
      <w:r>
        <w:rPr>
          <w:rFonts w:ascii="仿宋_GB2312" w:eastAsia="仿宋_GB2312" w:cs="仿宋_GB2312" w:hint="eastAsia"/>
          <w:sz w:val="32"/>
          <w:szCs w:val="32"/>
          <w:lang w:val="en-US" w:eastAsia="zh-CN"/>
        </w:rPr>
        <w:t>汶川县</w:t>
      </w:r>
      <w:r>
        <w:rPr>
          <w:rFonts w:ascii="仿宋_GB2312" w:eastAsia="仿宋_GB2312" w:cs="仿宋_GB2312"/>
          <w:sz w:val="32"/>
          <w:szCs w:val="32"/>
          <w:lang w:val="en-US" w:eastAsia="zh-CN"/>
        </w:rPr>
        <w:t>人大常委会机关财务管理办法》进行管理，资金支出程序合格，财务处理及时，会计核算规范，资金使用规范，财务监管制度执行有效。</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sz w:val="32"/>
          <w:szCs w:val="32"/>
          <w:lang w:val="zh-CN" w:eastAsia="zh-CN"/>
        </w:rPr>
      </w:pPr>
      <w:r>
        <w:rPr>
          <w:rFonts w:ascii="楷体_GB2312" w:eastAsia="楷体_GB2312" w:cs="楷体_GB2312" w:hint="eastAsia"/>
          <w:b/>
          <w:bCs/>
          <w:sz w:val="32"/>
          <w:szCs w:val="32"/>
          <w:lang w:val="zh-CN" w:eastAsia="zh-CN"/>
        </w:rPr>
        <w:t>（三）项目组织实施情况。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方正仿宋_GBK" w:eastAsia="方正仿宋_GBK" w:cs="方正仿宋_GBK" w:hint="eastAsia"/>
          <w:sz w:val="32"/>
          <w:szCs w:val="32"/>
          <w:lang w:val="zh-CN" w:eastAsia="zh-CN"/>
        </w:rPr>
      </w:pPr>
      <w:r>
        <w:rPr>
          <w:rFonts w:ascii="仿宋_GB2312" w:eastAsia="仿宋_GB2312" w:cs="仿宋_GB2312" w:hint="eastAsia"/>
          <w:sz w:val="32"/>
          <w:szCs w:val="32"/>
          <w:lang w:val="en-US" w:eastAsia="zh-CN"/>
        </w:rPr>
        <w:t>加强学习培训，不断提高代表依法履职能力，让代表掌握所需的有关知识，以提高综合素质，不断提高履职能力，切实发挥代表的法定职能。开展培训直接发生的各项支出，包括师资费、住宿费、伙食费、培训场地费、培训资料费、交通费以及其他费用。按汶川县人大常委会办公室制定有《汶川县人大常委会机关财务管理办法》规定执行，项目组织管理均符合相关规定，管理制度执行有效。</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hint="eastAsia"/>
          <w:sz w:val="32"/>
          <w:szCs w:val="32"/>
          <w:lang w:val="zh-CN"/>
        </w:rPr>
      </w:pPr>
      <w:r>
        <w:rPr>
          <w:rFonts w:ascii="黑体" w:eastAsia="黑体" w:hint="eastAsia"/>
          <w:sz w:val="32"/>
          <w:szCs w:val="32"/>
        </w:rPr>
        <w:t>三、项目绩效情况</w:t>
      </w:r>
      <w:r>
        <w:rPr>
          <w:rFonts w:ascii="黑体" w:eastAsia="黑体" w:hint="eastAsia"/>
          <w:sz w:val="32"/>
          <w:szCs w:val="32"/>
          <w:lang w:val="zh-CN"/>
        </w:rPr>
        <w:tab/>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楷体_GB2312" w:eastAsia="楷体_GB2312" w:cs="楷体_GB2312" w:hint="eastAsia"/>
          <w:b/>
          <w:bCs/>
          <w:sz w:val="32"/>
          <w:szCs w:val="32"/>
          <w:lang w:val="zh-CN" w:eastAsia="zh-CN"/>
        </w:rPr>
      </w:pPr>
      <w:r>
        <w:rPr>
          <w:rFonts w:ascii="楷体_GB2312" w:eastAsia="楷体_GB2312" w:cs="楷体_GB2312" w:hint="eastAsia"/>
          <w:b/>
          <w:bCs/>
          <w:sz w:val="32"/>
          <w:szCs w:val="32"/>
          <w:lang w:val="zh-CN" w:eastAsia="zh-CN"/>
        </w:rPr>
        <w:t>（一）项目完成情况。</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仿宋_GB2312" w:eastAsia="仿宋_GB2312" w:cs="仿宋_GB2312"/>
          <w:sz w:val="32"/>
          <w:szCs w:val="32"/>
          <w:lang w:val="en-US" w:eastAsia="zh-CN"/>
        </w:rPr>
      </w:pPr>
      <w:r>
        <w:rPr>
          <w:rFonts w:ascii="仿宋_GB2312" w:eastAsia="仿宋_GB2312" w:cs="仿宋_GB2312"/>
          <w:sz w:val="32"/>
          <w:szCs w:val="32"/>
          <w:lang w:val="en-US" w:eastAsia="zh-CN"/>
        </w:rPr>
        <w:t>项目实际支出</w:t>
      </w:r>
      <w:r>
        <w:rPr>
          <w:rFonts w:ascii="仿宋_GB2312" w:eastAsia="仿宋_GB2312" w:cs="仿宋_GB2312" w:hint="eastAsia"/>
          <w:sz w:val="32"/>
          <w:szCs w:val="32"/>
          <w:lang w:val="en-US" w:eastAsia="zh-CN"/>
        </w:rPr>
        <w:t>29.47万元</w:t>
      </w:r>
      <w:r>
        <w:rPr>
          <w:rFonts w:ascii="仿宋_GB2312" w:eastAsia="仿宋_GB2312" w:cs="仿宋_GB2312"/>
          <w:sz w:val="32"/>
          <w:szCs w:val="32"/>
          <w:lang w:val="en-US" w:eastAsia="zh-CN"/>
        </w:rPr>
        <w:t>，实际拨付</w:t>
      </w:r>
      <w:r>
        <w:rPr>
          <w:rFonts w:ascii="仿宋_GB2312" w:eastAsia="仿宋_GB2312" w:cs="仿宋_GB2312" w:hint="eastAsia"/>
          <w:sz w:val="32"/>
          <w:szCs w:val="32"/>
          <w:lang w:val="en-US" w:eastAsia="zh-CN"/>
        </w:rPr>
        <w:t>等于调整后</w:t>
      </w:r>
      <w:r>
        <w:rPr>
          <w:rFonts w:ascii="仿宋_GB2312" w:eastAsia="仿宋_GB2312" w:cs="仿宋_GB2312"/>
          <w:sz w:val="32"/>
          <w:szCs w:val="32"/>
          <w:lang w:val="en-US" w:eastAsia="zh-CN"/>
        </w:rPr>
        <w:t>预算下达资金</w:t>
      </w:r>
      <w:r>
        <w:rPr>
          <w:rFonts w:ascii="仿宋_GB2312" w:eastAsia="仿宋_GB2312" w:cs="仿宋_GB2312" w:hint="eastAsia"/>
          <w:sz w:val="32"/>
          <w:szCs w:val="32"/>
          <w:lang w:val="en-US" w:eastAsia="zh-CN"/>
        </w:rPr>
        <w:t>29.47万元</w:t>
      </w:r>
      <w:r>
        <w:rPr>
          <w:rFonts w:ascii="仿宋_GB2312" w:eastAsia="仿宋_GB2312" w:cs="仿宋_GB2312"/>
          <w:sz w:val="32"/>
          <w:szCs w:val="32"/>
          <w:lang w:val="en-US" w:eastAsia="zh-CN"/>
        </w:rPr>
        <w:t>，</w:t>
      </w:r>
      <w:r>
        <w:rPr>
          <w:rFonts w:ascii="仿宋_GB2312" w:eastAsia="仿宋_GB2312" w:cs="仿宋_GB2312" w:hint="eastAsia"/>
          <w:sz w:val="32"/>
          <w:szCs w:val="32"/>
          <w:lang w:val="en-US" w:eastAsia="zh-CN"/>
        </w:rPr>
        <w:t>主要原因是项目计划的2期省外培训，因实际情况调整为1期</w:t>
      </w:r>
      <w:r>
        <w:rPr>
          <w:rFonts w:ascii="仿宋_GB2312" w:eastAsia="仿宋_GB2312" w:cs="仿宋_GB2312"/>
          <w:sz w:val="32"/>
          <w:szCs w:val="32"/>
          <w:lang w:val="en-US" w:eastAsia="zh-CN"/>
        </w:rPr>
        <w:t>，</w:t>
      </w:r>
      <w:r>
        <w:rPr>
          <w:rFonts w:ascii="仿宋_GB2312" w:eastAsia="仿宋_GB2312" w:cs="仿宋_GB2312" w:hint="eastAsia"/>
          <w:sz w:val="32"/>
          <w:szCs w:val="32"/>
          <w:lang w:val="en-US" w:eastAsia="zh-CN"/>
        </w:rPr>
        <w:t>调整后</w:t>
      </w:r>
      <w:r>
        <w:rPr>
          <w:rFonts w:ascii="仿宋_GB2312" w:eastAsia="仿宋_GB2312" w:cs="仿宋_GB2312"/>
          <w:sz w:val="32"/>
          <w:szCs w:val="32"/>
          <w:lang w:val="en-US" w:eastAsia="zh-CN"/>
        </w:rPr>
        <w:t>项目成本控制情况较好</w:t>
      </w:r>
      <w:r>
        <w:rPr>
          <w:rFonts w:ascii="仿宋_GB2312" w:eastAsia="仿宋_GB2312" w:cs="仿宋_GB2312" w:hint="eastAsia"/>
          <w:sz w:val="32"/>
          <w:szCs w:val="32"/>
          <w:lang w:val="en-US" w:eastAsia="zh-CN"/>
        </w:rPr>
        <w:t>，部分代表因工作原因未能参加培训。项目开支均按</w:t>
      </w:r>
      <w:r>
        <w:rPr>
          <w:rFonts w:ascii="仿宋_GB2312" w:eastAsia="仿宋_GB2312" w:cs="仿宋_GB2312" w:hint="eastAsia"/>
          <w:color w:val="000000"/>
          <w:sz w:val="32"/>
          <w:szCs w:val="32"/>
          <w:lang w:val="zh-CN" w:eastAsia="zh-CN"/>
        </w:rPr>
        <w:t>《</w:t>
      </w:r>
      <w:r>
        <w:rPr>
          <w:rFonts w:ascii="仿宋_GB2312" w:eastAsia="仿宋_GB2312" w:cs="仿宋_GB2312" w:hint="eastAsia"/>
          <w:color w:val="000000"/>
          <w:sz w:val="32"/>
          <w:szCs w:val="32"/>
          <w:lang w:val="en-US" w:eastAsia="zh-CN"/>
        </w:rPr>
        <w:t>汶川县行政事业单位差旅费管理办法（修订）</w:t>
      </w:r>
      <w:r>
        <w:rPr>
          <w:rFonts w:ascii="仿宋_GB2312" w:eastAsia="仿宋_GB2312" w:cs="仿宋_GB2312" w:hint="eastAsia"/>
          <w:color w:val="000000"/>
          <w:sz w:val="32"/>
          <w:szCs w:val="32"/>
          <w:lang w:val="zh-CN" w:eastAsia="zh-CN"/>
        </w:rPr>
        <w:t>》</w:t>
      </w:r>
      <w:r>
        <w:rPr>
          <w:rFonts w:ascii="仿宋_GB2312" w:eastAsia="仿宋_GB2312" w:cs="仿宋_GB2312" w:hint="eastAsia"/>
          <w:sz w:val="32"/>
          <w:szCs w:val="32"/>
          <w:lang w:val="en-US" w:eastAsia="zh-CN"/>
        </w:rPr>
        <w:t>规定标准</w:t>
      </w:r>
      <w:r>
        <w:rPr>
          <w:rFonts w:ascii="仿宋_GB2312" w:eastAsia="仿宋_GB2312" w:cs="仿宋_GB2312"/>
          <w:sz w:val="32"/>
          <w:szCs w:val="32"/>
          <w:lang w:val="en-US" w:eastAsia="zh-CN"/>
        </w:rPr>
        <w:t>执行，项目完成及时且高效。</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rPr>
          <w:rFonts w:ascii="楷体_GB2312" w:eastAsia="楷体_GB2312" w:hint="eastAsia"/>
          <w:b/>
          <w:bCs w:val="0"/>
          <w:sz w:val="32"/>
          <w:szCs w:val="32"/>
          <w:lang w:val="zh-CN"/>
        </w:rPr>
      </w:pPr>
      <w:r>
        <w:rPr>
          <w:rFonts w:ascii="楷体_GB2312" w:eastAsia="楷体_GB2312" w:hint="eastAsia"/>
          <w:b/>
          <w:bCs w:val="0"/>
          <w:sz w:val="32"/>
          <w:szCs w:val="32"/>
          <w:lang w:val="zh-CN"/>
        </w:rPr>
        <w:t>（</w:t>
      </w:r>
      <w:r>
        <w:rPr>
          <w:rFonts w:ascii="楷体_GB2312" w:eastAsia="楷体_GB2312" w:hint="eastAsia"/>
          <w:b/>
          <w:bCs w:val="0"/>
          <w:sz w:val="32"/>
          <w:szCs w:val="32"/>
          <w:lang w:val="en-US" w:eastAsia="zh-CN"/>
        </w:rPr>
        <w:t>二</w:t>
      </w:r>
      <w:r>
        <w:rPr>
          <w:rFonts w:ascii="楷体_GB2312" w:eastAsia="楷体_GB2312" w:hint="eastAsia"/>
          <w:b/>
          <w:bCs w:val="0"/>
          <w:sz w:val="32"/>
          <w:szCs w:val="32"/>
          <w:lang w:val="zh-CN"/>
        </w:rPr>
        <w:t>）项目效益情况。</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rPr>
          <w:rFonts w:ascii="Times New Roman" w:eastAsia="方正仿宋_GBK" w:cs="Times New Roman" w:hAnsi="Times New Roman"/>
          <w:sz w:val="32"/>
          <w:szCs w:val="32"/>
        </w:rPr>
      </w:pPr>
      <w:r>
        <w:rPr>
          <w:rFonts w:ascii="仿宋_GB2312" w:eastAsia="仿宋_GB2312" w:cs="仿宋_GB2312"/>
          <w:b/>
          <w:bCs/>
          <w:kern w:val="2"/>
          <w:sz w:val="32"/>
          <w:szCs w:val="32"/>
          <w:lang w:val="en-US" w:eastAsia="zh-CN" w:bidi="ar-SA"/>
        </w:rPr>
        <w:t>1.经济性</w:t>
      </w:r>
      <w:r>
        <w:rPr>
          <w:rFonts w:ascii="仿宋_GB2312" w:eastAsia="仿宋_GB2312" w:cs="仿宋_GB2312" w:hint="eastAsia"/>
          <w:b/>
          <w:bCs/>
          <w:kern w:val="2"/>
          <w:sz w:val="32"/>
          <w:szCs w:val="32"/>
          <w:lang w:val="en-US" w:eastAsia="zh-CN" w:bidi="ar-SA"/>
        </w:rPr>
        <w:t>。</w:t>
      </w:r>
      <w:r>
        <w:rPr>
          <w:rFonts w:ascii="仿宋_GB2312" w:eastAsia="仿宋_GB2312" w:cs="仿宋_GB2312"/>
          <w:kern w:val="2"/>
          <w:sz w:val="32"/>
          <w:szCs w:val="32"/>
          <w:lang w:val="en-US" w:eastAsia="zh-CN" w:bidi="ar-SA"/>
        </w:rPr>
        <w:t>项目实际支出</w:t>
      </w:r>
      <w:r>
        <w:rPr>
          <w:rFonts w:ascii="仿宋_GB2312" w:cs="仿宋_GB2312" w:hint="eastAsia"/>
          <w:kern w:val="2"/>
          <w:sz w:val="32"/>
          <w:szCs w:val="32"/>
          <w:lang w:val="en-US" w:eastAsia="zh-CN" w:bidi="ar-SA"/>
        </w:rPr>
        <w:t>29.47万元</w:t>
      </w:r>
      <w:r>
        <w:rPr>
          <w:rFonts w:ascii="仿宋_GB2312" w:eastAsia="仿宋_GB2312" w:cs="仿宋_GB2312"/>
          <w:kern w:val="2"/>
          <w:sz w:val="32"/>
          <w:szCs w:val="32"/>
          <w:lang w:val="en-US" w:eastAsia="zh-CN" w:bidi="ar-SA"/>
        </w:rPr>
        <w:t>，实际拨付</w:t>
      </w:r>
      <w:r>
        <w:rPr>
          <w:rFonts w:ascii="仿宋_GB2312" w:eastAsia="仿宋_GB2312" w:cs="仿宋_GB2312" w:hint="eastAsia"/>
          <w:kern w:val="2"/>
          <w:sz w:val="32"/>
          <w:szCs w:val="32"/>
          <w:lang w:val="en-US" w:eastAsia="zh-CN" w:bidi="ar-SA"/>
        </w:rPr>
        <w:t>等于调整后</w:t>
      </w:r>
      <w:r>
        <w:rPr>
          <w:rFonts w:ascii="仿宋_GB2312" w:eastAsia="仿宋_GB2312" w:cs="仿宋_GB2312"/>
          <w:kern w:val="2"/>
          <w:sz w:val="32"/>
          <w:szCs w:val="32"/>
          <w:lang w:val="en-US" w:eastAsia="zh-CN" w:bidi="ar-SA"/>
        </w:rPr>
        <w:t>预算下达资金</w:t>
      </w:r>
      <w:r>
        <w:rPr>
          <w:rFonts w:ascii="仿宋_GB2312" w:eastAsia="仿宋_GB2312" w:cs="仿宋_GB2312" w:hint="eastAsia"/>
          <w:kern w:val="2"/>
          <w:sz w:val="32"/>
          <w:szCs w:val="32"/>
          <w:lang w:val="en-US" w:eastAsia="zh-CN" w:bidi="ar-SA"/>
        </w:rPr>
        <w:t>。主要原因项目</w:t>
      </w:r>
      <w:r>
        <w:rPr>
          <w:rFonts w:ascii="仿宋_GB2312" w:eastAsia="仿宋_GB2312" w:cs="仿宋_GB2312"/>
          <w:kern w:val="2"/>
          <w:sz w:val="32"/>
          <w:szCs w:val="32"/>
          <w:lang w:val="en-US" w:eastAsia="zh-CN" w:bidi="ar-SA"/>
        </w:rPr>
        <w:t>支出方向与预算资金测算相符，项目成本控制情况较好</w:t>
      </w:r>
      <w:r>
        <w:rPr>
          <w:rFonts w:ascii="仿宋_GB2312" w:eastAsia="仿宋_GB2312" w:cs="仿宋_GB2312" w:hint="eastAsia"/>
          <w:kern w:val="2"/>
          <w:sz w:val="32"/>
          <w:szCs w:val="32"/>
          <w:lang w:val="en-US" w:eastAsia="zh-CN" w:bidi="ar-SA"/>
        </w:rPr>
        <w:t>。</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rPr>
          <w:rFonts w:ascii="仿宋_GB2312" w:eastAsia="仿宋_GB2312" w:cs="仿宋_GB2312" w:hint="eastAsia"/>
          <w:kern w:val="2"/>
          <w:sz w:val="32"/>
          <w:szCs w:val="32"/>
          <w:lang w:val="en-US" w:eastAsia="zh-CN" w:bidi="ar-SA"/>
        </w:rPr>
      </w:pPr>
      <w:r>
        <w:rPr>
          <w:rFonts w:ascii="仿宋_GB2312" w:eastAsia="仿宋_GB2312" w:cs="仿宋_GB2312"/>
          <w:b/>
          <w:bCs/>
          <w:kern w:val="2"/>
          <w:sz w:val="32"/>
          <w:szCs w:val="32"/>
          <w:lang w:val="en-US" w:eastAsia="zh-CN" w:bidi="ar-SA"/>
        </w:rPr>
        <w:t>2.效率性</w:t>
      </w:r>
      <w:r>
        <w:rPr>
          <w:rFonts w:ascii="仿宋_GB2312" w:cs="仿宋_GB2312" w:hint="eastAsia"/>
          <w:b/>
          <w:bCs/>
          <w:kern w:val="2"/>
          <w:sz w:val="32"/>
          <w:szCs w:val="32"/>
          <w:lang w:val="en-US" w:eastAsia="zh-CN" w:bidi="ar-SA"/>
        </w:rPr>
        <w:t>。</w:t>
      </w:r>
      <w:r>
        <w:rPr>
          <w:rFonts w:ascii="仿宋_GB2312" w:eastAsia="仿宋_GB2312" w:cs="仿宋_GB2312" w:hint="eastAsia"/>
          <w:kern w:val="2"/>
          <w:sz w:val="32"/>
          <w:szCs w:val="32"/>
          <w:lang w:val="en-US" w:eastAsia="zh-CN" w:bidi="ar-SA"/>
        </w:rPr>
        <w:t>加强学习培训，不断提高代表依法履职能力,</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rPr>
          <w:rFonts w:ascii="仿宋_GB2312" w:eastAsia="仿宋_GB2312" w:cs="仿宋_GB2312" w:hint="eastAsia"/>
          <w:kern w:val="2"/>
          <w:sz w:val="32"/>
          <w:szCs w:val="32"/>
          <w:lang w:val="en-US" w:eastAsia="zh-CN" w:bidi="ar-SA"/>
        </w:rPr>
      </w:pPr>
      <w:r>
        <w:rPr>
          <w:rFonts w:ascii="仿宋_GB2312" w:cs="仿宋_GB2312" w:hint="eastAsia"/>
          <w:kern w:val="2"/>
          <w:sz w:val="32"/>
          <w:szCs w:val="32"/>
          <w:lang w:val="en-US" w:eastAsia="zh-CN" w:bidi="ar-SA"/>
        </w:rPr>
        <w:t>和综合素质。</w:t>
      </w:r>
      <w:r>
        <w:rPr>
          <w:rFonts w:ascii="仿宋_GB2312" w:eastAsia="仿宋_GB2312" w:cs="仿宋_GB2312" w:hint="eastAsia"/>
          <w:kern w:val="2"/>
          <w:sz w:val="32"/>
          <w:szCs w:val="32"/>
          <w:lang w:val="en-US" w:eastAsia="zh-CN" w:bidi="ar-SA"/>
        </w:rPr>
        <w:t>代表培训合格率为100%</w:t>
      </w:r>
      <w:r>
        <w:rPr>
          <w:rFonts w:ascii="仿宋_GB2312" w:cs="仿宋_GB2312" w:hint="eastAsia"/>
          <w:kern w:val="2"/>
          <w:sz w:val="32"/>
          <w:szCs w:val="32"/>
          <w:lang w:val="en-US" w:eastAsia="zh-CN" w:bidi="ar-SA"/>
        </w:rPr>
        <w:t>。</w:t>
      </w:r>
    </w:p>
    <w:p>
      <w:pPr>
        <w:pStyle w:val="30"/>
        <w:keepNext w:val="0"/>
        <w:keepLines w:val="0"/>
        <w:pageBreakBefore w:val="0"/>
        <w:widowControl w:val="0"/>
        <w:kinsoku/>
        <w:wordWrap/>
        <w:overflowPunct/>
        <w:topLinePunct w:val="0"/>
        <w:autoSpaceDE/>
        <w:autoSpaceDN/>
        <w:bidi w:val="0"/>
        <w:adjustRightInd/>
        <w:snapToGrid/>
        <w:spacing w:line="240" w:lineRule="auto"/>
        <w:ind w:left="0" w:firstLineChars="200" w:firstLine="640"/>
        <w:rPr>
          <w:rFonts w:ascii="仿宋_GB2312" w:eastAsia="仿宋_GB2312" w:cs="仿宋_GB2312"/>
          <w:kern w:val="2"/>
          <w:sz w:val="32"/>
          <w:szCs w:val="32"/>
          <w:lang w:val="en-US" w:eastAsia="zh-CN" w:bidi="ar-SA"/>
        </w:rPr>
      </w:pPr>
      <w:r>
        <w:rPr>
          <w:rFonts w:ascii="仿宋_GB2312" w:eastAsia="仿宋_GB2312" w:cs="仿宋_GB2312" w:hint="eastAsia"/>
          <w:b/>
          <w:bCs/>
          <w:kern w:val="2"/>
          <w:sz w:val="32"/>
          <w:szCs w:val="32"/>
          <w:lang w:val="en-US" w:eastAsia="zh-CN" w:bidi="ar-SA"/>
        </w:rPr>
        <w:t>3.满意度。</w:t>
      </w:r>
      <w:r>
        <w:rPr>
          <w:rFonts w:ascii="仿宋_GB2312" w:eastAsia="仿宋_GB2312" w:cs="仿宋_GB2312"/>
          <w:kern w:val="2"/>
          <w:sz w:val="32"/>
          <w:szCs w:val="32"/>
          <w:lang w:val="en-US" w:eastAsia="zh-CN" w:bidi="ar-SA"/>
        </w:rPr>
        <w:t>本项目</w:t>
      </w:r>
      <w:r>
        <w:rPr>
          <w:rFonts w:ascii="仿宋_GB2312" w:cs="仿宋_GB2312" w:hint="eastAsia"/>
          <w:kern w:val="2"/>
          <w:sz w:val="32"/>
          <w:szCs w:val="32"/>
          <w:lang w:val="en-US" w:eastAsia="zh-CN" w:bidi="ar-SA"/>
        </w:rPr>
        <w:t>2025年</w:t>
      </w:r>
      <w:r>
        <w:rPr>
          <w:rFonts w:ascii="仿宋_GB2312" w:eastAsia="仿宋_GB2312" w:cs="仿宋_GB2312"/>
          <w:kern w:val="2"/>
          <w:sz w:val="32"/>
          <w:szCs w:val="32"/>
          <w:lang w:val="en-US" w:eastAsia="zh-CN" w:bidi="ar-SA"/>
        </w:rPr>
        <w:t>实施情况良好，各项任务均按计划完成且达到预期效果，无绩效目标未完成的情况。提升了预算绩效管理工作水平，强化支出责任，规范资金管理行为，提高财政资金使用效益，参与培训代表的满意度达到100%。</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auto"/>
        <w:rPr>
          <w:rFonts w:ascii="黑体" w:eastAsia="黑体" w:hint="eastAsia"/>
          <w:sz w:val="32"/>
          <w:szCs w:val="32"/>
        </w:rPr>
      </w:pPr>
      <w:r>
        <w:rPr>
          <w:rFonts w:ascii="黑体" w:eastAsia="黑体" w:hint="eastAsia"/>
          <w:sz w:val="32"/>
          <w:szCs w:val="32"/>
        </w:rPr>
        <w:t>四、问题及建议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bottom"/>
        <w:rPr>
          <w:rFonts w:ascii="楷体_GB2312" w:eastAsia="楷体_GB2312" w:cs="楷体_GB2312" w:hint="eastAsia"/>
          <w:b/>
          <w:bCs/>
          <w:sz w:val="32"/>
          <w:szCs w:val="32"/>
        </w:rPr>
      </w:pPr>
      <w:r>
        <w:rPr>
          <w:rFonts w:ascii="楷体_GB2312" w:eastAsia="楷体_GB2312" w:cs="楷体_GB2312" w:hint="eastAsia"/>
          <w:b/>
          <w:bCs/>
          <w:sz w:val="32"/>
          <w:szCs w:val="32"/>
          <w:lang w:eastAsia="zh-CN"/>
        </w:rPr>
        <w:t>（</w:t>
      </w:r>
      <w:r>
        <w:rPr>
          <w:rFonts w:ascii="楷体_GB2312" w:eastAsia="楷体_GB2312" w:cs="楷体_GB2312" w:hint="eastAsia"/>
          <w:b/>
          <w:bCs/>
          <w:sz w:val="32"/>
          <w:szCs w:val="32"/>
          <w:lang w:val="en-US" w:eastAsia="zh-CN"/>
        </w:rPr>
        <w:t>一</w:t>
      </w:r>
      <w:r>
        <w:rPr>
          <w:rFonts w:ascii="楷体_GB2312" w:eastAsia="楷体_GB2312" w:cs="楷体_GB2312" w:hint="eastAsia"/>
          <w:b/>
          <w:bCs/>
          <w:sz w:val="32"/>
          <w:szCs w:val="32"/>
          <w:lang w:eastAsia="zh-CN"/>
        </w:rPr>
        <w:t>）</w:t>
      </w:r>
      <w:r>
        <w:rPr>
          <w:rFonts w:ascii="楷体_GB2312" w:eastAsia="楷体_GB2312" w:cs="楷体_GB2312" w:hint="eastAsia"/>
          <w:b/>
          <w:bCs/>
          <w:sz w:val="32"/>
          <w:szCs w:val="32"/>
        </w:rPr>
        <w:t>存在主要问题</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rPr>
          <w:rFonts w:ascii="仿宋_GB2312" w:eastAsia="仿宋_GB2312" w:cs="仿宋_GB2312"/>
          <w:kern w:val="2"/>
          <w:sz w:val="32"/>
          <w:szCs w:val="32"/>
          <w:lang w:val="en-US" w:eastAsia="zh-CN" w:bidi="ar-SA"/>
        </w:rPr>
      </w:pPr>
      <w:r>
        <w:rPr>
          <w:rFonts w:ascii="仿宋_GB2312" w:eastAsia="仿宋_GB2312" w:cs="仿宋_GB2312" w:hint="eastAsia"/>
          <w:kern w:val="2"/>
          <w:sz w:val="32"/>
          <w:szCs w:val="32"/>
          <w:lang w:val="en-US" w:eastAsia="zh-CN" w:bidi="ar-SA"/>
        </w:rPr>
        <w:t>由于培训对象来自不同领域，培训时间和培训方式的安排上还需改进，代表因工作原因请假情况较多，培训覆盖面还不够。</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textAlignment w:val="bottom"/>
        <w:rPr>
          <w:rFonts w:ascii="楷体_GB2312" w:eastAsia="楷体_GB2312" w:cs="楷体_GB2312" w:hint="eastAsia"/>
          <w:b/>
          <w:bCs/>
          <w:sz w:val="32"/>
          <w:szCs w:val="32"/>
          <w:lang w:eastAsia="zh-CN"/>
        </w:rPr>
      </w:pPr>
      <w:r>
        <w:rPr>
          <w:rFonts w:ascii="楷体_GB2312" w:eastAsia="楷体_GB2312" w:cs="楷体_GB2312" w:hint="eastAsia"/>
          <w:b/>
          <w:bCs/>
          <w:sz w:val="32"/>
          <w:szCs w:val="32"/>
          <w:lang w:eastAsia="zh-CN"/>
        </w:rPr>
        <w:t>（</w:t>
      </w:r>
      <w:r>
        <w:rPr>
          <w:rFonts w:ascii="楷体_GB2312" w:eastAsia="楷体_GB2312" w:cs="楷体_GB2312" w:hint="eastAsia"/>
          <w:b/>
          <w:bCs/>
          <w:sz w:val="32"/>
          <w:szCs w:val="32"/>
          <w:lang w:val="en-US" w:eastAsia="zh-CN"/>
        </w:rPr>
        <w:t>二</w:t>
      </w:r>
      <w:r>
        <w:rPr>
          <w:rFonts w:ascii="楷体_GB2312" w:eastAsia="楷体_GB2312" w:cs="楷体_GB2312" w:hint="eastAsia"/>
          <w:b/>
          <w:bCs/>
          <w:sz w:val="32"/>
          <w:szCs w:val="32"/>
          <w:lang w:eastAsia="zh-CN"/>
        </w:rPr>
        <w:t>）相关措施建议</w:t>
      </w:r>
    </w:p>
    <w:p>
      <w:pPr>
        <w:keepNext w:val="0"/>
        <w:keepLines w:val="0"/>
        <w:pageBreakBefore w:val="0"/>
        <w:widowControl w:val="0"/>
        <w:kinsoku/>
        <w:wordWrap/>
        <w:overflowPunct/>
        <w:topLinePunct w:val="0"/>
        <w:autoSpaceDE/>
        <w:autoSpaceDN/>
        <w:bidi w:val="0"/>
        <w:adjustRightInd/>
        <w:snapToGrid/>
        <w:spacing w:line="240" w:lineRule="auto"/>
        <w:ind w:left="0" w:firstLineChars="200" w:firstLine="640"/>
        <w:rPr>
          <w:rFonts w:ascii="仿宋_GB2312" w:eastAsia="仿宋_GB2312" w:cs="仿宋_GB2312"/>
          <w:kern w:val="2"/>
          <w:sz w:val="32"/>
          <w:szCs w:val="32"/>
          <w:lang w:val="en-US" w:eastAsia="zh-CN" w:bidi="ar-SA"/>
        </w:rPr>
      </w:pPr>
      <w:r>
        <w:rPr>
          <w:rFonts w:ascii="仿宋_GB2312" w:eastAsia="仿宋_GB2312" w:cs="仿宋_GB2312" w:hint="eastAsia"/>
          <w:kern w:val="2"/>
          <w:sz w:val="32"/>
          <w:szCs w:val="32"/>
          <w:lang w:val="en-US" w:eastAsia="zh-CN" w:bidi="ar-SA"/>
        </w:rPr>
        <w:t>统筹安排好培训时间、地点和方式，尽量达到培训全覆盖，增强培训内容的针对性，丰富培训方式，建立科学全面的评估体系。</w:t>
      </w: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tbl>
      <w:tblPr>
        <w:jc w:val="center"/>
        <w:tblW w:w="5000" w:type="pct"/>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728"/>
        <w:gridCol w:w="1040"/>
        <w:gridCol w:w="891"/>
        <w:gridCol w:w="911"/>
        <w:gridCol w:w="585"/>
        <w:gridCol w:w="667"/>
        <w:gridCol w:w="710"/>
        <w:gridCol w:w="1236"/>
        <w:gridCol w:w="601"/>
        <w:gridCol w:w="651"/>
        <w:gridCol w:w="925"/>
      </w:tblGrid>
      <w:tr>
        <w:trPr>
          <w:trHeight w:val="562"/>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600"/>
              <w:jc w:val="center"/>
              <w:textAlignment w:val="center"/>
              <w:rPr>
                <w:rFonts w:ascii="黑体" w:eastAsia="黑体" w:cs="黑体"/>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429"/>
        </w:trPr>
        <w:tc>
          <w:tcPr>
            <w:tcW w:w="98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项目名称</w:t>
            </w:r>
          </w:p>
        </w:tc>
        <w:tc>
          <w:tcPr>
            <w:tcW w:w="401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51322121T000000156775-代表培训</w:t>
            </w:r>
          </w:p>
        </w:tc>
      </w:tr>
      <w:tr>
        <w:trPr>
          <w:trHeight w:val="484"/>
        </w:trPr>
        <w:tc>
          <w:tcPr>
            <w:tcW w:w="98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主管部门</w:t>
            </w:r>
          </w:p>
        </w:tc>
        <w:tc>
          <w:tcPr>
            <w:tcW w:w="210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汶川县人民代表大会常务委员会办公室本级</w:t>
            </w:r>
          </w:p>
        </w:tc>
        <w:tc>
          <w:tcPr>
            <w:tcW w:w="689"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 xml:space="preserve">实施单位 </w:t>
            </w:r>
          </w:p>
        </w:tc>
        <w:tc>
          <w:tcPr>
            <w:tcW w:w="121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汶川县人民代表大会常务委员会办公室</w:t>
            </w:r>
          </w:p>
        </w:tc>
      </w:tr>
      <w:tr>
        <w:trPr>
          <w:trHeight w:val="410"/>
        </w:trPr>
        <w:tc>
          <w:tcPr>
            <w:tcW w:w="40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项目基本情况</w:t>
            </w:r>
          </w:p>
        </w:tc>
        <w:tc>
          <w:tcPr>
            <w:tcW w:w="5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1.项目年度目标完成情况</w:t>
            </w:r>
          </w:p>
        </w:tc>
        <w:tc>
          <w:tcPr>
            <w:tcW w:w="210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项目年度目标</w:t>
            </w:r>
          </w:p>
        </w:tc>
        <w:tc>
          <w:tcPr>
            <w:tcW w:w="1906"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年度目标完成情况</w:t>
            </w:r>
          </w:p>
        </w:tc>
      </w:tr>
      <w:tr>
        <w:trPr>
          <w:trHeight w:val="1354"/>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0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健全学习机制，强化理论武装，加强人大工作队伍建设依法治国的法治思维和新时代人民代表大会制度、发展全过程人民民主、新时代的地方人大工作、人大业务工作培训等。过学习培训，促进相互交流，提升县人大代表和人大系统干部对新时代人民代表大会地位和人大工作的认识，增强代表依法履行职务的综合素质和能力水平，充分展现新时代人大代表风采，规范人大工作程序，促进人大系统干部队伍依法规范履职，努力开创新时代人大工作新局面，推动经济社会发展发挥积极作用。</w:t>
            </w:r>
          </w:p>
        </w:tc>
        <w:tc>
          <w:tcPr>
            <w:tcW w:w="1906"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高标准组织召开全县人大规范化建设现场会、系统培训及各类学习活动10余场，有效提升专业素养。组织县人大系统干部和人大代表能力培训110</w:t>
            </w:r>
            <w:r>
              <w:rPr>
                <w:rFonts w:ascii="宋体" w:cs="宋体" w:hint="eastAsia"/>
                <w:i w:val="0"/>
                <w:iCs w:val="0"/>
                <w:color w:val="000000"/>
                <w:w w:val="80"/>
                <w:kern w:val="0"/>
                <w:sz w:val="13"/>
                <w:szCs w:val="13"/>
                <w:u w:val="none"/>
                <w:lang w:val="en-US" w:eastAsia="zh-CN" w:bidi="ar-SA"/>
              </w:rPr>
              <w:t>余</w:t>
            </w:r>
            <w:r>
              <w:rPr>
                <w:rFonts w:ascii="宋体" w:eastAsia="宋体" w:cs="宋体" w:hint="eastAsia"/>
                <w:i w:val="0"/>
                <w:iCs w:val="0"/>
                <w:color w:val="000000"/>
                <w:w w:val="80"/>
                <w:kern w:val="0"/>
                <w:sz w:val="13"/>
                <w:szCs w:val="13"/>
                <w:u w:val="none"/>
                <w:lang w:val="en-US" w:eastAsia="zh-CN" w:bidi="ar-SA"/>
              </w:rPr>
              <w:t>人次；赴嘉兴市、武汉市、长兴县、平武县、北川县等地开展培训、“三交活动”等，不断拓宽代表视野。</w:t>
            </w:r>
          </w:p>
        </w:tc>
      </w:tr>
      <w:tr>
        <w:trPr>
          <w:trHeight w:val="409"/>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2.项目实施内容及过程概述</w:t>
            </w:r>
          </w:p>
        </w:tc>
        <w:tc>
          <w:tcPr>
            <w:tcW w:w="401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通过举办专题培训及考察学习，不断提高代表理论武装水平，激发代表履职热情，加强人大系统干部队伍建设。</w:t>
            </w:r>
          </w:p>
        </w:tc>
      </w:tr>
      <w:tr>
        <w:trPr>
          <w:trHeight w:val="409"/>
        </w:trPr>
        <w:tc>
          <w:tcPr>
            <w:tcW w:w="40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预算执行情况（10分）</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年度预算数（万元）</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年初预算</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调整后预算数</w:t>
            </w:r>
          </w:p>
        </w:tc>
        <w:tc>
          <w:tcPr>
            <w:tcW w:w="109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预算执行数</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spacing w:val="0"/>
                <w:w w:val="100"/>
                <w:kern w:val="0"/>
                <w:sz w:val="13"/>
                <w:szCs w:val="13"/>
                <w:u w:val="none"/>
                <w:lang w:val="en-US" w:eastAsia="zh-CN" w:bidi="ar-SA"/>
              </w:rPr>
            </w:pPr>
            <w:r>
              <w:rPr>
                <w:rFonts w:ascii="宋体" w:eastAsia="宋体" w:cs="宋体" w:hint="eastAsia"/>
                <w:i w:val="0"/>
                <w:iCs w:val="0"/>
                <w:color w:val="000000"/>
                <w:spacing w:val="0"/>
                <w:w w:val="100"/>
                <w:kern w:val="0"/>
                <w:sz w:val="13"/>
                <w:szCs w:val="13"/>
                <w:u w:val="none"/>
                <w:lang w:val="en-US" w:eastAsia="zh-CN" w:bidi="ar-SA"/>
              </w:rPr>
              <w:t>预算执行率</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原因</w:t>
            </w:r>
          </w:p>
        </w:tc>
      </w:tr>
      <w:tr>
        <w:trPr>
          <w:trHeight w:val="423"/>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总额</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115.80</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109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100.00%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8</w:t>
            </w:r>
          </w:p>
        </w:tc>
        <w:tc>
          <w:tcPr>
            <w:tcW w:w="51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1.预算执行率大100%;2.年末根据工作开展的实际支出数，调减了年初预算,</w:t>
            </w:r>
          </w:p>
        </w:tc>
      </w:tr>
      <w:tr>
        <w:trPr>
          <w:trHeight w:val="365"/>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其中：财政资金</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115.80</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109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100.00%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52"/>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财政专户管理资金</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09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1"/>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单位资金</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09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2"/>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其他资金</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p>
        </w:tc>
        <w:tc>
          <w:tcPr>
            <w:tcW w:w="109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94"/>
        </w:trPr>
        <w:tc>
          <w:tcPr>
            <w:tcW w:w="40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绩效指标（90分）</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一级指标</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二级指标</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三级指标</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spacing w:val="0"/>
                <w:w w:val="100"/>
                <w:kern w:val="0"/>
                <w:sz w:val="13"/>
                <w:szCs w:val="13"/>
                <w:u w:val="none"/>
                <w:lang w:val="en-US" w:eastAsia="zh-CN" w:bidi="ar-SA"/>
              </w:rPr>
            </w:pPr>
            <w:r>
              <w:rPr>
                <w:rFonts w:ascii="宋体" w:eastAsia="宋体" w:cs="宋体" w:hint="eastAsia"/>
                <w:i w:val="0"/>
                <w:iCs w:val="0"/>
                <w:color w:val="000000"/>
                <w:spacing w:val="0"/>
                <w:w w:val="100"/>
                <w:kern w:val="0"/>
                <w:sz w:val="13"/>
                <w:szCs w:val="13"/>
                <w:u w:val="none"/>
                <w:lang w:val="en-US" w:eastAsia="zh-CN" w:bidi="ar-SA"/>
              </w:rPr>
              <w:t>指标性质</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spacing w:val="0"/>
                <w:w w:val="100"/>
                <w:kern w:val="0"/>
                <w:sz w:val="13"/>
                <w:szCs w:val="13"/>
                <w:u w:val="none"/>
                <w:lang w:val="en-US" w:eastAsia="zh-CN" w:bidi="ar-SA"/>
              </w:rPr>
            </w:pPr>
            <w:r>
              <w:rPr>
                <w:rFonts w:ascii="宋体" w:eastAsia="宋体" w:cs="宋体" w:hint="eastAsia"/>
                <w:i w:val="0"/>
                <w:iCs w:val="0"/>
                <w:color w:val="000000"/>
                <w:spacing w:val="0"/>
                <w:w w:val="100"/>
                <w:kern w:val="0"/>
                <w:sz w:val="13"/>
                <w:szCs w:val="13"/>
                <w:u w:val="none"/>
                <w:lang w:val="en-US" w:eastAsia="zh-CN" w:bidi="ar-SA"/>
              </w:rPr>
              <w:t>指标值</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度量单位</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完成值</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77"/>
                <w:kern w:val="0"/>
                <w:sz w:val="13"/>
                <w:szCs w:val="13"/>
                <w:u w:val="none"/>
                <w:lang w:val="en-US" w:eastAsia="zh-CN" w:bidi="ar-SA"/>
              </w:rPr>
              <w:t>未完成原因分析</w:t>
            </w:r>
          </w:p>
        </w:tc>
      </w:tr>
      <w:tr>
        <w:trPr>
          <w:trHeight w:val="368"/>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产出指标</w:t>
            </w:r>
          </w:p>
        </w:tc>
        <w:tc>
          <w:tcPr>
            <w:tcW w:w="4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数量指标</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现场教学点位</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个</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620"/>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培训人次</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400</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人次</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110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13</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i w:val="0"/>
                <w:iCs w:val="0"/>
                <w:color w:val="000000"/>
                <w:w w:val="80"/>
                <w:kern w:val="0"/>
                <w:sz w:val="13"/>
                <w:szCs w:val="13"/>
                <w:u w:val="none"/>
                <w:lang w:val="en-US" w:eastAsia="zh-CN" w:bidi="ar-SA"/>
              </w:rPr>
            </w:pPr>
            <w:r>
              <w:rPr>
                <w:rFonts w:ascii="宋体" w:cs="宋体" w:hint="eastAsia"/>
                <w:i w:val="0"/>
                <w:iCs w:val="0"/>
                <w:color w:val="000000"/>
                <w:w w:val="80"/>
                <w:kern w:val="0"/>
                <w:sz w:val="13"/>
                <w:szCs w:val="13"/>
                <w:u w:val="none"/>
                <w:lang w:val="en-US" w:eastAsia="zh-CN" w:bidi="ar-SA"/>
              </w:rPr>
              <w:t>因时间冲突，实际参加人数较预算人数减少</w:t>
            </w:r>
          </w:p>
        </w:tc>
      </w:tr>
      <w:tr>
        <w:trPr>
          <w:trHeight w:val="321"/>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交流学习人次</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150</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人次</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300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402"/>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质量指标</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发放资料份数</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500</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份</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500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372"/>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4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学习合格率</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98</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98</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456"/>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效益指标</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spacing w:val="0"/>
                <w:w w:val="100"/>
                <w:kern w:val="0"/>
                <w:sz w:val="13"/>
                <w:szCs w:val="13"/>
                <w:u w:val="none"/>
                <w:lang w:val="en-US" w:eastAsia="zh-CN" w:bidi="ar-SA"/>
              </w:rPr>
            </w:pPr>
            <w:r>
              <w:rPr>
                <w:rFonts w:ascii="宋体" w:eastAsia="宋体" w:cs="宋体" w:hint="eastAsia"/>
                <w:i w:val="0"/>
                <w:iCs w:val="0"/>
                <w:color w:val="000000"/>
                <w:spacing w:val="0"/>
                <w:w w:val="100"/>
                <w:kern w:val="0"/>
                <w:sz w:val="13"/>
                <w:szCs w:val="13"/>
                <w:u w:val="none"/>
                <w:lang w:val="en-US" w:eastAsia="zh-CN" w:bidi="ar-SA"/>
              </w:rPr>
              <w:t>社会效益指标</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spacing w:val="0"/>
                <w:w w:val="10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推动经济社会发展发挥作用</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定性</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好</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center"/>
              <w:textAlignment w:val="center"/>
              <w:rPr>
                <w:rFonts w:ascii="宋体" w:eastAsia="宋体" w:cs="宋体" w:hint="eastAsia"/>
                <w:i w:val="0"/>
                <w:iCs w:val="0"/>
                <w:color w:val="000000"/>
                <w:w w:val="80"/>
                <w:kern w:val="0"/>
                <w:sz w:val="13"/>
                <w:szCs w:val="13"/>
                <w:u w:val="none"/>
                <w:lang w:val="en-US" w:eastAsia="zh-CN" w:bidi="ar-SA"/>
              </w:rPr>
            </w:pP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好</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630"/>
        </w:trPr>
        <w:tc>
          <w:tcPr>
            <w:tcW w:w="40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满意度指标</w:t>
            </w:r>
          </w:p>
        </w:tc>
        <w:tc>
          <w:tcPr>
            <w:tcW w:w="4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spacing w:val="0"/>
                <w:w w:val="100"/>
                <w:kern w:val="0"/>
                <w:sz w:val="13"/>
                <w:szCs w:val="13"/>
                <w:u w:val="none"/>
                <w:lang w:val="en-US" w:eastAsia="zh-CN" w:bidi="ar-SA"/>
              </w:rPr>
            </w:pPr>
            <w:r>
              <w:rPr>
                <w:rFonts w:ascii="宋体" w:eastAsia="宋体" w:cs="宋体" w:hint="eastAsia"/>
                <w:i w:val="0"/>
                <w:iCs w:val="0"/>
                <w:color w:val="000000"/>
                <w:spacing w:val="0"/>
                <w:w w:val="100"/>
                <w:kern w:val="0"/>
                <w:sz w:val="13"/>
                <w:szCs w:val="13"/>
                <w:u w:val="none"/>
                <w:lang w:val="en-US" w:eastAsia="zh-CN" w:bidi="ar-SA"/>
              </w:rPr>
              <w:t>服务对象满意度指标</w:t>
            </w:r>
          </w:p>
        </w:tc>
        <w:tc>
          <w:tcPr>
            <w:tcW w:w="50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代表对象满意度</w:t>
            </w:r>
          </w:p>
        </w:tc>
        <w:tc>
          <w:tcPr>
            <w:tcW w:w="3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95</w:t>
            </w:r>
          </w:p>
        </w:tc>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6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i w:val="0"/>
                <w:iCs w:val="0"/>
                <w:color w:val="000000"/>
                <w:w w:val="80"/>
                <w:kern w:val="0"/>
                <w:sz w:val="13"/>
                <w:szCs w:val="13"/>
                <w:u w:val="none"/>
                <w:lang w:val="en-US" w:eastAsia="zh-CN" w:bidi="ar-SA"/>
              </w:rPr>
            </w:pPr>
            <w:r>
              <w:rPr>
                <w:rFonts w:ascii="宋体" w:cs="宋体" w:hint="eastAsia"/>
                <w:i w:val="0"/>
                <w:iCs w:val="0"/>
                <w:color w:val="000000"/>
                <w:w w:val="80"/>
                <w:kern w:val="0"/>
                <w:sz w:val="13"/>
                <w:szCs w:val="13"/>
                <w:u w:val="none"/>
                <w:lang w:val="en-US" w:eastAsia="zh-CN" w:bidi="ar-SA"/>
              </w:rPr>
              <w:t>100</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524"/>
        </w:trPr>
        <w:tc>
          <w:tcPr>
            <w:tcW w:w="3783"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合计</w:t>
            </w:r>
          </w:p>
        </w:tc>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3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96</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ind w:left="0" w:firstLineChars="200" w:firstLine="208"/>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348"/>
        </w:trPr>
        <w:tc>
          <w:tcPr>
            <w:tcW w:w="4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评价结论</w:t>
            </w:r>
          </w:p>
        </w:tc>
        <w:tc>
          <w:tcPr>
            <w:tcW w:w="4592" w:type="pct"/>
            <w:gridSpan w:val="10"/>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2"/>
                <w:w w:val="71"/>
                <w:kern w:val="0"/>
                <w:sz w:val="13"/>
                <w:szCs w:val="13"/>
                <w:u w:val="none"/>
                <w:lang w:val="en-US" w:eastAsia="zh-CN" w:bidi="ar-SA"/>
              </w:rPr>
              <w:t>实施中，因部分代表时间冲突，参训人数未达到预期，项目的实施规范，提升了绩效管理工作水平，强化支出责任，培训资金使用规范，提高财政资金使用效益，参与培训代表的满意度达到98</w:t>
            </w:r>
            <w:r>
              <w:rPr>
                <w:rFonts w:ascii="宋体" w:eastAsia="宋体" w:cs="宋体" w:hint="eastAsia"/>
                <w:i w:val="0"/>
                <w:iCs w:val="0"/>
                <w:color w:val="000000"/>
                <w:spacing w:val="0"/>
                <w:w w:val="71"/>
                <w:kern w:val="0"/>
                <w:sz w:val="13"/>
                <w:szCs w:val="13"/>
                <w:u w:val="none"/>
                <w:lang w:val="en-US" w:eastAsia="zh-CN" w:bidi="ar-SA"/>
              </w:rPr>
              <w:t>%</w:t>
            </w:r>
          </w:p>
        </w:tc>
      </w:tr>
      <w:tr>
        <w:trPr>
          <w:trHeight w:val="402"/>
        </w:trPr>
        <w:tc>
          <w:tcPr>
            <w:tcW w:w="4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存在问题</w:t>
            </w:r>
          </w:p>
        </w:tc>
        <w:tc>
          <w:tcPr>
            <w:tcW w:w="4592"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项目的指标值设置的科学性还有待进一步提高。</w:t>
            </w:r>
          </w:p>
        </w:tc>
      </w:tr>
      <w:tr>
        <w:trPr>
          <w:trHeight w:val="413"/>
        </w:trPr>
        <w:tc>
          <w:tcPr>
            <w:tcW w:w="4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改进措施</w:t>
            </w:r>
          </w:p>
        </w:tc>
        <w:tc>
          <w:tcPr>
            <w:tcW w:w="4592"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topLinePunct w:val="0"/>
              <w:bidi w:val="0"/>
              <w:adjustRightInd/>
              <w:snapToGrid w:val="0"/>
              <w:spacing w:line="240" w:lineRule="auto"/>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下一年开展绩效目标编制时，指标值的设置应更为科学、严谨，以便更好的反应项目预期效果和资金使用效益。</w:t>
            </w:r>
          </w:p>
        </w:tc>
      </w:tr>
    </w:tbl>
    <w:p>
      <w:pPr>
        <w:pStyle w:val="15"/>
        <w:keepNext w:val="0"/>
        <w:keepLines w:val="0"/>
        <w:pageBreakBefore w:val="0"/>
        <w:widowControl w:val="0"/>
        <w:kinsoku/>
        <w:wordWrap/>
        <w:topLinePunct w:val="0"/>
        <w:bidi w:val="0"/>
        <w:adjustRightInd/>
        <w:snapToGrid/>
        <w:spacing w:line="240" w:lineRule="auto"/>
        <w:ind w:left="0" w:firstLineChars="200" w:firstLine="600"/>
        <w:rPr>
          <w:rFonts w:hint="eastAsia"/>
        </w:rPr>
      </w:pPr>
    </w:p>
    <w:p>
      <w:pPr>
        <w:pStyle w:val="15"/>
        <w:keepNext w:val="0"/>
        <w:keepLines w:val="0"/>
        <w:pageBreakBefore w:val="0"/>
        <w:widowControl w:val="0"/>
        <w:tabs>
          <w:tab w:val="left" w:pos="1996"/>
        </w:tabs>
        <w:kinsoku/>
        <w:wordWrap/>
        <w:topLinePunct w:val="0"/>
        <w:bidi w:val="0"/>
        <w:adjustRightInd/>
        <w:snapToGrid/>
        <w:spacing w:line="240" w:lineRule="auto"/>
        <w:ind w:left="0" w:firstLineChars="200" w:firstLine="600"/>
        <w:rPr>
          <w:rFonts w:eastAsia="仿宋_GB2312" w:hint="eastAsia"/>
          <w:lang w:eastAsia="zh-CN"/>
        </w:rPr>
      </w:pPr>
      <w:r>
        <w:rPr>
          <w:rFonts w:hint="eastAsia"/>
          <w:lang w:eastAsia="zh-CN"/>
        </w:rPr>
        <w:tab/>
      </w:r>
    </w:p>
    <w:p>
      <w:pPr>
        <w:keepNext w:val="0"/>
        <w:keepLines w:val="0"/>
        <w:pageBreakBefore w:val="0"/>
        <w:widowControl/>
        <w:numPr>
          <w:ilvl w:val="0"/>
          <w:numId w:val="4"/>
        </w:numPr>
        <w:kinsoku/>
        <w:wordWrap/>
        <w:overflowPunct/>
        <w:topLinePunct w:val="0"/>
        <w:autoSpaceDE/>
        <w:autoSpaceDN/>
        <w:bidi w:val="0"/>
        <w:adjustRightInd/>
        <w:snapToGrid/>
        <w:spacing w:line="240" w:lineRule="auto"/>
        <w:ind w:left="0"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r>
        <w:rPr>
          <w:rFonts w:ascii="方正小标宋简体" w:eastAsia="方正小标宋简体" w:cs="方正小标宋简体" w:hint="eastAsia"/>
          <w:b w:val="0"/>
          <w:bCs/>
          <w:kern w:val="44"/>
          <w:sz w:val="44"/>
          <w:szCs w:val="44"/>
          <w:lang w:val="en-US" w:eastAsia="zh-CN" w:bidi="ar-SA"/>
        </w:rPr>
        <w:t>附表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一、收入支出决算总表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二、收入决算表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三、支出决算表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四、财政拨款收入支出决算总表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五、财政拨款支出决算明细表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六、一般公共预算财政拨款支出决算表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七、一般公共预算财政拨款支出决算明细表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八、一般公共预算财政拨款基本支出决算表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九、一般公共预算财政拨款项目支出决算表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十、政府性基金预算财政拨款收入支出决算表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十一、国有资本经营预算财政拨款收入支出决算表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十二、国有资本经营预算财政拨款支出决算表</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十三、财政拨款“三公”经费支出决算表</w:t>
      </w:r>
    </w:p>
    <w:sectPr>
      <w:footerReference w:type="default" r:id="rId2"/>
      <w:footerReference w:type="even" r:id="rId3"/>
      <w:pgSz w:w="11906" w:h="16838"/>
      <w:pgMar w:top="2098" w:right="1531" w:bottom="1984" w:left="1531" w:header="851" w:footer="992" w:gutter="0"/>
      <w:pgNumType w:fmt="numberInDash"/>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7A"/>
    <w:family w:val="auto"/>
    <w:pitch w:val="variable"/>
    <w:sig w:usb0="000000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Times New Roman">
    <w:panose1 w:val="02020603050405020304"/>
    <w:charset w:val="86"/>
    <w:family w:val="roman"/>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modern"/>
    <w:pitch w:val="variable"/>
    <w:sig w:usb0="00000001" w:usb1="080E0000" w:usb2="00000000" w:usb3="00000000" w:csb0="00040000" w:csb1="00000000"/>
  </w:font>
  <w:font w:name="方正楷体_GBK">
    <w:altName w:val="微软雅黑"/>
    <w:panose1 w:val="03000509000000000000"/>
    <w:charset w:val="86"/>
    <w:family w:val="auto"/>
    <w:pitch w:val="variable"/>
    <w:sig w:usb0="00000001" w:usb1="080E0000" w:usb2="00000000" w:usb3="00000000" w:csb0="00040000" w:csb1="00000000"/>
  </w:font>
  <w:font w:name="方正仿宋_GBK">
    <w:altName w:val="微软雅黑"/>
    <w:panose1 w:val="03000509000000000000"/>
    <w:charset w:val="86"/>
    <w:family w:val="auto"/>
    <w:pitch w:val="variable"/>
    <w:sig w:usb0="00000001" w:usb1="080E0000" w:usb2="00000000" w:usb3="00000000" w:csb0="00040000" w:csb1="00000000"/>
  </w:font>
  <w:font w:name="Cambria">
    <w:panose1 w:val="02040503050406030204"/>
    <w:charset w:val="00"/>
    <w:family w:val="roman"/>
    <w:pitch w:val="variable"/>
    <w:sig w:usb0="E00006FF" w:usb1="420024FF" w:usb2="02000000" w:usb3="00000000" w:csb0="2000019F" w:csb1="00000000"/>
  </w:font>
  <w:font w:name="等线">
    <w:altName w:val="微软雅黑"/>
    <w:panose1 w:val="02010600030101010101"/>
    <w:charset w:val="86"/>
    <w:family w:val="auto"/>
    <w:pitch w:val="variable"/>
    <w:sig w:usb0="A00002BF" w:usb1="38CF7CFA" w:usb2="00000016" w:usb3="00000000" w:csb0="0004000F" w:csb1="00000000"/>
  </w:font>
  <w:font w:name="Arial">
    <w:panose1 w:val="020B0604020202020204"/>
    <w:charset w:val="01"/>
    <w:family w:val="swiss"/>
    <w:pitch w:val="variable"/>
    <w:sig w:usb0="E0002EFF" w:usb1="C000785B"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framePr w:w="0" w:hRule="auto" w:wrap="around" w:vAnchor="text" w:hAnchor="margin" w:xAlign="outside" w:y="1" w:anchorLock="0"/>
      <w:tabs>
        <w:tab w:val="center" w:pos="4153"/>
        <w:tab w:val="right" w:pos="8306"/>
      </w:tabs>
      <w:rPr>
        <w:rStyle w:val="24"/>
        <w:rFonts w:ascii="宋体"/>
        <w:sz w:val="28"/>
        <w:szCs w:val="28"/>
      </w:rPr>
    </w:pPr>
    <w:r>
      <w:rPr>
        <w:rStyle w:val="24"/>
        <w:rFonts w:ascii="宋体"/>
        <w:sz w:val="28"/>
        <w:szCs w:val="28"/>
      </w:rPr>
      <w:fldChar w:fldCharType="begin"/>
    </w:r>
    <w:r>
      <w:rPr>
        <w:rStyle w:val="24"/>
        <w:rFonts w:ascii="宋体"/>
        <w:sz w:val="28"/>
        <w:szCs w:val="28"/>
      </w:rPr>
      <w:instrText xml:space="preserve">PAGE  </w:instrText>
    </w:r>
    <w:r>
      <w:rPr>
        <w:rFonts w:ascii="宋体"/>
        <w:sz w:val="28"/>
        <w:szCs w:val="28"/>
      </w:rPr>
      <w:fldChar w:fldCharType="separate"/>
    </w:r>
    <w:r>
      <w:rPr>
        <w:rStyle w:val="24"/>
        <w:rFonts w:ascii="宋体"/>
        <w:sz w:val="28"/>
        <w:szCs w:val="28"/>
      </w:rPr>
      <w:t>- 32 -</w:t>
    </w:r>
    <w:r>
      <w:rPr>
        <w:rFonts w:ascii="宋体"/>
        <w:sz w:val="28"/>
        <w:szCs w:val="28"/>
      </w:rPr>
      <w:fldChar w:fldCharType="end"/>
    </w:r>
  </w:p>
  <w:p>
    <w:pPr>
      <w:pStyle w:val="17"/>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framePr w:w="0" w:hRule="auto" w:wrap="around" w:vAnchor="text" w:hAnchor="margin" w:xAlign="outside" w:y="1" w:anchorLock="0"/>
      <w:tabs>
        <w:tab w:val="center" w:pos="4153"/>
        <w:tab w:val="right" w:pos="8306"/>
      </w:tabs>
      <w:rPr>
        <w:rStyle w:val="24"/>
      </w:rPr>
    </w:pPr>
    <w:r>
      <w:rPr>
        <w:rStyle w:val="24"/>
      </w:rPr>
      <w:fldChar w:fldCharType="begin"/>
    </w:r>
    <w:r>
      <w:rPr>
        <w:rStyle w:val="24"/>
      </w:rPr>
      <w:instrText xml:space="preserve">PAGE  </w:instrText>
    </w:r>
    <w:r>
      <w:fldChar w:fldCharType="separate"/>
    </w:r>
    <w:r>
      <w:t xml:space="preserve"> </w:t>
    </w:r>
    <w:r>
      <w:fldChar w:fldCharType="end"/>
    </w:r>
  </w:p>
  <w:p>
    <w:pPr>
      <w:pStyle w:val="17"/>
      <w:tabs>
        <w:tab w:val="center" w:pos="4153"/>
        <w:tab w:val="right" w:pos="8306"/>
      </w:tabs>
      <w:ind w:right="360" w:firstLine="360"/>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66B4D4D8"/>
    <w:multiLevelType w:val="singleLevel"/>
    <w:tmpl w:val="66B4D4D8"/>
    <w:lvl w:ilvl="0">
      <w:start w:val="1"/>
      <w:numFmt w:val="chineseCounting"/>
      <w:lvlRestart w:val="0"/>
      <w:suff w:val="space"/>
      <w:lvlText w:val="第%1部分"/>
      <w:lvlJc w:val="left"/>
      <w:pPr>
        <w:ind w:left="0" w:hanging="0"/>
      </w:pPr>
      <w:rPr>
        <w:rFonts w:hint="eastAsia"/>
      </w:rPr>
    </w:lvl>
  </w:abstractNum>
  <w:abstractNum w:abstractNumId="1">
    <w:nsid w:val="28514CBF"/>
    <w:multiLevelType w:val="singleLevel"/>
    <w:tmpl w:val="28514CBF"/>
    <w:lvl w:ilvl="0">
      <w:start w:val="2"/>
      <w:numFmt w:val="chineseCounting"/>
      <w:lvlRestart w:val="0"/>
      <w:suff w:val="space"/>
      <w:lvlText w:val="第%1部分"/>
      <w:lvlJc w:val="left"/>
      <w:pPr>
        <w:ind w:left="0" w:hanging="0"/>
      </w:pPr>
      <w:rPr>
        <w:rFonts w:hint="eastAsia"/>
      </w:rPr>
    </w:lvl>
  </w:abstractNum>
  <w:abstractNum w:abstractNumId="2">
    <w:nsid w:val="BEA56094"/>
    <w:multiLevelType w:val="singleLevel"/>
    <w:tmpl w:val="BEA56094"/>
    <w:lvl w:ilvl="0">
      <w:start w:val="4"/>
      <w:numFmt w:val="chineseCounting"/>
      <w:lvlRestart w:val="0"/>
      <w:suff w:val="nothing"/>
      <w:lvlText w:val="（%1）"/>
      <w:lvlJc w:val="left"/>
      <w:pPr>
        <w:ind w:left="0" w:hanging="0"/>
      </w:pPr>
      <w:rPr>
        <w:rFonts w:hint="eastAsia"/>
      </w:rPr>
    </w:lvl>
  </w:abstractNum>
  <w:abstractNum w:abstractNumId="3">
    <w:nsid w:val="CAD9E26F"/>
    <w:multiLevelType w:val="singleLevel"/>
    <w:tmpl w:val="CAD9E26F"/>
    <w:lvl w:ilvl="0">
      <w:start w:val="4"/>
      <w:numFmt w:val="chineseCounting"/>
      <w:lvlRestart w:val="0"/>
      <w:suff w:val="space"/>
      <w:lvlText w:val="第%1部分"/>
      <w:lvlJc w:val="left"/>
      <w:pPr>
        <w:ind w:left="0" w:hanging="0"/>
      </w:pPr>
      <w:rPr>
        <w:rFonts w:hint="eastAsia"/>
      </w:rPr>
    </w:lvl>
  </w:abstractNum>
  <w:abstractNum w:abstractNumId="4">
    <w:nsid w:val="81239C0A"/>
    <w:multiLevelType w:val="singleLevel"/>
    <w:tmpl w:val="81239C0A"/>
    <w:lvl w:ilvl="0">
      <w:start w:val="3"/>
      <w:numFmt w:val="chineseCounting"/>
      <w:lvlRestart w:val="0"/>
      <w:suff w:val="nothing"/>
      <w:lvlText w:val="（%1）"/>
      <w:lvlJc w:val="left"/>
      <w:pPr>
        <w:ind w:left="0" w:hanging="0"/>
      </w:pPr>
      <w:rPr>
        <w:rFonts w:hint="eastAsia"/>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MDQ4MzIyOThlOGFmMzNkMzJmOGM5YzgwN2VmODRhNzc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hAnsi="Cambria"/>
      <w:b/>
      <w:bCs/>
      <w:sz w:val="32"/>
      <w:szCs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Date"/>
    <w:basedOn w:val="0"/>
    <w:next w:val="0"/>
    <w:pPr>
      <w:ind w:leftChars="2500" w:left="2500"/>
    </w:pPr>
  </w:style>
  <w:style w:type="paragraph" w:styleId="17">
    <w:name w:val="footer"/>
    <w:basedOn w:val="0"/>
    <w:next w:val="0"/>
    <w:pPr>
      <w:tabs>
        <w:tab w:val="center" w:pos="4153"/>
        <w:tab w:val="right" w:pos="8306"/>
      </w:tabs>
      <w:snapToGrid w:val="0"/>
      <w:jc w:val="left"/>
    </w:pPr>
    <w:rPr>
      <w:sz w:val="18"/>
      <w:szCs w:val="18"/>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paragraph" w:styleId="19">
    <w:name w:val="toc 1"/>
    <w:basedOn w:val="0"/>
    <w:next w:val="0"/>
    <w:pPr>
      <w:spacing w:before="120" w:after="120"/>
      <w:jc w:val="left"/>
    </w:pPr>
    <w:rPr>
      <w:rFonts w:ascii="等线" w:eastAsia="等线"/>
      <w:b/>
      <w:bCs/>
      <w:caps/>
      <w:smallCaps w:val="0"/>
      <w:sz w:val="20"/>
      <w:szCs w:val="20"/>
    </w:rPr>
  </w:style>
  <w:style w:type="paragraph" w:styleId="20">
    <w:name w:val="table of figures"/>
    <w:basedOn w:val="0"/>
    <w:next w:val="0"/>
    <w:pPr>
      <w:spacing w:before="100" w:beforeAutospacing="1" w:after="100" w:afterAutospacing="1"/>
      <w:ind w:leftChars="200" w:left="400" w:hangingChars="200" w:hanging="200"/>
    </w:pPr>
    <w:rPr>
      <w:kern w:val="0"/>
      <w:sz w:val="20"/>
      <w:szCs w:val="21"/>
    </w:rPr>
  </w:style>
  <w:style w:type="paragraph" w:styleId="21">
    <w:name w:val="toc 2"/>
    <w:basedOn w:val="0"/>
    <w:next w:val="0"/>
    <w:pPr>
      <w:ind w:left="210"/>
      <w:jc w:val="left"/>
    </w:pPr>
    <w:rPr>
      <w:rFonts w:ascii="等线" w:eastAsia="等线"/>
      <w:caps w:val="0"/>
      <w:smallCaps/>
      <w:sz w:val="20"/>
      <w:szCs w:val="20"/>
    </w:rPr>
  </w:style>
  <w:style w:type="paragraph" w:styleId="22">
    <w:name w:val="Normal (Web)"/>
    <w:basedOn w:val="0"/>
    <w:pPr>
      <w:widowControl/>
      <w:spacing w:before="100" w:beforeAutospacing="1" w:after="100" w:afterAutospacing="1"/>
      <w:jc w:val="left"/>
    </w:pPr>
    <w:rPr>
      <w:rFonts w:ascii="宋体" w:cs="宋体"/>
      <w:kern w:val="0"/>
      <w:sz w:val="24"/>
    </w:rPr>
  </w:style>
  <w:style w:type="character" w:styleId="23">
    <w:name w:val="Strong"/>
    <w:basedOn w:val="10"/>
    <w:rPr>
      <w:b/>
      <w:bCs/>
    </w:rPr>
  </w:style>
  <w:style w:type="character" w:styleId="24">
    <w:name w:val="page number"/>
    <w:basedOn w:val="10"/>
  </w:style>
  <w:style w:type="paragraph" w:customStyle="1" w:styleId="25">
    <w:name w:val="p0"/>
    <w:basedOn w:val="0"/>
    <w:pPr>
      <w:widowControl/>
      <w:spacing w:line="365" w:lineRule="atLeast"/>
      <w:ind w:left="1"/>
      <w:textAlignment w:val="bottom"/>
    </w:pPr>
    <w:rPr>
      <w:kern w:val="0"/>
      <w:sz w:val="20"/>
      <w:szCs w:val="20"/>
    </w:rPr>
  </w:style>
  <w:style w:type="paragraph" w:customStyle="1" w:styleId="26">
    <w:name w:val="p1"/>
    <w:basedOn w:val="0"/>
    <w:pPr>
      <w:widowControl/>
      <w:spacing w:before="100" w:beforeAutospacing="1" w:after="100" w:afterAutospacing="1"/>
      <w:jc w:val="left"/>
    </w:pPr>
    <w:rPr>
      <w:rFonts w:ascii="宋体" w:eastAsia="宋体" w:cs="宋体"/>
      <w:kern w:val="0"/>
      <w:sz w:val="24"/>
      <w:szCs w:val="24"/>
    </w:rPr>
  </w:style>
  <w:style w:type="paragraph" w:styleId="27">
    <w:name w:val="List Paragraph"/>
    <w:basedOn w:val="0"/>
    <w:pPr>
      <w:ind w:firstLineChars="200" w:firstLine="200"/>
    </w:pPr>
  </w:style>
  <w:style w:type="paragraph" w:customStyle="1" w:styleId="28">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29">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paragraph" w:customStyle="1" w:styleId="30">
    <w:name w:val="闻政正文"/>
    <w:basedOn w:val="0"/>
    <w:pPr>
      <w:spacing w:line="600" w:lineRule="exact"/>
      <w:ind w:firstLineChars="200" w:firstLine="200"/>
    </w:pPr>
    <w:rPr>
      <w:rFonts w:ascii="Times New Roman" w:eastAsia="仿宋_GB2312" w:cs="Times New Roman" w:hAnsi="Times New Roman"/>
      <w:kern w:val="0"/>
      <w:sz w:val="28"/>
      <w:szCs w:val="28"/>
      <w:lang w:val="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chart" Target="charts/chart1.xml"/><Relationship Id="rId5" Type="http://schemas.openxmlformats.org/officeDocument/2006/relationships/image" Target="media/3.emf"/><Relationship Id="rId6" Type="http://schemas.openxmlformats.org/officeDocument/2006/relationships/oleObject" Target="embeddings/oleObject1.bin"/><Relationship Id="rId7" Type="http://schemas.openxmlformats.org/officeDocument/2006/relationships/image" Target="media/5.emf"/><Relationship Id="rId8" Type="http://schemas.openxmlformats.org/officeDocument/2006/relationships/oleObject" Target="embeddings/oleObject2.bin"/><Relationship Id="rId9" Type="http://schemas.openxmlformats.org/officeDocument/2006/relationships/image" Target="media/7.emf"/><Relationship Id="rId10" Type="http://schemas.openxmlformats.org/officeDocument/2006/relationships/oleObject" Target="embeddings/oleObject3.bin"/><Relationship Id="rId11" Type="http://schemas.openxmlformats.org/officeDocument/2006/relationships/image" Target="media/9.emf"/><Relationship Id="rId12" Type="http://schemas.openxmlformats.org/officeDocument/2006/relationships/oleObject" Target="embeddings/oleObject4.bin"/><Relationship Id="rId13" Type="http://schemas.openxmlformats.org/officeDocument/2006/relationships/image" Target="media/11.emf"/><Relationship Id="rId14" Type="http://schemas.openxmlformats.org/officeDocument/2006/relationships/oleObject" Target="embeddings/oleObject5.bin"/><Relationship Id="rId15" Type="http://schemas.openxmlformats.org/officeDocument/2006/relationships/image" Target="media/13.emf"/><Relationship Id="rId16" Type="http://schemas.openxmlformats.org/officeDocument/2006/relationships/oleObject" Target="embeddings/oleObject6.bin"/><Relationship Id="rId17" Type="http://schemas.openxmlformats.org/officeDocument/2006/relationships/styles" Target="styles.xml"/><Relationship Id="rId18" Type="http://schemas.openxmlformats.org/officeDocument/2006/relationships/numbering" Target="numbering.xml"/><Relationship Id="rId1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Arial"/>
              </a:defRPr>
            </a:pPr>
            <a:r>
              <a:rPr lang="zh-CN"/>
              <a:t>收、支决算总计变动情况</a:t>
            </a:r>
          </a:p>
        </c:rich>
      </c:tx>
      <c:layout/>
      <c:overlay val="0"/>
      <c:spPr>
        <a:noFill/>
        <a:ln>
          <a:noFill/>
        </a:ln>
      </c:spPr>
    </c:title>
    <c:autoTitleDeleted val="1"/>
    <c:plotArea>
      <c:layout/>
      <c:barChart>
        <c:barDir val="col"/>
        <c:grouping val="clustered"/>
        <c:varyColors val="0"/>
        <c:ser>
          <c:idx val="0"/>
          <c:order val="0"/>
          <c:tx>
            <c:strRef>
              <c:f>'Sheet1'!$B$1</c:f>
              <c:strCache>
                <c:ptCount val="1"/>
                <c:pt idx="0">
                  <c:v>2024年</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0"/>
          </c:dLbls>
          <c:cat>
            <c:strRef>
              <c:f>'Sheet1'!$A$2:$A$3</c:f>
              <c:strCache>
                <c:ptCount val="2"/>
                <c:pt idx="0">
                  <c:v>收入决算</c:v>
                </c:pt>
                <c:pt idx="1">
                  <c:v>支出决算</c:v>
                </c:pt>
              </c:strCache>
            </c:strRef>
          </c:cat>
          <c:val>
            <c:numRef>
              <c:f>'Sheet1'!$B$2:$B$3</c:f>
              <c:numCache>
                <c:formatCode>General</c:formatCode>
                <c:ptCount val="2"/>
                <c:pt idx="0">
                  <c:v>1003.02</c:v>
                </c:pt>
                <c:pt idx="1">
                  <c:v>1003.02</c:v>
                </c:pt>
              </c:numCache>
            </c:numRef>
          </c:val>
        </c:ser>
        <c:ser>
          <c:idx val="1"/>
          <c:order val="1"/>
          <c:tx>
            <c:strRef>
              <c:f>'Sheet1'!$C$1</c:f>
              <c:strCache>
                <c:ptCount val="1"/>
                <c:pt idx="0">
                  <c:v>2025年</c:v>
                </c:pt>
              </c:strCache>
            </c:strRef>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0"/>
          </c:dLbls>
          <c:cat>
            <c:strRef>
              <c:f>'Sheet1'!$A$2:$A$3</c:f>
              <c:strCache>
                <c:ptCount val="2"/>
                <c:pt idx="0">
                  <c:v>收入决算</c:v>
                </c:pt>
                <c:pt idx="1">
                  <c:v>支出决算</c:v>
                </c:pt>
              </c:strCache>
            </c:strRef>
          </c:cat>
          <c:val>
            <c:numRef>
              <c:f>'Sheet1'!$C$2:$C$3</c:f>
              <c:numCache>
                <c:formatCode>General</c:formatCode>
                <c:ptCount val="2"/>
                <c:pt idx="0">
                  <c:v>1048.04</c:v>
                </c:pt>
                <c:pt idx="1">
                  <c:v>1048.04</c:v>
                </c:pt>
              </c:numCache>
            </c:numRef>
          </c:val>
        </c:ser>
        <c:ser>
          <c:idx val="2"/>
          <c:order val="2"/>
          <c:spPr>
            <a:solidFill>
              <a:srgbClr val="9BBB59"/>
            </a:solidFill>
            <a:ln>
              <a:noFill/>
            </a:ln>
          </c:spPr>
          <c:invertIfNegative val="0"/>
          <c:dLbls>
            <c:txPr>
              <a:bodyPr/>
              <a:lstStyle/>
              <a:p>
                <a:pPr>
                  <a:defRPr sz="1000" b="0" i="0" u="none" strike="noStrike" baseline="0">
                    <a:solidFill>
                      <a:srgbClr val="000000"/>
                    </a:solidFill>
                    <a:latin typeface="Times New Roman"/>
                    <a:ea typeface="宋体"/>
                    <a:cs typeface="Arial"/>
                  </a:defRPr>
                </a:pPr>
                <a:endParaRPr lang="zh-CN"/>
              </a:p>
            </c:txPr>
            <c:numFmt formatCode="General" sourceLinked="1"/>
            <c:showLegendKey val="0"/>
            <c:showVal val="0"/>
            <c:showCatName val="0"/>
            <c:showSerName val="0"/>
            <c:showPercent val="0"/>
            <c:showBubbleSize val="0"/>
            <c:showLeaderLines val="0"/>
          </c:dLbls>
          <c:cat>
            <c:strRef>
              <c:f>'Sheet1'!$A$2:$A$3</c:f>
              <c:strCache>
                <c:ptCount val="2"/>
                <c:pt idx="0">
                  <c:v>收入决算</c:v>
                </c:pt>
                <c:pt idx="1">
                  <c:v>支出决算</c:v>
                </c:pt>
              </c:strCache>
            </c:strRef>
          </c:cat>
          <c:val>
            <c:numRef>
              <c:f/>
              <c:numCache>
                <c:formatCode>General</c:formatCode>
                <c:ptCount val="1"/>
                <c:pt idx="0">
                  <c:v>1.0</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Entry>
        <c:idx val="2"/>
        <c:delete val="1"/>
      </c:legendEntry>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25</TotalTime>
  <Application>Yozo_Office27021597764231179</Application>
  <Pages>47</Pages>
  <Words>19249</Words>
  <Characters>20813</Characters>
  <Lines>1479</Lines>
  <Paragraphs>815</Paragraphs>
  <CharactersWithSpaces>20913</CharactersWithSpaces>
  <Company>China</Company>
</Properties>
</file>

<file path=docProps/core.xml><?xml version="1.0" encoding="utf-8"?>
<cp:coreProperties xmlns:cp="http://schemas.openxmlformats.org/package/2006/metadata/core-properties" xmlns:dc="http://purl.org/dc/elements/1.1/" xmlns:dcterms="http://purl.org/dc/terms/" xmlns:xsi="http://www.w3.org/2001/XMLSchema-instance">
  <dc:creator>XXL</dc:creator>
  <cp:lastModifiedBy>Administrator</cp:lastModifiedBy>
  <cp:revision>28</cp:revision>
  <cp:lastPrinted>2026-10-06T07:37:00Z</cp:lastPrinted>
  <dcterms:created xsi:type="dcterms:W3CDTF">2023-09-18T07:11:00Z</dcterms:created>
  <dcterms:modified xsi:type="dcterms:W3CDTF">2026-10-20T08:57:14Z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C10A2A7FAD16499FAD7B750E6C5FDE13_13</vt:lpwstr>
  </property>
  <property fmtid="{D5CDD505-2E9C-101B-9397-08002B2CF9AE}" pid="4" name="KSOTemplateDocerSaveRecord">
    <vt:lpwstr>eyJoZGlkIjoiMDQ4MzIyOThlOGFmMzNkMzJmOGM5YzgwN2VmODRhNzciLCJ1c2VySWQiOiIxNDc1ODk4MjU2In0=</vt:lpwstr>
  </property>
</Properties>
</file>