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96C96">
      <w:pPr>
        <w:spacing w:line="600" w:lineRule="exact"/>
        <w:jc w:val="left"/>
        <w:outlineLvl w:val="0"/>
        <w:rPr>
          <w:rFonts w:ascii="黑体" w:hAnsi="黑体" w:eastAsia="黑体" w:cs="黑体"/>
          <w:sz w:val="32"/>
          <w:szCs w:val="32"/>
        </w:rPr>
      </w:pPr>
      <w:bookmarkStart w:id="0" w:name="_Toc15306267"/>
    </w:p>
    <w:p w14:paraId="6824CFDE">
      <w:pPr>
        <w:spacing w:line="600" w:lineRule="exact"/>
        <w:jc w:val="center"/>
        <w:outlineLvl w:val="0"/>
        <w:rPr>
          <w:rFonts w:ascii="方正小标宋简体" w:hAnsi="宋体" w:eastAsia="方正小标宋简体"/>
          <w:sz w:val="72"/>
          <w:szCs w:val="72"/>
        </w:rPr>
      </w:pPr>
    </w:p>
    <w:p w14:paraId="76783FAC">
      <w:pPr>
        <w:spacing w:line="600" w:lineRule="exact"/>
        <w:jc w:val="center"/>
        <w:outlineLvl w:val="0"/>
        <w:rPr>
          <w:rFonts w:ascii="方正小标宋简体" w:hAnsi="宋体" w:eastAsia="方正小标宋简体"/>
          <w:sz w:val="72"/>
          <w:szCs w:val="72"/>
        </w:rPr>
      </w:pPr>
    </w:p>
    <w:bookmarkEnd w:id="0"/>
    <w:p w14:paraId="2C0E0D1A">
      <w:pPr>
        <w:autoSpaceDE w:val="0"/>
        <w:autoSpaceDN w:val="0"/>
        <w:adjustRightInd w:val="0"/>
        <w:ind w:left="420" w:leftChars="200"/>
        <w:jc w:val="center"/>
        <w:rPr>
          <w:rFonts w:hint="eastAsia" w:ascii="方正小标宋简体" w:eastAsia="方正小标宋简体"/>
          <w:sz w:val="52"/>
          <w:szCs w:val="52"/>
          <w:lang w:val="en-US" w:eastAsia="zh-CN"/>
        </w:rPr>
      </w:pPr>
      <w:bookmarkStart w:id="1" w:name="_Toc15378441"/>
      <w:bookmarkStart w:id="2" w:name="_Toc15377425"/>
      <w:bookmarkStart w:id="3" w:name="_Toc15396475"/>
      <w:bookmarkStart w:id="4" w:name="_Toc15377193"/>
      <w:bookmarkStart w:id="5" w:name="_Toc15396597"/>
      <w:bookmarkStart w:id="6" w:name="_Toc15396476"/>
      <w:bookmarkStart w:id="7" w:name="_Toc15396598"/>
      <w:bookmarkStart w:id="8" w:name="_Toc15377194"/>
      <w:bookmarkStart w:id="9" w:name="_Toc15377426"/>
      <w:bookmarkStart w:id="10" w:name="_Toc15306268"/>
      <w:bookmarkStart w:id="11" w:name="_Toc15378442"/>
      <w:r>
        <w:rPr>
          <w:rFonts w:hint="eastAsia" w:ascii="方正小标宋简体" w:eastAsia="方正小标宋简体"/>
          <w:sz w:val="52"/>
          <w:szCs w:val="52"/>
          <w:lang w:val="en-US" w:eastAsia="zh-CN"/>
        </w:rPr>
        <w:t>2025年度</w:t>
      </w:r>
      <w:bookmarkEnd w:id="1"/>
      <w:bookmarkEnd w:id="2"/>
      <w:bookmarkEnd w:id="3"/>
      <w:bookmarkEnd w:id="4"/>
      <w:bookmarkEnd w:id="5"/>
    </w:p>
    <w:p w14:paraId="1E3DED31">
      <w:pPr>
        <w:autoSpaceDE w:val="0"/>
        <w:autoSpaceDN w:val="0"/>
        <w:adjustRightInd w:val="0"/>
        <w:ind w:left="420" w:leftChars="200"/>
        <w:jc w:val="center"/>
        <w:rPr>
          <w:rFonts w:hint="default" w:ascii="宋体" w:eastAsia="宋体" w:cs="仿宋_GB2312"/>
          <w:sz w:val="32"/>
          <w:szCs w:val="32"/>
          <w:lang w:val="en-US" w:eastAsia="zh-CN"/>
        </w:rPr>
      </w:pPr>
      <w:r>
        <w:rPr>
          <w:rFonts w:hint="eastAsia" w:ascii="方正小标宋简体" w:eastAsia="方正小标宋简体"/>
          <w:sz w:val="52"/>
          <w:szCs w:val="52"/>
          <w:lang w:val="en-US" w:eastAsia="zh-CN"/>
        </w:rPr>
        <w:t>四川省阿坝州汶川县人大信息和网络中心单位决算</w:t>
      </w:r>
      <w:bookmarkEnd w:id="6"/>
      <w:bookmarkEnd w:id="7"/>
      <w:bookmarkEnd w:id="8"/>
      <w:bookmarkEnd w:id="9"/>
      <w:bookmarkEnd w:id="10"/>
      <w:bookmarkEnd w:id="11"/>
    </w:p>
    <w:p w14:paraId="194DF9A5">
      <w:pPr>
        <w:autoSpaceDE w:val="0"/>
        <w:autoSpaceDN w:val="0"/>
        <w:adjustRightInd w:val="0"/>
        <w:ind w:left="420" w:leftChars="200"/>
        <w:jc w:val="left"/>
        <w:rPr>
          <w:rFonts w:ascii="宋体" w:cs="仿宋_GB2312"/>
          <w:sz w:val="32"/>
          <w:szCs w:val="32"/>
        </w:rPr>
      </w:pPr>
    </w:p>
    <w:p w14:paraId="2B6A0012">
      <w:pPr>
        <w:pStyle w:val="2"/>
        <w:spacing w:before="93"/>
      </w:pPr>
    </w:p>
    <w:p w14:paraId="56C5CAC7">
      <w:pPr>
        <w:autoSpaceDE w:val="0"/>
        <w:autoSpaceDN w:val="0"/>
        <w:adjustRightInd w:val="0"/>
        <w:ind w:left="420" w:leftChars="200"/>
        <w:jc w:val="left"/>
        <w:rPr>
          <w:rFonts w:ascii="宋体" w:cs="仿宋_GB2312"/>
          <w:sz w:val="32"/>
          <w:szCs w:val="32"/>
        </w:rPr>
      </w:pPr>
    </w:p>
    <w:p w14:paraId="63B2A859">
      <w:pPr>
        <w:autoSpaceDE w:val="0"/>
        <w:autoSpaceDN w:val="0"/>
        <w:adjustRightInd w:val="0"/>
        <w:ind w:left="420" w:leftChars="200"/>
        <w:jc w:val="left"/>
        <w:rPr>
          <w:rFonts w:ascii="宋体" w:cs="仿宋_GB2312"/>
          <w:sz w:val="32"/>
          <w:szCs w:val="32"/>
        </w:rPr>
      </w:pPr>
    </w:p>
    <w:p w14:paraId="21CC9FB2">
      <w:pPr>
        <w:autoSpaceDE w:val="0"/>
        <w:autoSpaceDN w:val="0"/>
        <w:adjustRightInd w:val="0"/>
        <w:ind w:left="420" w:leftChars="200"/>
        <w:jc w:val="left"/>
        <w:rPr>
          <w:rFonts w:ascii="宋体" w:cs="仿宋_GB2312"/>
          <w:sz w:val="32"/>
          <w:szCs w:val="32"/>
        </w:rPr>
      </w:pPr>
    </w:p>
    <w:p w14:paraId="19E1BFB1">
      <w:pPr>
        <w:autoSpaceDE w:val="0"/>
        <w:autoSpaceDN w:val="0"/>
        <w:adjustRightInd w:val="0"/>
        <w:ind w:left="420" w:leftChars="200"/>
        <w:jc w:val="left"/>
        <w:rPr>
          <w:rFonts w:ascii="宋体" w:cs="仿宋_GB2312"/>
          <w:sz w:val="32"/>
          <w:szCs w:val="32"/>
        </w:rPr>
      </w:pPr>
    </w:p>
    <w:p w14:paraId="42617C6B">
      <w:pPr>
        <w:autoSpaceDE w:val="0"/>
        <w:autoSpaceDN w:val="0"/>
        <w:adjustRightInd w:val="0"/>
        <w:ind w:left="420" w:leftChars="200"/>
        <w:jc w:val="left"/>
        <w:rPr>
          <w:rFonts w:ascii="宋体" w:cs="仿宋_GB2312"/>
          <w:sz w:val="32"/>
          <w:szCs w:val="32"/>
        </w:rPr>
      </w:pPr>
    </w:p>
    <w:p w14:paraId="405E1194">
      <w:pPr>
        <w:autoSpaceDE w:val="0"/>
        <w:autoSpaceDN w:val="0"/>
        <w:adjustRightInd w:val="0"/>
        <w:ind w:left="420" w:leftChars="200"/>
        <w:jc w:val="left"/>
        <w:rPr>
          <w:rFonts w:ascii="宋体" w:cs="仿宋_GB2312"/>
          <w:sz w:val="32"/>
          <w:szCs w:val="32"/>
        </w:rPr>
      </w:pPr>
    </w:p>
    <w:p w14:paraId="5FF31220">
      <w:pPr>
        <w:autoSpaceDE w:val="0"/>
        <w:autoSpaceDN w:val="0"/>
        <w:adjustRightInd w:val="0"/>
        <w:ind w:left="420" w:leftChars="200"/>
        <w:jc w:val="left"/>
        <w:rPr>
          <w:rFonts w:ascii="宋体" w:cs="仿宋_GB2312"/>
          <w:sz w:val="32"/>
          <w:szCs w:val="32"/>
        </w:rPr>
      </w:pPr>
    </w:p>
    <w:p w14:paraId="07BA2262">
      <w:pPr>
        <w:autoSpaceDE w:val="0"/>
        <w:autoSpaceDN w:val="0"/>
        <w:adjustRightInd w:val="0"/>
        <w:ind w:left="420" w:leftChars="200"/>
        <w:jc w:val="left"/>
        <w:rPr>
          <w:rFonts w:ascii="宋体" w:cs="仿宋_GB2312"/>
          <w:sz w:val="32"/>
          <w:szCs w:val="32"/>
        </w:rPr>
      </w:pPr>
    </w:p>
    <w:p w14:paraId="61A31D98">
      <w:pPr>
        <w:autoSpaceDE w:val="0"/>
        <w:autoSpaceDN w:val="0"/>
        <w:adjustRightInd w:val="0"/>
        <w:ind w:left="420" w:leftChars="200"/>
        <w:jc w:val="left"/>
        <w:rPr>
          <w:rFonts w:ascii="宋体" w:cs="仿宋_GB2312"/>
          <w:sz w:val="32"/>
          <w:szCs w:val="32"/>
        </w:rPr>
      </w:pPr>
    </w:p>
    <w:p w14:paraId="04BC0F9E">
      <w:pPr>
        <w:autoSpaceDE w:val="0"/>
        <w:autoSpaceDN w:val="0"/>
        <w:adjustRightInd w:val="0"/>
        <w:ind w:left="420" w:left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保密审查情况：已审查，内容审定</w:t>
      </w:r>
    </w:p>
    <w:p w14:paraId="1DA6EF98">
      <w:pPr>
        <w:autoSpaceDE w:val="0"/>
        <w:autoSpaceDN w:val="0"/>
        <w:adjustRightInd w:val="0"/>
        <w:ind w:left="420" w:left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部门主要负责人审签情况：已审签，同意对外公开</w:t>
      </w:r>
    </w:p>
    <w:p w14:paraId="48F484E8">
      <w:pPr>
        <w:widowControl/>
        <w:tabs>
          <w:tab w:val="left" w:pos="1526"/>
          <w:tab w:val="center" w:pos="4153"/>
        </w:tabs>
        <w:jc w:val="center"/>
        <w:rPr>
          <w:rFonts w:hint="eastAsia" w:ascii="方正小标宋简体" w:eastAsia="方正小标宋简体"/>
          <w:color w:val="000000"/>
          <w:sz w:val="44"/>
          <w:szCs w:val="44"/>
        </w:rPr>
      </w:pPr>
      <w:bookmarkStart w:id="12" w:name="_Toc15377196"/>
      <w:bookmarkStart w:id="13" w:name="_Toc15396599"/>
    </w:p>
    <w:p w14:paraId="3324ED00">
      <w:pPr>
        <w:widowControl/>
        <w:tabs>
          <w:tab w:val="left" w:pos="1526"/>
          <w:tab w:val="center" w:pos="4153"/>
        </w:tabs>
        <w:jc w:val="center"/>
        <w:rPr>
          <w:rFonts w:ascii="方正小标宋简体" w:eastAsia="方正小标宋简体"/>
          <w:color w:val="000000"/>
          <w:sz w:val="44"/>
          <w:szCs w:val="44"/>
        </w:rPr>
      </w:pPr>
      <w:r>
        <w:rPr>
          <w:rFonts w:hint="eastAsia" w:ascii="方正小标宋简体" w:eastAsia="方正小标宋简体"/>
          <w:color w:val="000000"/>
          <w:sz w:val="44"/>
          <w:szCs w:val="44"/>
        </w:rPr>
        <w:t>目</w:t>
      </w:r>
      <w:r>
        <w:rPr>
          <w:rFonts w:hint="eastAsia" w:ascii="方正小标宋简体" w:eastAsia="方正小标宋简体"/>
          <w:color w:val="000000"/>
          <w:sz w:val="44"/>
          <w:szCs w:val="44"/>
          <w:lang w:val="en-US" w:eastAsia="zh-CN"/>
        </w:rPr>
        <w:t xml:space="preserve"> </w:t>
      </w:r>
      <w:r>
        <w:rPr>
          <w:rFonts w:hint="eastAsia" w:ascii="方正小标宋简体" w:eastAsia="方正小标宋简体"/>
          <w:color w:val="000000"/>
          <w:sz w:val="44"/>
          <w:szCs w:val="44"/>
        </w:rPr>
        <w:t>录</w:t>
      </w:r>
    </w:p>
    <w:p w14:paraId="41253DF5">
      <w:pPr>
        <w:pStyle w:val="1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公开时间：</w:t>
      </w:r>
      <w:r>
        <w:rPr>
          <w:rFonts w:hint="eastAsia" w:ascii="仿宋_GB2312" w:hAnsi="仿宋_GB2312" w:eastAsia="仿宋_GB2312" w:cs="仿宋_GB2312"/>
          <w:b/>
          <w:bCs/>
          <w:sz w:val="32"/>
          <w:szCs w:val="32"/>
          <w:lang w:eastAsia="zh-CN"/>
        </w:rPr>
        <w:t>2025</w:t>
      </w:r>
      <w:r>
        <w:rPr>
          <w:rFonts w:hint="eastAsia" w:ascii="仿宋_GB2312" w:hAnsi="仿宋_GB2312" w:eastAsia="仿宋_GB2312" w:cs="仿宋_GB2312"/>
          <w:b/>
          <w:bCs/>
          <w:sz w:val="32"/>
          <w:szCs w:val="32"/>
        </w:rPr>
        <w:t>年</w:t>
      </w: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日</w:t>
      </w:r>
    </w:p>
    <w:p w14:paraId="4B11ED3E">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TOC \o \u </w:instrText>
      </w:r>
      <w:r>
        <w:rPr>
          <w:rFonts w:hint="eastAsia" w:ascii="仿宋_GB2312" w:hAnsi="仿宋_GB2312" w:eastAsia="仿宋_GB2312" w:cs="仿宋_GB2312"/>
          <w:b/>
          <w:bCs/>
          <w:sz w:val="32"/>
          <w:szCs w:val="32"/>
        </w:rPr>
        <w:fldChar w:fldCharType="separate"/>
      </w:r>
      <w:r>
        <w:rPr>
          <w:rFonts w:hint="eastAsia" w:ascii="黑体" w:hAnsi="黑体" w:eastAsia="黑体" w:cs="黑体"/>
          <w:color w:val="000000"/>
          <w:sz w:val="32"/>
          <w:szCs w:val="32"/>
        </w:rPr>
        <w:t>第一部分 单位概况</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3</w:t>
      </w:r>
    </w:p>
    <w:p w14:paraId="5F6B87C4">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color w:val="000000"/>
          <w:sz w:val="32"/>
          <w:szCs w:val="32"/>
          <w:lang w:val="en-US" w:eastAsia="zh-CN"/>
        </w:rPr>
        <w:t>主要职责</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3</w:t>
      </w:r>
    </w:p>
    <w:p w14:paraId="3DD7F944">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二、机构设置</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3</w:t>
      </w:r>
    </w:p>
    <w:p w14:paraId="3DD6E014">
      <w:pPr>
        <w:pStyle w:val="10"/>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第二部分 </w:t>
      </w:r>
      <w:r>
        <w:rPr>
          <w:rFonts w:hint="eastAsia" w:ascii="黑体" w:hAnsi="黑体" w:eastAsia="黑体" w:cs="黑体"/>
          <w:color w:val="000000"/>
          <w:sz w:val="32"/>
          <w:szCs w:val="32"/>
          <w:lang w:eastAsia="zh-CN"/>
        </w:rPr>
        <w:t>2025年</w:t>
      </w:r>
      <w:r>
        <w:rPr>
          <w:rFonts w:hint="eastAsia" w:ascii="黑体" w:hAnsi="黑体" w:eastAsia="黑体" w:cs="黑体"/>
          <w:color w:val="000000"/>
          <w:sz w:val="32"/>
          <w:szCs w:val="32"/>
        </w:rPr>
        <w:t>度单位决算情况说明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4</w:t>
      </w:r>
    </w:p>
    <w:p w14:paraId="35EBF2F4">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一、收入支出决算总体情况说明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4</w:t>
      </w:r>
    </w:p>
    <w:p w14:paraId="46ABD9FC">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二、收入决算情况说明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4</w:t>
      </w:r>
    </w:p>
    <w:p w14:paraId="3888914F">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三、支出决算情况说明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5</w:t>
      </w:r>
    </w:p>
    <w:p w14:paraId="69264BCA">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四、财政拨款收入支出决算总体情况说明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5</w:t>
      </w:r>
    </w:p>
    <w:p w14:paraId="12E87634">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五、一般公共预算财政拨款支出决算情况说明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6</w:t>
      </w:r>
    </w:p>
    <w:p w14:paraId="7AFF40F7">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六、一般公共预算财政拨款基本支出决算情况说明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8</w:t>
      </w:r>
    </w:p>
    <w:p w14:paraId="68542872">
      <w:pPr>
        <w:pStyle w:val="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七、“三公”经费财政拨款支出决算情况说明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rPr>
        <w:t>8</w:t>
      </w:r>
    </w:p>
    <w:p w14:paraId="3B970C2D">
      <w:pPr>
        <w:pStyle w:val="1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八、政府性基金预算支出决算情况说明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lang w:val="en-US" w:eastAsia="zh-CN"/>
        </w:rPr>
        <w:t>9</w:t>
      </w:r>
    </w:p>
    <w:p w14:paraId="6E074B3F">
      <w:pPr>
        <w:pStyle w:val="1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九、国有资本经营预算支出决算情况说明</w:t>
      </w:r>
      <w:r>
        <w:rPr>
          <w:rFonts w:hint="eastAsia" w:ascii="仿宋_GB2312" w:hAnsi="仿宋_GB2312" w:eastAsia="仿宋_GB2312" w:cs="仿宋_GB2312"/>
          <w:color w:val="000000"/>
          <w:sz w:val="32"/>
          <w:szCs w:val="32"/>
        </w:rPr>
        <w:tab/>
      </w:r>
      <w:r>
        <w:rPr>
          <w:rFonts w:hint="eastAsia" w:ascii="仿宋_GB2312" w:hAnsi="仿宋_GB2312" w:eastAsia="仿宋_GB2312" w:cs="仿宋_GB2312"/>
          <w:color w:val="000000"/>
          <w:sz w:val="32"/>
          <w:szCs w:val="32"/>
          <w:lang w:val="en-US" w:eastAsia="zh-CN"/>
        </w:rPr>
        <w:t>9</w:t>
      </w:r>
    </w:p>
    <w:p w14:paraId="48A20073">
      <w:pPr>
        <w:pStyle w:val="1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十、其他重要事项的情况</w:t>
      </w:r>
      <w:r>
        <w:rPr>
          <w:rFonts w:hint="eastAsia" w:ascii="仿宋_GB2312" w:hAnsi="仿宋_GB2312" w:eastAsia="仿宋_GB2312" w:cs="仿宋_GB2312"/>
          <w:bCs/>
          <w:sz w:val="32"/>
          <w:szCs w:val="32"/>
        </w:rPr>
        <w:t>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bookmarkStart w:id="65" w:name="_GoBack"/>
      <w:bookmarkEnd w:id="65"/>
    </w:p>
    <w:p w14:paraId="419470DA">
      <w:pPr>
        <w:pStyle w:val="10"/>
        <w:rPr>
          <w:rFonts w:hint="eastAsia" w:ascii="仿宋_GB2312" w:hAnsi="仿宋_GB2312" w:eastAsia="仿宋_GB2312" w:cs="仿宋_GB2312"/>
          <w:bCs/>
          <w:sz w:val="32"/>
          <w:szCs w:val="32"/>
        </w:rPr>
      </w:pPr>
      <w:r>
        <w:rPr>
          <w:rFonts w:hint="eastAsia" w:ascii="黑体" w:hAnsi="黑体" w:eastAsia="黑体" w:cs="黑体"/>
          <w:kern w:val="44"/>
          <w:sz w:val="32"/>
          <w:szCs w:val="32"/>
        </w:rPr>
        <w:t>第三部分</w:t>
      </w:r>
      <w:r>
        <w:rPr>
          <w:rFonts w:hint="eastAsia" w:ascii="黑体" w:hAnsi="黑体" w:eastAsia="黑体" w:cs="黑体"/>
          <w:color w:val="000000"/>
          <w:sz w:val="32"/>
          <w:szCs w:val="32"/>
        </w:rPr>
        <w:t xml:space="preserve"> 名</w:t>
      </w:r>
      <w:r>
        <w:rPr>
          <w:rFonts w:hint="eastAsia" w:ascii="黑体" w:hAnsi="黑体" w:eastAsia="黑体" w:cs="黑体"/>
          <w:kern w:val="44"/>
          <w:sz w:val="32"/>
          <w:szCs w:val="32"/>
        </w:rPr>
        <w:t>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10</w:t>
      </w:r>
    </w:p>
    <w:p w14:paraId="7BFD8A96">
      <w:pPr>
        <w:pStyle w:val="10"/>
        <w:rPr>
          <w:rFonts w:hint="eastAsia" w:ascii="仿宋_GB2312" w:hAnsi="仿宋_GB2312" w:eastAsia="仿宋_GB2312" w:cs="仿宋_GB2312"/>
          <w:bCs/>
          <w:sz w:val="32"/>
          <w:szCs w:val="32"/>
        </w:rPr>
      </w:pPr>
      <w:r>
        <w:rPr>
          <w:rFonts w:hint="eastAsia" w:ascii="黑体" w:hAnsi="黑体" w:eastAsia="黑体" w:cs="黑体"/>
          <w:b w:val="0"/>
          <w:bCs w:val="0"/>
          <w:color w:val="000000"/>
          <w:sz w:val="32"/>
          <w:szCs w:val="32"/>
        </w:rPr>
        <w:t>第</w:t>
      </w:r>
      <w:r>
        <w:rPr>
          <w:rFonts w:hint="eastAsia" w:ascii="黑体" w:hAnsi="黑体" w:eastAsia="黑体" w:cs="黑体"/>
          <w:b w:val="0"/>
          <w:bCs w:val="0"/>
          <w:kern w:val="44"/>
          <w:sz w:val="32"/>
          <w:szCs w:val="32"/>
        </w:rPr>
        <w:t>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12</w:t>
      </w:r>
    </w:p>
    <w:p w14:paraId="7AC217E3">
      <w:pPr>
        <w:pStyle w:val="10"/>
        <w:rPr>
          <w:rFonts w:hint="eastAsia" w:ascii="仿宋_GB2312" w:hAnsi="仿宋_GB2312" w:eastAsia="仿宋_GB2312" w:cs="仿宋_GB2312"/>
          <w:b/>
          <w:bCs/>
          <w:sz w:val="32"/>
          <w:szCs w:val="32"/>
        </w:rPr>
      </w:pPr>
      <w:r>
        <w:rPr>
          <w:rFonts w:hint="eastAsia" w:ascii="黑体" w:hAnsi="黑体" w:eastAsia="黑体" w:cs="黑体"/>
          <w:color w:val="000000"/>
          <w:sz w:val="32"/>
          <w:szCs w:val="32"/>
        </w:rPr>
        <w:t>第</w:t>
      </w:r>
      <w:r>
        <w:rPr>
          <w:rFonts w:hint="eastAsia" w:ascii="黑体" w:hAnsi="黑体" w:eastAsia="黑体" w:cs="黑体"/>
          <w:kern w:val="44"/>
          <w:sz w:val="32"/>
          <w:szCs w:val="32"/>
        </w:rPr>
        <w:t>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13</w:t>
      </w:r>
    </w:p>
    <w:p w14:paraId="5DEE4606">
      <w:pPr>
        <w:pStyle w:val="3"/>
        <w:ind w:right="440"/>
        <w:jc w:val="center"/>
        <w:rPr>
          <w:rFonts w:hint="eastAsia" w:ascii="方正小标宋简体" w:hAnsi="方正小标宋简体" w:eastAsia="方正小标宋简体" w:cs="方正小标宋简体"/>
          <w:b w:val="0"/>
        </w:rPr>
      </w:pPr>
      <w:r>
        <w:rPr>
          <w:rFonts w:hint="eastAsia" w:ascii="仿宋_GB2312" w:hAnsi="仿宋_GB2312" w:eastAsia="仿宋_GB2312" w:cs="仿宋_GB2312"/>
          <w:b w:val="0"/>
          <w:bCs w:val="0"/>
          <w:caps/>
          <w:sz w:val="32"/>
          <w:szCs w:val="32"/>
        </w:rPr>
        <w:fldChar w:fldCharType="end"/>
      </w:r>
      <w:bookmarkEnd w:id="12"/>
      <w:bookmarkEnd w:id="13"/>
      <w:r>
        <w:rPr>
          <w:rFonts w:hint="eastAsia" w:ascii="方正小标宋简体" w:hAnsi="方正小标宋简体" w:eastAsia="方正小标宋简体" w:cs="方正小标宋简体"/>
          <w:b w:val="0"/>
        </w:rPr>
        <w:t>第一部分 单位概况</w:t>
      </w:r>
    </w:p>
    <w:p w14:paraId="3BB58D48">
      <w:pPr>
        <w:pStyle w:val="24"/>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Chars="0"/>
        <w:textAlignment w:val="auto"/>
        <w:outlineLvl w:val="1"/>
        <w:rPr>
          <w:rFonts w:ascii="黑体" w:hAnsi="黑体" w:eastAsia="黑体"/>
          <w:sz w:val="32"/>
          <w:szCs w:val="32"/>
        </w:rPr>
      </w:pPr>
      <w:bookmarkStart w:id="14" w:name="_Toc15377197"/>
      <w:bookmarkStart w:id="15" w:name="_Toc15396600"/>
      <w:r>
        <w:rPr>
          <w:rFonts w:hint="eastAsia" w:ascii="黑体" w:hAnsi="黑体" w:eastAsia="黑体"/>
          <w:sz w:val="32"/>
          <w:szCs w:val="32"/>
        </w:rPr>
        <w:t>主要职责</w:t>
      </w:r>
    </w:p>
    <w:p w14:paraId="0BE27BB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主要负责人大机关信息化建设与信息技术等服务保障工作。</w:t>
      </w:r>
    </w:p>
    <w:p w14:paraId="1B7C0AE1">
      <w:pPr>
        <w:pStyle w:val="24"/>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Chars="0"/>
        <w:textAlignment w:val="auto"/>
        <w:outlineLvl w:val="1"/>
        <w:rPr>
          <w:rFonts w:ascii="黑体" w:hAnsi="黑体" w:eastAsia="黑体"/>
          <w:sz w:val="32"/>
          <w:szCs w:val="32"/>
        </w:rPr>
      </w:pPr>
      <w:r>
        <w:rPr>
          <w:rFonts w:hint="eastAsia" w:ascii="黑体" w:hAnsi="黑体" w:eastAsia="黑体"/>
          <w:sz w:val="32"/>
          <w:szCs w:val="32"/>
        </w:rPr>
        <w:t>机构设置</w:t>
      </w:r>
    </w:p>
    <w:p w14:paraId="76F0EC7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汶川县人大信息和网络中心为县人大常委会办公室下属股级公益一类事业单位，事业编制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本单位为下属机构</w:t>
      </w:r>
      <w:r>
        <w:rPr>
          <w:rFonts w:hint="eastAsia" w:ascii="仿宋_GB2312" w:hAnsi="仿宋_GB2312" w:eastAsia="仿宋_GB2312" w:cs="仿宋_GB2312"/>
          <w:sz w:val="32"/>
          <w:szCs w:val="32"/>
        </w:rPr>
        <w:t>。</w:t>
      </w:r>
    </w:p>
    <w:bookmarkEnd w:id="14"/>
    <w:bookmarkEnd w:id="15"/>
    <w:p w14:paraId="2DB9897E">
      <w:pPr>
        <w:widowControl/>
        <w:jc w:val="left"/>
        <w:rPr>
          <w:rFonts w:ascii="仿宋" w:hAnsi="仿宋" w:eastAsia="仿宋"/>
          <w:kern w:val="0"/>
          <w:sz w:val="32"/>
          <w:szCs w:val="32"/>
        </w:rPr>
      </w:pPr>
      <w:r>
        <w:rPr>
          <w:rFonts w:ascii="仿宋" w:hAnsi="仿宋" w:eastAsia="仿宋"/>
          <w:sz w:val="32"/>
          <w:szCs w:val="32"/>
        </w:rPr>
        <w:br w:type="page"/>
      </w:r>
    </w:p>
    <w:p w14:paraId="035C74C7">
      <w:pPr>
        <w:pStyle w:val="3"/>
        <w:ind w:right="440"/>
        <w:jc w:val="center"/>
      </w:pPr>
      <w:bookmarkStart w:id="16" w:name="_Toc15396602"/>
      <w:bookmarkStart w:id="17" w:name="_Toc15377204"/>
      <w:r>
        <w:rPr>
          <w:rFonts w:hint="eastAsia" w:ascii="方正小标宋简体" w:hAnsi="方正小标宋简体" w:eastAsia="方正小标宋简体" w:cs="方正小标宋简体"/>
          <w:b w:val="0"/>
        </w:rPr>
        <w:t xml:space="preserve">第二部分 </w:t>
      </w:r>
      <w:r>
        <w:rPr>
          <w:rFonts w:hint="eastAsia" w:ascii="方正小标宋简体" w:hAnsi="方正小标宋简体" w:eastAsia="方正小标宋简体" w:cs="方正小标宋简体"/>
          <w:b w:val="0"/>
          <w:lang w:eastAsia="zh-CN"/>
        </w:rPr>
        <w:t>2025年</w:t>
      </w:r>
      <w:r>
        <w:rPr>
          <w:rFonts w:hint="eastAsia" w:ascii="方正小标宋简体" w:hAnsi="方正小标宋简体" w:eastAsia="方正小标宋简体" w:cs="方正小标宋简体"/>
          <w:b w:val="0"/>
        </w:rPr>
        <w:t>度</w:t>
      </w:r>
      <w:r>
        <w:rPr>
          <w:rStyle w:val="25"/>
          <w:rFonts w:hint="eastAsia" w:ascii="方正小标宋简体" w:hAnsi="方正小标宋简体" w:eastAsia="方正小标宋简体" w:cs="方正小标宋简体"/>
          <w:b w:val="0"/>
          <w:bCs/>
        </w:rPr>
        <w:t>单位决算情况说明</w:t>
      </w:r>
      <w:bookmarkEnd w:id="16"/>
      <w:bookmarkEnd w:id="17"/>
    </w:p>
    <w:p w14:paraId="674CA130">
      <w:pPr>
        <w:pStyle w:val="24"/>
        <w:numPr>
          <w:ilvl w:val="0"/>
          <w:numId w:val="2"/>
        </w:numPr>
        <w:spacing w:line="576" w:lineRule="exact"/>
        <w:ind w:firstLineChars="0"/>
        <w:outlineLvl w:val="1"/>
        <w:rPr>
          <w:rStyle w:val="26"/>
          <w:rFonts w:ascii="黑体" w:hAnsi="黑体" w:eastAsia="黑体"/>
          <w:b w:val="0"/>
        </w:rPr>
      </w:pPr>
      <w:bookmarkStart w:id="18" w:name="_Toc15377205"/>
      <w:bookmarkStart w:id="19" w:name="_Toc15396603"/>
      <w:r>
        <w:rPr>
          <w:rFonts w:hint="eastAsia" w:ascii="黑体" w:hAnsi="黑体" w:eastAsia="黑体"/>
          <w:sz w:val="32"/>
          <w:szCs w:val="32"/>
        </w:rPr>
        <w:t>收</w:t>
      </w:r>
      <w:r>
        <w:rPr>
          <w:rStyle w:val="26"/>
          <w:rFonts w:hint="eastAsia" w:ascii="黑体" w:hAnsi="黑体" w:eastAsia="黑体"/>
          <w:b w:val="0"/>
        </w:rPr>
        <w:t>入支出决算总体情况说明</w:t>
      </w:r>
      <w:bookmarkEnd w:id="18"/>
      <w:bookmarkEnd w:id="19"/>
    </w:p>
    <w:p w14:paraId="7A0A0AE2">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均为67.03万元</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相比，收、支总计各</w:t>
      </w:r>
      <w:r>
        <w:rPr>
          <w:rFonts w:hint="eastAsia" w:ascii="仿宋_GB2312" w:hAnsi="仿宋_GB2312" w:eastAsia="仿宋_GB2312" w:cs="仿宋_GB2312"/>
          <w:sz w:val="32"/>
          <w:szCs w:val="32"/>
          <w:lang w:val="en-US" w:eastAsia="zh-CN"/>
        </w:rPr>
        <w:t>增加31.02</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增长86.1%</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2024年末人数2人，2025年3月调入2人，人员经费及公用经费相应增加</w:t>
      </w:r>
      <w:r>
        <w:rPr>
          <w:rFonts w:hint="eastAsia" w:ascii="仿宋_GB2312" w:hAnsi="仿宋_GB2312" w:eastAsia="仿宋_GB2312" w:cs="仿宋_GB2312"/>
          <w:sz w:val="32"/>
          <w:szCs w:val="32"/>
        </w:rPr>
        <w:t>。</w:t>
      </w:r>
    </w:p>
    <w:p w14:paraId="518D48B7">
      <w:pPr>
        <w:pStyle w:val="2"/>
        <w:spacing w:before="93"/>
        <w:jc w:val="center"/>
      </w:pPr>
      <w:r>
        <w:rPr>
          <w:rFonts w:hint="eastAsia" w:hAnsi="仿宋_GB2312" w:cs="仿宋_GB2312"/>
          <w:kern w:val="2"/>
          <w:sz w:val="32"/>
          <w:szCs w:val="32"/>
        </w:rPr>
        <w:t>金额单位：万元</w:t>
      </w:r>
      <w:r>
        <w:drawing>
          <wp:inline distT="0" distB="0" distL="0" distR="0">
            <wp:extent cx="5229225" cy="2095500"/>
            <wp:effectExtent l="4445" t="4445" r="5080"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B525832">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（图1：收、支决算总计变动情况图）（柱状图）</w:t>
      </w:r>
    </w:p>
    <w:p w14:paraId="549B44A5">
      <w:pPr>
        <w:pStyle w:val="24"/>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Chars="0"/>
        <w:textAlignment w:val="auto"/>
        <w:outlineLvl w:val="1"/>
        <w:rPr>
          <w:rStyle w:val="26"/>
          <w:rFonts w:ascii="黑体" w:hAnsi="黑体" w:eastAsia="黑体"/>
          <w:b w:val="0"/>
        </w:rPr>
      </w:pPr>
      <w:bookmarkStart w:id="20" w:name="_Toc15377206"/>
      <w:bookmarkStart w:id="21" w:name="_Toc15396604"/>
      <w:r>
        <w:rPr>
          <w:rFonts w:hint="eastAsia" w:ascii="黑体" w:hAnsi="黑体" w:eastAsia="黑体"/>
          <w:sz w:val="32"/>
          <w:szCs w:val="32"/>
        </w:rPr>
        <w:t>收</w:t>
      </w:r>
      <w:r>
        <w:rPr>
          <w:rStyle w:val="26"/>
          <w:rFonts w:hint="eastAsia" w:ascii="黑体" w:hAnsi="黑体" w:eastAsia="黑体"/>
          <w:b w:val="0"/>
        </w:rPr>
        <w:t>入决算情况说明</w:t>
      </w:r>
      <w:bookmarkEnd w:id="20"/>
      <w:bookmarkEnd w:id="21"/>
    </w:p>
    <w:p w14:paraId="11304D8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2025年本年收入合计67.03万元，其中：一般公共预算财政拨款收入67.03万元，占100%。政府性基金预算财政拨款 收入 0 万元，占 0%；国有资本经营预算财政拨款收入 0 万元， 占 0%；上级补助收入 0 万元，占 0%；事业收入 0 万元，占 0%； 经营收入 0 万元，占 0%；附属单位上缴收入 0 万元，占 0%；其他收入 0 万元，占 0%。</w:t>
      </w:r>
    </w:p>
    <w:p w14:paraId="26EA6F30">
      <w:pPr>
        <w:pStyle w:val="2"/>
        <w:spacing w:before="93"/>
      </w:pPr>
      <w:r>
        <w:drawing>
          <wp:inline distT="0" distB="0" distL="0" distR="0">
            <wp:extent cx="5210175" cy="2061210"/>
            <wp:effectExtent l="5080" t="4445" r="4445" b="1079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0F400A">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（图2：收入决算结构图）（饼状图）</w:t>
      </w:r>
    </w:p>
    <w:p w14:paraId="3878D93E">
      <w:pPr>
        <w:pStyle w:val="24"/>
        <w:numPr>
          <w:ilvl w:val="0"/>
          <w:numId w:val="2"/>
        </w:numPr>
        <w:spacing w:line="576" w:lineRule="exact"/>
        <w:ind w:firstLineChars="0"/>
        <w:outlineLvl w:val="1"/>
        <w:rPr>
          <w:rStyle w:val="26"/>
          <w:rFonts w:ascii="黑体" w:hAnsi="黑体" w:eastAsia="黑体"/>
          <w:b w:val="0"/>
        </w:rPr>
      </w:pPr>
      <w:bookmarkStart w:id="22" w:name="_Toc15396605"/>
      <w:bookmarkStart w:id="23" w:name="_Toc15377207"/>
      <w:r>
        <w:rPr>
          <w:rFonts w:hint="eastAsia" w:ascii="黑体" w:hAnsi="黑体" w:eastAsia="黑体"/>
          <w:sz w:val="32"/>
          <w:szCs w:val="32"/>
        </w:rPr>
        <w:t>支</w:t>
      </w:r>
      <w:r>
        <w:rPr>
          <w:rStyle w:val="26"/>
          <w:rFonts w:hint="eastAsia" w:ascii="黑体" w:hAnsi="黑体" w:eastAsia="黑体"/>
          <w:b w:val="0"/>
        </w:rPr>
        <w:t>出决算情况说明</w:t>
      </w:r>
      <w:bookmarkEnd w:id="22"/>
      <w:bookmarkEnd w:id="23"/>
    </w:p>
    <w:p w14:paraId="2128ED4B">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2025年本年支出合计67.03万元，其中：基本支出67.03万元，占100%；项目支出0万元，占0%。上缴上级支出 0 万元，占 0%；经营支出 0 万元，占 0%；对附属单位补助支出 0 万元，占 0%。</w:t>
      </w:r>
    </w:p>
    <w:p w14:paraId="7CFD2A51">
      <w:pPr>
        <w:pStyle w:val="2"/>
        <w:spacing w:before="93"/>
      </w:pPr>
      <w:r>
        <w:drawing>
          <wp:inline distT="0" distB="0" distL="0" distR="0">
            <wp:extent cx="5228590" cy="2120265"/>
            <wp:effectExtent l="4445" t="4445" r="5715" b="889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EBCD0B6">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（图3：支出决算结构图）（饼状图）</w:t>
      </w:r>
    </w:p>
    <w:p w14:paraId="5B4BA4B6">
      <w:pPr>
        <w:spacing w:line="576" w:lineRule="exact"/>
        <w:ind w:firstLine="640" w:firstLineChars="200"/>
        <w:outlineLvl w:val="1"/>
        <w:rPr>
          <w:rStyle w:val="26"/>
          <w:rFonts w:ascii="黑体" w:hAnsi="黑体" w:eastAsia="黑体"/>
          <w:b w:val="0"/>
        </w:rPr>
      </w:pPr>
      <w:bookmarkStart w:id="24" w:name="_Toc15396606"/>
      <w:bookmarkStart w:id="25" w:name="_Toc15377208"/>
      <w:r>
        <w:rPr>
          <w:rFonts w:hint="eastAsia" w:ascii="黑体" w:hAnsi="黑体" w:eastAsia="黑体"/>
          <w:sz w:val="32"/>
          <w:szCs w:val="32"/>
        </w:rPr>
        <w:t>四、财</w:t>
      </w:r>
      <w:r>
        <w:rPr>
          <w:rStyle w:val="26"/>
          <w:rFonts w:hint="eastAsia" w:ascii="黑体" w:hAnsi="黑体" w:eastAsia="黑体"/>
          <w:b w:val="0"/>
        </w:rPr>
        <w:t>政拨款收入支出决算总体情况说明</w:t>
      </w:r>
      <w:bookmarkEnd w:id="24"/>
      <w:bookmarkEnd w:id="25"/>
    </w:p>
    <w:p w14:paraId="1645970E">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2025年财政拨款收、支总计67.03万元。与2024年相比，财政拨款收、支总计各增加31.02万元，增长86.1%。</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2025年3月调入2人，人员经费及公用经费相应增加</w:t>
      </w:r>
      <w:r>
        <w:rPr>
          <w:rFonts w:hint="eastAsia" w:ascii="仿宋_GB2312" w:hAnsi="仿宋_GB2312" w:eastAsia="仿宋_GB2312" w:cs="仿宋_GB2312"/>
          <w:sz w:val="32"/>
          <w:szCs w:val="32"/>
        </w:rPr>
        <w:t>。</w:t>
      </w:r>
    </w:p>
    <w:p w14:paraId="1661C9F2">
      <w:pPr>
        <w:pStyle w:val="2"/>
        <w:spacing w:before="93"/>
        <w:jc w:val="center"/>
        <w:rPr>
          <w:rFonts w:hAnsi="仿宋_GB2312" w:cs="仿宋_GB2312"/>
          <w:kern w:val="2"/>
          <w:sz w:val="32"/>
          <w:szCs w:val="32"/>
        </w:rPr>
      </w:pPr>
      <w:r>
        <w:rPr>
          <w:rFonts w:hint="eastAsia" w:hAnsi="仿宋_GB2312" w:cs="仿宋_GB2312"/>
          <w:kern w:val="2"/>
          <w:sz w:val="32"/>
          <w:szCs w:val="32"/>
        </w:rPr>
        <w:t>金额单位：万元</w:t>
      </w:r>
    </w:p>
    <w:p w14:paraId="0B541529">
      <w:pPr>
        <w:pStyle w:val="2"/>
        <w:spacing w:before="93"/>
      </w:pPr>
      <w:r>
        <w:drawing>
          <wp:inline distT="0" distB="0" distL="0" distR="0">
            <wp:extent cx="5229225" cy="2095500"/>
            <wp:effectExtent l="4445" t="4445" r="5080" b="1460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B47A64">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（图4：</w:t>
      </w:r>
      <w:r>
        <w:rPr>
          <w:rFonts w:hint="eastAsia" w:ascii="仿宋_GB2312" w:hAnsi="仿宋_GB2312" w:eastAsia="仿宋_GB2312" w:cs="仿宋_GB2312"/>
          <w:sz w:val="32"/>
          <w:szCs w:val="32"/>
          <w:lang w:val="en-US" w:eastAsia="zh-CN"/>
        </w:rPr>
        <w:t>财政拨款收、支决算总计变动情况</w:t>
      </w:r>
      <w:r>
        <w:rPr>
          <w:rFonts w:hint="eastAsia" w:ascii="仿宋_GB2312" w:hAnsi="仿宋_GB2312" w:eastAsia="仿宋_GB2312" w:cs="仿宋_GB2312"/>
          <w:sz w:val="32"/>
          <w:szCs w:val="32"/>
        </w:rPr>
        <w:t>）（柱状图）</w:t>
      </w:r>
    </w:p>
    <w:p w14:paraId="28F7EB4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6"/>
          <w:rFonts w:ascii="黑体" w:hAnsi="黑体" w:eastAsia="黑体"/>
          <w:b w:val="0"/>
        </w:rPr>
      </w:pPr>
      <w:bookmarkStart w:id="26" w:name="_Toc15377209"/>
      <w:bookmarkStart w:id="27" w:name="_Toc15396607"/>
      <w:r>
        <w:rPr>
          <w:rFonts w:hint="eastAsia" w:ascii="黑体" w:hAnsi="黑体" w:eastAsia="黑体"/>
          <w:sz w:val="32"/>
          <w:szCs w:val="32"/>
        </w:rPr>
        <w:t>五、</w:t>
      </w:r>
      <w:r>
        <w:rPr>
          <w:rFonts w:hint="eastAsia" w:ascii="黑体" w:hAnsi="黑体" w:eastAsia="黑体"/>
          <w:b/>
          <w:sz w:val="32"/>
          <w:szCs w:val="32"/>
        </w:rPr>
        <w:t>一</w:t>
      </w:r>
      <w:r>
        <w:rPr>
          <w:rStyle w:val="26"/>
          <w:rFonts w:hint="eastAsia" w:ascii="黑体" w:hAnsi="黑体" w:eastAsia="黑体"/>
          <w:b w:val="0"/>
        </w:rPr>
        <w:t>般公共预算财政拨款支出决算情况说明</w:t>
      </w:r>
      <w:bookmarkEnd w:id="26"/>
      <w:bookmarkEnd w:id="27"/>
    </w:p>
    <w:p w14:paraId="4FCD2608">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ascii="楷体_GB2312" w:hAnsi="楷体_GB2312" w:eastAsia="楷体_GB2312" w:cs="楷体_GB2312"/>
          <w:b/>
          <w:sz w:val="32"/>
          <w:szCs w:val="32"/>
        </w:rPr>
      </w:pPr>
      <w:bookmarkStart w:id="28" w:name="_Toc15377210"/>
      <w:r>
        <w:rPr>
          <w:rFonts w:hint="eastAsia" w:ascii="楷体_GB2312" w:hAnsi="楷体_GB2312" w:eastAsia="楷体_GB2312" w:cs="楷体_GB2312"/>
          <w:b/>
          <w:sz w:val="32"/>
          <w:szCs w:val="32"/>
        </w:rPr>
        <w:t>（一）一般公共预算财政拨款支出决算总体情况</w:t>
      </w:r>
      <w:bookmarkEnd w:id="28"/>
    </w:p>
    <w:p w14:paraId="21EF8DD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2025年一般公共预算财政拨款支出67.03万元，占本年支出合计的100%。与2024年相比，一般公共预算财政拨款支出增加31.02万元，增长86.1%。</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2025年3月调入2人，人员经费及公用经费相应增加</w:t>
      </w:r>
      <w:r>
        <w:rPr>
          <w:rFonts w:hint="eastAsia" w:ascii="仿宋_GB2312" w:hAnsi="仿宋_GB2312" w:eastAsia="仿宋_GB2312" w:cs="仿宋_GB2312"/>
          <w:sz w:val="32"/>
          <w:szCs w:val="32"/>
        </w:rPr>
        <w:t>。</w:t>
      </w:r>
    </w:p>
    <w:p w14:paraId="7E96D701">
      <w:pPr>
        <w:pStyle w:val="2"/>
        <w:spacing w:before="93"/>
      </w:pPr>
      <w:r>
        <w:drawing>
          <wp:inline distT="0" distB="0" distL="0" distR="0">
            <wp:extent cx="5271770" cy="2083435"/>
            <wp:effectExtent l="4445" t="4445" r="19685" b="762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3D7936">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（图5：一般公共预算财政拨款支出决算变动情况）（柱状图）</w:t>
      </w:r>
    </w:p>
    <w:p w14:paraId="2C8F41D2">
      <w:pPr>
        <w:spacing w:line="576" w:lineRule="exact"/>
        <w:ind w:firstLine="643" w:firstLineChars="200"/>
        <w:outlineLvl w:val="2"/>
        <w:rPr>
          <w:rFonts w:ascii="楷体_GB2312" w:hAnsi="楷体_GB2312" w:eastAsia="楷体_GB2312" w:cs="楷体_GB2312"/>
          <w:b/>
          <w:sz w:val="32"/>
          <w:szCs w:val="32"/>
        </w:rPr>
      </w:pPr>
      <w:bookmarkStart w:id="29" w:name="_Toc15377211"/>
      <w:r>
        <w:rPr>
          <w:rFonts w:hint="eastAsia" w:ascii="楷体_GB2312" w:hAnsi="楷体_GB2312" w:eastAsia="楷体_GB2312" w:cs="楷体_GB2312"/>
          <w:b/>
          <w:sz w:val="32"/>
          <w:szCs w:val="32"/>
        </w:rPr>
        <w:t>（二）一般公共预算财政拨款支出决算结构情况</w:t>
      </w:r>
      <w:bookmarkEnd w:id="29"/>
    </w:p>
    <w:p w14:paraId="2F5C7562">
      <w:pPr>
        <w:spacing w:line="576"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一般公共预算财政拨款支出</w:t>
      </w:r>
      <w:r>
        <w:rPr>
          <w:rFonts w:hint="eastAsia" w:ascii="仿宋_GB2312" w:hAnsi="仿宋_GB2312" w:eastAsia="仿宋_GB2312" w:cs="仿宋_GB2312"/>
          <w:sz w:val="32"/>
          <w:szCs w:val="32"/>
          <w:lang w:eastAsia="zh-CN"/>
        </w:rPr>
        <w:t>67.03万元</w:t>
      </w:r>
      <w:r>
        <w:rPr>
          <w:rFonts w:hint="eastAsia" w:ascii="仿宋_GB2312" w:hAnsi="仿宋_GB2312" w:eastAsia="仿宋_GB2312" w:cs="仿宋_GB2312"/>
          <w:sz w:val="32"/>
          <w:szCs w:val="32"/>
        </w:rPr>
        <w:t>，主要用于以下方面:</w:t>
      </w:r>
      <w:r>
        <w:rPr>
          <w:rFonts w:hint="eastAsia" w:ascii="仿宋_GB2312" w:hAnsi="仿宋_GB2312" w:eastAsia="仿宋_GB2312" w:cs="仿宋_GB2312"/>
          <w:b/>
          <w:sz w:val="32"/>
          <w:szCs w:val="32"/>
        </w:rPr>
        <w:t>一般公共服务</w:t>
      </w:r>
      <w:r>
        <w:rPr>
          <w:rFonts w:hint="eastAsia" w:ascii="仿宋_GB2312" w:hAnsi="仿宋_GB2312" w:eastAsia="仿宋_GB2312" w:cs="仿宋_GB2312"/>
          <w:b/>
          <w:bCs/>
          <w:sz w:val="32"/>
          <w:szCs w:val="32"/>
        </w:rPr>
        <w:t>支出</w:t>
      </w:r>
      <w:r>
        <w:rPr>
          <w:rFonts w:hint="eastAsia" w:ascii="仿宋_GB2312" w:hAnsi="仿宋_GB2312" w:eastAsia="仿宋_GB2312" w:cs="仿宋_GB2312"/>
          <w:sz w:val="32"/>
          <w:szCs w:val="32"/>
          <w:lang w:val="en-US" w:eastAsia="zh-CN"/>
        </w:rPr>
        <w:t>47.99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71.6%</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rPr>
        <w:t>社会保障和就业</w:t>
      </w:r>
      <w:r>
        <w:rPr>
          <w:rFonts w:hint="eastAsia" w:ascii="仿宋_GB2312" w:hAnsi="仿宋_GB2312" w:eastAsia="仿宋_GB2312" w:cs="仿宋_GB2312"/>
          <w:b/>
          <w:bCs/>
          <w:sz w:val="32"/>
          <w:szCs w:val="32"/>
        </w:rPr>
        <w:t>支出</w:t>
      </w:r>
      <w:r>
        <w:rPr>
          <w:rFonts w:hint="eastAsia" w:ascii="仿宋_GB2312" w:hAnsi="仿宋_GB2312" w:eastAsia="仿宋_GB2312" w:cs="仿宋_GB2312"/>
          <w:sz w:val="32"/>
          <w:szCs w:val="32"/>
          <w:lang w:val="en-US" w:eastAsia="zh-CN"/>
        </w:rPr>
        <w:t>9.47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14.1</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卫生健康支出</w:t>
      </w:r>
      <w:r>
        <w:rPr>
          <w:rFonts w:hint="eastAsia" w:ascii="仿宋_GB2312" w:hAnsi="仿宋_GB2312" w:eastAsia="仿宋_GB2312" w:cs="仿宋_GB2312"/>
          <w:sz w:val="32"/>
          <w:szCs w:val="32"/>
          <w:lang w:val="en-US" w:eastAsia="zh-CN"/>
        </w:rPr>
        <w:t>3.42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住房保障支出</w:t>
      </w:r>
      <w:r>
        <w:rPr>
          <w:rFonts w:hint="eastAsia" w:ascii="仿宋_GB2312" w:hAnsi="仿宋_GB2312" w:eastAsia="仿宋_GB2312" w:cs="仿宋_GB2312"/>
          <w:sz w:val="32"/>
          <w:szCs w:val="32"/>
          <w:lang w:val="en-US" w:eastAsia="zh-CN"/>
        </w:rPr>
        <w:t>6.14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9.2</w:t>
      </w:r>
      <w:r>
        <w:rPr>
          <w:rFonts w:hint="eastAsia" w:ascii="仿宋_GB2312" w:hAnsi="仿宋_GB2312" w:eastAsia="仿宋_GB2312" w:cs="仿宋_GB2312"/>
          <w:sz w:val="32"/>
          <w:szCs w:val="32"/>
        </w:rPr>
        <w:t>%。</w:t>
      </w:r>
    </w:p>
    <w:p w14:paraId="00257F34">
      <w:pPr>
        <w:pStyle w:val="2"/>
        <w:spacing w:before="93"/>
      </w:pPr>
      <w:r>
        <w:drawing>
          <wp:inline distT="0" distB="0" distL="0" distR="0">
            <wp:extent cx="5268595" cy="2557780"/>
            <wp:effectExtent l="19050" t="0" r="26851"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C4B6816">
      <w:pPr>
        <w:spacing w:line="576"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（图6：一般公共预算财政拨款支出决算结构）（饼状图）</w:t>
      </w:r>
    </w:p>
    <w:p w14:paraId="3C2F6B8E">
      <w:pPr>
        <w:keepNext w:val="0"/>
        <w:keepLines w:val="0"/>
        <w:pageBreakBefore w:val="0"/>
        <w:kinsoku/>
        <w:wordWrap/>
        <w:overflowPunct/>
        <w:topLinePunct w:val="0"/>
        <w:autoSpaceDE/>
        <w:autoSpaceDN/>
        <w:bidi w:val="0"/>
        <w:adjustRightInd/>
        <w:snapToGrid/>
        <w:spacing w:line="240" w:lineRule="auto"/>
        <w:ind w:firstLine="643" w:firstLineChars="200"/>
        <w:textAlignment w:val="auto"/>
        <w:outlineLvl w:val="2"/>
        <w:rPr>
          <w:rFonts w:ascii="仿宋_GB2312" w:hAnsi="仿宋_GB2312" w:eastAsia="仿宋_GB2312" w:cs="仿宋_GB2312"/>
          <w:b/>
          <w:sz w:val="32"/>
          <w:szCs w:val="32"/>
        </w:rPr>
      </w:pPr>
      <w:bookmarkStart w:id="30" w:name="_Toc15377212"/>
      <w:r>
        <w:rPr>
          <w:rFonts w:hint="eastAsia" w:ascii="仿宋_GB2312" w:hAnsi="仿宋_GB2312" w:eastAsia="仿宋_GB2312" w:cs="仿宋_GB2312"/>
          <w:b/>
          <w:sz w:val="32"/>
          <w:szCs w:val="32"/>
        </w:rPr>
        <w:t>（三）一般公共预算财政拨款支出决算具体情况</w:t>
      </w:r>
      <w:bookmarkEnd w:id="30"/>
    </w:p>
    <w:p w14:paraId="46819643">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ascii="仿宋_GB2312" w:hAnsi="仿宋_GB2312" w:eastAsia="仿宋_GB2312" w:cs="仿宋_GB2312"/>
          <w:sz w:val="32"/>
          <w:szCs w:val="32"/>
        </w:rPr>
      </w:pPr>
      <w:bookmarkStart w:id="31" w:name="_Toc15377444"/>
      <w:bookmarkStart w:id="32" w:name="_Toc15377213"/>
      <w:bookmarkStart w:id="33" w:name="_Toc15378460"/>
      <w:r>
        <w:rPr>
          <w:rFonts w:hint="eastAsia" w:ascii="仿宋_GB2312" w:hAnsi="仿宋_GB2312" w:eastAsia="仿宋_GB2312" w:cs="仿宋_GB2312"/>
          <w:b/>
          <w:sz w:val="32"/>
          <w:szCs w:val="32"/>
          <w:lang w:eastAsia="zh-CN"/>
        </w:rPr>
        <w:t>2025年</w:t>
      </w:r>
      <w:r>
        <w:rPr>
          <w:rFonts w:hint="eastAsia" w:ascii="仿宋_GB2312" w:hAnsi="仿宋_GB2312" w:eastAsia="仿宋_GB2312" w:cs="仿宋_GB2312"/>
          <w:b/>
          <w:sz w:val="32"/>
          <w:szCs w:val="32"/>
        </w:rPr>
        <w:t>一般公共预算支出决算数为</w:t>
      </w:r>
      <w:r>
        <w:rPr>
          <w:rFonts w:hint="eastAsia" w:ascii="仿宋_GB2312" w:hAnsi="仿宋_GB2312" w:eastAsia="仿宋_GB2312" w:cs="仿宋_GB2312"/>
          <w:b/>
          <w:sz w:val="32"/>
          <w:szCs w:val="32"/>
          <w:lang w:eastAsia="zh-CN"/>
        </w:rPr>
        <w:t>67.03万元</w:t>
      </w:r>
      <w:r>
        <w:rPr>
          <w:rFonts w:hint="eastAsia" w:ascii="仿宋_GB2312" w:hAnsi="仿宋_GB2312" w:eastAsia="仿宋_GB2312" w:cs="仿宋_GB2312"/>
          <w:b/>
          <w:sz w:val="32"/>
          <w:szCs w:val="32"/>
        </w:rPr>
        <w:t>，</w:t>
      </w:r>
      <w:r>
        <w:rPr>
          <w:rStyle w:val="15"/>
          <w:rFonts w:hint="eastAsia" w:ascii="仿宋_GB2312" w:hAnsi="仿宋_GB2312" w:eastAsia="仿宋_GB2312" w:cs="仿宋_GB2312"/>
          <w:bCs/>
          <w:sz w:val="32"/>
          <w:szCs w:val="32"/>
        </w:rPr>
        <w:t>完成预算100%。其中：</w:t>
      </w:r>
      <w:bookmarkEnd w:id="31"/>
      <w:bookmarkEnd w:id="32"/>
      <w:bookmarkEnd w:id="33"/>
    </w:p>
    <w:p w14:paraId="6B161743">
      <w:pPr>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rPr>
          <w:rFonts w:ascii="仿宋" w:eastAsia="仿宋"/>
          <w:b/>
          <w:sz w:val="32"/>
          <w:szCs w:val="32"/>
        </w:rPr>
      </w:pPr>
      <w:r>
        <w:rPr>
          <w:rStyle w:val="15"/>
          <w:rFonts w:hint="eastAsia" w:ascii="仿宋_GB2312" w:hAnsi="仿宋_GB2312" w:eastAsia="仿宋_GB2312" w:cs="仿宋_GB2312"/>
          <w:bCs/>
          <w:sz w:val="32"/>
          <w:szCs w:val="32"/>
        </w:rPr>
        <w:t>1.一般公共服务（类）人大事务（款）事业运行（项）:</w:t>
      </w:r>
      <w:r>
        <w:rPr>
          <w:rStyle w:val="15"/>
          <w:rFonts w:hint="eastAsia" w:ascii="仿宋_GB2312" w:hAnsi="仿宋_GB2312" w:eastAsia="仿宋_GB2312" w:cs="仿宋_GB2312"/>
          <w:b w:val="0"/>
          <w:bCs/>
          <w:sz w:val="32"/>
          <w:szCs w:val="32"/>
        </w:rPr>
        <w:t xml:space="preserve"> 支出决算为</w:t>
      </w:r>
      <w:r>
        <w:rPr>
          <w:rFonts w:hint="eastAsia" w:ascii="仿宋_GB2312" w:hAnsi="仿宋_GB2312" w:eastAsia="仿宋_GB2312" w:cs="仿宋_GB2312"/>
          <w:sz w:val="32"/>
          <w:szCs w:val="32"/>
          <w:lang w:val="en-US" w:eastAsia="zh-CN"/>
        </w:rPr>
        <w:t>47.99</w:t>
      </w:r>
      <w:r>
        <w:rPr>
          <w:rFonts w:hint="eastAsia" w:ascii="仿宋_GB2312" w:hAnsi="仿宋_GB2312" w:eastAsia="仿宋_GB2312" w:cs="仿宋_GB2312"/>
          <w:sz w:val="32"/>
          <w:szCs w:val="32"/>
        </w:rPr>
        <w:t>万元</w:t>
      </w:r>
      <w:r>
        <w:rPr>
          <w:rStyle w:val="15"/>
          <w:rFonts w:hint="eastAsia" w:ascii="仿宋_GB2312" w:hAnsi="仿宋_GB2312" w:eastAsia="仿宋_GB2312" w:cs="仿宋_GB2312"/>
          <w:b w:val="0"/>
          <w:bCs/>
          <w:sz w:val="32"/>
          <w:szCs w:val="32"/>
        </w:rPr>
        <w:t>，完成预算100%</w:t>
      </w:r>
      <w:r>
        <w:rPr>
          <w:rStyle w:val="15"/>
          <w:rFonts w:hint="eastAsia" w:ascii="仿宋_GB2312" w:hAnsi="仿宋_GB2312" w:eastAsia="仿宋_GB2312" w:cs="仿宋_GB2312"/>
          <w:b w:val="0"/>
          <w:bCs/>
          <w:sz w:val="32"/>
          <w:szCs w:val="32"/>
          <w:lang w:eastAsia="zh-CN"/>
        </w:rPr>
        <w:t>。</w:t>
      </w:r>
      <w:r>
        <w:rPr>
          <w:rFonts w:ascii="仿宋_GB2312" w:eastAsia="仿宋_GB2312" w:cs="仿宋_GB2312"/>
          <w:sz w:val="32"/>
          <w:szCs w:val="32"/>
          <w:lang w:val="en-US" w:eastAsia="zh-CN"/>
        </w:rPr>
        <w:t>决算数与预算数持平</w:t>
      </w:r>
      <w:r>
        <w:rPr>
          <w:rFonts w:hint="eastAsia" w:ascii="仿宋_GB2312" w:eastAsia="仿宋_GB2312" w:cs="仿宋_GB2312"/>
          <w:sz w:val="32"/>
          <w:szCs w:val="32"/>
          <w:lang w:val="en-US" w:eastAsia="zh-CN"/>
        </w:rPr>
        <w:t>。</w:t>
      </w:r>
    </w:p>
    <w:p w14:paraId="412F9C9C">
      <w:pPr>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rPr>
          <w:rFonts w:hint="eastAsia" w:ascii="仿宋_GB2312" w:eastAsia="仿宋_GB2312" w:cs="仿宋_GB2312"/>
          <w:sz w:val="32"/>
          <w:szCs w:val="32"/>
          <w:lang w:val="en-US" w:eastAsia="zh-CN"/>
        </w:rPr>
      </w:pPr>
      <w:r>
        <w:rPr>
          <w:rStyle w:val="15"/>
          <w:rFonts w:hint="eastAsia" w:ascii="仿宋_GB2312" w:hAnsi="仿宋_GB2312" w:eastAsia="仿宋_GB2312" w:cs="仿宋_GB2312"/>
          <w:bCs/>
          <w:sz w:val="32"/>
          <w:szCs w:val="32"/>
        </w:rPr>
        <w:t>2.社会保障和就业（类）行政事业单位养老支出（款）机关事业单位基本养老保险缴费支出（项）:</w:t>
      </w:r>
      <w:r>
        <w:rPr>
          <w:rStyle w:val="15"/>
          <w:rFonts w:hint="eastAsia" w:ascii="仿宋_GB2312" w:hAnsi="仿宋_GB2312" w:eastAsia="仿宋_GB2312" w:cs="仿宋_GB2312"/>
          <w:b w:val="0"/>
          <w:bCs/>
          <w:sz w:val="32"/>
          <w:szCs w:val="32"/>
        </w:rPr>
        <w:t xml:space="preserve"> 支出决算为</w:t>
      </w:r>
      <w:r>
        <w:rPr>
          <w:rStyle w:val="15"/>
          <w:rFonts w:hint="eastAsia" w:ascii="仿宋_GB2312" w:hAnsi="仿宋_GB2312" w:eastAsia="仿宋_GB2312" w:cs="仿宋_GB2312"/>
          <w:b w:val="0"/>
          <w:bCs/>
          <w:sz w:val="32"/>
          <w:szCs w:val="32"/>
          <w:lang w:val="en-US" w:eastAsia="zh-CN"/>
        </w:rPr>
        <w:t>6.31</w:t>
      </w:r>
      <w:r>
        <w:rPr>
          <w:rStyle w:val="15"/>
          <w:rFonts w:hint="eastAsia" w:ascii="仿宋_GB2312" w:hAnsi="仿宋_GB2312" w:eastAsia="仿宋_GB2312" w:cs="仿宋_GB2312"/>
          <w:b w:val="0"/>
          <w:bCs/>
          <w:sz w:val="32"/>
          <w:szCs w:val="32"/>
        </w:rPr>
        <w:t>万元，完成预算100%</w:t>
      </w:r>
      <w:r>
        <w:rPr>
          <w:rStyle w:val="15"/>
          <w:rFonts w:hint="eastAsia" w:ascii="仿宋_GB2312" w:hAnsi="仿宋_GB2312" w:eastAsia="仿宋_GB2312" w:cs="仿宋_GB2312"/>
          <w:b w:val="0"/>
          <w:bCs/>
          <w:sz w:val="32"/>
          <w:szCs w:val="32"/>
          <w:lang w:eastAsia="zh-CN"/>
        </w:rPr>
        <w:t>。</w:t>
      </w:r>
      <w:r>
        <w:rPr>
          <w:rFonts w:ascii="仿宋_GB2312" w:eastAsia="仿宋_GB2312" w:cs="仿宋_GB2312"/>
          <w:sz w:val="32"/>
          <w:szCs w:val="32"/>
          <w:lang w:val="en-US" w:eastAsia="zh-CN"/>
        </w:rPr>
        <w:t>决算数与预算数持平</w:t>
      </w:r>
      <w:r>
        <w:rPr>
          <w:rFonts w:hint="eastAsia" w:ascii="仿宋_GB2312" w:eastAsia="仿宋_GB2312" w:cs="仿宋_GB2312"/>
          <w:sz w:val="32"/>
          <w:szCs w:val="32"/>
          <w:lang w:val="en-US" w:eastAsia="zh-CN"/>
        </w:rPr>
        <w:t>。</w:t>
      </w:r>
    </w:p>
    <w:p w14:paraId="4AC40787">
      <w:pPr>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rPr>
          <w:rFonts w:hint="eastAsia" w:ascii="仿宋_GB2312" w:eastAsia="仿宋_GB2312" w:cs="仿宋_GB2312"/>
          <w:sz w:val="32"/>
          <w:szCs w:val="32"/>
        </w:rPr>
      </w:pPr>
      <w:r>
        <w:rPr>
          <w:rStyle w:val="15"/>
          <w:rFonts w:hint="eastAsia" w:ascii="仿宋_GB2312" w:hAnsi="仿宋_GB2312" w:eastAsia="仿宋_GB2312" w:cs="仿宋_GB2312"/>
          <w:bCs/>
          <w:sz w:val="32"/>
          <w:szCs w:val="32"/>
          <w:lang w:val="en-US" w:eastAsia="zh-CN"/>
        </w:rPr>
        <w:t>3</w:t>
      </w:r>
      <w:r>
        <w:rPr>
          <w:rStyle w:val="15"/>
          <w:rFonts w:hint="eastAsia" w:ascii="仿宋_GB2312" w:hAnsi="仿宋_GB2312" w:eastAsia="仿宋_GB2312" w:cs="仿宋_GB2312"/>
          <w:bCs/>
          <w:sz w:val="32"/>
          <w:szCs w:val="32"/>
        </w:rPr>
        <w:t>.社会保障和就业（类）行政事业单位养老支出（款）机关事业单位职业年金缴费支出（项）：</w:t>
      </w:r>
      <w:r>
        <w:rPr>
          <w:rStyle w:val="15"/>
          <w:rFonts w:hint="eastAsia" w:ascii="仿宋_GB2312" w:hAnsi="仿宋_GB2312" w:eastAsia="仿宋_GB2312" w:cs="仿宋_GB2312"/>
          <w:b w:val="0"/>
          <w:bCs/>
          <w:sz w:val="32"/>
          <w:szCs w:val="32"/>
        </w:rPr>
        <w:t>支出决算为</w:t>
      </w:r>
      <w:r>
        <w:rPr>
          <w:rStyle w:val="15"/>
          <w:rFonts w:hint="eastAsia" w:ascii="仿宋_GB2312" w:hAnsi="仿宋_GB2312" w:eastAsia="仿宋_GB2312" w:cs="仿宋_GB2312"/>
          <w:b w:val="0"/>
          <w:bCs/>
          <w:sz w:val="32"/>
          <w:szCs w:val="32"/>
          <w:lang w:val="en-US" w:eastAsia="zh-CN"/>
        </w:rPr>
        <w:t>3.16</w:t>
      </w:r>
      <w:r>
        <w:rPr>
          <w:rStyle w:val="15"/>
          <w:rFonts w:hint="eastAsia" w:ascii="仿宋_GB2312" w:hAnsi="仿宋_GB2312" w:eastAsia="仿宋_GB2312" w:cs="仿宋_GB2312"/>
          <w:b w:val="0"/>
          <w:bCs/>
          <w:sz w:val="32"/>
          <w:szCs w:val="32"/>
        </w:rPr>
        <w:t>万元，完成预算100%</w:t>
      </w:r>
      <w:r>
        <w:rPr>
          <w:rStyle w:val="15"/>
          <w:rFonts w:hint="eastAsia" w:ascii="仿宋_GB2312" w:hAnsi="仿宋_GB2312" w:eastAsia="仿宋_GB2312" w:cs="仿宋_GB2312"/>
          <w:b w:val="0"/>
          <w:bCs/>
          <w:sz w:val="32"/>
          <w:szCs w:val="32"/>
          <w:lang w:eastAsia="zh-CN"/>
        </w:rPr>
        <w:t>。</w:t>
      </w:r>
      <w:r>
        <w:rPr>
          <w:rFonts w:ascii="仿宋_GB2312" w:eastAsia="仿宋_GB2312" w:cs="仿宋_GB2312"/>
          <w:sz w:val="32"/>
          <w:szCs w:val="32"/>
          <w:lang w:val="en-US" w:eastAsia="zh-CN"/>
        </w:rPr>
        <w:t>决算数与预算数持平</w:t>
      </w:r>
      <w:r>
        <w:rPr>
          <w:rFonts w:hint="eastAsia" w:ascii="仿宋_GB2312" w:eastAsia="仿宋_GB2312" w:cs="仿宋_GB2312"/>
          <w:sz w:val="32"/>
          <w:szCs w:val="32"/>
          <w:lang w:val="en-US" w:eastAsia="zh-CN"/>
        </w:rPr>
        <w:t>。</w:t>
      </w:r>
    </w:p>
    <w:p w14:paraId="5B4BC05A">
      <w:pPr>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rPr>
          <w:rFonts w:hint="eastAsia" w:ascii="仿宋_GB2312" w:eastAsia="仿宋_GB2312" w:cs="仿宋_GB2312"/>
          <w:sz w:val="32"/>
          <w:szCs w:val="32"/>
        </w:rPr>
      </w:pPr>
      <w:r>
        <w:rPr>
          <w:rStyle w:val="15"/>
          <w:rFonts w:hint="eastAsia" w:ascii="仿宋_GB2312" w:hAnsi="仿宋_GB2312" w:eastAsia="仿宋_GB2312" w:cs="仿宋_GB2312"/>
          <w:bCs/>
          <w:sz w:val="32"/>
          <w:szCs w:val="32"/>
          <w:lang w:val="en-US" w:eastAsia="zh-CN"/>
        </w:rPr>
        <w:t>4</w:t>
      </w:r>
      <w:r>
        <w:rPr>
          <w:rStyle w:val="15"/>
          <w:rFonts w:hint="eastAsia" w:ascii="仿宋_GB2312" w:hAnsi="仿宋_GB2312" w:eastAsia="仿宋_GB2312" w:cs="仿宋_GB2312"/>
          <w:bCs/>
          <w:sz w:val="32"/>
          <w:szCs w:val="32"/>
        </w:rPr>
        <w:t>.</w:t>
      </w:r>
      <w:r>
        <w:rPr>
          <w:rFonts w:hint="eastAsia" w:ascii="仿宋_GB2312" w:hAnsi="仿宋_GB2312" w:eastAsia="仿宋_GB2312" w:cs="仿宋_GB2312"/>
          <w:b/>
          <w:bCs/>
          <w:sz w:val="32"/>
          <w:szCs w:val="32"/>
        </w:rPr>
        <w:t>卫生健康</w:t>
      </w:r>
      <w:r>
        <w:rPr>
          <w:rStyle w:val="15"/>
          <w:rFonts w:hint="eastAsia" w:ascii="仿宋_GB2312" w:hAnsi="仿宋_GB2312" w:eastAsia="仿宋_GB2312" w:cs="仿宋_GB2312"/>
          <w:bCs/>
          <w:sz w:val="32"/>
          <w:szCs w:val="32"/>
        </w:rPr>
        <w:t>（类）行政事业单位医疗（款）事业单位医疗（项）:</w:t>
      </w:r>
      <w:r>
        <w:rPr>
          <w:rStyle w:val="15"/>
          <w:rFonts w:hint="eastAsia" w:ascii="仿宋_GB2312" w:hAnsi="仿宋_GB2312" w:eastAsia="仿宋_GB2312" w:cs="仿宋_GB2312"/>
          <w:b w:val="0"/>
          <w:bCs/>
          <w:sz w:val="32"/>
          <w:szCs w:val="32"/>
        </w:rPr>
        <w:t>支出决算为</w:t>
      </w:r>
      <w:r>
        <w:rPr>
          <w:rStyle w:val="15"/>
          <w:rFonts w:hint="eastAsia" w:ascii="仿宋_GB2312" w:hAnsi="仿宋_GB2312" w:eastAsia="仿宋_GB2312" w:cs="仿宋_GB2312"/>
          <w:b w:val="0"/>
          <w:bCs/>
          <w:sz w:val="32"/>
          <w:szCs w:val="32"/>
          <w:lang w:val="en-US" w:eastAsia="zh-CN"/>
        </w:rPr>
        <w:t>2.76</w:t>
      </w:r>
      <w:r>
        <w:rPr>
          <w:rStyle w:val="15"/>
          <w:rFonts w:hint="eastAsia" w:ascii="仿宋_GB2312" w:hAnsi="仿宋_GB2312" w:eastAsia="仿宋_GB2312" w:cs="仿宋_GB2312"/>
          <w:b w:val="0"/>
          <w:bCs/>
          <w:sz w:val="32"/>
          <w:szCs w:val="32"/>
        </w:rPr>
        <w:t>万元，完成预算100%</w:t>
      </w:r>
      <w:r>
        <w:rPr>
          <w:rStyle w:val="15"/>
          <w:rFonts w:hint="eastAsia" w:ascii="仿宋_GB2312" w:hAnsi="仿宋_GB2312" w:eastAsia="仿宋_GB2312" w:cs="仿宋_GB2312"/>
          <w:b w:val="0"/>
          <w:bCs/>
          <w:sz w:val="32"/>
          <w:szCs w:val="32"/>
          <w:lang w:eastAsia="zh-CN"/>
        </w:rPr>
        <w:t>。</w:t>
      </w:r>
      <w:r>
        <w:rPr>
          <w:rFonts w:ascii="仿宋_GB2312" w:eastAsia="仿宋_GB2312" w:cs="仿宋_GB2312"/>
          <w:sz w:val="32"/>
          <w:szCs w:val="32"/>
          <w:lang w:val="en-US" w:eastAsia="zh-CN"/>
        </w:rPr>
        <w:t>决算数与预算数持平</w:t>
      </w:r>
      <w:r>
        <w:rPr>
          <w:rFonts w:hint="eastAsia" w:ascii="仿宋_GB2312" w:eastAsia="仿宋_GB2312" w:cs="仿宋_GB2312"/>
          <w:sz w:val="32"/>
          <w:szCs w:val="32"/>
          <w:lang w:val="en-US" w:eastAsia="zh-CN"/>
        </w:rPr>
        <w:t>。</w:t>
      </w:r>
    </w:p>
    <w:p w14:paraId="2582A794">
      <w:pPr>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rPr>
          <w:rFonts w:hint="eastAsia" w:ascii="仿宋_GB2312" w:eastAsia="仿宋_GB2312" w:cs="仿宋_GB2312"/>
          <w:sz w:val="32"/>
          <w:szCs w:val="32"/>
        </w:rPr>
      </w:pPr>
      <w:r>
        <w:rPr>
          <w:rStyle w:val="15"/>
          <w:rFonts w:hint="eastAsia" w:ascii="仿宋_GB2312" w:hAnsi="仿宋_GB2312" w:eastAsia="仿宋_GB2312" w:cs="仿宋_GB2312"/>
          <w:b/>
          <w:bCs w:val="0"/>
          <w:sz w:val="32"/>
          <w:szCs w:val="32"/>
          <w:lang w:val="en-US" w:eastAsia="zh-CN"/>
        </w:rPr>
        <w:t>5</w:t>
      </w:r>
      <w:r>
        <w:rPr>
          <w:rStyle w:val="15"/>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bCs/>
          <w:sz w:val="32"/>
          <w:szCs w:val="32"/>
        </w:rPr>
        <w:t>卫生健康</w:t>
      </w:r>
      <w:r>
        <w:rPr>
          <w:rStyle w:val="15"/>
          <w:rFonts w:hint="eastAsia" w:ascii="仿宋_GB2312" w:hAnsi="仿宋_GB2312" w:eastAsia="仿宋_GB2312" w:cs="仿宋_GB2312"/>
          <w:bCs/>
          <w:sz w:val="32"/>
          <w:szCs w:val="32"/>
        </w:rPr>
        <w:t>（类）行政事业单位医疗（款）</w:t>
      </w:r>
      <w:r>
        <w:rPr>
          <w:rFonts w:hint="eastAsia" w:ascii="仿宋_GB2312" w:hAnsi="仿宋_GB2312" w:eastAsia="仿宋_GB2312" w:cs="仿宋_GB2312"/>
          <w:b/>
          <w:sz w:val="32"/>
          <w:szCs w:val="32"/>
        </w:rPr>
        <w:t>其他行政事业单位医疗支出（项）：</w:t>
      </w:r>
      <w:r>
        <w:rPr>
          <w:rFonts w:hint="eastAsia" w:ascii="仿宋_GB2312" w:hAnsi="仿宋_GB2312" w:eastAsia="仿宋_GB2312" w:cs="仿宋_GB2312"/>
          <w:sz w:val="32"/>
          <w:szCs w:val="32"/>
          <w:lang w:val="en-US" w:eastAsia="zh-CN"/>
        </w:rPr>
        <w:t>0.66</w:t>
      </w:r>
      <w:r>
        <w:rPr>
          <w:rFonts w:hint="eastAsia" w:ascii="仿宋_GB2312" w:hAnsi="仿宋_GB2312" w:eastAsia="仿宋_GB2312" w:cs="仿宋_GB2312"/>
          <w:sz w:val="32"/>
          <w:szCs w:val="32"/>
        </w:rPr>
        <w:t>万元，</w:t>
      </w:r>
      <w:r>
        <w:rPr>
          <w:rStyle w:val="15"/>
          <w:rFonts w:hint="eastAsia" w:ascii="仿宋_GB2312" w:hAnsi="仿宋_GB2312" w:eastAsia="仿宋_GB2312" w:cs="仿宋_GB2312"/>
          <w:b w:val="0"/>
          <w:bCs/>
          <w:sz w:val="32"/>
          <w:szCs w:val="32"/>
        </w:rPr>
        <w:t>完成预算100%</w:t>
      </w:r>
      <w:r>
        <w:rPr>
          <w:rStyle w:val="15"/>
          <w:rFonts w:hint="eastAsia" w:ascii="仿宋_GB2312" w:hAnsi="仿宋_GB2312" w:eastAsia="仿宋_GB2312" w:cs="仿宋_GB2312"/>
          <w:b w:val="0"/>
          <w:bCs/>
          <w:sz w:val="32"/>
          <w:szCs w:val="32"/>
          <w:lang w:eastAsia="zh-CN"/>
        </w:rPr>
        <w:t>。</w:t>
      </w:r>
      <w:r>
        <w:rPr>
          <w:rFonts w:ascii="仿宋_GB2312" w:eastAsia="仿宋_GB2312" w:cs="仿宋_GB2312"/>
          <w:sz w:val="32"/>
          <w:szCs w:val="32"/>
          <w:lang w:val="en-US" w:eastAsia="zh-CN"/>
        </w:rPr>
        <w:t>决算数与预算数持平</w:t>
      </w:r>
      <w:r>
        <w:rPr>
          <w:rFonts w:hint="eastAsia" w:ascii="仿宋_GB2312" w:eastAsia="仿宋_GB2312" w:cs="仿宋_GB2312"/>
          <w:sz w:val="32"/>
          <w:szCs w:val="32"/>
          <w:lang w:val="en-US" w:eastAsia="zh-CN"/>
        </w:rPr>
        <w:t>。</w:t>
      </w:r>
    </w:p>
    <w:p w14:paraId="4DD701FF">
      <w:pPr>
        <w:keepNext w:val="0"/>
        <w:keepLines w:val="0"/>
        <w:pageBreakBefore w:val="0"/>
        <w:widowControl/>
        <w:kinsoku/>
        <w:wordWrap/>
        <w:overflowPunct/>
        <w:topLinePunct w:val="0"/>
        <w:autoSpaceDE/>
        <w:autoSpaceDN/>
        <w:bidi w:val="0"/>
        <w:adjustRightInd/>
        <w:snapToGrid/>
        <w:spacing w:line="240" w:lineRule="auto"/>
        <w:ind w:left="0" w:firstLine="643" w:firstLineChars="200"/>
        <w:jc w:val="both"/>
        <w:textAlignment w:val="auto"/>
        <w:rPr>
          <w:rFonts w:hint="eastAsia" w:ascii="仿宋_GB2312" w:eastAsia="仿宋_GB2312" w:cs="仿宋_GB2312"/>
          <w:sz w:val="32"/>
          <w:szCs w:val="32"/>
          <w:lang w:val="en-US" w:eastAsia="zh-CN"/>
        </w:rPr>
      </w:pPr>
      <w:r>
        <w:rPr>
          <w:rStyle w:val="15"/>
          <w:rFonts w:hint="eastAsia" w:ascii="仿宋_GB2312" w:hAnsi="仿宋_GB2312" w:eastAsia="仿宋_GB2312" w:cs="仿宋_GB2312"/>
          <w:b/>
          <w:bCs w:val="0"/>
          <w:sz w:val="32"/>
          <w:szCs w:val="32"/>
          <w:lang w:val="en-US" w:eastAsia="zh-CN"/>
        </w:rPr>
        <w:t>6.住房保障支出（类）住房改革支出（款）住房公积金（项）：</w:t>
      </w:r>
      <w:r>
        <w:rPr>
          <w:rFonts w:hint="eastAsia" w:ascii="仿宋_GB2312" w:eastAsia="仿宋_GB2312" w:cs="仿宋_GB2312"/>
          <w:sz w:val="32"/>
          <w:szCs w:val="32"/>
          <w:lang w:val="en-US" w:eastAsia="zh-CN"/>
        </w:rPr>
        <w:t>支出决算为6.14万元，完成预算100%。</w:t>
      </w:r>
      <w:r>
        <w:rPr>
          <w:rFonts w:ascii="仿宋_GB2312" w:eastAsia="仿宋_GB2312" w:cs="仿宋_GB2312"/>
          <w:sz w:val="32"/>
          <w:szCs w:val="32"/>
          <w:lang w:val="en-US" w:eastAsia="zh-CN"/>
        </w:rPr>
        <w:t>决算数与预算数持平</w:t>
      </w:r>
      <w:r>
        <w:rPr>
          <w:rFonts w:hint="eastAsia" w:ascii="仿宋_GB2312" w:eastAsia="仿宋_GB2312" w:cs="仿宋_GB2312"/>
          <w:sz w:val="32"/>
          <w:szCs w:val="32"/>
          <w:lang w:val="en-US" w:eastAsia="zh-CN"/>
        </w:rPr>
        <w:t>。</w:t>
      </w:r>
    </w:p>
    <w:p w14:paraId="66CCAE86">
      <w:pPr>
        <w:keepNext w:val="0"/>
        <w:keepLines w:val="0"/>
        <w:pageBreakBefore w:val="0"/>
        <w:widowControl w:val="0"/>
        <w:tabs>
          <w:tab w:val="right" w:pos="8306"/>
        </w:tabs>
        <w:kinsoku/>
        <w:wordWrap/>
        <w:overflowPunct/>
        <w:topLinePunct w:val="0"/>
        <w:bidi w:val="0"/>
        <w:snapToGrid/>
        <w:spacing w:line="240" w:lineRule="auto"/>
        <w:ind w:firstLine="640" w:firstLineChars="200"/>
        <w:textAlignment w:val="auto"/>
        <w:outlineLvl w:val="1"/>
        <w:rPr>
          <w:rStyle w:val="26"/>
        </w:rPr>
      </w:pPr>
      <w:bookmarkStart w:id="34" w:name="_Toc15377214"/>
      <w:bookmarkStart w:id="35"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6"/>
          <w:rFonts w:hint="eastAsia" w:ascii="黑体" w:hAnsi="黑体" w:eastAsia="黑体"/>
          <w:b w:val="0"/>
        </w:rPr>
        <w:t>般公共预算财政拨款基本支出决算情况说明</w:t>
      </w:r>
      <w:bookmarkEnd w:id="34"/>
      <w:bookmarkEnd w:id="35"/>
      <w:r>
        <w:rPr>
          <w:rStyle w:val="26"/>
          <w:rFonts w:ascii="黑体" w:hAnsi="黑体" w:eastAsia="黑体"/>
          <w:b w:val="0"/>
        </w:rPr>
        <w:tab/>
      </w:r>
    </w:p>
    <w:p w14:paraId="1E07ABB0">
      <w:pPr>
        <w:keepNext w:val="0"/>
        <w:keepLines w:val="0"/>
        <w:pageBreakBefore w:val="0"/>
        <w:widowControl w:val="0"/>
        <w:kinsoku/>
        <w:wordWrap/>
        <w:overflowPunct/>
        <w:topLinePunct w:val="0"/>
        <w:bidi w:val="0"/>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一般公共预算财政拨款基本支出</w:t>
      </w:r>
      <w:r>
        <w:rPr>
          <w:rFonts w:hint="eastAsia" w:ascii="仿宋_GB2312" w:hAnsi="仿宋_GB2312" w:eastAsia="仿宋_GB2312" w:cs="仿宋_GB2312"/>
          <w:sz w:val="32"/>
          <w:szCs w:val="32"/>
          <w:lang w:eastAsia="zh-CN"/>
        </w:rPr>
        <w:t>67.03万元</w:t>
      </w:r>
      <w:r>
        <w:rPr>
          <w:rFonts w:hint="eastAsia" w:ascii="仿宋_GB2312" w:hAnsi="仿宋_GB2312" w:eastAsia="仿宋_GB2312" w:cs="仿宋_GB2312"/>
          <w:sz w:val="32"/>
          <w:szCs w:val="32"/>
        </w:rPr>
        <w:t>，其中：</w:t>
      </w:r>
    </w:p>
    <w:p w14:paraId="7DCD811F">
      <w:pPr>
        <w:keepNext w:val="0"/>
        <w:keepLines w:val="0"/>
        <w:pageBreakBefore w:val="0"/>
        <w:widowControl w:val="0"/>
        <w:kinsoku/>
        <w:wordWrap/>
        <w:overflowPunct/>
        <w:topLinePunct w:val="0"/>
        <w:bidi w:val="0"/>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64.14</w:t>
      </w:r>
      <w:r>
        <w:rPr>
          <w:rFonts w:hint="eastAsia" w:ascii="仿宋_GB2312" w:hAnsi="仿宋_GB2312" w:eastAsia="仿宋_GB2312" w:cs="仿宋_GB2312"/>
          <w:sz w:val="32"/>
          <w:szCs w:val="32"/>
        </w:rPr>
        <w:t>万元，主要包括：基本工资、津贴补贴、奖金、绩效工资、机关事业单位基本养老保险缴费、职业年金缴费、职工基本医疗保险缴费、公务员医疗补助缴费、其他社会保障缴费、住房公积金等。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w:t>
      </w:r>
      <w:r>
        <w:rPr>
          <w:rFonts w:hint="eastAsia" w:ascii="仿宋_GB2312" w:hAnsi="仿宋_GB2312" w:eastAsia="仿宋_GB2312" w:cs="仿宋_GB2312"/>
          <w:sz w:val="32"/>
          <w:szCs w:val="32"/>
          <w:lang w:val="en-US" w:eastAsia="zh-CN"/>
        </w:rPr>
        <w:t>2.89</w:t>
      </w:r>
      <w:r>
        <w:rPr>
          <w:rFonts w:hint="eastAsia" w:ascii="仿宋_GB2312" w:hAnsi="仿宋_GB2312" w:eastAsia="仿宋_GB2312" w:cs="仿宋_GB2312"/>
          <w:sz w:val="32"/>
          <w:szCs w:val="32"/>
        </w:rPr>
        <w:t>万元，主要包括：办公费、差旅费。</w:t>
      </w:r>
    </w:p>
    <w:p w14:paraId="28B0D7E5">
      <w:pPr>
        <w:keepNext w:val="0"/>
        <w:keepLines w:val="0"/>
        <w:pageBreakBefore w:val="0"/>
        <w:widowControl w:val="0"/>
        <w:numPr>
          <w:ilvl w:val="0"/>
          <w:numId w:val="3"/>
        </w:numPr>
        <w:kinsoku/>
        <w:wordWrap/>
        <w:overflowPunct/>
        <w:topLinePunct w:val="0"/>
        <w:bidi w:val="0"/>
        <w:snapToGrid/>
        <w:spacing w:line="240" w:lineRule="auto"/>
        <w:ind w:firstLine="640" w:firstLineChars="200"/>
        <w:textAlignment w:val="auto"/>
        <w:outlineLvl w:val="1"/>
        <w:rPr>
          <w:rStyle w:val="26"/>
          <w:rFonts w:hint="eastAsia" w:ascii="黑体" w:hAnsi="黑体" w:eastAsia="黑体"/>
          <w:b w:val="0"/>
        </w:rPr>
      </w:pPr>
      <w:bookmarkStart w:id="36" w:name="_Toc15377215"/>
      <w:bookmarkStart w:id="37" w:name="_Toc15396609"/>
      <w:r>
        <w:rPr>
          <w:rStyle w:val="26"/>
          <w:rFonts w:hint="eastAsia" w:ascii="黑体" w:hAnsi="黑体" w:eastAsia="黑体"/>
          <w:b w:val="0"/>
        </w:rPr>
        <w:t>财政拨款</w:t>
      </w:r>
      <w:r>
        <w:rPr>
          <w:rStyle w:val="26"/>
          <w:rFonts w:hint="eastAsia" w:ascii="黑体" w:hAnsi="黑体" w:eastAsia="黑体"/>
        </w:rPr>
        <w:t>“</w:t>
      </w:r>
      <w:r>
        <w:rPr>
          <w:rStyle w:val="26"/>
          <w:rFonts w:hint="eastAsia" w:ascii="黑体" w:hAnsi="黑体" w:eastAsia="黑体"/>
          <w:b w:val="0"/>
        </w:rPr>
        <w:t>三公”经费支出决算情况说明</w:t>
      </w:r>
      <w:bookmarkEnd w:id="36"/>
      <w:bookmarkEnd w:id="37"/>
    </w:p>
    <w:p w14:paraId="1F50336A">
      <w:pPr>
        <w:pStyle w:val="2"/>
        <w:ind w:firstLine="640" w:firstLineChars="200"/>
        <w:rPr>
          <w:rFonts w:hint="eastAsia" w:ascii="仿宋_GB2312" w:eastAsia="仿宋_GB2312"/>
          <w:sz w:val="32"/>
          <w:szCs w:val="32"/>
          <w:lang w:val="en-US" w:eastAsia="zh-CN"/>
        </w:rPr>
      </w:pPr>
      <w:r>
        <w:rPr>
          <w:rFonts w:hint="eastAsia" w:ascii="仿宋_GB2312" w:hAnsi="仿宋_GB2312" w:eastAsia="仿宋_GB2312" w:cs="仿宋_GB2312"/>
          <w:kern w:val="2"/>
          <w:sz w:val="32"/>
          <w:szCs w:val="32"/>
          <w:lang w:val="en-US" w:eastAsia="zh-CN" w:bidi="ar-SA"/>
        </w:rPr>
        <w:t>2025年度财政拨款“三公”经费支出决算中，因公出国（境）费支出决算</w:t>
      </w:r>
      <w:r>
        <w:rPr>
          <w:rFonts w:hint="eastAsia" w:hAnsi="仿宋_GB2312" w:cs="仿宋_GB2312"/>
          <w:kern w:val="2"/>
          <w:sz w:val="32"/>
          <w:szCs w:val="32"/>
          <w:lang w:val="en-US" w:eastAsia="zh-CN" w:bidi="ar-SA"/>
        </w:rPr>
        <w:t>0</w:t>
      </w:r>
      <w:r>
        <w:rPr>
          <w:rFonts w:hint="eastAsia" w:ascii="仿宋_GB2312" w:hAnsi="仿宋_GB2312" w:eastAsia="仿宋_GB2312" w:cs="仿宋_GB2312"/>
          <w:kern w:val="2"/>
          <w:sz w:val="32"/>
          <w:szCs w:val="32"/>
          <w:lang w:val="en-US" w:eastAsia="zh-CN" w:bidi="ar-SA"/>
        </w:rPr>
        <w:t>万元；公务用车购置及运行维护费支出决算</w:t>
      </w:r>
      <w:r>
        <w:rPr>
          <w:rFonts w:hint="eastAsia" w:hAnsi="仿宋_GB2312" w:cs="仿宋_GB2312"/>
          <w:kern w:val="2"/>
          <w:sz w:val="32"/>
          <w:szCs w:val="32"/>
          <w:lang w:val="en-US" w:eastAsia="zh-CN" w:bidi="ar-SA"/>
        </w:rPr>
        <w:t>0</w:t>
      </w:r>
      <w:r>
        <w:rPr>
          <w:rFonts w:hint="eastAsia" w:ascii="仿宋_GB2312" w:hAnsi="仿宋_GB2312" w:eastAsia="仿宋_GB2312" w:cs="仿宋_GB2312"/>
          <w:kern w:val="2"/>
          <w:sz w:val="32"/>
          <w:szCs w:val="32"/>
          <w:lang w:val="en-US" w:eastAsia="zh-CN" w:bidi="ar-SA"/>
        </w:rPr>
        <w:t>万元；公务接待费支出决算</w:t>
      </w:r>
      <w:r>
        <w:rPr>
          <w:rFonts w:hint="eastAsia" w:hAnsi="仿宋_GB2312" w:cs="仿宋_GB2312"/>
          <w:kern w:val="2"/>
          <w:sz w:val="32"/>
          <w:szCs w:val="32"/>
          <w:lang w:val="en-US" w:eastAsia="zh-CN" w:bidi="ar-SA"/>
        </w:rPr>
        <w:t>0</w:t>
      </w:r>
      <w:r>
        <w:rPr>
          <w:rFonts w:hint="eastAsia" w:ascii="仿宋_GB2312" w:hAnsi="仿宋_GB2312" w:eastAsia="仿宋_GB2312" w:cs="仿宋_GB2312"/>
          <w:kern w:val="2"/>
          <w:sz w:val="32"/>
          <w:szCs w:val="32"/>
          <w:lang w:val="en-US" w:eastAsia="zh-CN" w:bidi="ar-SA"/>
        </w:rPr>
        <w:t>万元。</w:t>
      </w:r>
      <w:r>
        <w:rPr>
          <w:rFonts w:hint="eastAsia" w:ascii="仿宋_GB2312" w:eastAsia="仿宋_GB2312"/>
          <w:sz w:val="32"/>
          <w:szCs w:val="32"/>
          <w:lang w:val="en-US" w:eastAsia="zh-CN"/>
        </w:rPr>
        <w:t>与上年度一致。</w:t>
      </w:r>
    </w:p>
    <w:p w14:paraId="1FA17195">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其中：公务用车保有量为0辆。</w:t>
      </w:r>
    </w:p>
    <w:p w14:paraId="010543D3">
      <w:pPr>
        <w:keepNext w:val="0"/>
        <w:keepLines w:val="0"/>
        <w:pageBreakBefore w:val="0"/>
        <w:widowControl w:val="0"/>
        <w:kinsoku/>
        <w:wordWrap/>
        <w:overflowPunct/>
        <w:topLinePunct w:val="0"/>
        <w:bidi w:val="0"/>
        <w:snapToGrid/>
        <w:spacing w:line="240" w:lineRule="auto"/>
        <w:ind w:firstLine="640" w:firstLineChars="200"/>
        <w:textAlignment w:val="auto"/>
        <w:outlineLvl w:val="1"/>
        <w:rPr>
          <w:rStyle w:val="26"/>
          <w:rFonts w:ascii="黑体" w:hAnsi="黑体" w:eastAsia="黑体"/>
        </w:rPr>
      </w:pPr>
      <w:bookmarkStart w:id="38" w:name="_Toc15396610"/>
      <w:bookmarkStart w:id="39" w:name="_Toc15377218"/>
      <w:r>
        <w:rPr>
          <w:rFonts w:hint="eastAsia" w:ascii="黑体" w:eastAsia="黑体"/>
          <w:sz w:val="32"/>
          <w:szCs w:val="32"/>
        </w:rPr>
        <w:t>八、</w:t>
      </w:r>
      <w:r>
        <w:rPr>
          <w:rStyle w:val="26"/>
          <w:rFonts w:hint="eastAsia" w:ascii="黑体" w:hAnsi="黑体" w:eastAsia="黑体"/>
          <w:b w:val="0"/>
        </w:rPr>
        <w:t>政府性基金预算支出决算情况说明</w:t>
      </w:r>
      <w:bookmarkEnd w:id="38"/>
      <w:bookmarkEnd w:id="39"/>
    </w:p>
    <w:p w14:paraId="1B4926E3">
      <w:pPr>
        <w:keepNext w:val="0"/>
        <w:keepLines w:val="0"/>
        <w:pageBreakBefore w:val="0"/>
        <w:widowControl w:val="0"/>
        <w:kinsoku/>
        <w:wordWrap/>
        <w:overflowPunct/>
        <w:topLinePunct w:val="0"/>
        <w:bidi w:val="0"/>
        <w:snapToGrid/>
        <w:spacing w:line="240" w:lineRule="auto"/>
        <w:ind w:firstLine="640" w:firstLineChars="200"/>
        <w:textAlignment w:val="auto"/>
        <w:rPr>
          <w:rFonts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政府性基金预算财政拨款支出0万元。</w:t>
      </w:r>
    </w:p>
    <w:p w14:paraId="4201D502">
      <w:pPr>
        <w:keepNext w:val="0"/>
        <w:keepLines w:val="0"/>
        <w:pageBreakBefore w:val="0"/>
        <w:widowControl w:val="0"/>
        <w:numPr>
          <w:ilvl w:val="0"/>
          <w:numId w:val="4"/>
        </w:numPr>
        <w:kinsoku/>
        <w:wordWrap/>
        <w:overflowPunct/>
        <w:topLinePunct w:val="0"/>
        <w:bidi w:val="0"/>
        <w:snapToGrid/>
        <w:spacing w:line="240" w:lineRule="auto"/>
        <w:ind w:firstLine="640" w:firstLineChars="200"/>
        <w:textAlignment w:val="auto"/>
        <w:outlineLvl w:val="1"/>
        <w:rPr>
          <w:rStyle w:val="26"/>
          <w:rFonts w:ascii="黑体" w:hAnsi="黑体" w:eastAsia="黑体"/>
          <w:b w:val="0"/>
        </w:rPr>
      </w:pPr>
      <w:bookmarkStart w:id="40" w:name="_Toc15396611"/>
      <w:bookmarkStart w:id="41" w:name="_Toc15377219"/>
      <w:r>
        <w:rPr>
          <w:rStyle w:val="26"/>
          <w:rFonts w:hint="eastAsia" w:ascii="黑体" w:hAnsi="黑体" w:eastAsia="黑体"/>
          <w:b w:val="0"/>
        </w:rPr>
        <w:t>国有资本经营预算支出决算情况说明</w:t>
      </w:r>
      <w:bookmarkEnd w:id="40"/>
      <w:bookmarkEnd w:id="41"/>
    </w:p>
    <w:p w14:paraId="6CCED4C1">
      <w:pPr>
        <w:keepNext w:val="0"/>
        <w:keepLines w:val="0"/>
        <w:pageBreakBefore w:val="0"/>
        <w:widowControl w:val="0"/>
        <w:kinsoku/>
        <w:wordWrap/>
        <w:overflowPunct/>
        <w:topLinePunct w:val="0"/>
        <w:bidi w:val="0"/>
        <w:snapToGrid/>
        <w:spacing w:line="240" w:lineRule="auto"/>
        <w:ind w:firstLine="640" w:firstLineChars="200"/>
        <w:textAlignment w:val="auto"/>
        <w:rPr>
          <w:rFonts w:ascii="方正小标宋简体" w:hAnsi="方正小标宋简体" w:eastAsia="方正小标宋简体" w:cs="方正小标宋简体"/>
          <w:sz w:val="44"/>
          <w:szCs w:val="44"/>
        </w:rPr>
      </w:pPr>
      <w:r>
        <w:rPr>
          <w:rFonts w:hint="eastAsia" w:ascii="仿宋_GB2312" w:eastAsia="仿宋_GB2312"/>
          <w:sz w:val="32"/>
          <w:szCs w:val="32"/>
          <w:lang w:eastAsia="zh-CN"/>
        </w:rPr>
        <w:t>2025年</w:t>
      </w:r>
      <w:r>
        <w:rPr>
          <w:rFonts w:hint="eastAsia" w:ascii="仿宋_GB2312" w:eastAsia="仿宋_GB2312"/>
          <w:sz w:val="32"/>
          <w:szCs w:val="32"/>
        </w:rPr>
        <w:t>国有资本经营预算财政拨款支出0万元。</w:t>
      </w:r>
    </w:p>
    <w:p w14:paraId="6AC80635">
      <w:pPr>
        <w:keepNext w:val="0"/>
        <w:keepLines w:val="0"/>
        <w:pageBreakBefore w:val="0"/>
        <w:widowControl w:val="0"/>
        <w:numPr>
          <w:ilvl w:val="0"/>
          <w:numId w:val="4"/>
        </w:numPr>
        <w:kinsoku/>
        <w:wordWrap/>
        <w:overflowPunct/>
        <w:topLinePunct w:val="0"/>
        <w:bidi w:val="0"/>
        <w:snapToGrid/>
        <w:spacing w:line="240" w:lineRule="auto"/>
        <w:ind w:firstLine="640" w:firstLineChars="200"/>
        <w:textAlignment w:val="auto"/>
        <w:outlineLvl w:val="1"/>
        <w:rPr>
          <w:rStyle w:val="26"/>
          <w:rFonts w:ascii="黑体" w:hAnsi="黑体" w:eastAsia="黑体"/>
          <w:b w:val="0"/>
        </w:rPr>
      </w:pPr>
      <w:bookmarkStart w:id="42" w:name="_Toc15377221"/>
      <w:bookmarkStart w:id="43" w:name="_Toc15396612"/>
      <w:r>
        <w:rPr>
          <w:rStyle w:val="26"/>
          <w:rFonts w:hint="eastAsia" w:ascii="黑体" w:hAnsi="黑体" w:eastAsia="黑体"/>
          <w:b w:val="0"/>
        </w:rPr>
        <w:t>其他重要事项的情况说明</w:t>
      </w:r>
      <w:bookmarkEnd w:id="42"/>
      <w:bookmarkEnd w:id="43"/>
    </w:p>
    <w:p w14:paraId="2847D7CA">
      <w:pPr>
        <w:keepNext w:val="0"/>
        <w:keepLines w:val="0"/>
        <w:pageBreakBefore w:val="0"/>
        <w:widowControl w:val="0"/>
        <w:kinsoku/>
        <w:wordWrap/>
        <w:overflowPunct/>
        <w:topLinePunct w:val="0"/>
        <w:bidi w:val="0"/>
        <w:snapToGrid/>
        <w:spacing w:line="240" w:lineRule="auto"/>
        <w:ind w:firstLine="643" w:firstLineChars="200"/>
        <w:textAlignment w:val="auto"/>
        <w:outlineLvl w:val="2"/>
        <w:rPr>
          <w:rFonts w:ascii="楷体_GB2312" w:hAnsi="楷体_GB2312" w:eastAsia="楷体_GB2312" w:cs="楷体_GB2312"/>
          <w:sz w:val="32"/>
          <w:szCs w:val="32"/>
        </w:rPr>
      </w:pPr>
      <w:bookmarkStart w:id="44" w:name="_Toc15377222"/>
      <w:r>
        <w:rPr>
          <w:rFonts w:hint="eastAsia" w:ascii="楷体_GB2312" w:hAnsi="楷体_GB2312" w:eastAsia="楷体_GB2312" w:cs="楷体_GB2312"/>
          <w:b/>
          <w:sz w:val="32"/>
          <w:szCs w:val="32"/>
        </w:rPr>
        <w:t>（一）机关运行经费支出情况</w:t>
      </w:r>
      <w:bookmarkEnd w:id="44"/>
    </w:p>
    <w:p w14:paraId="4DDEAD05">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2025年本单位无机关运行经费支出。</w:t>
      </w:r>
    </w:p>
    <w:p w14:paraId="2EE8ECF6">
      <w:pPr>
        <w:keepNext w:val="0"/>
        <w:keepLines w:val="0"/>
        <w:pageBreakBefore w:val="0"/>
        <w:widowControl w:val="0"/>
        <w:kinsoku/>
        <w:wordWrap/>
        <w:overflowPunct/>
        <w:topLinePunct w:val="0"/>
        <w:autoSpaceDE w:val="0"/>
        <w:autoSpaceDN w:val="0"/>
        <w:bidi w:val="0"/>
        <w:adjustRightInd w:val="0"/>
        <w:snapToGrid/>
        <w:spacing w:line="240" w:lineRule="auto"/>
        <w:ind w:firstLine="643" w:firstLineChars="200"/>
        <w:textAlignment w:val="auto"/>
        <w:outlineLvl w:val="2"/>
        <w:rPr>
          <w:rFonts w:ascii="楷体_GB2312" w:hAnsi="楷体_GB2312" w:eastAsia="楷体_GB2312" w:cs="楷体_GB2312"/>
          <w:b/>
          <w:sz w:val="32"/>
          <w:szCs w:val="32"/>
        </w:rPr>
      </w:pPr>
      <w:bookmarkStart w:id="45" w:name="_Toc15377223"/>
      <w:r>
        <w:rPr>
          <w:rFonts w:hint="eastAsia" w:ascii="楷体_GB2312" w:hAnsi="楷体_GB2312" w:eastAsia="楷体_GB2312" w:cs="楷体_GB2312"/>
          <w:b/>
          <w:sz w:val="32"/>
          <w:szCs w:val="32"/>
        </w:rPr>
        <w:t>（二）政府采购支出情况</w:t>
      </w:r>
      <w:bookmarkEnd w:id="45"/>
    </w:p>
    <w:p w14:paraId="7C04A7DB">
      <w:pPr>
        <w:keepNext w:val="0"/>
        <w:keepLines w:val="0"/>
        <w:pageBreakBefore w:val="0"/>
        <w:widowControl w:val="0"/>
        <w:kinsoku/>
        <w:wordWrap/>
        <w:overflowPunct/>
        <w:topLinePunct w:val="0"/>
        <w:bidi w:val="0"/>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本单位无</w:t>
      </w:r>
      <w:r>
        <w:rPr>
          <w:rFonts w:hint="eastAsia" w:ascii="仿宋_GB2312" w:hAnsi="仿宋_GB2312" w:eastAsia="仿宋_GB2312" w:cs="仿宋_GB2312"/>
          <w:sz w:val="32"/>
          <w:szCs w:val="32"/>
        </w:rPr>
        <w:t>政府采购支出。</w:t>
      </w:r>
      <w:r>
        <w:rPr>
          <w:rFonts w:ascii="仿宋_GB2312" w:hAnsi="仿宋_GB2312" w:eastAsia="仿宋_GB2312" w:cs="仿宋_GB2312"/>
          <w:sz w:val="32"/>
          <w:szCs w:val="32"/>
        </w:rPr>
        <w:t xml:space="preserve"> </w:t>
      </w:r>
    </w:p>
    <w:p w14:paraId="52667DDE">
      <w:pPr>
        <w:keepNext w:val="0"/>
        <w:keepLines w:val="0"/>
        <w:pageBreakBefore w:val="0"/>
        <w:widowControl w:val="0"/>
        <w:kinsoku/>
        <w:wordWrap/>
        <w:overflowPunct/>
        <w:topLinePunct w:val="0"/>
        <w:autoSpaceDE w:val="0"/>
        <w:autoSpaceDN w:val="0"/>
        <w:bidi w:val="0"/>
        <w:adjustRightInd w:val="0"/>
        <w:snapToGrid/>
        <w:spacing w:line="240" w:lineRule="auto"/>
        <w:ind w:firstLine="643" w:firstLineChars="200"/>
        <w:textAlignment w:val="auto"/>
        <w:outlineLvl w:val="2"/>
        <w:rPr>
          <w:rFonts w:ascii="楷体_GB2312" w:hAnsi="楷体_GB2312" w:eastAsia="楷体_GB2312" w:cs="楷体_GB2312"/>
          <w:b/>
          <w:sz w:val="32"/>
          <w:szCs w:val="32"/>
        </w:rPr>
      </w:pPr>
      <w:bookmarkStart w:id="46" w:name="_Toc15377224"/>
      <w:r>
        <w:rPr>
          <w:rFonts w:hint="eastAsia" w:ascii="楷体_GB2312" w:hAnsi="楷体_GB2312" w:eastAsia="楷体_GB2312" w:cs="楷体_GB2312"/>
          <w:b/>
          <w:sz w:val="32"/>
          <w:szCs w:val="32"/>
        </w:rPr>
        <w:t>（三）国有资产占有使用情况</w:t>
      </w:r>
      <w:bookmarkEnd w:id="46"/>
    </w:p>
    <w:p w14:paraId="3E46E94F">
      <w:pPr>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12月31日，汶川县人大</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val="en-US" w:eastAsia="zh-CN"/>
        </w:rPr>
        <w:t>网络</w:t>
      </w:r>
      <w:r>
        <w:rPr>
          <w:rFonts w:hint="eastAsia" w:ascii="仿宋_GB2312" w:hAnsi="仿宋_GB2312" w:eastAsia="仿宋_GB2312" w:cs="仿宋_GB2312"/>
          <w:sz w:val="32"/>
          <w:szCs w:val="32"/>
        </w:rPr>
        <w:t>中心共有车辆0辆，单价100万元以上专用设备0台（套）。</w:t>
      </w:r>
    </w:p>
    <w:p w14:paraId="27A1C77D">
      <w:pPr>
        <w:keepNext w:val="0"/>
        <w:keepLines w:val="0"/>
        <w:pageBreakBefore w:val="0"/>
        <w:widowControl w:val="0"/>
        <w:kinsoku/>
        <w:wordWrap/>
        <w:overflowPunct/>
        <w:topLinePunct w:val="0"/>
        <w:autoSpaceDE w:val="0"/>
        <w:autoSpaceDN w:val="0"/>
        <w:bidi w:val="0"/>
        <w:adjustRightInd w:val="0"/>
        <w:snapToGrid/>
        <w:spacing w:line="240" w:lineRule="auto"/>
        <w:ind w:firstLine="643" w:firstLineChars="200"/>
        <w:textAlignment w:val="auto"/>
        <w:outlineLvl w:val="2"/>
        <w:rPr>
          <w:rFonts w:ascii="楷体_GB2312" w:hAnsi="楷体_GB2312" w:eastAsia="楷体_GB2312" w:cs="楷体_GB2312"/>
          <w:b/>
          <w:sz w:val="32"/>
          <w:szCs w:val="32"/>
        </w:rPr>
      </w:pPr>
      <w:r>
        <w:rPr>
          <w:rFonts w:hint="eastAsia" w:ascii="楷体_GB2312" w:hAnsi="楷体_GB2312" w:eastAsia="楷体_GB2312" w:cs="楷体_GB2312"/>
          <w:b/>
          <w:sz w:val="32"/>
          <w:szCs w:val="32"/>
        </w:rPr>
        <w:t>（四）预算绩效管理情况</w:t>
      </w:r>
    </w:p>
    <w:p w14:paraId="38B6A567">
      <w:pPr>
        <w:pStyle w:val="2"/>
        <w:keepNext w:val="0"/>
        <w:keepLines w:val="0"/>
        <w:pageBreakBefore w:val="0"/>
        <w:widowControl w:val="0"/>
        <w:kinsoku/>
        <w:wordWrap/>
        <w:overflowPunct/>
        <w:topLinePunct w:val="0"/>
        <w:bidi w:val="0"/>
        <w:snapToGrid/>
        <w:spacing w:beforeLines="0" w:line="240" w:lineRule="auto"/>
        <w:ind w:firstLine="640" w:firstLineChars="200"/>
        <w:textAlignment w:val="auto"/>
        <w:rPr>
          <w:rFonts w:hint="default" w:hAnsi="仿宋_GB2312" w:eastAsia="仿宋_GB2312" w:cs="仿宋_GB2312"/>
          <w:sz w:val="32"/>
          <w:szCs w:val="32"/>
          <w:lang w:val="en-US" w:eastAsia="zh-CN"/>
        </w:rPr>
      </w:pPr>
      <w:r>
        <w:rPr>
          <w:rFonts w:hint="eastAsia" w:hAnsi="仿宋_GB2312" w:cs="仿宋_GB2312"/>
          <w:kern w:val="2"/>
          <w:sz w:val="32"/>
          <w:szCs w:val="32"/>
          <w:lang w:val="en-US" w:eastAsia="zh-CN" w:bidi="ar-SA"/>
        </w:rPr>
        <w:t>2025</w:t>
      </w:r>
      <w:r>
        <w:rPr>
          <w:rFonts w:hint="eastAsia" w:ascii="仿宋_GB2312" w:hAnsi="仿宋_GB2312" w:eastAsia="仿宋_GB2312" w:cs="仿宋_GB2312"/>
          <w:kern w:val="2"/>
          <w:sz w:val="32"/>
          <w:szCs w:val="32"/>
          <w:lang w:val="en-US" w:eastAsia="zh-CN" w:bidi="ar-SA"/>
        </w:rPr>
        <w:t>年</w:t>
      </w:r>
      <w:r>
        <w:rPr>
          <w:rFonts w:hint="eastAsia" w:hAnsi="仿宋_GB2312" w:cs="仿宋_GB2312"/>
          <w:kern w:val="2"/>
          <w:sz w:val="32"/>
          <w:szCs w:val="32"/>
          <w:lang w:val="en-US" w:eastAsia="zh-CN" w:bidi="ar-SA"/>
        </w:rPr>
        <w:t>汶</w:t>
      </w:r>
      <w:r>
        <w:rPr>
          <w:rFonts w:hint="eastAsia" w:ascii="仿宋_GB2312" w:hAnsi="仿宋_GB2312" w:eastAsia="仿宋_GB2312" w:cs="仿宋_GB2312"/>
          <w:sz w:val="32"/>
          <w:szCs w:val="32"/>
        </w:rPr>
        <w:t>川县人大</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val="en-US" w:eastAsia="zh-CN"/>
        </w:rPr>
        <w:t>网络</w:t>
      </w:r>
      <w:r>
        <w:rPr>
          <w:rFonts w:hint="eastAsia" w:ascii="仿宋_GB2312" w:hAnsi="仿宋_GB2312" w:eastAsia="仿宋_GB2312" w:cs="仿宋_GB2312"/>
          <w:sz w:val="32"/>
          <w:szCs w:val="32"/>
        </w:rPr>
        <w:t>中心</w:t>
      </w:r>
      <w:r>
        <w:rPr>
          <w:rFonts w:hint="eastAsia" w:ascii="仿宋_GB2312" w:hAnsi="仿宋_GB2312" w:eastAsia="仿宋_GB2312" w:cs="仿宋_GB2312"/>
          <w:kern w:val="2"/>
          <w:sz w:val="32"/>
          <w:szCs w:val="32"/>
          <w:lang w:val="en-US" w:eastAsia="zh-CN" w:bidi="ar-SA"/>
        </w:rPr>
        <w:t>整体支出67.03万元，支出与目标申报一致。</w:t>
      </w:r>
      <w:r>
        <w:rPr>
          <w:rFonts w:hint="eastAsia" w:hAnsi="仿宋_GB2312" w:cs="仿宋_GB2312"/>
          <w:sz w:val="32"/>
          <w:szCs w:val="32"/>
        </w:rPr>
        <w:t>无项目支出</w:t>
      </w:r>
      <w:r>
        <w:rPr>
          <w:rFonts w:hint="eastAsia" w:hAnsi="仿宋_GB2312" w:cs="仿宋_GB2312"/>
          <w:sz w:val="32"/>
          <w:szCs w:val="32"/>
          <w:lang w:eastAsia="zh-CN"/>
        </w:rPr>
        <w:t>，</w:t>
      </w:r>
      <w:r>
        <w:rPr>
          <w:rFonts w:hint="eastAsia" w:hAnsi="仿宋_GB2312" w:cs="仿宋_GB2312"/>
          <w:sz w:val="32"/>
          <w:szCs w:val="32"/>
          <w:lang w:val="en-US" w:eastAsia="zh-CN"/>
        </w:rPr>
        <w:t>不涉及预算项目支出绩效自评表。</w:t>
      </w:r>
    </w:p>
    <w:p w14:paraId="2E117757">
      <w:pPr>
        <w:keepNext w:val="0"/>
        <w:keepLines w:val="0"/>
        <w:pageBreakBefore w:val="0"/>
        <w:widowControl w:val="0"/>
        <w:kinsoku/>
        <w:wordWrap/>
        <w:overflowPunct/>
        <w:topLinePunct w:val="0"/>
        <w:bidi w:val="0"/>
        <w:snapToGrid/>
        <w:spacing w:line="240" w:lineRule="auto"/>
        <w:ind w:firstLine="880" w:firstLineChars="200"/>
        <w:jc w:val="center"/>
        <w:textAlignment w:val="auto"/>
        <w:outlineLvl w:val="0"/>
        <w:rPr>
          <w:rFonts w:hint="eastAsia" w:ascii="方正小标宋简体" w:hAnsi="方正小标宋简体" w:eastAsia="方正小标宋简体" w:cs="方正小标宋简体"/>
          <w:sz w:val="44"/>
          <w:szCs w:val="44"/>
        </w:rPr>
      </w:pPr>
      <w:bookmarkStart w:id="47" w:name="_Toc15377225"/>
      <w:bookmarkStart w:id="48" w:name="_Toc15396613"/>
    </w:p>
    <w:p w14:paraId="1A3F02E7">
      <w:pPr>
        <w:keepNext w:val="0"/>
        <w:keepLines w:val="0"/>
        <w:pageBreakBefore w:val="0"/>
        <w:widowControl w:val="0"/>
        <w:kinsoku/>
        <w:wordWrap/>
        <w:overflowPunct/>
        <w:topLinePunct w:val="0"/>
        <w:bidi w:val="0"/>
        <w:snapToGrid/>
        <w:spacing w:line="240" w:lineRule="auto"/>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5689CB5D">
      <w:pPr>
        <w:keepNext w:val="0"/>
        <w:keepLines w:val="0"/>
        <w:pageBreakBefore w:val="0"/>
        <w:widowControl w:val="0"/>
        <w:kinsoku/>
        <w:wordWrap/>
        <w:overflowPunct/>
        <w:topLinePunct w:val="0"/>
        <w:bidi w:val="0"/>
        <w:snapToGrid/>
        <w:spacing w:line="240" w:lineRule="auto"/>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43C8B167">
      <w:pPr>
        <w:pStyle w:val="2"/>
        <w:keepNext w:val="0"/>
        <w:keepLines w:val="0"/>
        <w:pageBreakBefore w:val="0"/>
        <w:kinsoku/>
        <w:wordWrap/>
        <w:overflowPunct/>
        <w:topLinePunct w:val="0"/>
        <w:bidi w:val="0"/>
        <w:snapToGrid/>
        <w:spacing w:line="240" w:lineRule="auto"/>
        <w:textAlignment w:val="auto"/>
        <w:rPr>
          <w:rFonts w:hint="eastAsia" w:ascii="方正小标宋简体" w:hAnsi="方正小标宋简体" w:eastAsia="方正小标宋简体" w:cs="方正小标宋简体"/>
          <w:sz w:val="44"/>
          <w:szCs w:val="44"/>
        </w:rPr>
      </w:pPr>
    </w:p>
    <w:p w14:paraId="6CD8628E">
      <w:pPr>
        <w:pStyle w:val="2"/>
        <w:keepNext w:val="0"/>
        <w:keepLines w:val="0"/>
        <w:pageBreakBefore w:val="0"/>
        <w:kinsoku/>
        <w:wordWrap/>
        <w:overflowPunct/>
        <w:topLinePunct w:val="0"/>
        <w:bidi w:val="0"/>
        <w:snapToGrid/>
        <w:spacing w:line="240" w:lineRule="auto"/>
        <w:textAlignment w:val="auto"/>
        <w:rPr>
          <w:rFonts w:hint="eastAsia" w:ascii="方正小标宋简体" w:hAnsi="方正小标宋简体" w:eastAsia="方正小标宋简体" w:cs="方正小标宋简体"/>
          <w:sz w:val="44"/>
          <w:szCs w:val="44"/>
        </w:rPr>
      </w:pPr>
    </w:p>
    <w:p w14:paraId="7FEB1200">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4F685DDD">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Style w:val="25"/>
          <w:rFonts w:ascii="黑体" w:hAnsi="黑体" w:eastAsia="黑体"/>
          <w:b w:val="0"/>
        </w:rPr>
      </w:pPr>
      <w:r>
        <w:rPr>
          <w:rFonts w:hint="eastAsia" w:ascii="方正小标宋简体" w:hAnsi="方正小标宋简体" w:eastAsia="方正小标宋简体" w:cs="方正小标宋简体"/>
          <w:sz w:val="44"/>
          <w:szCs w:val="44"/>
        </w:rPr>
        <w:t>第三部分 名</w:t>
      </w:r>
      <w:r>
        <w:rPr>
          <w:rStyle w:val="25"/>
          <w:rFonts w:hint="eastAsia" w:ascii="方正小标宋简体" w:hAnsi="方正小标宋简体" w:eastAsia="方正小标宋简体" w:cs="方正小标宋简体"/>
          <w:b w:val="0"/>
        </w:rPr>
        <w:t>词解释</w:t>
      </w:r>
      <w:bookmarkEnd w:id="47"/>
      <w:bookmarkEnd w:id="48"/>
    </w:p>
    <w:p w14:paraId="384936A4">
      <w:pPr>
        <w:keepNext w:val="0"/>
        <w:keepLines w:val="0"/>
        <w:pageBreakBefore w:val="0"/>
        <w:widowControl w:val="0"/>
        <w:kinsoku/>
        <w:wordWrap/>
        <w:overflowPunct/>
        <w:topLinePunct w:val="0"/>
        <w:bidi w:val="0"/>
        <w:snapToGrid/>
        <w:spacing w:line="550" w:lineRule="exact"/>
        <w:ind w:firstLine="883" w:firstLineChars="200"/>
        <w:jc w:val="left"/>
        <w:textAlignment w:val="auto"/>
        <w:rPr>
          <w:rFonts w:ascii="宋体"/>
          <w:b/>
          <w:sz w:val="44"/>
          <w:szCs w:val="44"/>
        </w:rPr>
      </w:pPr>
    </w:p>
    <w:p w14:paraId="74B8FCE1">
      <w:pPr>
        <w:pStyle w:val="23"/>
        <w:keepNext w:val="0"/>
        <w:keepLines w:val="0"/>
        <w:pageBreakBefore w:val="0"/>
        <w:widowControl w:val="0"/>
        <w:kinsoku/>
        <w:wordWrap/>
        <w:overflowPunct/>
        <w:topLinePunct w:val="0"/>
        <w:bidi w:val="0"/>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1.财政拨款收入：指单位从同级财政部门取得的财政预算资金。</w:t>
      </w:r>
    </w:p>
    <w:p w14:paraId="335386C1">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2.</w:t>
      </w:r>
      <w:r>
        <w:rPr>
          <w:rStyle w:val="15"/>
          <w:rFonts w:hint="eastAsia" w:ascii="仿宋_GB2312" w:hAnsi="仿宋_GB2312" w:eastAsia="仿宋_GB2312" w:cs="仿宋_GB2312"/>
          <w:bCs/>
          <w:sz w:val="32"/>
          <w:szCs w:val="32"/>
        </w:rPr>
        <w:t xml:space="preserve"> </w:t>
      </w:r>
      <w:r>
        <w:rPr>
          <w:rFonts w:hint="eastAsia" w:ascii="仿宋_GB2312" w:hAnsi="仿宋_GB2312" w:eastAsia="仿宋_GB2312" w:cs="仿宋_GB2312"/>
          <w:kern w:val="0"/>
          <w:sz w:val="32"/>
          <w:szCs w:val="32"/>
        </w:rPr>
        <w:t>一般公共服务（类）人大事务（款）事业运行（项）：指事业单位的基本支出。</w:t>
      </w:r>
    </w:p>
    <w:p w14:paraId="33804E71">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Style w:val="15"/>
          <w:rFonts w:hint="eastAsia" w:ascii="仿宋_GB2312" w:hAnsi="仿宋_GB2312" w:eastAsia="仿宋_GB2312" w:cs="仿宋_GB2312"/>
          <w:bCs/>
          <w:sz w:val="32"/>
          <w:szCs w:val="32"/>
        </w:rPr>
        <w:t xml:space="preserve"> </w:t>
      </w:r>
      <w:r>
        <w:rPr>
          <w:rFonts w:hint="eastAsia" w:ascii="仿宋_GB2312" w:hAnsi="仿宋_GB2312" w:eastAsia="仿宋_GB2312" w:cs="仿宋_GB2312"/>
          <w:kern w:val="0"/>
          <w:sz w:val="32"/>
          <w:szCs w:val="32"/>
        </w:rPr>
        <w:t>社会保障和就业（类）行政事业单位养老支出（款）机关事业单位基本养老保险缴费支出（项）：</w:t>
      </w:r>
      <w:r>
        <w:rPr>
          <w:rFonts w:hint="eastAsia" w:ascii="仿宋_GB2312" w:hAnsi="仿宋_GB2312" w:eastAsia="仿宋_GB2312" w:cs="仿宋_GB2312"/>
          <w:sz w:val="32"/>
          <w:szCs w:val="32"/>
        </w:rPr>
        <w:t>指用于机关事业单位基本养老保险缴费支出。</w:t>
      </w:r>
    </w:p>
    <w:p w14:paraId="503BFBBB">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Style w:val="15"/>
          <w:rFonts w:hint="eastAsia" w:ascii="仿宋_GB2312" w:hAnsi="仿宋_GB2312" w:eastAsia="仿宋_GB2312" w:cs="仿宋_GB2312"/>
          <w:bCs/>
          <w:sz w:val="32"/>
          <w:szCs w:val="32"/>
        </w:rPr>
        <w:t xml:space="preserve"> </w:t>
      </w:r>
      <w:r>
        <w:rPr>
          <w:rFonts w:hint="eastAsia" w:ascii="仿宋_GB2312" w:hAnsi="仿宋_GB2312" w:eastAsia="仿宋_GB2312" w:cs="仿宋_GB2312"/>
          <w:kern w:val="0"/>
          <w:sz w:val="32"/>
          <w:szCs w:val="32"/>
        </w:rPr>
        <w:t>社会保障和就业（类）行政事业单位养老支出（款）机关事业单位职业年金缴费支出（项）：指</w:t>
      </w:r>
      <w:r>
        <w:rPr>
          <w:rFonts w:hint="eastAsia" w:ascii="仿宋_GB2312" w:hAnsi="仿宋_GB2312" w:eastAsia="仿宋_GB2312" w:cs="仿宋_GB2312"/>
          <w:sz w:val="32"/>
          <w:szCs w:val="32"/>
        </w:rPr>
        <w:t>机关事业单位职业年金缴费支出。</w:t>
      </w:r>
    </w:p>
    <w:p w14:paraId="5458D9A7">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bCs/>
          <w:sz w:val="32"/>
          <w:szCs w:val="32"/>
        </w:rPr>
        <w:t xml:space="preserve"> 卫生健康</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类</w:t>
      </w:r>
      <w:r>
        <w:rPr>
          <w:rFonts w:hint="eastAsia" w:ascii="仿宋_GB2312" w:hAnsi="仿宋_GB2312" w:eastAsia="仿宋_GB2312" w:cs="仿宋_GB2312"/>
          <w:kern w:val="0"/>
          <w:sz w:val="32"/>
          <w:szCs w:val="32"/>
        </w:rPr>
        <w:t>）行政事业单位医疗（</w:t>
      </w:r>
      <w:r>
        <w:rPr>
          <w:rFonts w:hint="eastAsia" w:ascii="仿宋_GB2312" w:hAnsi="仿宋_GB2312" w:eastAsia="仿宋_GB2312" w:cs="仿宋_GB2312"/>
          <w:kern w:val="0"/>
          <w:sz w:val="32"/>
          <w:szCs w:val="32"/>
          <w:lang w:val="en-US" w:eastAsia="zh-CN"/>
        </w:rPr>
        <w:t>款</w:t>
      </w:r>
      <w:r>
        <w:rPr>
          <w:rFonts w:hint="eastAsia" w:ascii="仿宋_GB2312" w:hAnsi="仿宋_GB2312" w:eastAsia="仿宋_GB2312" w:cs="仿宋_GB2312"/>
          <w:kern w:val="0"/>
          <w:sz w:val="32"/>
          <w:szCs w:val="32"/>
        </w:rPr>
        <w:t>）事业单位医疗（项）: 指财政部门集中安排的事业单位基本医疗保险缴费</w:t>
      </w:r>
      <w:r>
        <w:rPr>
          <w:rFonts w:hint="eastAsia" w:ascii="仿宋_GB2312" w:hAnsi="仿宋_GB2312" w:eastAsia="仿宋_GB2312" w:cs="仿宋_GB2312"/>
          <w:bCs/>
          <w:sz w:val="32"/>
          <w:szCs w:val="32"/>
        </w:rPr>
        <w:t>。</w:t>
      </w:r>
    </w:p>
    <w:p w14:paraId="7D939DE5">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 卫生健康</w:t>
      </w:r>
      <w:r>
        <w:rPr>
          <w:rFonts w:hint="eastAsia" w:ascii="仿宋_GB2312" w:eastAsia="仿宋_GB2312"/>
          <w:sz w:val="32"/>
          <w:szCs w:val="32"/>
        </w:rPr>
        <w:t>（类）行政事业单位医疗（款）</w:t>
      </w:r>
      <w:r>
        <w:rPr>
          <w:rFonts w:hint="eastAsia" w:ascii="仿宋_GB2312" w:hAnsi="仿宋_GB2312" w:eastAsia="仿宋_GB2312" w:cs="仿宋_GB2312"/>
          <w:sz w:val="32"/>
          <w:szCs w:val="32"/>
        </w:rPr>
        <w:t>其他行政事业单位医疗支出（项）：指</w:t>
      </w:r>
      <w:r>
        <w:rPr>
          <w:rFonts w:hint="eastAsia" w:ascii="仿宋_GB2312" w:hAnsi="仿宋_GB2312" w:eastAsia="仿宋_GB2312" w:cs="仿宋_GB2312"/>
          <w:kern w:val="0"/>
          <w:sz w:val="32"/>
          <w:szCs w:val="32"/>
        </w:rPr>
        <w:t>财政部门集中安排的事业单位医疗补助缴费</w:t>
      </w:r>
      <w:r>
        <w:rPr>
          <w:rFonts w:hint="eastAsia" w:ascii="仿宋_GB2312" w:hAnsi="仿宋_GB2312" w:eastAsia="仿宋_GB2312" w:cs="仿宋_GB2312"/>
          <w:sz w:val="32"/>
          <w:szCs w:val="32"/>
        </w:rPr>
        <w:t>。</w:t>
      </w:r>
    </w:p>
    <w:p w14:paraId="694175B0">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hAnsi="仿宋_GB2312" w:cs="仿宋_GB2312"/>
          <w:b/>
          <w:bCs/>
          <w:sz w:val="32"/>
          <w:szCs w:val="32"/>
        </w:rPr>
        <w:t xml:space="preserve"> </w:t>
      </w:r>
      <w:r>
        <w:rPr>
          <w:rFonts w:hint="eastAsia" w:ascii="仿宋_GB2312" w:hAnsi="仿宋_GB2312" w:eastAsia="仿宋_GB2312" w:cs="仿宋_GB2312"/>
          <w:bCs/>
          <w:sz w:val="32"/>
          <w:szCs w:val="32"/>
        </w:rPr>
        <w:t>住房保障支出（类）住房改革支出（款）住房公积金（项）</w:t>
      </w:r>
      <w:r>
        <w:rPr>
          <w:rFonts w:hint="eastAsia" w:ascii="仿宋_GB2312" w:hAnsi="仿宋_GB2312" w:eastAsia="仿宋_GB2312" w:cs="仿宋_GB2312"/>
          <w:sz w:val="32"/>
          <w:szCs w:val="32"/>
        </w:rPr>
        <w:t>：指用于按政策规定为职工缴纳的住房公积金支出。</w:t>
      </w:r>
    </w:p>
    <w:p w14:paraId="11944871">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8.基本支出：指为保障机构正常运转、完成日常工作任务而发生的人员支出和公用支出。</w:t>
      </w:r>
    </w:p>
    <w:p w14:paraId="60AF626C">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9.项目支出：指在基本支出之外为完成特定行政任务和事业发展目标所发生的支出。 </w:t>
      </w:r>
    </w:p>
    <w:p w14:paraId="044B5D8F">
      <w:pPr>
        <w:keepNext w:val="0"/>
        <w:keepLines w:val="0"/>
        <w:pageBreakBefore w:val="0"/>
        <w:widowControl w:val="0"/>
        <w:kinsoku/>
        <w:wordWrap/>
        <w:overflowPunct/>
        <w:topLinePunct w:val="0"/>
        <w:bidi w:val="0"/>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10.经营支出：指事业单位在专业业务活动及其辅助活动之外开展非独立核算经营活动发生的支出。</w:t>
      </w:r>
    </w:p>
    <w:p w14:paraId="31D3EB77">
      <w:pPr>
        <w:pStyle w:val="23"/>
        <w:keepNext w:val="0"/>
        <w:keepLines w:val="0"/>
        <w:pageBreakBefore w:val="0"/>
        <w:widowControl w:val="0"/>
        <w:kinsoku/>
        <w:wordWrap/>
        <w:overflowPunct/>
        <w:topLinePunct w:val="0"/>
        <w:bidi w:val="0"/>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513CFCC">
      <w:pPr>
        <w:pStyle w:val="23"/>
        <w:keepNext w:val="0"/>
        <w:keepLines w:val="0"/>
        <w:pageBreakBefore w:val="0"/>
        <w:widowControl w:val="0"/>
        <w:kinsoku/>
        <w:wordWrap/>
        <w:overflowPunct/>
        <w:topLinePunct w:val="0"/>
        <w:bidi w:val="0"/>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CA737E2">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bookmarkStart w:id="49" w:name="_Toc15396614"/>
      <w:bookmarkStart w:id="50" w:name="_Toc15377226"/>
    </w:p>
    <w:p w14:paraId="43671CE4">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43684C8E">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08CFBE46">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6341E11F">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51A7ECA3">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33B40C6E">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13CB8198">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03059E1E">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6739BE1D">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Fonts w:hint="eastAsia" w:ascii="方正小标宋简体" w:hAnsi="方正小标宋简体" w:eastAsia="方正小标宋简体" w:cs="方正小标宋简体"/>
          <w:sz w:val="44"/>
          <w:szCs w:val="44"/>
        </w:rPr>
      </w:pPr>
    </w:p>
    <w:p w14:paraId="744F4E26">
      <w:pPr>
        <w:keepNext w:val="0"/>
        <w:keepLines w:val="0"/>
        <w:pageBreakBefore w:val="0"/>
        <w:widowControl w:val="0"/>
        <w:kinsoku/>
        <w:wordWrap/>
        <w:overflowPunct/>
        <w:topLinePunct w:val="0"/>
        <w:bidi w:val="0"/>
        <w:snapToGrid/>
        <w:spacing w:line="550" w:lineRule="exact"/>
        <w:ind w:firstLine="880" w:firstLineChars="200"/>
        <w:jc w:val="center"/>
        <w:textAlignment w:val="auto"/>
        <w:outlineLvl w:val="0"/>
        <w:rPr>
          <w:rStyle w:val="25"/>
          <w:rFonts w:ascii="仿宋_GB2312" w:hAnsi="仿宋_GB2312" w:eastAsia="仿宋_GB2312" w:cs="仿宋_GB2312"/>
          <w:b w:val="0"/>
          <w:sz w:val="32"/>
          <w:szCs w:val="32"/>
        </w:rPr>
      </w:pPr>
      <w:r>
        <w:rPr>
          <w:rFonts w:hint="eastAsia" w:ascii="方正小标宋简体" w:hAnsi="方正小标宋简体" w:eastAsia="方正小标宋简体" w:cs="方正小标宋简体"/>
          <w:sz w:val="44"/>
          <w:szCs w:val="44"/>
        </w:rPr>
        <w:t>第</w:t>
      </w:r>
      <w:r>
        <w:rPr>
          <w:rStyle w:val="25"/>
          <w:rFonts w:hint="eastAsia" w:ascii="方正小标宋简体" w:hAnsi="方正小标宋简体" w:eastAsia="方正小标宋简体" w:cs="方正小标宋简体"/>
          <w:b w:val="0"/>
        </w:rPr>
        <w:t>四部分 附件</w:t>
      </w:r>
      <w:bookmarkEnd w:id="49"/>
    </w:p>
    <w:p w14:paraId="5B6DA548">
      <w:pPr>
        <w:spacing w:line="576" w:lineRule="exact"/>
        <w:outlineLvl w:val="0"/>
        <w:rPr>
          <w:rFonts w:ascii="仿宋_GB2312" w:hAnsi="仿宋_GB2312" w:eastAsia="仿宋_GB2312" w:cs="仿宋_GB2312"/>
          <w:sz w:val="32"/>
          <w:szCs w:val="32"/>
        </w:rPr>
      </w:pPr>
    </w:p>
    <w:p w14:paraId="1C8D45C5">
      <w:pPr>
        <w:spacing w:line="576" w:lineRule="exact"/>
        <w:outlineLvl w:val="0"/>
        <w:rPr>
          <w:rFonts w:ascii="黑体" w:hAnsi="黑体" w:eastAsia="黑体" w:cs="黑体"/>
          <w:kern w:val="0"/>
          <w:sz w:val="32"/>
          <w:szCs w:val="32"/>
        </w:rPr>
      </w:pPr>
      <w:bookmarkStart w:id="51" w:name="_Toc15396618"/>
      <w:r>
        <w:rPr>
          <w:rFonts w:hint="eastAsia" w:ascii="黑体" w:hAnsi="黑体" w:eastAsia="黑体" w:cs="黑体"/>
          <w:kern w:val="0"/>
          <w:sz w:val="32"/>
          <w:szCs w:val="32"/>
        </w:rPr>
        <w:t>部门预算项目支出绩效自评表（</w:t>
      </w:r>
      <w:r>
        <w:rPr>
          <w:rFonts w:hint="eastAsia" w:ascii="黑体" w:hAnsi="黑体" w:eastAsia="黑体" w:cs="黑体"/>
          <w:kern w:val="0"/>
          <w:sz w:val="32"/>
          <w:szCs w:val="32"/>
          <w:lang w:eastAsia="zh-CN"/>
        </w:rPr>
        <w:t>2025年</w:t>
      </w:r>
      <w:r>
        <w:rPr>
          <w:rFonts w:hint="eastAsia" w:ascii="黑体" w:hAnsi="黑体" w:eastAsia="黑体" w:cs="黑体"/>
          <w:kern w:val="0"/>
          <w:sz w:val="32"/>
          <w:szCs w:val="32"/>
        </w:rPr>
        <w:t>度）</w:t>
      </w:r>
    </w:p>
    <w:p w14:paraId="27AFCC52">
      <w:pPr>
        <w:spacing w:line="576" w:lineRule="exact"/>
        <w:outlineLvl w:val="0"/>
        <w:rPr>
          <w:rFonts w:hint="eastAsia" w:ascii="仿宋_GB2312" w:hAnsi="Calibri" w:eastAsia="仿宋_GB2312" w:cs="仿宋"/>
          <w:kern w:val="0"/>
          <w:sz w:val="32"/>
          <w:szCs w:val="32"/>
          <w:lang w:eastAsia="zh-CN"/>
        </w:rPr>
      </w:pPr>
      <w:r>
        <w:rPr>
          <w:rFonts w:hint="eastAsia" w:ascii="仿宋_GB2312" w:hAnsi="Calibri" w:eastAsia="仿宋_GB2312" w:cs="仿宋"/>
          <w:kern w:val="0"/>
          <w:sz w:val="32"/>
          <w:szCs w:val="32"/>
        </w:rPr>
        <w:t>本单位无项目支出</w:t>
      </w:r>
      <w:r>
        <w:rPr>
          <w:rFonts w:hint="eastAsia" w:ascii="仿宋_GB2312" w:hAnsi="Calibri" w:eastAsia="仿宋_GB2312" w:cs="仿宋"/>
          <w:kern w:val="0"/>
          <w:sz w:val="32"/>
          <w:szCs w:val="32"/>
          <w:lang w:eastAsia="zh-CN"/>
        </w:rPr>
        <w:t>。</w:t>
      </w:r>
    </w:p>
    <w:p w14:paraId="04D762C1">
      <w:pPr>
        <w:pStyle w:val="2"/>
        <w:spacing w:before="93"/>
        <w:rPr>
          <w:rFonts w:hAnsi="Calibri" w:cs="仿宋"/>
          <w:sz w:val="32"/>
          <w:szCs w:val="32"/>
        </w:rPr>
      </w:pPr>
    </w:p>
    <w:p w14:paraId="6B540FD7">
      <w:pPr>
        <w:pStyle w:val="2"/>
        <w:spacing w:before="93"/>
        <w:rPr>
          <w:rFonts w:hAnsi="Calibri" w:cs="仿宋"/>
          <w:sz w:val="32"/>
          <w:szCs w:val="32"/>
        </w:rPr>
      </w:pPr>
    </w:p>
    <w:p w14:paraId="02D63554">
      <w:pPr>
        <w:pStyle w:val="2"/>
        <w:spacing w:before="93"/>
        <w:rPr>
          <w:rFonts w:hAnsi="Calibri" w:cs="仿宋"/>
          <w:sz w:val="32"/>
          <w:szCs w:val="32"/>
        </w:rPr>
      </w:pPr>
    </w:p>
    <w:p w14:paraId="4C535F95">
      <w:pPr>
        <w:pStyle w:val="2"/>
        <w:spacing w:before="93"/>
        <w:rPr>
          <w:rFonts w:hAnsi="Calibri" w:cs="仿宋"/>
          <w:sz w:val="32"/>
          <w:szCs w:val="32"/>
        </w:rPr>
      </w:pPr>
    </w:p>
    <w:p w14:paraId="424C9640">
      <w:pPr>
        <w:pStyle w:val="2"/>
        <w:spacing w:before="93"/>
        <w:rPr>
          <w:rFonts w:hAnsi="Calibri" w:cs="仿宋"/>
          <w:sz w:val="32"/>
          <w:szCs w:val="32"/>
        </w:rPr>
      </w:pPr>
    </w:p>
    <w:p w14:paraId="64FC67AD">
      <w:pPr>
        <w:pStyle w:val="2"/>
        <w:spacing w:before="93"/>
        <w:rPr>
          <w:rFonts w:hAnsi="Calibri" w:cs="仿宋"/>
          <w:sz w:val="32"/>
          <w:szCs w:val="32"/>
        </w:rPr>
      </w:pPr>
    </w:p>
    <w:p w14:paraId="14B3F156">
      <w:pPr>
        <w:pStyle w:val="2"/>
        <w:spacing w:before="93"/>
        <w:rPr>
          <w:rFonts w:hAnsi="Calibri" w:cs="仿宋"/>
          <w:sz w:val="32"/>
          <w:szCs w:val="32"/>
        </w:rPr>
      </w:pPr>
    </w:p>
    <w:p w14:paraId="40532D10">
      <w:pPr>
        <w:pStyle w:val="2"/>
        <w:spacing w:before="93"/>
        <w:rPr>
          <w:rFonts w:hAnsi="Calibri" w:cs="仿宋"/>
          <w:sz w:val="32"/>
          <w:szCs w:val="32"/>
        </w:rPr>
      </w:pPr>
    </w:p>
    <w:p w14:paraId="71B0FAEC">
      <w:pPr>
        <w:pStyle w:val="2"/>
        <w:spacing w:before="93"/>
        <w:rPr>
          <w:rFonts w:hAnsi="Calibri" w:cs="仿宋"/>
          <w:sz w:val="32"/>
          <w:szCs w:val="32"/>
        </w:rPr>
      </w:pPr>
    </w:p>
    <w:p w14:paraId="509DA344">
      <w:pPr>
        <w:pStyle w:val="2"/>
        <w:spacing w:before="93"/>
        <w:rPr>
          <w:rFonts w:hAnsi="Calibri" w:cs="仿宋"/>
          <w:sz w:val="32"/>
          <w:szCs w:val="32"/>
        </w:rPr>
      </w:pPr>
    </w:p>
    <w:p w14:paraId="514BDB7A">
      <w:pPr>
        <w:pStyle w:val="2"/>
        <w:spacing w:before="93"/>
        <w:rPr>
          <w:rFonts w:hAnsi="Calibri" w:cs="仿宋"/>
          <w:sz w:val="32"/>
          <w:szCs w:val="32"/>
        </w:rPr>
      </w:pPr>
    </w:p>
    <w:p w14:paraId="157F734A">
      <w:pPr>
        <w:pStyle w:val="2"/>
        <w:spacing w:before="93"/>
        <w:rPr>
          <w:rFonts w:hAnsi="Calibri" w:cs="仿宋"/>
          <w:sz w:val="32"/>
          <w:szCs w:val="32"/>
        </w:rPr>
      </w:pPr>
    </w:p>
    <w:p w14:paraId="0EAC8A56">
      <w:pPr>
        <w:pStyle w:val="2"/>
        <w:spacing w:before="93"/>
        <w:rPr>
          <w:rFonts w:hAnsi="Calibri" w:cs="仿宋"/>
          <w:sz w:val="32"/>
          <w:szCs w:val="32"/>
        </w:rPr>
      </w:pPr>
    </w:p>
    <w:p w14:paraId="4684538B">
      <w:pPr>
        <w:pStyle w:val="2"/>
        <w:spacing w:before="93"/>
        <w:rPr>
          <w:rFonts w:hAnsi="Calibri" w:cs="仿宋"/>
          <w:sz w:val="32"/>
          <w:szCs w:val="32"/>
        </w:rPr>
      </w:pPr>
    </w:p>
    <w:p w14:paraId="18D5EAE1">
      <w:pPr>
        <w:pStyle w:val="2"/>
        <w:spacing w:before="93"/>
        <w:rPr>
          <w:rFonts w:hAnsi="Calibri" w:cs="仿宋"/>
          <w:sz w:val="32"/>
          <w:szCs w:val="32"/>
        </w:rPr>
      </w:pPr>
    </w:p>
    <w:p w14:paraId="2DD4201F">
      <w:pPr>
        <w:pStyle w:val="2"/>
        <w:spacing w:before="93"/>
        <w:rPr>
          <w:rFonts w:hAnsi="Calibri" w:cs="仿宋"/>
          <w:sz w:val="32"/>
          <w:szCs w:val="32"/>
        </w:rPr>
      </w:pPr>
    </w:p>
    <w:p w14:paraId="3AA5561C">
      <w:pPr>
        <w:spacing w:line="576" w:lineRule="exact"/>
        <w:jc w:val="center"/>
        <w:outlineLvl w:val="0"/>
        <w:rPr>
          <w:rStyle w:val="25"/>
          <w:rFonts w:ascii="方正小标宋简体" w:hAnsi="方正小标宋简体" w:eastAsia="方正小标宋简体" w:cs="方正小标宋简体"/>
          <w:b w:val="0"/>
        </w:rPr>
      </w:pPr>
      <w:r>
        <w:rPr>
          <w:rStyle w:val="25"/>
          <w:rFonts w:hint="eastAsia" w:ascii="方正小标宋简体" w:hAnsi="方正小标宋简体" w:eastAsia="方正小标宋简体" w:cs="方正小标宋简体"/>
          <w:b w:val="0"/>
        </w:rPr>
        <w:t>第五部分 附表</w:t>
      </w:r>
      <w:bookmarkEnd w:id="50"/>
      <w:bookmarkEnd w:id="51"/>
      <w:bookmarkStart w:id="52" w:name="_Toc15396619"/>
    </w:p>
    <w:p w14:paraId="7769C22C">
      <w:pPr>
        <w:spacing w:line="576" w:lineRule="exact"/>
        <w:ind w:firstLine="640" w:firstLineChars="200"/>
        <w:outlineLvl w:val="0"/>
        <w:rPr>
          <w:rStyle w:val="26"/>
          <w:rFonts w:ascii="黑体" w:hAnsi="黑体" w:eastAsia="黑体" w:cs="黑体"/>
          <w:b w:val="0"/>
          <w:bCs w:val="0"/>
        </w:rPr>
      </w:pPr>
    </w:p>
    <w:p w14:paraId="53FBEA24">
      <w:pPr>
        <w:spacing w:line="576" w:lineRule="exact"/>
        <w:ind w:firstLine="640" w:firstLineChars="200"/>
        <w:outlineLvl w:val="0"/>
        <w:rPr>
          <w:rStyle w:val="26"/>
          <w:rFonts w:hint="eastAsia" w:ascii="仿宋_GB2312" w:hAnsi="仿宋_GB2312" w:eastAsia="仿宋_GB2312" w:cs="仿宋_GB2312"/>
          <w:b w:val="0"/>
          <w:bCs w:val="0"/>
        </w:rPr>
      </w:pPr>
      <w:r>
        <w:rPr>
          <w:rStyle w:val="26"/>
          <w:rFonts w:hint="eastAsia" w:ascii="仿宋_GB2312" w:hAnsi="仿宋_GB2312" w:eastAsia="仿宋_GB2312" w:cs="仿宋_GB2312"/>
          <w:b w:val="0"/>
          <w:bCs w:val="0"/>
        </w:rPr>
        <w:t>一、收入支出决算总表</w:t>
      </w:r>
      <w:bookmarkEnd w:id="52"/>
    </w:p>
    <w:p w14:paraId="18A86465">
      <w:pPr>
        <w:pStyle w:val="4"/>
        <w:spacing w:before="0" w:after="0" w:line="576" w:lineRule="exact"/>
        <w:ind w:firstLine="640" w:firstLineChars="200"/>
        <w:rPr>
          <w:rFonts w:hint="eastAsia" w:ascii="仿宋_GB2312" w:hAnsi="仿宋_GB2312" w:eastAsia="仿宋_GB2312" w:cs="仿宋_GB2312"/>
        </w:rPr>
      </w:pPr>
      <w:bookmarkStart w:id="53" w:name="_Toc15396620"/>
      <w:r>
        <w:rPr>
          <w:rFonts w:hint="eastAsia" w:ascii="仿宋_GB2312" w:hAnsi="仿宋_GB2312" w:eastAsia="仿宋_GB2312" w:cs="仿宋_GB2312"/>
          <w:b w:val="0"/>
        </w:rPr>
        <w:t>二、收</w:t>
      </w:r>
      <w:r>
        <w:rPr>
          <w:rStyle w:val="26"/>
          <w:rFonts w:hint="eastAsia" w:ascii="仿宋_GB2312" w:hAnsi="仿宋_GB2312" w:eastAsia="仿宋_GB2312" w:cs="仿宋_GB2312"/>
          <w:b w:val="0"/>
          <w:bCs w:val="0"/>
        </w:rPr>
        <w:t>入决算表</w:t>
      </w:r>
      <w:bookmarkEnd w:id="53"/>
    </w:p>
    <w:p w14:paraId="049D0956">
      <w:pPr>
        <w:pStyle w:val="4"/>
        <w:spacing w:before="0" w:after="0" w:line="576" w:lineRule="exact"/>
        <w:ind w:firstLine="640" w:firstLineChars="200"/>
        <w:rPr>
          <w:rFonts w:hint="eastAsia" w:ascii="仿宋_GB2312" w:hAnsi="仿宋_GB2312" w:eastAsia="仿宋_GB2312" w:cs="仿宋_GB2312"/>
        </w:rPr>
      </w:pPr>
      <w:bookmarkStart w:id="54" w:name="_Toc15396621"/>
      <w:r>
        <w:rPr>
          <w:rStyle w:val="26"/>
          <w:rFonts w:hint="eastAsia" w:ascii="仿宋_GB2312" w:hAnsi="仿宋_GB2312" w:eastAsia="仿宋_GB2312" w:cs="仿宋_GB2312"/>
          <w:b w:val="0"/>
          <w:bCs w:val="0"/>
        </w:rPr>
        <w:t>三、</w:t>
      </w:r>
      <w:r>
        <w:rPr>
          <w:rFonts w:hint="eastAsia" w:ascii="仿宋_GB2312" w:hAnsi="仿宋_GB2312" w:eastAsia="仿宋_GB2312" w:cs="仿宋_GB2312"/>
          <w:b w:val="0"/>
        </w:rPr>
        <w:t>支</w:t>
      </w:r>
      <w:r>
        <w:rPr>
          <w:rStyle w:val="26"/>
          <w:rFonts w:hint="eastAsia" w:ascii="仿宋_GB2312" w:hAnsi="仿宋_GB2312" w:eastAsia="仿宋_GB2312" w:cs="仿宋_GB2312"/>
          <w:b w:val="0"/>
          <w:bCs w:val="0"/>
        </w:rPr>
        <w:t>出决算表</w:t>
      </w:r>
      <w:bookmarkEnd w:id="54"/>
    </w:p>
    <w:p w14:paraId="54F46371">
      <w:pPr>
        <w:pStyle w:val="4"/>
        <w:spacing w:before="0" w:after="0" w:line="576" w:lineRule="exact"/>
        <w:ind w:firstLine="640" w:firstLineChars="200"/>
        <w:rPr>
          <w:rFonts w:hint="eastAsia" w:ascii="仿宋_GB2312" w:hAnsi="仿宋_GB2312" w:eastAsia="仿宋_GB2312" w:cs="仿宋_GB2312"/>
          <w:b w:val="0"/>
        </w:rPr>
      </w:pPr>
      <w:bookmarkStart w:id="55" w:name="_Toc15396622"/>
      <w:r>
        <w:rPr>
          <w:rStyle w:val="26"/>
          <w:rFonts w:hint="eastAsia" w:ascii="仿宋_GB2312" w:hAnsi="仿宋_GB2312" w:eastAsia="仿宋_GB2312" w:cs="仿宋_GB2312"/>
          <w:b w:val="0"/>
          <w:bCs w:val="0"/>
        </w:rPr>
        <w:t>四、</w:t>
      </w:r>
      <w:r>
        <w:rPr>
          <w:rFonts w:hint="eastAsia" w:ascii="仿宋_GB2312" w:hAnsi="仿宋_GB2312" w:eastAsia="仿宋_GB2312" w:cs="仿宋_GB2312"/>
          <w:b w:val="0"/>
        </w:rPr>
        <w:t>财</w:t>
      </w:r>
      <w:r>
        <w:rPr>
          <w:rStyle w:val="26"/>
          <w:rFonts w:hint="eastAsia" w:ascii="仿宋_GB2312" w:hAnsi="仿宋_GB2312" w:eastAsia="仿宋_GB2312" w:cs="仿宋_GB2312"/>
          <w:b w:val="0"/>
          <w:bCs w:val="0"/>
        </w:rPr>
        <w:t>政拨款收入支出决算总表</w:t>
      </w:r>
      <w:bookmarkEnd w:id="55"/>
    </w:p>
    <w:p w14:paraId="50BD5E35">
      <w:pPr>
        <w:pStyle w:val="4"/>
        <w:spacing w:before="0" w:after="0" w:line="576" w:lineRule="exact"/>
        <w:ind w:firstLine="640" w:firstLineChars="200"/>
        <w:rPr>
          <w:rStyle w:val="26"/>
          <w:rFonts w:hint="eastAsia" w:ascii="仿宋_GB2312" w:hAnsi="仿宋_GB2312" w:eastAsia="仿宋_GB2312" w:cs="仿宋_GB2312"/>
          <w:b w:val="0"/>
          <w:bCs w:val="0"/>
        </w:rPr>
      </w:pPr>
      <w:bookmarkStart w:id="56" w:name="_Toc15396623"/>
      <w:r>
        <w:rPr>
          <w:rStyle w:val="26"/>
          <w:rFonts w:hint="eastAsia" w:ascii="仿宋_GB2312" w:hAnsi="仿宋_GB2312" w:eastAsia="仿宋_GB2312" w:cs="仿宋_GB2312"/>
          <w:b w:val="0"/>
          <w:bCs w:val="0"/>
        </w:rPr>
        <w:t>五、</w:t>
      </w:r>
      <w:r>
        <w:rPr>
          <w:rFonts w:hint="eastAsia" w:ascii="仿宋_GB2312" w:hAnsi="仿宋_GB2312" w:eastAsia="仿宋_GB2312" w:cs="仿宋_GB2312"/>
          <w:b w:val="0"/>
        </w:rPr>
        <w:t>财</w:t>
      </w:r>
      <w:r>
        <w:rPr>
          <w:rStyle w:val="26"/>
          <w:rFonts w:hint="eastAsia" w:ascii="仿宋_GB2312" w:hAnsi="仿宋_GB2312" w:eastAsia="仿宋_GB2312" w:cs="仿宋_GB2312"/>
          <w:b w:val="0"/>
          <w:bCs w:val="0"/>
        </w:rPr>
        <w:t>政拨款支出决算明细表</w:t>
      </w:r>
      <w:bookmarkEnd w:id="56"/>
      <w:bookmarkStart w:id="57" w:name="_Toc15396624"/>
    </w:p>
    <w:p w14:paraId="09157EF0">
      <w:pPr>
        <w:pStyle w:val="4"/>
        <w:spacing w:before="0" w:after="0" w:line="576" w:lineRule="exact"/>
        <w:ind w:firstLine="640" w:firstLineChars="200"/>
        <w:rPr>
          <w:rFonts w:hint="eastAsia" w:ascii="仿宋_GB2312" w:hAnsi="仿宋_GB2312" w:eastAsia="仿宋_GB2312" w:cs="仿宋_GB2312"/>
        </w:rPr>
      </w:pPr>
      <w:r>
        <w:rPr>
          <w:rStyle w:val="26"/>
          <w:rFonts w:hint="eastAsia" w:ascii="仿宋_GB2312" w:hAnsi="仿宋_GB2312" w:eastAsia="仿宋_GB2312" w:cs="仿宋_GB2312"/>
          <w:b w:val="0"/>
          <w:bCs w:val="0"/>
        </w:rPr>
        <w:t>六、</w:t>
      </w:r>
      <w:r>
        <w:rPr>
          <w:rFonts w:hint="eastAsia" w:ascii="仿宋_GB2312" w:hAnsi="仿宋_GB2312" w:eastAsia="仿宋_GB2312" w:cs="仿宋_GB2312"/>
          <w:b w:val="0"/>
        </w:rPr>
        <w:t>一</w:t>
      </w:r>
      <w:r>
        <w:rPr>
          <w:rStyle w:val="26"/>
          <w:rFonts w:hint="eastAsia" w:ascii="仿宋_GB2312" w:hAnsi="仿宋_GB2312" w:eastAsia="仿宋_GB2312" w:cs="仿宋_GB2312"/>
          <w:b w:val="0"/>
          <w:bCs w:val="0"/>
        </w:rPr>
        <w:t>般公共预算财政拨款支出决算表</w:t>
      </w:r>
      <w:bookmarkEnd w:id="57"/>
    </w:p>
    <w:p w14:paraId="286C93EF">
      <w:pPr>
        <w:pStyle w:val="4"/>
        <w:spacing w:before="0" w:after="0" w:line="576" w:lineRule="exact"/>
        <w:ind w:firstLine="640" w:firstLineChars="200"/>
        <w:rPr>
          <w:rFonts w:hint="eastAsia" w:ascii="仿宋_GB2312" w:hAnsi="仿宋_GB2312" w:eastAsia="仿宋_GB2312" w:cs="仿宋_GB2312"/>
        </w:rPr>
      </w:pPr>
      <w:bookmarkStart w:id="58" w:name="_Toc15396625"/>
      <w:r>
        <w:rPr>
          <w:rStyle w:val="26"/>
          <w:rFonts w:hint="eastAsia" w:ascii="仿宋_GB2312" w:hAnsi="仿宋_GB2312" w:eastAsia="仿宋_GB2312" w:cs="仿宋_GB2312"/>
          <w:b w:val="0"/>
          <w:bCs w:val="0"/>
        </w:rPr>
        <w:t>七、</w:t>
      </w:r>
      <w:r>
        <w:rPr>
          <w:rFonts w:hint="eastAsia" w:ascii="仿宋_GB2312" w:hAnsi="仿宋_GB2312" w:eastAsia="仿宋_GB2312" w:cs="仿宋_GB2312"/>
          <w:b w:val="0"/>
        </w:rPr>
        <w:t>一</w:t>
      </w:r>
      <w:r>
        <w:rPr>
          <w:rStyle w:val="26"/>
          <w:rFonts w:hint="eastAsia" w:ascii="仿宋_GB2312" w:hAnsi="仿宋_GB2312" w:eastAsia="仿宋_GB2312" w:cs="仿宋_GB2312"/>
          <w:b w:val="0"/>
          <w:bCs w:val="0"/>
        </w:rPr>
        <w:t>般公共预算财政拨款支出决算明细表</w:t>
      </w:r>
      <w:bookmarkEnd w:id="58"/>
    </w:p>
    <w:p w14:paraId="0E72C306">
      <w:pPr>
        <w:pStyle w:val="4"/>
        <w:spacing w:before="0" w:after="0" w:line="576" w:lineRule="exact"/>
        <w:ind w:firstLine="640" w:firstLineChars="200"/>
        <w:rPr>
          <w:rFonts w:hint="eastAsia" w:ascii="仿宋_GB2312" w:hAnsi="仿宋_GB2312" w:eastAsia="仿宋_GB2312" w:cs="仿宋_GB2312"/>
        </w:rPr>
      </w:pPr>
      <w:bookmarkStart w:id="59" w:name="_Toc15396626"/>
      <w:r>
        <w:rPr>
          <w:rStyle w:val="26"/>
          <w:rFonts w:hint="eastAsia" w:ascii="仿宋_GB2312" w:hAnsi="仿宋_GB2312" w:eastAsia="仿宋_GB2312" w:cs="仿宋_GB2312"/>
          <w:b w:val="0"/>
          <w:bCs w:val="0"/>
        </w:rPr>
        <w:t>八、</w:t>
      </w:r>
      <w:r>
        <w:rPr>
          <w:rFonts w:hint="eastAsia" w:ascii="仿宋_GB2312" w:hAnsi="仿宋_GB2312" w:eastAsia="仿宋_GB2312" w:cs="仿宋_GB2312"/>
          <w:b w:val="0"/>
        </w:rPr>
        <w:t>一</w:t>
      </w:r>
      <w:r>
        <w:rPr>
          <w:rStyle w:val="26"/>
          <w:rFonts w:hint="eastAsia" w:ascii="仿宋_GB2312" w:hAnsi="仿宋_GB2312" w:eastAsia="仿宋_GB2312" w:cs="仿宋_GB2312"/>
          <w:b w:val="0"/>
          <w:bCs w:val="0"/>
        </w:rPr>
        <w:t>般公共预算财政拨款基本支出决算表</w:t>
      </w:r>
      <w:bookmarkEnd w:id="59"/>
    </w:p>
    <w:p w14:paraId="766F4F4C">
      <w:pPr>
        <w:pStyle w:val="4"/>
        <w:spacing w:before="0" w:after="0" w:line="576" w:lineRule="exact"/>
        <w:ind w:firstLine="640" w:firstLineChars="200"/>
        <w:rPr>
          <w:rFonts w:hint="eastAsia" w:ascii="仿宋_GB2312" w:hAnsi="仿宋_GB2312" w:eastAsia="仿宋_GB2312" w:cs="仿宋_GB2312"/>
        </w:rPr>
      </w:pPr>
      <w:bookmarkStart w:id="60" w:name="_Toc15396627"/>
      <w:r>
        <w:rPr>
          <w:rStyle w:val="26"/>
          <w:rFonts w:hint="eastAsia" w:ascii="仿宋_GB2312" w:hAnsi="仿宋_GB2312" w:eastAsia="仿宋_GB2312" w:cs="仿宋_GB2312"/>
          <w:b w:val="0"/>
          <w:bCs w:val="0"/>
        </w:rPr>
        <w:t>九、</w:t>
      </w:r>
      <w:r>
        <w:rPr>
          <w:rFonts w:hint="eastAsia" w:ascii="仿宋_GB2312" w:hAnsi="仿宋_GB2312" w:eastAsia="仿宋_GB2312" w:cs="仿宋_GB2312"/>
          <w:b w:val="0"/>
        </w:rPr>
        <w:t>一</w:t>
      </w:r>
      <w:r>
        <w:rPr>
          <w:rStyle w:val="26"/>
          <w:rFonts w:hint="eastAsia" w:ascii="仿宋_GB2312" w:hAnsi="仿宋_GB2312" w:eastAsia="仿宋_GB2312" w:cs="仿宋_GB2312"/>
          <w:b w:val="0"/>
          <w:bCs w:val="0"/>
        </w:rPr>
        <w:t>般公共预算财政拨款项目支出决算表</w:t>
      </w:r>
      <w:bookmarkEnd w:id="60"/>
    </w:p>
    <w:p w14:paraId="684E3FD7">
      <w:pPr>
        <w:pStyle w:val="4"/>
        <w:spacing w:before="0" w:after="0" w:line="576" w:lineRule="exact"/>
        <w:ind w:firstLine="640" w:firstLineChars="200"/>
        <w:rPr>
          <w:rFonts w:hint="eastAsia" w:ascii="仿宋_GB2312" w:hAnsi="仿宋_GB2312" w:eastAsia="仿宋_GB2312" w:cs="仿宋_GB2312"/>
        </w:rPr>
      </w:pPr>
      <w:bookmarkStart w:id="61" w:name="_Toc15396628"/>
      <w:r>
        <w:rPr>
          <w:rStyle w:val="26"/>
          <w:rFonts w:hint="eastAsia" w:ascii="仿宋_GB2312" w:hAnsi="仿宋_GB2312" w:eastAsia="仿宋_GB2312" w:cs="仿宋_GB2312"/>
          <w:b w:val="0"/>
          <w:bCs w:val="0"/>
        </w:rPr>
        <w:t>十、</w:t>
      </w:r>
      <w:bookmarkEnd w:id="61"/>
      <w:r>
        <w:rPr>
          <w:rFonts w:hint="eastAsia" w:ascii="仿宋_GB2312" w:hAnsi="仿宋_GB2312" w:eastAsia="仿宋_GB2312" w:cs="仿宋_GB2312"/>
          <w:b w:val="0"/>
        </w:rPr>
        <w:t>政</w:t>
      </w:r>
      <w:r>
        <w:rPr>
          <w:rStyle w:val="26"/>
          <w:rFonts w:hint="eastAsia" w:ascii="仿宋_GB2312" w:hAnsi="仿宋_GB2312" w:eastAsia="仿宋_GB2312" w:cs="仿宋_GB2312"/>
          <w:b w:val="0"/>
          <w:bCs w:val="0"/>
        </w:rPr>
        <w:t>府性基金预算财政拨款收入支出决算表</w:t>
      </w:r>
    </w:p>
    <w:p w14:paraId="2E26122B">
      <w:pPr>
        <w:pStyle w:val="4"/>
        <w:spacing w:before="0" w:after="0" w:line="576" w:lineRule="exact"/>
        <w:ind w:firstLine="640" w:firstLineChars="200"/>
        <w:rPr>
          <w:rFonts w:hint="eastAsia" w:ascii="仿宋_GB2312" w:hAnsi="仿宋_GB2312" w:eastAsia="仿宋_GB2312" w:cs="仿宋_GB2312"/>
        </w:rPr>
      </w:pPr>
      <w:bookmarkStart w:id="62" w:name="_Toc15396629"/>
      <w:r>
        <w:rPr>
          <w:rStyle w:val="26"/>
          <w:rFonts w:hint="eastAsia" w:ascii="仿宋_GB2312" w:hAnsi="仿宋_GB2312" w:eastAsia="仿宋_GB2312" w:cs="仿宋_GB2312"/>
          <w:b w:val="0"/>
          <w:bCs w:val="0"/>
        </w:rPr>
        <w:t>十一、</w:t>
      </w:r>
      <w:bookmarkEnd w:id="62"/>
      <w:r>
        <w:rPr>
          <w:rFonts w:hint="eastAsia" w:ascii="仿宋_GB2312" w:hAnsi="仿宋_GB2312" w:eastAsia="仿宋_GB2312" w:cs="仿宋_GB2312"/>
          <w:b w:val="0"/>
        </w:rPr>
        <w:t>国</w:t>
      </w:r>
      <w:r>
        <w:rPr>
          <w:rStyle w:val="26"/>
          <w:rFonts w:hint="eastAsia" w:ascii="仿宋_GB2312" w:hAnsi="仿宋_GB2312" w:eastAsia="仿宋_GB2312" w:cs="仿宋_GB2312"/>
          <w:b w:val="0"/>
          <w:bCs w:val="0"/>
        </w:rPr>
        <w:t>有资本经营预算财政拨款收入支出决算表</w:t>
      </w:r>
    </w:p>
    <w:p w14:paraId="067ACCBB">
      <w:pPr>
        <w:pStyle w:val="4"/>
        <w:spacing w:before="0" w:after="0" w:line="576" w:lineRule="exact"/>
        <w:ind w:firstLine="640" w:firstLineChars="200"/>
        <w:rPr>
          <w:rFonts w:hint="eastAsia" w:ascii="仿宋_GB2312" w:hAnsi="仿宋_GB2312" w:eastAsia="仿宋_GB2312" w:cs="仿宋_GB2312"/>
        </w:rPr>
      </w:pPr>
      <w:bookmarkStart w:id="63" w:name="_Toc15396630"/>
      <w:r>
        <w:rPr>
          <w:rStyle w:val="26"/>
          <w:rFonts w:hint="eastAsia" w:ascii="仿宋_GB2312" w:hAnsi="仿宋_GB2312" w:eastAsia="仿宋_GB2312" w:cs="仿宋_GB2312"/>
          <w:b w:val="0"/>
          <w:bCs w:val="0"/>
        </w:rPr>
        <w:t>十二、</w:t>
      </w:r>
      <w:bookmarkEnd w:id="63"/>
      <w:r>
        <w:rPr>
          <w:rStyle w:val="26"/>
          <w:rFonts w:hint="eastAsia" w:ascii="仿宋_GB2312" w:hAnsi="仿宋_GB2312" w:eastAsia="仿宋_GB2312" w:cs="仿宋_GB2312"/>
          <w:b w:val="0"/>
          <w:bCs w:val="0"/>
        </w:rPr>
        <w:t>国有资本经营预算财政拨款支出决算表</w:t>
      </w:r>
    </w:p>
    <w:p w14:paraId="3A24C746">
      <w:pPr>
        <w:pStyle w:val="4"/>
        <w:spacing w:before="0" w:after="0" w:line="576" w:lineRule="exact"/>
        <w:ind w:firstLine="640" w:firstLineChars="200"/>
        <w:rPr>
          <w:rFonts w:hint="eastAsia" w:ascii="仿宋_GB2312" w:hAnsi="仿宋_GB2312" w:eastAsia="仿宋_GB2312" w:cs="仿宋_GB2312"/>
        </w:rPr>
      </w:pPr>
      <w:bookmarkStart w:id="64" w:name="_Toc15396631"/>
      <w:r>
        <w:rPr>
          <w:rStyle w:val="26"/>
          <w:rFonts w:hint="eastAsia" w:ascii="仿宋_GB2312" w:hAnsi="仿宋_GB2312" w:eastAsia="仿宋_GB2312" w:cs="仿宋_GB2312"/>
          <w:b w:val="0"/>
          <w:bCs w:val="0"/>
        </w:rPr>
        <w:t>十三、</w:t>
      </w:r>
      <w:bookmarkEnd w:id="64"/>
      <w:r>
        <w:rPr>
          <w:rStyle w:val="26"/>
          <w:rFonts w:hint="eastAsia" w:ascii="仿宋_GB2312" w:hAnsi="仿宋_GB2312" w:eastAsia="仿宋_GB2312" w:cs="仿宋_GB2312"/>
          <w:b w:val="0"/>
          <w:bCs w:val="0"/>
        </w:rPr>
        <w:t>财政拨款“三公”经费支出决算表</w:t>
      </w:r>
    </w:p>
    <w:sectPr>
      <w:footerReference r:id="rId5" w:type="first"/>
      <w:headerReference r:id="rId3" w:type="default"/>
      <w:footerReference r:id="rId4" w:type="default"/>
      <w:pgSz w:w="11906" w:h="16838"/>
      <w:pgMar w:top="1440" w:right="1800" w:bottom="1440" w:left="1800" w:header="851" w:footer="992" w:gutter="0"/>
      <w:pgNumType w:fmt="numberInDash"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AF35A">
    <w:pPr>
      <w:pStyle w:val="8"/>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4FEE7A">
                          <w:pPr>
                            <w:pStyle w:val="8"/>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- 4 -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8y+4LLAQAAnAMAAA4AAAAAAAAAAQAgAAAAHgEAAGRycy9lMm9E&#10;b2MueG1sUEsFBgAAAAAGAAYAWQEAAFsFAAAAAA==&#10;">
              <v:fill on="f" focussize="0,0"/>
              <v:stroke on="f"/>
              <v:imagedata o:title=""/>
              <o:lock v:ext="edit" aspectratio="f"/>
              <v:textbox inset="0mm,0mm,0mm,0mm" style="mso-fit-shape-to-text:t;">
                <w:txbxContent>
                  <w:p w14:paraId="3A4FEE7A">
                    <w:pPr>
                      <w:pStyle w:val="8"/>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- 4 -</w:t>
                    </w:r>
                    <w:r>
                      <w:rPr>
                        <w:rFonts w:hint="eastAsia" w:ascii="宋体" w:hAnsi="宋体" w:cs="宋体"/>
                        <w:sz w:val="28"/>
                        <w:szCs w:val="28"/>
                      </w:rPr>
                      <w:fldChar w:fldCharType="end"/>
                    </w:r>
                  </w:p>
                </w:txbxContent>
              </v:textbox>
            </v:shape>
          </w:pict>
        </mc:Fallback>
      </mc:AlternateContent>
    </w:r>
    <w:sdt>
      <w:sdtPr>
        <w:id w:val="-1994781956"/>
      </w:sdtPr>
      <w:sdtContent/>
    </w:sdt>
  </w:p>
  <w:p w14:paraId="490F9B6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A443C">
    <w:pPr>
      <w:pStyle w:val="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F79705">
                          <w:pPr>
                            <w:pStyle w:val="8"/>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F6ANssBAACc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UBy74xYHfvn+7fLj1+XnV7Ks&#10;Vq9zh/oANSY+BExNw50fcG9mP6AzCx9UtPmLkgjGsb/na3/lkIjIj9ar9brCkMDYfEF89vg8REhv&#10;pbckGw2NOMDSV356D2lMnVNyNefvtTFliMb95UDM7GGZ+8gxW2nYD5OgvW/PqKfH2TfU4apTYt45&#10;bG1ek9mIs7GfjWOI+tAhtWXhBeH2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BegDbLAQAAnAMAAA4AAAAAAAAAAQAgAAAAHgEAAGRycy9lMm9E&#10;b2MueG1sUEsFBgAAAAAGAAYAWQEAAFsFAAAAAA==&#10;">
              <v:fill on="f" focussize="0,0"/>
              <v:stroke on="f"/>
              <v:imagedata o:title=""/>
              <o:lock v:ext="edit" aspectratio="f"/>
              <v:textbox inset="0mm,0mm,0mm,0mm" style="mso-fit-shape-to-text:t;">
                <w:txbxContent>
                  <w:p w14:paraId="42F79705">
                    <w:pPr>
                      <w:pStyle w:val="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A45E1">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A9328"/>
    <w:multiLevelType w:val="singleLevel"/>
    <w:tmpl w:val="9D4A9328"/>
    <w:lvl w:ilvl="0" w:tentative="0">
      <w:start w:val="7"/>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20FC0EF5"/>
    <w:multiLevelType w:val="multilevel"/>
    <w:tmpl w:val="20FC0EF5"/>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83"/>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4MzIyOThlOGFmMzNkMzJmOGM5YzgwN2VmODRhNzcifQ=="/>
  </w:docVars>
  <w:rsids>
    <w:rsidRoot w:val="00F1361C"/>
    <w:rsid w:val="000222C6"/>
    <w:rsid w:val="0002549F"/>
    <w:rsid w:val="00043975"/>
    <w:rsid w:val="000468DB"/>
    <w:rsid w:val="00062B41"/>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2E8D"/>
    <w:rsid w:val="00154D46"/>
    <w:rsid w:val="00157BAB"/>
    <w:rsid w:val="001654D1"/>
    <w:rsid w:val="00167D83"/>
    <w:rsid w:val="00174518"/>
    <w:rsid w:val="00174D77"/>
    <w:rsid w:val="0018106D"/>
    <w:rsid w:val="001877A7"/>
    <w:rsid w:val="00191536"/>
    <w:rsid w:val="00196687"/>
    <w:rsid w:val="001B36B3"/>
    <w:rsid w:val="001B5B3C"/>
    <w:rsid w:val="001C0962"/>
    <w:rsid w:val="001D7531"/>
    <w:rsid w:val="001E737D"/>
    <w:rsid w:val="001F0592"/>
    <w:rsid w:val="001F371D"/>
    <w:rsid w:val="001F7506"/>
    <w:rsid w:val="002006CD"/>
    <w:rsid w:val="00200B0F"/>
    <w:rsid w:val="00202B36"/>
    <w:rsid w:val="00204B7A"/>
    <w:rsid w:val="00204CDE"/>
    <w:rsid w:val="0021101A"/>
    <w:rsid w:val="00220536"/>
    <w:rsid w:val="00235629"/>
    <w:rsid w:val="00260C38"/>
    <w:rsid w:val="002616C0"/>
    <w:rsid w:val="00262F8A"/>
    <w:rsid w:val="00265372"/>
    <w:rsid w:val="002662AA"/>
    <w:rsid w:val="00280496"/>
    <w:rsid w:val="00294DC9"/>
    <w:rsid w:val="00295495"/>
    <w:rsid w:val="002A31DE"/>
    <w:rsid w:val="002A3CB5"/>
    <w:rsid w:val="002B2613"/>
    <w:rsid w:val="002D6D05"/>
    <w:rsid w:val="002F1818"/>
    <w:rsid w:val="002F567B"/>
    <w:rsid w:val="002F5D47"/>
    <w:rsid w:val="003216A9"/>
    <w:rsid w:val="00330DEE"/>
    <w:rsid w:val="00335A74"/>
    <w:rsid w:val="0036561B"/>
    <w:rsid w:val="0037013F"/>
    <w:rsid w:val="00372889"/>
    <w:rsid w:val="00380C92"/>
    <w:rsid w:val="003951FC"/>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4C44"/>
    <w:rsid w:val="00471401"/>
    <w:rsid w:val="00473F31"/>
    <w:rsid w:val="0048263A"/>
    <w:rsid w:val="00487E5D"/>
    <w:rsid w:val="004A711F"/>
    <w:rsid w:val="004B199D"/>
    <w:rsid w:val="004B4690"/>
    <w:rsid w:val="004E0A2D"/>
    <w:rsid w:val="004E206B"/>
    <w:rsid w:val="004E6DF7"/>
    <w:rsid w:val="004F0FBD"/>
    <w:rsid w:val="004F3C27"/>
    <w:rsid w:val="00505A47"/>
    <w:rsid w:val="00512FDA"/>
    <w:rsid w:val="00520DA0"/>
    <w:rsid w:val="00544EAD"/>
    <w:rsid w:val="005643A1"/>
    <w:rsid w:val="005664BB"/>
    <w:rsid w:val="00566FFA"/>
    <w:rsid w:val="0057481D"/>
    <w:rsid w:val="0058486E"/>
    <w:rsid w:val="00585B33"/>
    <w:rsid w:val="0059014D"/>
    <w:rsid w:val="005A18B6"/>
    <w:rsid w:val="005B5C64"/>
    <w:rsid w:val="005B5E7B"/>
    <w:rsid w:val="005C5337"/>
    <w:rsid w:val="005C6BD0"/>
    <w:rsid w:val="005D1C8B"/>
    <w:rsid w:val="005D468D"/>
    <w:rsid w:val="005D5CED"/>
    <w:rsid w:val="005F1A4C"/>
    <w:rsid w:val="00605688"/>
    <w:rsid w:val="006070AF"/>
    <w:rsid w:val="00607E6C"/>
    <w:rsid w:val="006101B1"/>
    <w:rsid w:val="00614E44"/>
    <w:rsid w:val="0062270A"/>
    <w:rsid w:val="00622830"/>
    <w:rsid w:val="0062298C"/>
    <w:rsid w:val="00623DA0"/>
    <w:rsid w:val="00624CB1"/>
    <w:rsid w:val="00630AEF"/>
    <w:rsid w:val="006311D7"/>
    <w:rsid w:val="006325F8"/>
    <w:rsid w:val="00633463"/>
    <w:rsid w:val="006337F3"/>
    <w:rsid w:val="00634C9A"/>
    <w:rsid w:val="006440E4"/>
    <w:rsid w:val="00651FE6"/>
    <w:rsid w:val="0066120E"/>
    <w:rsid w:val="0066343B"/>
    <w:rsid w:val="00664777"/>
    <w:rsid w:val="006748A4"/>
    <w:rsid w:val="006816EF"/>
    <w:rsid w:val="00681A31"/>
    <w:rsid w:val="00683E73"/>
    <w:rsid w:val="006A3141"/>
    <w:rsid w:val="006A5E34"/>
    <w:rsid w:val="006B2422"/>
    <w:rsid w:val="006B2B9A"/>
    <w:rsid w:val="006C1937"/>
    <w:rsid w:val="006E5C13"/>
    <w:rsid w:val="006F020C"/>
    <w:rsid w:val="007127B7"/>
    <w:rsid w:val="00717199"/>
    <w:rsid w:val="0071798E"/>
    <w:rsid w:val="007416B6"/>
    <w:rsid w:val="00746F48"/>
    <w:rsid w:val="0075404D"/>
    <w:rsid w:val="0076182A"/>
    <w:rsid w:val="00767B7E"/>
    <w:rsid w:val="007770C3"/>
    <w:rsid w:val="00784D24"/>
    <w:rsid w:val="00785FBA"/>
    <w:rsid w:val="00786E4A"/>
    <w:rsid w:val="007875EB"/>
    <w:rsid w:val="0079426B"/>
    <w:rsid w:val="007B6101"/>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0A7F"/>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2692"/>
    <w:rsid w:val="009A64C8"/>
    <w:rsid w:val="009A7CFF"/>
    <w:rsid w:val="009B2C43"/>
    <w:rsid w:val="009B4B41"/>
    <w:rsid w:val="009B4EAE"/>
    <w:rsid w:val="009B7573"/>
    <w:rsid w:val="009C22F4"/>
    <w:rsid w:val="009C2A4B"/>
    <w:rsid w:val="009C2E98"/>
    <w:rsid w:val="009C77FD"/>
    <w:rsid w:val="009D3447"/>
    <w:rsid w:val="009D4711"/>
    <w:rsid w:val="009F1185"/>
    <w:rsid w:val="009F18CD"/>
    <w:rsid w:val="009F2A13"/>
    <w:rsid w:val="009F7527"/>
    <w:rsid w:val="00A04EB0"/>
    <w:rsid w:val="00A117BC"/>
    <w:rsid w:val="00A13CC1"/>
    <w:rsid w:val="00A16847"/>
    <w:rsid w:val="00A237D8"/>
    <w:rsid w:val="00A268C4"/>
    <w:rsid w:val="00A307CD"/>
    <w:rsid w:val="00A331C8"/>
    <w:rsid w:val="00A40A00"/>
    <w:rsid w:val="00A4142F"/>
    <w:rsid w:val="00A422EB"/>
    <w:rsid w:val="00A45BB7"/>
    <w:rsid w:val="00A54004"/>
    <w:rsid w:val="00A56DF2"/>
    <w:rsid w:val="00A56E6E"/>
    <w:rsid w:val="00A67AB5"/>
    <w:rsid w:val="00A733B2"/>
    <w:rsid w:val="00A741C2"/>
    <w:rsid w:val="00A91760"/>
    <w:rsid w:val="00A93B00"/>
    <w:rsid w:val="00A93C21"/>
    <w:rsid w:val="00AB052F"/>
    <w:rsid w:val="00AB64C9"/>
    <w:rsid w:val="00AC3C6A"/>
    <w:rsid w:val="00AD5620"/>
    <w:rsid w:val="00AD656B"/>
    <w:rsid w:val="00AD7C1B"/>
    <w:rsid w:val="00AE16BA"/>
    <w:rsid w:val="00AE1EBE"/>
    <w:rsid w:val="00B03C9D"/>
    <w:rsid w:val="00B04781"/>
    <w:rsid w:val="00B060AE"/>
    <w:rsid w:val="00B061F7"/>
    <w:rsid w:val="00B10517"/>
    <w:rsid w:val="00B12F78"/>
    <w:rsid w:val="00B14E76"/>
    <w:rsid w:val="00B161B8"/>
    <w:rsid w:val="00B2048C"/>
    <w:rsid w:val="00B310B9"/>
    <w:rsid w:val="00B35F3F"/>
    <w:rsid w:val="00B36CBB"/>
    <w:rsid w:val="00B425E0"/>
    <w:rsid w:val="00B440AA"/>
    <w:rsid w:val="00B44B70"/>
    <w:rsid w:val="00B53C56"/>
    <w:rsid w:val="00B57DAF"/>
    <w:rsid w:val="00B60632"/>
    <w:rsid w:val="00B77EA6"/>
    <w:rsid w:val="00B81598"/>
    <w:rsid w:val="00B83F2C"/>
    <w:rsid w:val="00B841F1"/>
    <w:rsid w:val="00B944D6"/>
    <w:rsid w:val="00BB4DF0"/>
    <w:rsid w:val="00BB5C3D"/>
    <w:rsid w:val="00BC289F"/>
    <w:rsid w:val="00BC2D50"/>
    <w:rsid w:val="00BC5361"/>
    <w:rsid w:val="00BC5460"/>
    <w:rsid w:val="00BC549A"/>
    <w:rsid w:val="00BC6B50"/>
    <w:rsid w:val="00BD0E25"/>
    <w:rsid w:val="00BF5BD6"/>
    <w:rsid w:val="00C03E31"/>
    <w:rsid w:val="00C3196D"/>
    <w:rsid w:val="00C33E72"/>
    <w:rsid w:val="00C354B2"/>
    <w:rsid w:val="00C35554"/>
    <w:rsid w:val="00C42709"/>
    <w:rsid w:val="00C533CC"/>
    <w:rsid w:val="00C55D75"/>
    <w:rsid w:val="00C5751C"/>
    <w:rsid w:val="00C61BFC"/>
    <w:rsid w:val="00C62B85"/>
    <w:rsid w:val="00C65438"/>
    <w:rsid w:val="00C87FD8"/>
    <w:rsid w:val="00C91381"/>
    <w:rsid w:val="00C91CBB"/>
    <w:rsid w:val="00CB2837"/>
    <w:rsid w:val="00CB4E70"/>
    <w:rsid w:val="00CC09B6"/>
    <w:rsid w:val="00CC666F"/>
    <w:rsid w:val="00CD1E3F"/>
    <w:rsid w:val="00CE44F6"/>
    <w:rsid w:val="00CE49DA"/>
    <w:rsid w:val="00CE7B61"/>
    <w:rsid w:val="00CF0D47"/>
    <w:rsid w:val="00D00095"/>
    <w:rsid w:val="00D114F0"/>
    <w:rsid w:val="00D172FB"/>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C3E66"/>
    <w:rsid w:val="00EC48EC"/>
    <w:rsid w:val="00ED1B63"/>
    <w:rsid w:val="00ED3C1F"/>
    <w:rsid w:val="00ED4085"/>
    <w:rsid w:val="00ED40DC"/>
    <w:rsid w:val="00ED420E"/>
    <w:rsid w:val="00ED6FBE"/>
    <w:rsid w:val="00EE2F57"/>
    <w:rsid w:val="00EF4C34"/>
    <w:rsid w:val="00EF77C6"/>
    <w:rsid w:val="00F046CC"/>
    <w:rsid w:val="00F05438"/>
    <w:rsid w:val="00F1361C"/>
    <w:rsid w:val="00F156F0"/>
    <w:rsid w:val="00F160C7"/>
    <w:rsid w:val="00F17E90"/>
    <w:rsid w:val="00F223B1"/>
    <w:rsid w:val="00F2408F"/>
    <w:rsid w:val="00F240E9"/>
    <w:rsid w:val="00F36D8F"/>
    <w:rsid w:val="00F417B1"/>
    <w:rsid w:val="00F45853"/>
    <w:rsid w:val="00F5549E"/>
    <w:rsid w:val="00F602DF"/>
    <w:rsid w:val="00F754A1"/>
    <w:rsid w:val="00F81FD9"/>
    <w:rsid w:val="00F841AA"/>
    <w:rsid w:val="00F84A94"/>
    <w:rsid w:val="00F87E96"/>
    <w:rsid w:val="00FA23E8"/>
    <w:rsid w:val="00FC0598"/>
    <w:rsid w:val="00FD3CC1"/>
    <w:rsid w:val="00FE5099"/>
    <w:rsid w:val="00FF1E02"/>
    <w:rsid w:val="00FF30B4"/>
    <w:rsid w:val="01715062"/>
    <w:rsid w:val="03051768"/>
    <w:rsid w:val="039C1D4E"/>
    <w:rsid w:val="053A62B5"/>
    <w:rsid w:val="066601DF"/>
    <w:rsid w:val="0A2032A3"/>
    <w:rsid w:val="0B8A37D8"/>
    <w:rsid w:val="0B8F3A8F"/>
    <w:rsid w:val="0CA87ED4"/>
    <w:rsid w:val="0CAF7E46"/>
    <w:rsid w:val="0FB90AC6"/>
    <w:rsid w:val="10C055FF"/>
    <w:rsid w:val="118107EC"/>
    <w:rsid w:val="11B236E4"/>
    <w:rsid w:val="11DD6519"/>
    <w:rsid w:val="12265537"/>
    <w:rsid w:val="12560101"/>
    <w:rsid w:val="14227D18"/>
    <w:rsid w:val="1603492C"/>
    <w:rsid w:val="16BB723D"/>
    <w:rsid w:val="1786227F"/>
    <w:rsid w:val="18015F3F"/>
    <w:rsid w:val="18E2741A"/>
    <w:rsid w:val="192C4170"/>
    <w:rsid w:val="19CD710A"/>
    <w:rsid w:val="1A2E026D"/>
    <w:rsid w:val="1BE8440E"/>
    <w:rsid w:val="1C6B487E"/>
    <w:rsid w:val="1D06624D"/>
    <w:rsid w:val="1D155CEE"/>
    <w:rsid w:val="2080083E"/>
    <w:rsid w:val="20F57F95"/>
    <w:rsid w:val="21FA299E"/>
    <w:rsid w:val="23BE2382"/>
    <w:rsid w:val="240371BF"/>
    <w:rsid w:val="25711CC6"/>
    <w:rsid w:val="25C741E6"/>
    <w:rsid w:val="27842671"/>
    <w:rsid w:val="27A02EA3"/>
    <w:rsid w:val="286F44E9"/>
    <w:rsid w:val="289B3D96"/>
    <w:rsid w:val="28B47FB3"/>
    <w:rsid w:val="28EB0DF4"/>
    <w:rsid w:val="296068F2"/>
    <w:rsid w:val="29FD04D3"/>
    <w:rsid w:val="2ABE7A3E"/>
    <w:rsid w:val="2B80638F"/>
    <w:rsid w:val="2C226C66"/>
    <w:rsid w:val="2CA234A8"/>
    <w:rsid w:val="2D8C5890"/>
    <w:rsid w:val="2E13617D"/>
    <w:rsid w:val="2EC044CB"/>
    <w:rsid w:val="2EFA178C"/>
    <w:rsid w:val="302A5BC8"/>
    <w:rsid w:val="30B46D73"/>
    <w:rsid w:val="31693D73"/>
    <w:rsid w:val="319F7F4E"/>
    <w:rsid w:val="32E07F1D"/>
    <w:rsid w:val="35895110"/>
    <w:rsid w:val="371F2A2C"/>
    <w:rsid w:val="383D272C"/>
    <w:rsid w:val="39251FC6"/>
    <w:rsid w:val="39AE70AB"/>
    <w:rsid w:val="3A03141D"/>
    <w:rsid w:val="3C0C0783"/>
    <w:rsid w:val="3E3E0267"/>
    <w:rsid w:val="3F48643C"/>
    <w:rsid w:val="3F9F3A96"/>
    <w:rsid w:val="3FA77F17"/>
    <w:rsid w:val="44F11555"/>
    <w:rsid w:val="47CF6279"/>
    <w:rsid w:val="48BF60AB"/>
    <w:rsid w:val="493C27E9"/>
    <w:rsid w:val="496F39ED"/>
    <w:rsid w:val="49FF41D3"/>
    <w:rsid w:val="4B0835C0"/>
    <w:rsid w:val="4BE068DB"/>
    <w:rsid w:val="4BF6002B"/>
    <w:rsid w:val="4ECE2238"/>
    <w:rsid w:val="5044493F"/>
    <w:rsid w:val="51DB4B86"/>
    <w:rsid w:val="541C1039"/>
    <w:rsid w:val="55333C3E"/>
    <w:rsid w:val="57E452A5"/>
    <w:rsid w:val="5AC314CB"/>
    <w:rsid w:val="5B7B0AFF"/>
    <w:rsid w:val="5D034D88"/>
    <w:rsid w:val="600956D0"/>
    <w:rsid w:val="64CA39A1"/>
    <w:rsid w:val="679162C2"/>
    <w:rsid w:val="68307CD3"/>
    <w:rsid w:val="69630ADE"/>
    <w:rsid w:val="6A002476"/>
    <w:rsid w:val="6C1F4C1A"/>
    <w:rsid w:val="6C281C3F"/>
    <w:rsid w:val="6C4A05C8"/>
    <w:rsid w:val="6D3B1A89"/>
    <w:rsid w:val="6E676DE7"/>
    <w:rsid w:val="6FEE22D1"/>
    <w:rsid w:val="71BF4EC2"/>
    <w:rsid w:val="72734D90"/>
    <w:rsid w:val="7412278C"/>
    <w:rsid w:val="74C27033"/>
    <w:rsid w:val="777D1373"/>
    <w:rsid w:val="79E7B28D"/>
    <w:rsid w:val="7A607152"/>
    <w:rsid w:val="7B4574FF"/>
    <w:rsid w:val="7BC92889"/>
    <w:rsid w:val="7E0B22E5"/>
    <w:rsid w:val="7F296669"/>
    <w:rsid w:val="7F9F20EE"/>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8"/>
    <w:semiHidden/>
    <w:unhideWhenUsed/>
    <w:qFormat/>
    <w:uiPriority w:val="99"/>
    <w:rPr>
      <w:sz w:val="18"/>
      <w:szCs w:val="18"/>
    </w:rPr>
  </w:style>
  <w:style w:type="paragraph" w:styleId="8">
    <w:name w:val="footer"/>
    <w:basedOn w:val="1"/>
    <w:link w:val="20"/>
    <w:qFormat/>
    <w:uiPriority w:val="0"/>
    <w:pPr>
      <w:tabs>
        <w:tab w:val="center" w:pos="4153"/>
        <w:tab w:val="right" w:pos="8306"/>
      </w:tabs>
      <w:snapToGrid w:val="0"/>
      <w:jc w:val="left"/>
    </w:pPr>
    <w:rPr>
      <w:rFonts w:ascii="Calibri" w:hAnsi="Calibri"/>
      <w:kern w:val="0"/>
      <w:sz w:val="18"/>
      <w:szCs w:val="18"/>
    </w:rPr>
  </w:style>
  <w:style w:type="paragraph" w:styleId="9">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5">
    <w:name w:val="Strong"/>
    <w:basedOn w:val="14"/>
    <w:qFormat/>
    <w:uiPriority w:val="0"/>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9"/>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8"/>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2"/>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3"/>
    <w:qFormat/>
    <w:uiPriority w:val="0"/>
    <w:rPr>
      <w:rFonts w:ascii="Times New Roman" w:hAnsi="Times New Roman"/>
      <w:b/>
      <w:bCs/>
      <w:kern w:val="44"/>
      <w:sz w:val="44"/>
      <w:szCs w:val="44"/>
    </w:rPr>
  </w:style>
  <w:style w:type="character" w:customStyle="1" w:styleId="26">
    <w:name w:val="标题 2 Char"/>
    <w:basedOn w:val="14"/>
    <w:link w:val="4"/>
    <w:qFormat/>
    <w:uiPriority w:val="9"/>
    <w:rPr>
      <w:rFonts w:asciiTheme="majorHAnsi" w:hAnsiTheme="majorHAnsi" w:eastAsiaTheme="majorEastAsia" w:cstheme="majorBidi"/>
      <w:b/>
      <w:bCs/>
      <w:kern w:val="2"/>
      <w:sz w:val="32"/>
      <w:szCs w:val="32"/>
    </w:rPr>
  </w:style>
  <w:style w:type="paragraph" w:customStyle="1" w:styleId="27">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Char"/>
    <w:basedOn w:val="14"/>
    <w:link w:val="7"/>
    <w:semiHidden/>
    <w:qFormat/>
    <w:uiPriority w:val="99"/>
    <w:rPr>
      <w:rFonts w:ascii="Times New Roman" w:hAnsi="Times New Roman"/>
      <w:kern w:val="2"/>
      <w:sz w:val="18"/>
      <w:szCs w:val="18"/>
    </w:rPr>
  </w:style>
  <w:style w:type="character" w:customStyle="1" w:styleId="29">
    <w:name w:val="标题 3 Char"/>
    <w:basedOn w:val="14"/>
    <w:link w:val="5"/>
    <w:qFormat/>
    <w:uiPriority w:val="9"/>
    <w:rPr>
      <w:rFonts w:ascii="Times New Roman" w:hAnsi="Times New Roman"/>
      <w:b/>
      <w:bCs/>
      <w:kern w:val="2"/>
      <w:sz w:val="32"/>
      <w:szCs w:val="32"/>
    </w:rPr>
  </w:style>
  <w:style w:type="paragraph" w:customStyle="1" w:styleId="30">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Sheet1!$A$3:$A$4</c:f>
              <c:strCache>
                <c:ptCount val="2"/>
                <c:pt idx="0">
                  <c:v>决算收入</c:v>
                </c:pt>
                <c:pt idx="1">
                  <c:v>决算支出</c:v>
                </c:pt>
              </c:strCache>
            </c:strRef>
          </c:cat>
          <c:val>
            <c:numRef>
              <c:f>Sheet1!$B$3:$B$4</c:f>
              <c:numCache>
                <c:formatCode>General</c:formatCode>
                <c:ptCount val="2"/>
                <c:pt idx="0">
                  <c:v>36.01</c:v>
                </c:pt>
                <c:pt idx="1">
                  <c:v>36.01</c:v>
                </c:pt>
              </c:numCache>
            </c:numRef>
          </c:val>
        </c:ser>
        <c:ser>
          <c:idx val="1"/>
          <c:order val="1"/>
          <c:tx>
            <c:strRef>
              <c:f>Sheet1!$C$2</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Sheet1!$A$3:$A$4</c:f>
              <c:strCache>
                <c:ptCount val="2"/>
                <c:pt idx="0">
                  <c:v>决算收入</c:v>
                </c:pt>
                <c:pt idx="1">
                  <c:v>决算支出</c:v>
                </c:pt>
              </c:strCache>
            </c:strRef>
          </c:cat>
          <c:val>
            <c:numRef>
              <c:f>Sheet1!$C$3:$C$4</c:f>
              <c:numCache>
                <c:formatCode>General</c:formatCode>
                <c:ptCount val="2"/>
                <c:pt idx="0">
                  <c:v>67.03</c:v>
                </c:pt>
                <c:pt idx="1">
                  <c:v>67.03</c:v>
                </c:pt>
              </c:numCache>
            </c:numRef>
          </c:val>
        </c:ser>
        <c:dLbls>
          <c:showLegendKey val="0"/>
          <c:showVal val="0"/>
          <c:showCatName val="0"/>
          <c:showSerName val="0"/>
          <c:showPercent val="0"/>
          <c:showBubbleSize val="0"/>
        </c:dLbls>
        <c:gapWidth val="150"/>
        <c:axId val="190699008"/>
        <c:axId val="190700544"/>
      </c:barChart>
      <c:catAx>
        <c:axId val="19069900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700544"/>
        <c:crosses val="autoZero"/>
        <c:auto val="1"/>
        <c:lblAlgn val="ctr"/>
        <c:lblOffset val="100"/>
        <c:noMultiLvlLbl val="0"/>
      </c:catAx>
      <c:valAx>
        <c:axId val="1907005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699008"/>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1f84990-a3c1-4f15-9e32-7e07262ee0d4}"/>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一般公共预算财政拨款收入</c:v>
                </c:pt>
                <c:pt idx="1">
                  <c:v>其他收入</c:v>
                </c:pt>
              </c:strCache>
            </c:strRef>
          </c:cat>
          <c:val>
            <c:numRef>
              <c:f>Sheet1!$B$2:$B$3</c:f>
              <c:numCache>
                <c:formatCode>0%</c:formatCode>
                <c:ptCount val="2"/>
                <c:pt idx="0">
                  <c:v>1</c:v>
                </c:pt>
                <c:pt idx="1">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e5f8012-96b0-4a8d-9b7d-26f063f580ae}"/>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0%</c:formatCode>
                <c:ptCount val="2"/>
                <c:pt idx="0">
                  <c:v>1</c:v>
                </c:pt>
                <c:pt idx="1" c:formatCode="0.00%">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1d3abf5-688a-4ff6-b1dd-4be86091c085}"/>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Sheet1!$A$3:$A$4</c:f>
              <c:strCache>
                <c:ptCount val="2"/>
                <c:pt idx="0">
                  <c:v>决算收入</c:v>
                </c:pt>
                <c:pt idx="1">
                  <c:v>决算支出</c:v>
                </c:pt>
              </c:strCache>
            </c:strRef>
          </c:cat>
          <c:val>
            <c:numRef>
              <c:f>Sheet1!$B$3:$B$4</c:f>
              <c:numCache>
                <c:formatCode>General</c:formatCode>
                <c:ptCount val="2"/>
                <c:pt idx="0">
                  <c:v>36.01</c:v>
                </c:pt>
                <c:pt idx="1">
                  <c:v>36.01</c:v>
                </c:pt>
              </c:numCache>
            </c:numRef>
          </c:val>
        </c:ser>
        <c:ser>
          <c:idx val="1"/>
          <c:order val="1"/>
          <c:tx>
            <c:strRef>
              <c:f>Sheet1!$C$2</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Sheet1!$A$3:$A$4</c:f>
              <c:strCache>
                <c:ptCount val="2"/>
                <c:pt idx="0">
                  <c:v>决算收入</c:v>
                </c:pt>
                <c:pt idx="1">
                  <c:v>决算支出</c:v>
                </c:pt>
              </c:strCache>
            </c:strRef>
          </c:cat>
          <c:val>
            <c:numRef>
              <c:f>Sheet1!$C$3:$C$4</c:f>
              <c:numCache>
                <c:formatCode>General</c:formatCode>
                <c:ptCount val="2"/>
                <c:pt idx="0">
                  <c:v>67.03</c:v>
                </c:pt>
                <c:pt idx="1">
                  <c:v>67.03</c:v>
                </c:pt>
              </c:numCache>
            </c:numRef>
          </c:val>
        </c:ser>
        <c:dLbls>
          <c:showLegendKey val="0"/>
          <c:showVal val="0"/>
          <c:showCatName val="0"/>
          <c:showSerName val="0"/>
          <c:showPercent val="0"/>
          <c:showBubbleSize val="0"/>
        </c:dLbls>
        <c:gapWidth val="150"/>
        <c:axId val="190699008"/>
        <c:axId val="190700544"/>
      </c:barChart>
      <c:catAx>
        <c:axId val="19069900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700544"/>
        <c:crosses val="autoZero"/>
        <c:auto val="1"/>
        <c:lblAlgn val="ctr"/>
        <c:lblOffset val="100"/>
        <c:noMultiLvlLbl val="0"/>
      </c:catAx>
      <c:valAx>
        <c:axId val="1907005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699008"/>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ccf6986-5f91-49dd-8ed4-1f5299302c5d}"/>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一般公共预算拨款支出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36.01</c:v>
                </c:pt>
                <c:pt idx="1">
                  <c:v>67.03</c:v>
                </c:pt>
              </c:numCache>
            </c:numRef>
          </c:val>
        </c:ser>
        <c:dLbls>
          <c:showLegendKey val="0"/>
          <c:showVal val="0"/>
          <c:showCatName val="0"/>
          <c:showSerName val="0"/>
          <c:showPercent val="0"/>
          <c:showBubbleSize val="0"/>
        </c:dLbls>
        <c:gapWidth val="150"/>
        <c:axId val="190109952"/>
        <c:axId val="190521344"/>
      </c:barChart>
      <c:catAx>
        <c:axId val="19010995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521344"/>
        <c:crosses val="autoZero"/>
        <c:auto val="1"/>
        <c:lblAlgn val="ctr"/>
        <c:lblOffset val="100"/>
        <c:noMultiLvlLbl val="0"/>
      </c:catAx>
      <c:valAx>
        <c:axId val="1905213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010995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91c7dbf-8eee-43e2-9016-49b5980d82bd}"/>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explosion val="0"/>
          <c:dPt>
            <c:idx val="0"/>
            <c:bubble3D val="0"/>
          </c:dPt>
          <c:dPt>
            <c:idx val="1"/>
            <c:bubble3D val="0"/>
          </c:dPt>
          <c:dPt>
            <c:idx val="2"/>
            <c:bubble3D val="0"/>
          </c:dPt>
          <c:dPt>
            <c:idx val="3"/>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c:formatCode>
                <c:ptCount val="4"/>
                <c:pt idx="0">
                  <c:v>0.716</c:v>
                </c:pt>
                <c:pt idx="1">
                  <c:v>0.141</c:v>
                </c:pt>
                <c:pt idx="2">
                  <c:v>0.051</c:v>
                </c:pt>
                <c:pt idx="3">
                  <c:v>0.092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290511c-7830-47e3-855f-93f728732100}"/>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13</Pages>
  <Words>3105</Words>
  <Characters>3377</Characters>
  <Lines>28</Lines>
  <Paragraphs>7</Paragraphs>
  <TotalTime>9</TotalTime>
  <ScaleCrop>false</ScaleCrop>
  <LinksUpToDate>false</LinksUpToDate>
  <CharactersWithSpaces>3500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WPS_1677150226</cp:lastModifiedBy>
  <cp:lastPrinted>2026-10-09T01:55:35Z</cp:lastPrinted>
  <dcterms:modified xsi:type="dcterms:W3CDTF">2026-10-09T01:59:37Z</dcterms:modified>
  <dc:title>四川省***</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8C8962B8A2514612AC6EC107F572623A_13</vt:lpwstr>
  </property>
  <property fmtid="{D5CDD505-2E9C-101B-9397-08002B2CF9AE}" pid="4" name="KSOTemplateDocerSaveRecord">
    <vt:lpwstr>eyJoZGlkIjoiMDQ4MzIyOThlOGFmMzNkMzJmOGM5YzgwN2VmODRhNzciLCJ1c2VySWQiOiIxNDc1ODk4MjU2In0=</vt:lpwstr>
  </property>
</Properties>
</file>