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body>
    <w:p>
      <w:pPr>
        <w:spacing w:line="600" w:lineRule="exact"/>
        <w:jc w:val="left"/>
        <w:outlineLvl w:val="0"/>
        <w:rPr>
          <w:rFonts w:ascii="方正小标宋简体" w:eastAsia="方正小标宋简体"/>
          <w:szCs w:val="21"/>
        </w:rPr>
      </w:pPr>
      <w:bookmarkStart w:id="0" w:name="_Toc15306267"/>
    </w:p>
    <w:p>
      <w:pPr>
        <w:spacing w:line="600" w:lineRule="exact"/>
        <w:jc w:val="center"/>
        <w:outlineLvl w:val="0"/>
        <w:rPr>
          <w:rFonts w:ascii="方正小标宋简体" w:eastAsia="方正小标宋简体"/>
          <w:sz w:val="72"/>
          <w:szCs w:val="72"/>
        </w:rPr>
      </w:pPr>
    </w:p>
    <w:p>
      <w:pPr>
        <w:spacing w:line="600" w:lineRule="exact"/>
        <w:jc w:val="center"/>
        <w:outlineLvl w:val="0"/>
        <w:rPr>
          <w:rFonts w:ascii="方正小标宋简体" w:eastAsia="方正小标宋简体"/>
          <w:sz w:val="72"/>
          <w:szCs w:val="72"/>
        </w:rPr>
      </w:pPr>
    </w:p>
    <w:p>
      <w:pPr>
        <w:jc w:val="center"/>
        <w:rPr>
          <w:rFonts w:ascii="黑体" w:eastAsia="黑体" w:cs="黑体" w:hint="eastAsia"/>
          <w:b/>
          <w:bCs/>
          <w:sz w:val="72"/>
          <w:szCs w:val="72"/>
        </w:rPr>
      </w:pPr>
      <w:bookmarkStart w:id="1" w:name="_Toc15378441"/>
      <w:bookmarkStart w:id="2" w:name="_Toc15396475"/>
      <w:bookmarkStart w:id="3" w:name="_Toc15396597"/>
      <w:bookmarkStart w:id="4" w:name="_Toc15377193"/>
      <w:bookmarkStart w:id="5" w:name="_Toc15377425"/>
      <w:bookmarkStart w:id="6" w:name="_Toc15396598"/>
      <w:bookmarkStart w:id="7" w:name="_Toc15306268"/>
      <w:bookmarkStart w:id="8" w:name="_Toc15377426"/>
      <w:bookmarkStart w:id="9" w:name="_Toc15378442"/>
      <w:bookmarkStart w:id="10" w:name="_Toc15396476"/>
      <w:bookmarkStart w:id="11" w:name="_Toc15377194"/>
      <w:bookmarkEnd w:id="0"/>
      <w:r>
        <w:rPr>
          <w:rFonts w:ascii="黑体" w:eastAsia="黑体" w:cs="黑体" w:hint="eastAsia"/>
          <w:b/>
          <w:bCs/>
          <w:sz w:val="72"/>
          <w:szCs w:val="72"/>
        </w:rPr>
        <w:t>2025年度</w:t>
      </w:r>
      <w:bookmarkEnd w:id="1"/>
      <w:bookmarkEnd w:id="2"/>
      <w:bookmarkEnd w:id="3"/>
      <w:bookmarkEnd w:id="4"/>
      <w:bookmarkEnd w:id="5"/>
    </w:p>
    <w:p>
      <w:pPr>
        <w:jc w:val="center"/>
        <w:rPr>
          <w:rFonts w:ascii="黑体" w:eastAsia="黑体" w:cs="黑体" w:hint="eastAsia"/>
          <w:b/>
          <w:bCs/>
          <w:sz w:val="72"/>
          <w:szCs w:val="72"/>
        </w:rPr>
      </w:pPr>
      <w:r>
        <w:rPr>
          <w:rFonts w:ascii="黑体" w:eastAsia="黑体" w:cs="黑体" w:hint="eastAsia"/>
          <w:b/>
          <w:bCs/>
          <w:spacing w:val="-20"/>
          <w:sz w:val="72"/>
          <w:szCs w:val="72"/>
        </w:rPr>
        <w:t>四川省阿坝州汶川县统计局</w:t>
      </w:r>
      <w:r>
        <w:rPr>
          <w:rFonts w:ascii="黑体" w:eastAsia="黑体" w:cs="黑体" w:hint="eastAsia"/>
          <w:b/>
          <w:bCs/>
          <w:sz w:val="72"/>
          <w:szCs w:val="72"/>
        </w:rPr>
        <w:t>单位决算</w:t>
      </w:r>
      <w:bookmarkEnd w:id="6"/>
      <w:bookmarkEnd w:id="7"/>
      <w:bookmarkEnd w:id="8"/>
      <w:bookmarkEnd w:id="9"/>
      <w:bookmarkEnd w:id="10"/>
      <w:bookmarkEnd w:id="11"/>
      <w:r>
        <w:rPr>
          <w:rFonts w:ascii="黑体" w:eastAsia="黑体" w:cs="黑体" w:hint="eastAsia"/>
          <w:b/>
          <w:bCs/>
          <w:sz w:val="72"/>
          <w:szCs w:val="72"/>
        </w:rPr>
        <w:t>公开</w:t>
      </w:r>
    </w:p>
    <w:p>
      <w:pPr>
        <w:autoSpaceDE w:val="0"/>
        <w:autoSpaceDN w:val="0"/>
        <w:adjustRightInd w:val="0"/>
        <w:ind w:leftChars="200" w:left="420"/>
        <w:jc w:val="left"/>
        <w:rPr>
          <w:rFonts w:ascii="宋体" w:cs="仿宋_GB2312"/>
          <w:sz w:val="32"/>
          <w:szCs w:val="32"/>
        </w:rPr>
      </w:pPr>
    </w:p>
    <w:p>
      <w:pPr>
        <w:autoSpaceDE w:val="0"/>
        <w:autoSpaceDN w:val="0"/>
        <w:adjustRightInd w:val="0"/>
        <w:ind w:leftChars="200" w:left="420"/>
        <w:jc w:val="left"/>
        <w:rPr>
          <w:rFonts w:ascii="宋体" w:cs="仿宋_GB2312"/>
          <w:sz w:val="32"/>
          <w:szCs w:val="32"/>
        </w:rPr>
      </w:pPr>
    </w:p>
    <w:p>
      <w:pPr>
        <w:autoSpaceDE w:val="0"/>
        <w:autoSpaceDN w:val="0"/>
        <w:adjustRightInd w:val="0"/>
        <w:ind w:leftChars="200" w:left="420"/>
        <w:jc w:val="left"/>
        <w:rPr>
          <w:rFonts w:ascii="宋体" w:cs="仿宋_GB2312"/>
          <w:sz w:val="32"/>
          <w:szCs w:val="32"/>
        </w:rPr>
      </w:pPr>
    </w:p>
    <w:p>
      <w:pPr>
        <w:autoSpaceDE w:val="0"/>
        <w:autoSpaceDN w:val="0"/>
        <w:adjustRightInd w:val="0"/>
        <w:ind w:leftChars="200" w:left="420"/>
        <w:jc w:val="left"/>
        <w:rPr>
          <w:rFonts w:ascii="宋体" w:cs="仿宋_GB2312"/>
          <w:sz w:val="32"/>
          <w:szCs w:val="32"/>
        </w:rPr>
      </w:pPr>
    </w:p>
    <w:p>
      <w:pPr>
        <w:autoSpaceDE w:val="0"/>
        <w:autoSpaceDN w:val="0"/>
        <w:adjustRightInd w:val="0"/>
        <w:ind w:leftChars="200" w:left="420"/>
        <w:jc w:val="left"/>
        <w:rPr>
          <w:rFonts w:ascii="宋体" w:cs="仿宋_GB2312"/>
          <w:sz w:val="32"/>
          <w:szCs w:val="32"/>
        </w:rPr>
      </w:pPr>
    </w:p>
    <w:p>
      <w:pPr>
        <w:autoSpaceDE w:val="0"/>
        <w:autoSpaceDN w:val="0"/>
        <w:adjustRightInd w:val="0"/>
        <w:ind w:leftChars="200" w:left="420"/>
        <w:jc w:val="left"/>
        <w:rPr>
          <w:rFonts w:ascii="宋体" w:cs="仿宋_GB2312"/>
          <w:sz w:val="32"/>
          <w:szCs w:val="32"/>
        </w:rPr>
      </w:pPr>
    </w:p>
    <w:p>
      <w:pPr>
        <w:autoSpaceDE w:val="0"/>
        <w:autoSpaceDN w:val="0"/>
        <w:adjustRightInd w:val="0"/>
        <w:ind w:leftChars="200" w:left="420"/>
        <w:jc w:val="left"/>
        <w:rPr>
          <w:rFonts w:ascii="宋体" w:cs="仿宋_GB2312"/>
          <w:sz w:val="32"/>
          <w:szCs w:val="32"/>
        </w:rPr>
      </w:pPr>
    </w:p>
    <w:p>
      <w:pPr>
        <w:autoSpaceDE w:val="0"/>
        <w:autoSpaceDN w:val="0"/>
        <w:adjustRightInd w:val="0"/>
        <w:ind w:leftChars="200" w:left="420"/>
        <w:jc w:val="left"/>
        <w:rPr>
          <w:rFonts w:ascii="宋体" w:cs="仿宋_GB2312"/>
          <w:sz w:val="32"/>
          <w:szCs w:val="32"/>
        </w:rPr>
      </w:pPr>
    </w:p>
    <w:p>
      <w:pPr>
        <w:autoSpaceDE w:val="0"/>
        <w:autoSpaceDN w:val="0"/>
        <w:adjustRightInd w:val="0"/>
        <w:ind w:leftChars="200" w:left="420"/>
        <w:jc w:val="left"/>
        <w:rPr>
          <w:rFonts w:ascii="宋体" w:cs="仿宋_GB2312"/>
          <w:sz w:val="32"/>
          <w:szCs w:val="32"/>
        </w:rPr>
      </w:pPr>
    </w:p>
    <w:p>
      <w:pPr>
        <w:autoSpaceDE w:val="0"/>
        <w:autoSpaceDN w:val="0"/>
        <w:adjustRightInd w:val="0"/>
        <w:ind w:leftChars="200" w:left="420"/>
        <w:jc w:val="left"/>
        <w:rPr>
          <w:rFonts w:ascii="宋体" w:cs="仿宋_GB2312"/>
          <w:sz w:val="32"/>
          <w:szCs w:val="32"/>
        </w:rPr>
      </w:pPr>
    </w:p>
    <w:p>
      <w:pPr>
        <w:autoSpaceDE w:val="0"/>
        <w:autoSpaceDN w:val="0"/>
        <w:adjustRightInd w:val="0"/>
        <w:ind w:leftChars="200" w:left="420"/>
        <w:jc w:val="left"/>
        <w:rPr>
          <w:rFonts w:ascii="宋体" w:cs="仿宋_GB2312"/>
          <w:sz w:val="32"/>
          <w:szCs w:val="32"/>
        </w:rPr>
      </w:pPr>
    </w:p>
    <w:p>
      <w:pPr>
        <w:autoSpaceDE w:val="0"/>
        <w:autoSpaceDN w:val="0"/>
        <w:adjustRightInd w:val="0"/>
        <w:ind w:leftChars="200" w:left="420"/>
        <w:jc w:val="left"/>
        <w:rPr>
          <w:rFonts w:ascii="宋体"/>
          <w:sz w:val="32"/>
          <w:szCs w:val="32"/>
        </w:rPr>
      </w:pPr>
      <w:r>
        <w:rPr>
          <w:rFonts w:ascii="宋体" w:cs="仿宋_GB2312" w:hint="eastAsia"/>
          <w:sz w:val="32"/>
          <w:szCs w:val="32"/>
        </w:rPr>
        <w:t>保密审查情况：已审查，内容审定</w:t>
      </w:r>
    </w:p>
    <w:p>
      <w:pPr>
        <w:autoSpaceDE w:val="0"/>
        <w:autoSpaceDN w:val="0"/>
        <w:adjustRightInd w:val="0"/>
        <w:ind w:leftChars="200" w:left="420"/>
        <w:jc w:val="left"/>
        <w:rPr>
          <w:rFonts w:ascii="宋体"/>
          <w:sz w:val="32"/>
          <w:szCs w:val="32"/>
        </w:rPr>
      </w:pPr>
      <w:r>
        <w:rPr>
          <w:rFonts w:ascii="宋体" w:cs="仿宋_GB2312" w:hint="eastAsia"/>
          <w:sz w:val="32"/>
          <w:szCs w:val="32"/>
        </w:rPr>
        <w:t>部门主要负责人审签情况：已审签，同意对外公开</w:t>
      </w:r>
    </w:p>
    <w:p>
      <w:pPr>
        <w:widowControl/>
        <w:jc w:val="center"/>
        <w:rPr>
          <w:rFonts w:ascii="黑体" w:eastAsia="黑体" w:hint="eastAsia"/>
          <w:sz w:val="48"/>
          <w:szCs w:val="48"/>
        </w:rPr>
      </w:pPr>
    </w:p>
    <w:p>
      <w:pPr>
        <w:widowControl/>
        <w:jc w:val="center"/>
        <w:rPr>
          <w:rFonts w:ascii="黑体" w:eastAsia="黑体"/>
          <w:sz w:val="48"/>
          <w:szCs w:val="48"/>
        </w:rPr>
      </w:pPr>
      <w:r>
        <w:rPr>
          <w:rFonts w:ascii="黑体" w:eastAsia="黑体" w:hint="eastAsia"/>
          <w:sz w:val="48"/>
          <w:szCs w:val="48"/>
        </w:rPr>
        <w:t>目录</w:t>
      </w:r>
    </w:p>
    <w:p>
      <w:pPr>
        <w:widowControl/>
        <w:jc w:val="center"/>
        <w:rPr>
          <w:rFonts w:ascii="黑体" w:eastAsia="黑体" w:cs="Arial"/>
          <w:sz w:val="28"/>
          <w:szCs w:val="28"/>
        </w:rPr>
      </w:pPr>
    </w:p>
    <w:p>
      <w:pPr>
        <w:pStyle w:val="22"/>
        <w:tabs>
          <w:tab w:val="right" w:leader="dot" w:pos="8296"/>
        </w:tabs>
      </w:pPr>
      <w:r>
        <w:rPr>
          <w:rFonts w:hint="eastAsia"/>
        </w:rPr>
        <w:t>公开时间：2026年10月 9日</w:t>
      </w:r>
    </w:p>
    <w:p/>
    <w:p>
      <w:pPr>
        <w:pStyle w:val="22"/>
        <w:tabs>
          <w:tab w:val="right" w:leader="dot" w:pos="8296"/>
        </w:tabs>
        <w:adjustRightInd w:val="0"/>
        <w:snapToGrid w:val="0"/>
        <w:spacing w:before="0" w:line="440" w:lineRule="exact"/>
        <w:jc w:val="left"/>
        <w:rPr>
          <w:rFonts w:cs="Arial"/>
          <w:sz w:val="24"/>
          <w:szCs w:val="24"/>
        </w:rPr>
      </w:pPr>
      <w:r>
        <w:rPr>
          <w:rFonts w:hint="eastAsia"/>
          <w:sz w:val="24"/>
        </w:rPr>
        <w:t>第一部分</w:t>
      </w:r>
      <w:r>
        <w:rPr>
          <w:sz w:val="24"/>
        </w:rPr>
        <w:t xml:space="preserve"> </w:t>
      </w:r>
      <w:r>
        <w:rPr>
          <w:rFonts w:hint="eastAsia"/>
          <w:sz w:val="24"/>
        </w:rPr>
        <w:t>单位概况</w:t>
      </w:r>
    </w:p>
    <w:p>
      <w:pPr>
        <w:pStyle w:val="23"/>
        <w:tabs>
          <w:tab w:val="right" w:leader="dot" w:pos="8296"/>
        </w:tabs>
        <w:adjustRightInd w:val="0"/>
        <w:snapToGrid w:val="0"/>
        <w:spacing w:line="440" w:lineRule="exact"/>
        <w:jc w:val="left"/>
        <w:rPr>
          <w:sz w:val="24"/>
        </w:rPr>
      </w:pPr>
      <w:r>
        <w:rPr>
          <w:rFonts w:hint="eastAsia"/>
          <w:sz w:val="24"/>
        </w:rPr>
        <w:t>一、主要职责</w:t>
      </w:r>
    </w:p>
    <w:p>
      <w:pPr>
        <w:pStyle w:val="23"/>
        <w:tabs>
          <w:tab w:val="right" w:leader="dot" w:pos="8296"/>
        </w:tabs>
        <w:adjustRightInd w:val="0"/>
        <w:snapToGrid w:val="0"/>
        <w:spacing w:line="440" w:lineRule="exact"/>
        <w:jc w:val="left"/>
      </w:pPr>
      <w:r>
        <w:rPr>
          <w:rFonts w:hint="eastAsia"/>
          <w:sz w:val="24"/>
        </w:rPr>
        <w:t>二、机构设置</w:t>
      </w:r>
    </w:p>
    <w:p>
      <w:pPr>
        <w:pStyle w:val="22"/>
        <w:tabs>
          <w:tab w:val="right" w:leader="dot" w:pos="8296"/>
        </w:tabs>
        <w:adjustRightInd w:val="0"/>
        <w:snapToGrid w:val="0"/>
        <w:spacing w:before="0" w:line="440" w:lineRule="exact"/>
        <w:jc w:val="left"/>
        <w:rPr>
          <w:sz w:val="24"/>
          <w:szCs w:val="24"/>
        </w:rPr>
      </w:pPr>
      <w:r>
        <w:rPr>
          <w:rFonts w:hint="eastAsia"/>
          <w:sz w:val="24"/>
        </w:rPr>
        <w:t>第二部分 2025年度单位决算情况说明</w:t>
      </w:r>
    </w:p>
    <w:p>
      <w:pPr>
        <w:pStyle w:val="23"/>
        <w:tabs>
          <w:tab w:val="right" w:leader="dot" w:pos="8296"/>
        </w:tabs>
        <w:adjustRightInd w:val="0"/>
        <w:snapToGrid w:val="0"/>
        <w:spacing w:line="440" w:lineRule="exact"/>
        <w:jc w:val="left"/>
        <w:rPr>
          <w:rFonts w:ascii="仿宋" w:eastAsia="仿宋" w:cs="Arial"/>
          <w:sz w:val="24"/>
        </w:rPr>
      </w:pPr>
      <w:r>
        <w:rPr>
          <w:rFonts w:hint="eastAsia"/>
          <w:sz w:val="24"/>
        </w:rPr>
        <w:t>一、收入支出决算总体情况说明</w:t>
      </w:r>
    </w:p>
    <w:p>
      <w:pPr>
        <w:pStyle w:val="23"/>
        <w:tabs>
          <w:tab w:val="right" w:leader="dot" w:pos="8296"/>
        </w:tabs>
        <w:adjustRightInd w:val="0"/>
        <w:snapToGrid w:val="0"/>
        <w:spacing w:line="440" w:lineRule="exact"/>
        <w:jc w:val="left"/>
        <w:rPr>
          <w:rFonts w:ascii="仿宋" w:eastAsia="仿宋" w:cs="Arial"/>
          <w:sz w:val="24"/>
        </w:rPr>
      </w:pPr>
      <w:r>
        <w:rPr>
          <w:rFonts w:hint="eastAsia"/>
          <w:sz w:val="24"/>
        </w:rPr>
        <w:t>二、收入决算情况说明</w:t>
      </w:r>
    </w:p>
    <w:p>
      <w:pPr>
        <w:pStyle w:val="23"/>
        <w:tabs>
          <w:tab w:val="right" w:leader="dot" w:pos="8296"/>
        </w:tabs>
        <w:adjustRightInd w:val="0"/>
        <w:snapToGrid w:val="0"/>
        <w:spacing w:line="440" w:lineRule="exact"/>
        <w:jc w:val="left"/>
        <w:rPr>
          <w:rFonts w:ascii="仿宋" w:eastAsia="仿宋" w:cs="Arial"/>
          <w:sz w:val="24"/>
        </w:rPr>
      </w:pPr>
      <w:r>
        <w:rPr>
          <w:rFonts w:hint="eastAsia"/>
          <w:sz w:val="24"/>
        </w:rPr>
        <w:t>三、支出决算情况说明</w:t>
      </w:r>
    </w:p>
    <w:p>
      <w:pPr>
        <w:pStyle w:val="23"/>
        <w:tabs>
          <w:tab w:val="right" w:leader="dot" w:pos="8296"/>
        </w:tabs>
        <w:adjustRightInd w:val="0"/>
        <w:snapToGrid w:val="0"/>
        <w:spacing w:line="440" w:lineRule="exact"/>
        <w:jc w:val="left"/>
        <w:rPr>
          <w:rFonts w:ascii="仿宋" w:eastAsia="仿宋" w:cs="Arial"/>
          <w:sz w:val="24"/>
        </w:rPr>
      </w:pPr>
      <w:r>
        <w:rPr>
          <w:rFonts w:hint="eastAsia"/>
          <w:sz w:val="24"/>
        </w:rPr>
        <w:t>四、财政拨款收入支出决算总体情况说明</w:t>
      </w:r>
    </w:p>
    <w:p>
      <w:pPr>
        <w:pStyle w:val="23"/>
        <w:tabs>
          <w:tab w:val="right" w:leader="dot" w:pos="8296"/>
        </w:tabs>
        <w:adjustRightInd w:val="0"/>
        <w:snapToGrid w:val="0"/>
        <w:spacing w:line="440" w:lineRule="exact"/>
        <w:jc w:val="left"/>
        <w:rPr>
          <w:rFonts w:ascii="仿宋" w:eastAsia="仿宋" w:cs="Arial"/>
          <w:sz w:val="24"/>
        </w:rPr>
      </w:pPr>
      <w:r>
        <w:rPr>
          <w:rFonts w:hint="eastAsia"/>
          <w:sz w:val="24"/>
        </w:rPr>
        <w:t>五、一般公共预算财政拨款支出决算情况说明</w:t>
      </w:r>
    </w:p>
    <w:p>
      <w:pPr>
        <w:pStyle w:val="23"/>
        <w:tabs>
          <w:tab w:val="right" w:leader="dot" w:pos="8296"/>
        </w:tabs>
        <w:adjustRightInd w:val="0"/>
        <w:snapToGrid w:val="0"/>
        <w:spacing w:line="440" w:lineRule="exact"/>
        <w:jc w:val="left"/>
        <w:rPr>
          <w:rFonts w:ascii="仿宋" w:eastAsia="仿宋" w:cs="Arial"/>
          <w:sz w:val="24"/>
        </w:rPr>
      </w:pPr>
      <w:r>
        <w:rPr>
          <w:rFonts w:hint="eastAsia"/>
          <w:sz w:val="24"/>
        </w:rPr>
        <w:t>六、一般公共预算财政拨款基本支出决算情况说明</w:t>
      </w:r>
    </w:p>
    <w:p>
      <w:pPr>
        <w:pStyle w:val="23"/>
        <w:tabs>
          <w:tab w:val="right" w:leader="dot" w:pos="8296"/>
        </w:tabs>
        <w:adjustRightInd w:val="0"/>
        <w:snapToGrid w:val="0"/>
        <w:spacing w:line="440" w:lineRule="exact"/>
        <w:jc w:val="left"/>
        <w:rPr>
          <w:rFonts w:ascii="仿宋" w:eastAsia="仿宋" w:cs="Arial"/>
          <w:sz w:val="24"/>
        </w:rPr>
      </w:pPr>
      <w:r>
        <w:rPr>
          <w:rFonts w:hint="eastAsia"/>
          <w:sz w:val="24"/>
        </w:rPr>
        <w:t>七、财政拨款“三公”经费支出决算情况说明</w:t>
      </w:r>
    </w:p>
    <w:p>
      <w:pPr>
        <w:pStyle w:val="23"/>
        <w:tabs>
          <w:tab w:val="right" w:leader="dot" w:pos="8296"/>
        </w:tabs>
        <w:adjustRightInd w:val="0"/>
        <w:snapToGrid w:val="0"/>
        <w:spacing w:line="440" w:lineRule="exact"/>
        <w:jc w:val="left"/>
        <w:rPr>
          <w:rFonts w:ascii="仿宋" w:eastAsia="仿宋" w:cs="Arial"/>
          <w:sz w:val="24"/>
        </w:rPr>
      </w:pPr>
      <w:r>
        <w:rPr>
          <w:rFonts w:hint="eastAsia"/>
          <w:sz w:val="24"/>
        </w:rPr>
        <w:t>八、政府性基金预算支出决算情况说明</w:t>
      </w:r>
    </w:p>
    <w:p>
      <w:pPr>
        <w:pStyle w:val="23"/>
        <w:tabs>
          <w:tab w:val="right" w:leader="dot" w:pos="8296"/>
        </w:tabs>
        <w:adjustRightInd w:val="0"/>
        <w:snapToGrid w:val="0"/>
        <w:spacing w:line="440" w:lineRule="exact"/>
        <w:jc w:val="left"/>
        <w:rPr>
          <w:sz w:val="24"/>
        </w:rPr>
      </w:pPr>
      <w:r>
        <w:rPr>
          <w:rFonts w:hint="eastAsia"/>
          <w:sz w:val="24"/>
        </w:rPr>
        <w:t>九、国有资本经营预算支出决算情况说明</w:t>
      </w:r>
    </w:p>
    <w:p>
      <w:pPr>
        <w:pStyle w:val="23"/>
        <w:tabs>
          <w:tab w:val="right" w:leader="dot" w:pos="8296"/>
        </w:tabs>
        <w:adjustRightInd w:val="0"/>
        <w:snapToGrid w:val="0"/>
        <w:spacing w:line="440" w:lineRule="exact"/>
        <w:jc w:val="left"/>
        <w:rPr>
          <w:sz w:val="24"/>
        </w:rPr>
      </w:pPr>
      <w:r>
        <w:rPr>
          <w:rFonts w:hint="eastAsia"/>
          <w:sz w:val="24"/>
        </w:rPr>
        <w:t>十、其他重要事项的情况说明</w:t>
      </w:r>
    </w:p>
    <w:p>
      <w:pPr>
        <w:pStyle w:val="22"/>
        <w:tabs>
          <w:tab w:val="right" w:leader="dot" w:pos="8296"/>
        </w:tabs>
        <w:adjustRightInd w:val="0"/>
        <w:snapToGrid w:val="0"/>
        <w:spacing w:before="0" w:line="440" w:lineRule="exact"/>
        <w:jc w:val="left"/>
        <w:rPr>
          <w:rFonts w:cs="Arial"/>
          <w:sz w:val="24"/>
          <w:szCs w:val="24"/>
        </w:rPr>
      </w:pPr>
      <w:r>
        <w:rPr>
          <w:rFonts w:hint="eastAsia"/>
          <w:sz w:val="24"/>
        </w:rPr>
        <w:t>第三部分</w:t>
      </w:r>
      <w:r>
        <w:rPr>
          <w:sz w:val="24"/>
        </w:rPr>
        <w:t xml:space="preserve"> </w:t>
      </w:r>
      <w:r>
        <w:rPr>
          <w:rFonts w:hint="eastAsia"/>
          <w:sz w:val="24"/>
        </w:rPr>
        <w:t>名词解释</w:t>
      </w:r>
    </w:p>
    <w:p>
      <w:pPr>
        <w:pStyle w:val="22"/>
        <w:tabs>
          <w:tab w:val="right" w:leader="dot" w:pos="8296"/>
        </w:tabs>
        <w:adjustRightInd w:val="0"/>
        <w:snapToGrid w:val="0"/>
        <w:spacing w:before="0" w:line="440" w:lineRule="exact"/>
        <w:jc w:val="left"/>
        <w:rPr>
          <w:rFonts w:cs="Arial"/>
          <w:sz w:val="24"/>
          <w:szCs w:val="24"/>
        </w:rPr>
      </w:pPr>
      <w:r>
        <w:rPr>
          <w:rFonts w:hint="eastAsia"/>
          <w:sz w:val="24"/>
        </w:rPr>
        <w:t>第四部分</w:t>
      </w:r>
      <w:r>
        <w:rPr>
          <w:sz w:val="24"/>
        </w:rPr>
        <w:t xml:space="preserve"> </w:t>
      </w:r>
      <w:r>
        <w:rPr>
          <w:rFonts w:hint="eastAsia"/>
          <w:sz w:val="24"/>
        </w:rPr>
        <w:t>附件</w:t>
      </w:r>
    </w:p>
    <w:p>
      <w:pPr>
        <w:pStyle w:val="22"/>
        <w:tabs>
          <w:tab w:val="right" w:leader="dot" w:pos="8296"/>
        </w:tabs>
        <w:adjustRightInd w:val="0"/>
        <w:snapToGrid w:val="0"/>
        <w:spacing w:before="0" w:line="440" w:lineRule="exact"/>
        <w:jc w:val="left"/>
        <w:rPr>
          <w:rFonts w:cs="Arial"/>
          <w:sz w:val="24"/>
          <w:szCs w:val="24"/>
        </w:rPr>
      </w:pPr>
      <w:r>
        <w:rPr>
          <w:rFonts w:hint="eastAsia"/>
          <w:sz w:val="24"/>
        </w:rPr>
        <w:t>第五部分</w:t>
      </w:r>
      <w:r>
        <w:rPr>
          <w:sz w:val="24"/>
        </w:rPr>
        <w:t xml:space="preserve"> </w:t>
      </w:r>
      <w:r>
        <w:rPr>
          <w:rFonts w:hint="eastAsia"/>
          <w:sz w:val="24"/>
        </w:rPr>
        <w:t>附表</w:t>
      </w:r>
    </w:p>
    <w:p>
      <w:pPr>
        <w:pStyle w:val="23"/>
        <w:tabs>
          <w:tab w:val="right" w:leader="dot" w:pos="8296"/>
        </w:tabs>
        <w:adjustRightInd w:val="0"/>
        <w:snapToGrid w:val="0"/>
        <w:spacing w:line="440" w:lineRule="exact"/>
        <w:jc w:val="left"/>
        <w:rPr>
          <w:sz w:val="24"/>
        </w:rPr>
      </w:pPr>
      <w:r>
        <w:rPr>
          <w:rFonts w:hint="eastAsia"/>
          <w:sz w:val="24"/>
        </w:rPr>
        <w:t>一、收入支出决算总表</w:t>
      </w:r>
    </w:p>
    <w:p>
      <w:pPr>
        <w:pStyle w:val="23"/>
        <w:tabs>
          <w:tab w:val="right" w:leader="dot" w:pos="8296"/>
        </w:tabs>
        <w:adjustRightInd w:val="0"/>
        <w:snapToGrid w:val="0"/>
        <w:spacing w:line="440" w:lineRule="exact"/>
        <w:jc w:val="left"/>
        <w:rPr>
          <w:sz w:val="24"/>
        </w:rPr>
      </w:pPr>
      <w:r>
        <w:rPr>
          <w:rFonts w:hint="eastAsia"/>
          <w:sz w:val="24"/>
        </w:rPr>
        <w:t>二、收入决算表</w:t>
      </w:r>
    </w:p>
    <w:p>
      <w:pPr>
        <w:pStyle w:val="23"/>
        <w:tabs>
          <w:tab w:val="right" w:leader="dot" w:pos="8296"/>
        </w:tabs>
        <w:adjustRightInd w:val="0"/>
        <w:snapToGrid w:val="0"/>
        <w:spacing w:line="440" w:lineRule="exact"/>
        <w:jc w:val="left"/>
        <w:rPr>
          <w:sz w:val="24"/>
        </w:rPr>
      </w:pPr>
      <w:r>
        <w:rPr>
          <w:rFonts w:hint="eastAsia"/>
          <w:sz w:val="24"/>
        </w:rPr>
        <w:t>三、支出决算表</w:t>
      </w:r>
    </w:p>
    <w:p>
      <w:pPr>
        <w:pStyle w:val="23"/>
        <w:tabs>
          <w:tab w:val="right" w:leader="dot" w:pos="8296"/>
        </w:tabs>
        <w:adjustRightInd w:val="0"/>
        <w:snapToGrid w:val="0"/>
        <w:spacing w:line="440" w:lineRule="exact"/>
        <w:jc w:val="left"/>
        <w:rPr>
          <w:sz w:val="24"/>
        </w:rPr>
      </w:pPr>
      <w:r>
        <w:rPr>
          <w:rFonts w:hint="eastAsia"/>
          <w:sz w:val="24"/>
        </w:rPr>
        <w:t>四、财政拨款收入支出决算总表</w:t>
      </w:r>
    </w:p>
    <w:p>
      <w:pPr>
        <w:pStyle w:val="23"/>
        <w:tabs>
          <w:tab w:val="right" w:leader="dot" w:pos="8296"/>
        </w:tabs>
        <w:adjustRightInd w:val="0"/>
        <w:snapToGrid w:val="0"/>
        <w:spacing w:line="440" w:lineRule="exact"/>
        <w:jc w:val="left"/>
        <w:rPr>
          <w:sz w:val="24"/>
        </w:rPr>
      </w:pPr>
      <w:r>
        <w:rPr>
          <w:rFonts w:hint="eastAsia"/>
          <w:sz w:val="24"/>
        </w:rPr>
        <w:t>五、财政拨款支出决算明细表</w:t>
      </w:r>
    </w:p>
    <w:p>
      <w:pPr>
        <w:pStyle w:val="23"/>
        <w:tabs>
          <w:tab w:val="right" w:leader="dot" w:pos="8296"/>
        </w:tabs>
        <w:adjustRightInd w:val="0"/>
        <w:snapToGrid w:val="0"/>
        <w:spacing w:line="440" w:lineRule="exact"/>
        <w:jc w:val="left"/>
        <w:rPr>
          <w:sz w:val="24"/>
        </w:rPr>
      </w:pPr>
      <w:r>
        <w:rPr>
          <w:rFonts w:hint="eastAsia"/>
          <w:sz w:val="24"/>
        </w:rPr>
        <w:t>六、一般公共预算财政拨款支出决算表</w:t>
      </w:r>
    </w:p>
    <w:p>
      <w:pPr>
        <w:pStyle w:val="23"/>
        <w:tabs>
          <w:tab w:val="right" w:leader="dot" w:pos="8296"/>
        </w:tabs>
        <w:adjustRightInd w:val="0"/>
        <w:snapToGrid w:val="0"/>
        <w:spacing w:line="440" w:lineRule="exact"/>
        <w:jc w:val="left"/>
        <w:rPr>
          <w:sz w:val="24"/>
        </w:rPr>
      </w:pPr>
      <w:r>
        <w:rPr>
          <w:rFonts w:hint="eastAsia"/>
          <w:sz w:val="24"/>
        </w:rPr>
        <w:t>七、一般公共预算财政拨款支出决算明细表</w:t>
      </w:r>
    </w:p>
    <w:p>
      <w:pPr>
        <w:pStyle w:val="23"/>
        <w:tabs>
          <w:tab w:val="right" w:leader="dot" w:pos="8296"/>
        </w:tabs>
        <w:adjustRightInd w:val="0"/>
        <w:snapToGrid w:val="0"/>
        <w:spacing w:line="440" w:lineRule="exact"/>
        <w:jc w:val="left"/>
        <w:rPr>
          <w:sz w:val="24"/>
        </w:rPr>
      </w:pPr>
      <w:r>
        <w:rPr>
          <w:rFonts w:hint="eastAsia"/>
          <w:sz w:val="24"/>
        </w:rPr>
        <w:t>八、一般公共预算财政拨款基本支出决算明细表</w:t>
      </w:r>
    </w:p>
    <w:p>
      <w:pPr>
        <w:pStyle w:val="23"/>
        <w:tabs>
          <w:tab w:val="right" w:leader="dot" w:pos="8296"/>
        </w:tabs>
        <w:adjustRightInd w:val="0"/>
        <w:snapToGrid w:val="0"/>
        <w:spacing w:line="440" w:lineRule="exact"/>
        <w:jc w:val="left"/>
        <w:rPr>
          <w:sz w:val="24"/>
        </w:rPr>
      </w:pPr>
      <w:r>
        <w:rPr>
          <w:rFonts w:hint="eastAsia"/>
          <w:sz w:val="24"/>
        </w:rPr>
        <w:t>九、一般公共预算财政拨款项目支出决算表</w:t>
      </w:r>
    </w:p>
    <w:p>
      <w:pPr>
        <w:pStyle w:val="23"/>
        <w:tabs>
          <w:tab w:val="right" w:leader="dot" w:pos="8296"/>
        </w:tabs>
        <w:adjustRightInd w:val="0"/>
        <w:snapToGrid w:val="0"/>
        <w:spacing w:line="440" w:lineRule="exact"/>
        <w:jc w:val="left"/>
        <w:rPr>
          <w:sz w:val="24"/>
        </w:rPr>
      </w:pPr>
      <w:r>
        <w:rPr>
          <w:rFonts w:hint="eastAsia"/>
          <w:sz w:val="24"/>
        </w:rPr>
        <w:t>十、政府性基金预算财政拨款收入支出决算表</w:t>
      </w:r>
    </w:p>
    <w:p>
      <w:pPr>
        <w:pStyle w:val="23"/>
        <w:tabs>
          <w:tab w:val="right" w:leader="dot" w:pos="8296"/>
        </w:tabs>
        <w:adjustRightInd w:val="0"/>
        <w:snapToGrid w:val="0"/>
        <w:spacing w:line="440" w:lineRule="exact"/>
        <w:jc w:val="left"/>
        <w:rPr>
          <w:sz w:val="24"/>
        </w:rPr>
      </w:pPr>
      <w:r>
        <w:rPr>
          <w:rFonts w:hint="eastAsia"/>
          <w:sz w:val="24"/>
        </w:rPr>
        <w:t>十一、国有资本经营预算财政拨款收入支出决算表</w:t>
      </w:r>
    </w:p>
    <w:p>
      <w:pPr>
        <w:pStyle w:val="23"/>
        <w:tabs>
          <w:tab w:val="right" w:leader="dot" w:pos="8296"/>
        </w:tabs>
        <w:adjustRightInd w:val="0"/>
        <w:snapToGrid w:val="0"/>
        <w:spacing w:line="440" w:lineRule="exact"/>
        <w:jc w:val="left"/>
        <w:rPr>
          <w:sz w:val="24"/>
        </w:rPr>
      </w:pPr>
      <w:r>
        <w:rPr>
          <w:rFonts w:hint="eastAsia"/>
          <w:sz w:val="24"/>
        </w:rPr>
        <w:t>十二、国有资本经营预算财政拨款支出决算表</w:t>
      </w:r>
    </w:p>
    <w:p>
      <w:pPr>
        <w:pStyle w:val="23"/>
        <w:tabs>
          <w:tab w:val="right" w:leader="dot" w:pos="8296"/>
        </w:tabs>
        <w:adjustRightInd w:val="0"/>
        <w:snapToGrid w:val="0"/>
        <w:spacing w:line="440" w:lineRule="exact"/>
        <w:jc w:val="left"/>
        <w:rPr>
          <w:sz w:val="24"/>
        </w:rPr>
      </w:pPr>
      <w:r>
        <w:rPr>
          <w:rFonts w:hint="eastAsia"/>
          <w:sz w:val="24"/>
        </w:rPr>
        <w:t>十三、财政拨款“三公”经费支出决算表</w:t>
      </w:r>
    </w:p>
    <w:p>
      <w:pPr>
        <w:widowControl/>
        <w:adjustRightInd w:val="0"/>
        <w:snapToGrid w:val="0"/>
        <w:spacing w:line="440" w:lineRule="exact"/>
        <w:ind w:firstLineChars="550" w:firstLine="1320"/>
        <w:jc w:val="left"/>
        <w:rPr>
          <w:rFonts w:ascii="仿宋" w:eastAsia="仿宋"/>
          <w:sz w:val="24"/>
        </w:rPr>
      </w:pPr>
      <w:r>
        <w:rPr>
          <w:rFonts w:ascii="仿宋" w:eastAsia="仿宋"/>
          <w:sz w:val="24"/>
        </w:rPr>
        <w:t>(注：</w:t>
      </w:r>
      <w:r>
        <w:rPr>
          <w:rFonts w:ascii="仿宋" w:eastAsia="仿宋" w:hint="eastAsia"/>
          <w:sz w:val="24"/>
        </w:rPr>
        <w:t>请单位根据实际注明页码</w:t>
      </w:r>
      <w:r>
        <w:rPr>
          <w:rFonts w:ascii="仿宋" w:eastAsia="仿宋"/>
          <w:sz w:val="24"/>
        </w:rPr>
        <w:t>)</w:t>
      </w:r>
    </w:p>
    <w:p>
      <w:pPr>
        <w:widowControl/>
        <w:spacing w:line="440" w:lineRule="exact"/>
        <w:jc w:val="left"/>
        <w:rPr>
          <w:rFonts w:ascii="仿宋" w:eastAsia="仿宋"/>
          <w:bCs/>
          <w:kern w:val="44"/>
          <w:sz w:val="24"/>
        </w:rPr>
      </w:pPr>
      <w:bookmarkStart w:id="12" w:name="_Toc15396599"/>
      <w:bookmarkStart w:id="13" w:name="_Toc15377196"/>
      <w:r>
        <w:rPr>
          <w:rFonts w:ascii="仿宋" w:eastAsia="仿宋"/>
          <w:b/>
          <w:sz w:val="24"/>
        </w:rPr>
        <w:br w:type="page"/>
      </w:r>
    </w:p>
    <w:p>
      <w:pPr>
        <w:pStyle w:val="1"/>
        <w:jc w:val="center"/>
        <w:rPr>
          <w:rStyle w:val="1Char"/>
          <w:rFonts w:ascii="黑体" w:eastAsia="黑体"/>
          <w:b/>
          <w:bCs w:val="0"/>
        </w:rPr>
      </w:pPr>
      <w:r>
        <w:rPr>
          <w:rFonts w:ascii="黑体" w:eastAsia="黑体" w:hint="eastAsia"/>
          <w:b w:val="0"/>
        </w:rPr>
        <w:t>第一部分 单位</w:t>
      </w:r>
      <w:r>
        <w:rPr>
          <w:rStyle w:val="1Char"/>
          <w:rFonts w:ascii="黑体" w:eastAsia="黑体" w:hint="eastAsia"/>
          <w:b w:val="0"/>
          <w:bCs w:val="0"/>
        </w:rPr>
        <w:t>概况</w:t>
      </w:r>
      <w:bookmarkEnd w:id="12"/>
      <w:bookmarkEnd w:id="13"/>
    </w:p>
    <w:p>
      <w:pPr>
        <w:widowControl/>
        <w:jc w:val="left"/>
        <w:rPr>
          <w:rFonts w:ascii="黑体" w:eastAsia="黑体"/>
          <w:sz w:val="32"/>
          <w:szCs w:val="32"/>
        </w:rPr>
      </w:pPr>
    </w:p>
    <w:p>
      <w:pPr>
        <w:pStyle w:val="2"/>
        <w:tabs>
          <w:tab w:val="left" w:pos="0"/>
        </w:tabs>
        <w:ind w:firstLineChars="200" w:firstLine="640"/>
        <w:rPr>
          <w:rStyle w:val="2Char"/>
          <w:rFonts w:ascii="黑体" w:eastAsia="黑体"/>
          <w:b w:val="0"/>
          <w:bCs w:val="0"/>
        </w:rPr>
      </w:pPr>
      <w:bookmarkStart w:id="14" w:name="_Toc15377197"/>
      <w:bookmarkStart w:id="15" w:name="_Toc15396600"/>
      <w:r>
        <w:rPr>
          <w:rStyle w:val="2Char"/>
          <w:rFonts w:ascii="黑体" w:eastAsia="黑体" w:hint="eastAsia"/>
          <w:b w:val="0"/>
          <w:bCs w:val="0"/>
        </w:rPr>
        <w:t>一、主要职责</w:t>
      </w:r>
    </w:p>
    <w:p>
      <w:pPr>
        <w:pStyle w:val="24"/>
        <w:widowControl w:val="0"/>
        <w:shd w:val="clear" w:color="auto" w:fill="FFFFFF"/>
        <w:adjustRightInd w:val="0"/>
        <w:snapToGrid w:val="0"/>
        <w:spacing w:before="0" w:beforeAutospacing="0" w:after="0" w:afterAutospacing="0" w:line="560" w:lineRule="exact"/>
        <w:ind w:firstLineChars="200" w:firstLine="480"/>
        <w:jc w:val="both"/>
        <w:rPr>
          <w:rFonts w:ascii="仿宋" w:eastAsia="仿宋" w:cs="Times New Roman"/>
          <w:bCs/>
          <w:color w:val="000000"/>
          <w:sz w:val="32"/>
          <w:szCs w:val="32"/>
        </w:rPr>
      </w:pPr>
      <w:r>
        <w:rPr>
          <w:rFonts w:ascii="黑体" w:eastAsia="黑体" w:hint="eastAsia"/>
        </w:rPr>
        <w:t xml:space="preserve">  </w:t>
      </w:r>
      <w:r>
        <w:rPr>
          <w:rFonts w:ascii="仿宋" w:eastAsia="仿宋" w:cs="Times New Roman" w:hint="eastAsia"/>
          <w:bCs/>
          <w:color w:val="000000"/>
          <w:sz w:val="32"/>
          <w:szCs w:val="32"/>
        </w:rPr>
        <w:t>1.依照国家法律、法规、规章，组织领导和综合协调全县各乡镇、部门、单位的统计和国民经济核算工作，准确、及时、全面地反映县情县力，反映社会经济发展的基本情况，为县委、县政府制定政策、计划、指导经济和社会发展提供依据；监督检查统计法律、法规的实施。</w:t>
      </w:r>
    </w:p>
    <w:p>
      <w:pPr>
        <w:pStyle w:val="24"/>
        <w:widowControl w:val="0"/>
        <w:shd w:val="clear" w:color="auto" w:fill="FFFFFF"/>
        <w:adjustRightInd w:val="0"/>
        <w:snapToGrid w:val="0"/>
        <w:spacing w:before="93" w:beforeAutospacing="0" w:after="0" w:afterAutospacing="0" w:line="560" w:lineRule="exact"/>
        <w:ind w:firstLineChars="200" w:firstLine="640"/>
        <w:jc w:val="both"/>
        <w:rPr>
          <w:rFonts w:ascii="仿宋" w:eastAsia="仿宋" w:cs="Times New Roman"/>
          <w:bCs/>
          <w:color w:val="000000"/>
          <w:sz w:val="32"/>
          <w:szCs w:val="32"/>
        </w:rPr>
      </w:pPr>
      <w:r>
        <w:rPr>
          <w:rFonts w:ascii="仿宋" w:eastAsia="仿宋" w:cs="Times New Roman" w:hint="eastAsia"/>
          <w:bCs/>
          <w:color w:val="000000"/>
          <w:sz w:val="32"/>
          <w:szCs w:val="32"/>
        </w:rPr>
        <w:t>2. 按照国家国民经济核算体系和核算制度，组织实施全县国民经济核算体系和投入产出调查，核算全县国内生产总值，汇编提供全县国民经济核算资料。</w:t>
      </w:r>
    </w:p>
    <w:p>
      <w:pPr>
        <w:pStyle w:val="24"/>
        <w:widowControl w:val="0"/>
        <w:shd w:val="clear" w:color="auto" w:fill="FFFFFF"/>
        <w:adjustRightInd w:val="0"/>
        <w:snapToGrid w:val="0"/>
        <w:spacing w:before="93" w:beforeAutospacing="0" w:after="0" w:afterAutospacing="0" w:line="560" w:lineRule="exact"/>
        <w:ind w:firstLineChars="200" w:firstLine="640"/>
        <w:jc w:val="both"/>
        <w:rPr>
          <w:rFonts w:ascii="仿宋" w:eastAsia="仿宋" w:cs="Times New Roman"/>
          <w:bCs/>
          <w:color w:val="000000"/>
          <w:sz w:val="32"/>
          <w:szCs w:val="32"/>
        </w:rPr>
      </w:pPr>
      <w:r>
        <w:rPr>
          <w:rFonts w:ascii="仿宋" w:eastAsia="仿宋" w:cs="Times New Roman" w:hint="eastAsia"/>
          <w:bCs/>
          <w:color w:val="000000"/>
          <w:sz w:val="32"/>
          <w:szCs w:val="32"/>
        </w:rPr>
        <w:t>3.组织实施全县重大的国情国力普查和专项统计调查；牵头组织开展人口、经济、农业普查及专项调查工作，汇总、整理和提供有关普查和调查方面的统计数据并进行分析；对国民经济运行、科技进步和社会发展情况进行统计分析、预测、监督；向州统计局和县委、县政府及有关部门提供统计信息和咨询建议。</w:t>
      </w:r>
    </w:p>
    <w:p>
      <w:pPr>
        <w:pStyle w:val="24"/>
        <w:widowControl w:val="0"/>
        <w:shd w:val="clear" w:color="auto" w:fill="FFFFFF"/>
        <w:adjustRightInd w:val="0"/>
        <w:snapToGrid w:val="0"/>
        <w:spacing w:before="93" w:beforeAutospacing="0" w:after="0" w:afterAutospacing="0" w:line="560" w:lineRule="exact"/>
        <w:ind w:firstLineChars="200" w:firstLine="640"/>
        <w:jc w:val="both"/>
        <w:rPr>
          <w:rFonts w:ascii="仿宋" w:eastAsia="仿宋" w:cs="Times New Roman"/>
          <w:bCs/>
          <w:color w:val="000000"/>
          <w:sz w:val="32"/>
          <w:szCs w:val="32"/>
        </w:rPr>
      </w:pPr>
      <w:r>
        <w:rPr>
          <w:rFonts w:ascii="仿宋" w:eastAsia="仿宋" w:cs="Times New Roman" w:hint="eastAsia"/>
          <w:bCs/>
          <w:color w:val="000000"/>
          <w:sz w:val="32"/>
          <w:szCs w:val="32"/>
        </w:rPr>
        <w:t>4.组织实施农林牧渔业、工业、建筑业、批发和零售业、住宿和餐饮业、房地产业等国民经济行业以及能源、投资、人口、收入、科技、社会发展基本情况等领域的统计调查，建立健全县经济社会发展监测评价制度及指标体系，对重点区域和重要领域实施监测评价，牵头综合整理和提供全县基本统计资料。</w:t>
      </w:r>
    </w:p>
    <w:p>
      <w:pPr>
        <w:pStyle w:val="24"/>
        <w:widowControl w:val="0"/>
        <w:shd w:val="clear" w:color="auto" w:fill="FFFFFF"/>
        <w:adjustRightInd w:val="0"/>
        <w:snapToGrid w:val="0"/>
        <w:spacing w:before="93" w:beforeAutospacing="0" w:after="0" w:afterAutospacing="0" w:line="560" w:lineRule="exact"/>
        <w:ind w:firstLineChars="200" w:firstLine="640"/>
        <w:jc w:val="both"/>
        <w:rPr>
          <w:rFonts w:ascii="仿宋" w:eastAsia="仿宋" w:cs="Times New Roman"/>
          <w:bCs/>
          <w:color w:val="000000"/>
          <w:sz w:val="32"/>
          <w:szCs w:val="32"/>
        </w:rPr>
      </w:pPr>
      <w:r>
        <w:rPr>
          <w:rFonts w:ascii="仿宋" w:eastAsia="仿宋" w:cs="Times New Roman" w:hint="eastAsia"/>
          <w:bCs/>
          <w:color w:val="000000"/>
          <w:sz w:val="32"/>
          <w:szCs w:val="32"/>
        </w:rPr>
        <w:t>5.配合上级业务部门组织实施全县统计人员的统计专业技术岗位培训，协助和配合有关部门管理统计系统专业技术资格考试和继续教育工作，做好统计执法监督工作。</w:t>
      </w:r>
    </w:p>
    <w:p>
      <w:pPr>
        <w:pStyle w:val="24"/>
        <w:widowControl w:val="0"/>
        <w:shd w:val="clear" w:color="auto" w:fill="FFFFFF"/>
        <w:adjustRightInd w:val="0"/>
        <w:snapToGrid w:val="0"/>
        <w:spacing w:before="93" w:beforeAutospacing="0" w:after="0" w:afterAutospacing="0" w:line="560" w:lineRule="exact"/>
        <w:ind w:firstLineChars="200" w:firstLine="640"/>
        <w:jc w:val="both"/>
        <w:rPr>
          <w:rFonts w:ascii="仿宋" w:eastAsia="仿宋" w:cs="Times New Roman"/>
          <w:bCs/>
          <w:color w:val="000000"/>
          <w:sz w:val="32"/>
          <w:szCs w:val="32"/>
        </w:rPr>
      </w:pPr>
      <w:r>
        <w:rPr>
          <w:rFonts w:ascii="仿宋" w:eastAsia="仿宋" w:cs="Times New Roman" w:hint="eastAsia"/>
          <w:bCs/>
          <w:color w:val="000000"/>
          <w:sz w:val="32"/>
          <w:szCs w:val="32"/>
        </w:rPr>
        <w:t>6.加强本机关的精神文明和廉政建设，并做好领导干部经济手册的宣传发行工作。</w:t>
      </w:r>
    </w:p>
    <w:p>
      <w:pPr>
        <w:pStyle w:val="2"/>
        <w:spacing w:before="0" w:after="0" w:line="576" w:lineRule="exact"/>
        <w:ind w:firstLineChars="200" w:firstLine="640"/>
      </w:pPr>
      <w:bookmarkStart w:id="16" w:name="_Toc81484340"/>
      <w:bookmarkStart w:id="17" w:name="_Toc81482872"/>
      <w:r>
        <w:rPr>
          <w:rFonts w:ascii="仿宋" w:eastAsia="仿宋" w:hint="eastAsia"/>
          <w:b w:val="0"/>
          <w:bCs w:val="0"/>
          <w:color w:val="000000"/>
        </w:rPr>
        <w:t>7.完成上级部门和县委、县人民政府交办的其他任务。</w:t>
      </w:r>
      <w:bookmarkEnd w:id="16"/>
      <w:bookmarkEnd w:id="17"/>
    </w:p>
    <w:p>
      <w:pPr>
        <w:pStyle w:val="2"/>
        <w:ind w:firstLineChars="200" w:firstLine="640"/>
        <w:rPr>
          <w:rFonts w:ascii="黑体" w:eastAsia="黑体"/>
          <w:b w:val="0"/>
        </w:rPr>
      </w:pPr>
      <w:r>
        <w:rPr>
          <w:rFonts w:ascii="黑体" w:eastAsia="黑体" w:hint="eastAsia"/>
          <w:b w:val="0"/>
        </w:rPr>
        <w:t>二、机构设置</w:t>
      </w:r>
    </w:p>
    <w:p>
      <w:pPr>
        <w:adjustRightInd w:val="0"/>
        <w:snapToGrid w:val="0"/>
        <w:spacing w:line="560" w:lineRule="exact"/>
        <w:ind w:firstLineChars="200" w:firstLine="640"/>
        <w:rPr>
          <w:rFonts w:ascii="仿宋" w:eastAsia="仿宋"/>
          <w:color w:val="000000"/>
          <w:sz w:val="32"/>
          <w:szCs w:val="32"/>
        </w:rPr>
      </w:pPr>
      <w:bookmarkEnd w:id="14"/>
      <w:bookmarkEnd w:id="15"/>
      <w:r>
        <w:rPr>
          <w:rFonts w:ascii="仿宋" w:eastAsia="仿宋" w:hint="eastAsia"/>
          <w:color w:val="000000"/>
          <w:sz w:val="32"/>
          <w:szCs w:val="32"/>
        </w:rPr>
        <w:t>汶川县统计局无二级预算单位，其中行政单位1个，非独立核算参照公务员法管理的事业单位1个，即汶川县统计普查中心。统计局现内设机构4个，即：办公室、国民经济核算综合统计股、农业工业能源统计股、投资和法规股。</w:t>
      </w:r>
    </w:p>
    <w:p>
      <w:pPr>
        <w:widowControl/>
        <w:jc w:val="left"/>
        <w:rPr>
          <w:rFonts w:ascii="仿宋" w:eastAsia="仿宋"/>
          <w:kern w:val="0"/>
          <w:sz w:val="32"/>
          <w:szCs w:val="32"/>
        </w:rPr>
      </w:pPr>
    </w:p>
    <w:p>
      <w:pPr>
        <w:pStyle w:val="1"/>
        <w:ind w:right="440"/>
        <w:jc w:val="center"/>
        <w:rPr>
          <w:rFonts w:ascii="黑体" w:eastAsia="黑体"/>
          <w:b w:val="0"/>
        </w:rPr>
      </w:pPr>
      <w:bookmarkStart w:id="18" w:name="_Toc15396602"/>
      <w:bookmarkStart w:id="19" w:name="_Toc15377204"/>
    </w:p>
    <w:p>
      <w:pPr>
        <w:rPr>
          <w:rFonts w:ascii="黑体" w:eastAsia="黑体"/>
        </w:rPr>
      </w:pPr>
    </w:p>
    <w:p>
      <w:pPr>
        <w:rPr>
          <w:rFonts w:ascii="黑体" w:eastAsia="黑体"/>
        </w:rPr>
      </w:pPr>
    </w:p>
    <w:p>
      <w:pPr>
        <w:pStyle w:val="1"/>
        <w:spacing w:before="0" w:after="0" w:line="240" w:lineRule="auto"/>
        <w:jc w:val="center"/>
        <w:rPr>
          <w:rFonts w:ascii="黑体" w:eastAsia="黑体"/>
          <w:b w:val="0"/>
        </w:rPr>
      </w:pPr>
    </w:p>
    <w:p>
      <w:pPr>
        <w:rPr>
          <w:rFonts w:ascii="黑体" w:eastAsia="黑体"/>
        </w:rPr>
      </w:pPr>
    </w:p>
    <w:p>
      <w:pPr>
        <w:rPr>
          <w:rFonts w:ascii="黑体" w:eastAsia="黑体"/>
        </w:rPr>
      </w:pPr>
    </w:p>
    <w:p>
      <w:pPr>
        <w:pStyle w:val="1"/>
        <w:ind w:right="440"/>
        <w:jc w:val="center"/>
        <w:rPr>
          <w:rFonts w:ascii="黑体" w:eastAsia="黑体"/>
          <w:b w:val="0"/>
        </w:rPr>
      </w:pPr>
    </w:p>
    <w:p>
      <w:pPr>
        <w:pStyle w:val="1"/>
        <w:ind w:right="440"/>
        <w:jc w:val="center"/>
        <w:rPr>
          <w:rStyle w:val="1Char"/>
          <w:rFonts w:ascii="黑体" w:eastAsia="黑体"/>
          <w:b w:val="0"/>
          <w:bCs/>
        </w:rPr>
      </w:pPr>
      <w:r>
        <w:rPr>
          <w:rFonts w:ascii="黑体" w:eastAsia="黑体" w:hint="eastAsia"/>
          <w:b w:val="0"/>
        </w:rPr>
        <w:t xml:space="preserve"> 第二部分 2025年度</w:t>
      </w:r>
      <w:r>
        <w:rPr>
          <w:rStyle w:val="1Char"/>
          <w:rFonts w:ascii="黑体" w:eastAsia="黑体" w:hint="eastAsia"/>
          <w:b w:val="0"/>
          <w:bCs/>
        </w:rPr>
        <w:t>单位决算情况说明</w:t>
      </w:r>
      <w:bookmarkEnd w:id="18"/>
      <w:bookmarkEnd w:id="19"/>
    </w:p>
    <w:p/>
    <w:p>
      <w:pPr>
        <w:pStyle w:val="32"/>
        <w:numPr>
          <w:ilvl w:val="0"/>
          <w:numId w:val="1"/>
        </w:numPr>
        <w:spacing w:line="600" w:lineRule="exact"/>
        <w:ind w:firstLineChars="0"/>
        <w:outlineLvl w:val="1"/>
        <w:rPr>
          <w:rStyle w:val="2Char"/>
          <w:rFonts w:ascii="黑体" w:eastAsia="黑体"/>
          <w:b w:val="0"/>
        </w:rPr>
      </w:pPr>
      <w:bookmarkStart w:id="20" w:name="_Toc15377205"/>
      <w:bookmarkStart w:id="21" w:name="_Toc15396603"/>
      <w:r>
        <w:rPr>
          <w:rFonts w:ascii="黑体" w:eastAsia="黑体" w:hint="eastAsia"/>
          <w:sz w:val="32"/>
          <w:szCs w:val="32"/>
        </w:rPr>
        <w:t>收</w:t>
      </w:r>
      <w:r>
        <w:rPr>
          <w:rStyle w:val="2Char"/>
          <w:rFonts w:ascii="黑体" w:eastAsia="黑体" w:hint="eastAsia"/>
          <w:b w:val="0"/>
        </w:rPr>
        <w:t>入支出决算总体情况说明</w:t>
      </w:r>
      <w:bookmarkEnd w:id="20"/>
      <w:bookmarkEnd w:id="21"/>
    </w:p>
    <w:p>
      <w:pPr>
        <w:spacing w:line="600" w:lineRule="exact"/>
        <w:ind w:firstLineChars="200" w:firstLine="640"/>
        <w:rPr>
          <w:rFonts w:ascii="仿宋" w:eastAsia="仿宋"/>
          <w:sz w:val="32"/>
          <w:szCs w:val="32"/>
        </w:rPr>
      </w:pPr>
      <w:r>
        <w:rPr>
          <w:rFonts w:ascii="仿宋" w:eastAsia="仿宋" w:hint="eastAsia"/>
          <w:sz w:val="32"/>
          <w:szCs w:val="32"/>
        </w:rPr>
        <w:t>2025年度收、支总计381.35万元。与2024年相比，收、支总计各增加10.13万元，增长2.73</w:t>
      </w:r>
      <w:r>
        <w:rPr>
          <w:rFonts w:ascii="仿宋" w:eastAsia="仿宋"/>
          <w:sz w:val="32"/>
          <w:szCs w:val="32"/>
        </w:rPr>
        <w:t>%</w:t>
      </w:r>
      <w:r>
        <w:rPr>
          <w:rFonts w:ascii="仿宋" w:eastAsia="仿宋" w:hint="eastAsia"/>
          <w:sz w:val="32"/>
          <w:szCs w:val="32"/>
        </w:rPr>
        <w:t>。主要变动原因是</w:t>
      </w:r>
      <w:r>
        <w:rPr>
          <w:rStyle w:val="35"/>
          <w:rFonts w:ascii="仿宋" w:eastAsia="仿宋" w:cs="仿宋" w:hint="eastAsia"/>
          <w:b w:val="0"/>
          <w:bCs/>
          <w:sz w:val="32"/>
          <w:szCs w:val="32"/>
          <w:shd w:val="clear" w:color="auto" w:fill="FFFFFF"/>
        </w:rPr>
        <w:t>增加了在职职工体检费、福利费经费和7月新增2名工作人员</w:t>
      </w:r>
      <w:r>
        <w:rPr>
          <w:rFonts w:ascii="仿宋" w:eastAsia="仿宋" w:hint="eastAsia"/>
          <w:sz w:val="32"/>
          <w:szCs w:val="32"/>
        </w:rPr>
        <w:t>。</w:t>
      </w:r>
    </w:p>
    <w:p>
      <w:pPr>
        <w:spacing w:line="600" w:lineRule="exact"/>
        <w:ind w:firstLineChars="200" w:firstLine="420"/>
        <w:rPr>
          <w:rFonts w:ascii="仿宋" w:eastAsia="仿宋"/>
          <w:sz w:val="32"/>
          <w:szCs w:val="32"/>
        </w:rPr>
      </w:pPr>
      <w:r>
        <w:drawing>
          <wp:anchor distT="0" distB="0" distL="114300" distR="114300" simplePos="0" relativeHeight="18" behindDoc="0" locked="0" layoutInCell="1" hidden="0" allowOverlap="1">
            <wp:simplePos x="0" y="0"/>
            <wp:positionH relativeFrom="column">
              <wp:posOffset>442594</wp:posOffset>
            </wp:positionH>
            <wp:positionV relativeFrom="paragraph">
              <wp:posOffset>344170</wp:posOffset>
            </wp:positionV>
            <wp:extent cx="4572634" cy="2743200"/>
            <wp:effectExtent l="0" t="0" r="0" b="0"/>
            <wp:wrapTopAndBottom/>
            <wp:docPr id="1" name="图表 5"/>
            <wp:cNvGraphicFramePr>
              <a:graphicFrameLocks noChangeAspect="0"/>
            </wp:cNvGraphicFramePr>
            <a:graphic>
              <a:graphicData uri="http://schemas.openxmlformats.org/drawingml/2006/chart">
                <c:chart xmlns:c="http://schemas.openxmlformats.org/drawingml/2006/chart" r:id="rId4"/>
              </a:graphicData>
            </a:graphic>
          </wp:anchor>
        </w:drawing>
      </w:r>
    </w:p>
    <w:p>
      <w:pPr>
        <w:pStyle w:val="32"/>
        <w:numPr>
          <w:ilvl w:val="0"/>
          <w:numId w:val="1"/>
        </w:numPr>
        <w:spacing w:line="600" w:lineRule="exact"/>
        <w:ind w:firstLineChars="0"/>
        <w:outlineLvl w:val="1"/>
        <w:rPr>
          <w:rStyle w:val="2Char"/>
          <w:rFonts w:ascii="黑体" w:eastAsia="黑体"/>
          <w:b w:val="0"/>
        </w:rPr>
      </w:pPr>
      <w:bookmarkStart w:id="22" w:name="_Toc15377206"/>
      <w:bookmarkStart w:id="23" w:name="_Toc15396604"/>
      <w:r>
        <w:rPr>
          <w:rFonts w:ascii="黑体" w:eastAsia="黑体" w:hint="eastAsia"/>
          <w:sz w:val="32"/>
          <w:szCs w:val="32"/>
        </w:rPr>
        <w:t>收</w:t>
      </w:r>
      <w:r>
        <w:rPr>
          <w:rStyle w:val="2Char"/>
          <w:rFonts w:ascii="黑体" w:eastAsia="黑体" w:hint="eastAsia"/>
          <w:b w:val="0"/>
        </w:rPr>
        <w:t>入决算情况说明</w:t>
      </w:r>
      <w:bookmarkEnd w:id="22"/>
      <w:bookmarkEnd w:id="23"/>
    </w:p>
    <w:p>
      <w:pPr>
        <w:spacing w:line="600" w:lineRule="exact"/>
        <w:ind w:firstLineChars="200" w:firstLine="640"/>
        <w:outlineLvl w:val="1"/>
        <w:rPr>
          <w:rFonts w:ascii="仿宋" w:eastAsia="仿宋"/>
          <w:sz w:val="32"/>
          <w:szCs w:val="32"/>
        </w:rPr>
      </w:pPr>
      <w:r>
        <w:rPr>
          <w:rFonts w:ascii="仿宋" w:eastAsia="仿宋"/>
          <w:sz w:val="32"/>
          <w:szCs w:val="32"/>
        </w:rPr>
        <w:t>202</w:t>
      </w:r>
      <w:r>
        <w:rPr>
          <w:rFonts w:ascii="仿宋" w:eastAsia="仿宋" w:hint="eastAsia"/>
          <w:sz w:val="32"/>
          <w:szCs w:val="32"/>
        </w:rPr>
        <w:t>5年本年收入合计381.35万元，其中：一般公共预算财政拨款收入378.35万元，占99.21</w:t>
      </w:r>
      <w:r>
        <w:rPr>
          <w:rFonts w:ascii="仿宋" w:eastAsia="仿宋"/>
          <w:sz w:val="32"/>
          <w:szCs w:val="32"/>
        </w:rPr>
        <w:t>%</w:t>
      </w:r>
      <w:r>
        <w:rPr>
          <w:rFonts w:ascii="仿宋" w:eastAsia="仿宋" w:hint="eastAsia"/>
          <w:sz w:val="32"/>
          <w:szCs w:val="32"/>
        </w:rPr>
        <w:t>；政府性基金预算财政拨款收入0万元，占0</w:t>
      </w:r>
      <w:r>
        <w:rPr>
          <w:rFonts w:ascii="仿宋" w:eastAsia="仿宋"/>
          <w:sz w:val="32"/>
          <w:szCs w:val="32"/>
        </w:rPr>
        <w:t>%</w:t>
      </w:r>
      <w:r>
        <w:rPr>
          <w:rFonts w:ascii="仿宋" w:eastAsia="仿宋" w:hint="eastAsia"/>
          <w:sz w:val="32"/>
          <w:szCs w:val="32"/>
        </w:rPr>
        <w:t>；国有资本经营预算财政拨款收入0万元，占0</w:t>
      </w:r>
      <w:r>
        <w:rPr>
          <w:rFonts w:ascii="仿宋" w:eastAsia="仿宋"/>
          <w:sz w:val="32"/>
          <w:szCs w:val="32"/>
        </w:rPr>
        <w:t>%</w:t>
      </w:r>
      <w:r>
        <w:rPr>
          <w:rFonts w:ascii="仿宋" w:eastAsia="仿宋" w:hint="eastAsia"/>
          <w:sz w:val="32"/>
          <w:szCs w:val="32"/>
        </w:rPr>
        <w:t>；上级补助收入0万元，占0</w:t>
      </w:r>
      <w:r>
        <w:rPr>
          <w:rFonts w:ascii="仿宋" w:eastAsia="仿宋"/>
          <w:sz w:val="32"/>
          <w:szCs w:val="32"/>
        </w:rPr>
        <w:t>%</w:t>
      </w:r>
      <w:r>
        <w:rPr>
          <w:rFonts w:ascii="仿宋" w:eastAsia="仿宋" w:hint="eastAsia"/>
          <w:sz w:val="32"/>
          <w:szCs w:val="32"/>
        </w:rPr>
        <w:t>；事业收入0万元，占0</w:t>
      </w:r>
      <w:r>
        <w:rPr>
          <w:rFonts w:ascii="仿宋" w:eastAsia="仿宋"/>
          <w:sz w:val="32"/>
          <w:szCs w:val="32"/>
        </w:rPr>
        <w:t>%</w:t>
      </w:r>
      <w:r>
        <w:rPr>
          <w:rFonts w:ascii="仿宋" w:eastAsia="仿宋" w:hint="eastAsia"/>
          <w:sz w:val="32"/>
          <w:szCs w:val="32"/>
        </w:rPr>
        <w:t>；经营收入0万元，占0</w:t>
      </w:r>
      <w:r>
        <w:rPr>
          <w:rFonts w:ascii="仿宋" w:eastAsia="仿宋"/>
          <w:sz w:val="32"/>
          <w:szCs w:val="32"/>
        </w:rPr>
        <w:t>%</w:t>
      </w:r>
      <w:r>
        <w:rPr>
          <w:rFonts w:ascii="仿宋" w:eastAsia="仿宋" w:hint="eastAsia"/>
          <w:sz w:val="32"/>
          <w:szCs w:val="32"/>
        </w:rPr>
        <w:t>；附属单位上缴收入0万元，占0</w:t>
      </w:r>
      <w:r>
        <w:rPr>
          <w:rFonts w:ascii="仿宋" w:eastAsia="仿宋"/>
          <w:sz w:val="32"/>
          <w:szCs w:val="32"/>
        </w:rPr>
        <w:t>%</w:t>
      </w:r>
      <w:r>
        <w:rPr>
          <w:rFonts w:ascii="仿宋" w:eastAsia="仿宋" w:hint="eastAsia"/>
          <w:sz w:val="32"/>
          <w:szCs w:val="32"/>
        </w:rPr>
        <w:t>；其他收入3.00万元，占0.79</w:t>
      </w:r>
      <w:r>
        <w:rPr>
          <w:rFonts w:ascii="仿宋" w:eastAsia="仿宋"/>
          <w:sz w:val="32"/>
          <w:szCs w:val="32"/>
        </w:rPr>
        <w:t>%</w:t>
      </w:r>
      <w:r>
        <w:rPr>
          <w:rFonts w:ascii="仿宋" w:eastAsia="仿宋" w:hint="eastAsia"/>
          <w:sz w:val="32"/>
          <w:szCs w:val="32"/>
        </w:rPr>
        <w:t>。</w:t>
      </w:r>
    </w:p>
    <w:p>
      <w:pPr>
        <w:spacing w:line="600" w:lineRule="exact"/>
        <w:ind w:firstLineChars="200" w:firstLine="420"/>
        <w:outlineLvl w:val="1"/>
        <w:rPr>
          <w:rFonts w:ascii="仿宋" w:eastAsia="仿宋"/>
          <w:b/>
          <w:sz w:val="32"/>
          <w:szCs w:val="32"/>
        </w:rPr>
      </w:pPr>
      <w:r>
        <w:drawing>
          <wp:anchor distT="0" distB="0" distL="114300" distR="114300" simplePos="0" relativeHeight="20" behindDoc="0" locked="0" layoutInCell="1" hidden="0" allowOverlap="1">
            <wp:simplePos x="0" y="0"/>
            <wp:positionH relativeFrom="column">
              <wp:posOffset>347345</wp:posOffset>
            </wp:positionH>
            <wp:positionV relativeFrom="paragraph">
              <wp:posOffset>711835</wp:posOffset>
            </wp:positionV>
            <wp:extent cx="4572000" cy="2743200"/>
            <wp:effectExtent l="0" t="0" r="0" b="0"/>
            <wp:wrapTopAndBottom/>
            <wp:docPr id="2" name="图表 1"/>
            <wp:cNvGraphicFramePr>
              <a:graphicFrameLocks noChangeAspect="0"/>
            </wp:cNvGraphicFramePr>
            <a:graphic>
              <a:graphicData uri="http://schemas.openxmlformats.org/drawingml/2006/chart">
                <c:chart xmlns:c="http://schemas.openxmlformats.org/drawingml/2006/chart" r:id="rId5"/>
              </a:graphicData>
            </a:graphic>
          </wp:anchor>
        </w:drawing>
      </w:r>
      <w:r>
        <w:rPr>
          <w:rFonts w:ascii="仿宋" w:eastAsia="仿宋" w:hint="eastAsia"/>
          <w:b/>
          <w:sz w:val="32"/>
          <w:szCs w:val="32"/>
        </w:rPr>
        <w:t>（注：数据来源于财决</w:t>
      </w:r>
      <w:r>
        <w:rPr>
          <w:rFonts w:ascii="仿宋" w:eastAsia="仿宋"/>
          <w:b/>
          <w:sz w:val="32"/>
          <w:szCs w:val="32"/>
        </w:rPr>
        <w:t>01表</w:t>
      </w:r>
      <w:r>
        <w:rPr>
          <w:rFonts w:ascii="仿宋" w:eastAsia="仿宋" w:hint="eastAsia"/>
          <w:b/>
          <w:sz w:val="32"/>
          <w:szCs w:val="32"/>
        </w:rPr>
        <w:t>，仅罗列本单位涉及的收入。</w:t>
      </w:r>
      <w:r>
        <w:rPr>
          <w:rFonts w:ascii="仿宋" w:eastAsia="仿宋"/>
          <w:b/>
          <w:sz w:val="32"/>
          <w:szCs w:val="32"/>
        </w:rPr>
        <w:t>）</w:t>
      </w:r>
    </w:p>
    <w:p>
      <w:pPr>
        <w:pStyle w:val="32"/>
        <w:numPr>
          <w:ilvl w:val="0"/>
          <w:numId w:val="1"/>
        </w:numPr>
        <w:spacing w:line="600" w:lineRule="exact"/>
        <w:ind w:firstLineChars="0"/>
        <w:outlineLvl w:val="1"/>
        <w:rPr>
          <w:rStyle w:val="2Char"/>
          <w:rFonts w:ascii="黑体" w:eastAsia="黑体"/>
          <w:b w:val="0"/>
        </w:rPr>
      </w:pPr>
      <w:bookmarkStart w:id="24" w:name="_Toc15396605"/>
      <w:bookmarkStart w:id="25" w:name="_Toc15377207"/>
      <w:r>
        <w:rPr>
          <w:rFonts w:ascii="黑体" w:eastAsia="黑体" w:hint="eastAsia"/>
          <w:sz w:val="32"/>
          <w:szCs w:val="32"/>
        </w:rPr>
        <w:t>支</w:t>
      </w:r>
      <w:r>
        <w:rPr>
          <w:rStyle w:val="2Char"/>
          <w:rFonts w:ascii="黑体" w:eastAsia="黑体" w:hint="eastAsia"/>
          <w:b w:val="0"/>
        </w:rPr>
        <w:t>出决算情况说明</w:t>
      </w:r>
      <w:bookmarkEnd w:id="24"/>
      <w:bookmarkEnd w:id="25"/>
    </w:p>
    <w:p>
      <w:pPr>
        <w:spacing w:line="600" w:lineRule="exact"/>
        <w:ind w:firstLineChars="200" w:firstLine="420"/>
        <w:outlineLvl w:val="1"/>
        <w:rPr>
          <w:rFonts w:ascii="仿宋" w:eastAsia="仿宋"/>
          <w:sz w:val="32"/>
          <w:szCs w:val="32"/>
          <w:shd w:val="pct10" w:color="auto" w:fill="FFFFFF"/>
        </w:rPr>
      </w:pPr>
      <w:r>
        <w:drawing>
          <wp:anchor distT="0" distB="0" distL="114300" distR="114300" simplePos="0" relativeHeight="22" behindDoc="0" locked="0" layoutInCell="1" hidden="0" allowOverlap="1">
            <wp:simplePos x="0" y="0"/>
            <wp:positionH relativeFrom="column">
              <wp:posOffset>518795</wp:posOffset>
            </wp:positionH>
            <wp:positionV relativeFrom="paragraph">
              <wp:posOffset>1946274</wp:posOffset>
            </wp:positionV>
            <wp:extent cx="4172585" cy="2249169"/>
            <wp:effectExtent l="0" t="0" r="0" b="0"/>
            <wp:wrapTopAndBottom/>
            <wp:docPr id="3" name="图表 1"/>
            <wp:cNvGraphicFramePr>
              <a:graphicFrameLocks noChangeAspect="0"/>
            </wp:cNvGraphicFramePr>
            <a:graphic>
              <a:graphicData uri="http://schemas.openxmlformats.org/drawingml/2006/chart">
                <c:chart xmlns:c="http://schemas.openxmlformats.org/drawingml/2006/chart" r:id="rId6"/>
              </a:graphicData>
            </a:graphic>
          </wp:anchor>
        </w:drawing>
      </w:r>
      <w:r>
        <w:rPr>
          <w:rFonts w:ascii="仿宋" w:eastAsia="仿宋"/>
          <w:sz w:val="32"/>
          <w:szCs w:val="32"/>
        </w:rPr>
        <w:t>202</w:t>
      </w:r>
      <w:r>
        <w:rPr>
          <w:rFonts w:ascii="仿宋" w:eastAsia="仿宋" w:hint="eastAsia"/>
          <w:sz w:val="32"/>
          <w:szCs w:val="32"/>
        </w:rPr>
        <w:t>5年本年支出合计381.35万元，其中：基本支出297.54万元，占78.02</w:t>
      </w:r>
      <w:r>
        <w:rPr>
          <w:rFonts w:ascii="仿宋" w:eastAsia="仿宋"/>
          <w:sz w:val="32"/>
          <w:szCs w:val="32"/>
        </w:rPr>
        <w:t>%</w:t>
      </w:r>
      <w:r>
        <w:rPr>
          <w:rFonts w:ascii="仿宋" w:eastAsia="仿宋" w:hint="eastAsia"/>
          <w:sz w:val="32"/>
          <w:szCs w:val="32"/>
        </w:rPr>
        <w:t>；项目支出83.81万元，占21.98</w:t>
      </w:r>
      <w:r>
        <w:rPr>
          <w:rFonts w:ascii="仿宋" w:eastAsia="仿宋"/>
          <w:sz w:val="32"/>
          <w:szCs w:val="32"/>
        </w:rPr>
        <w:t>%</w:t>
      </w:r>
      <w:r>
        <w:rPr>
          <w:rFonts w:ascii="仿宋" w:eastAsia="仿宋" w:hint="eastAsia"/>
          <w:sz w:val="32"/>
          <w:szCs w:val="32"/>
        </w:rPr>
        <w:t>；上缴上级支出0万元，占0</w:t>
      </w:r>
      <w:r>
        <w:rPr>
          <w:rFonts w:ascii="仿宋" w:eastAsia="仿宋"/>
          <w:sz w:val="32"/>
          <w:szCs w:val="32"/>
        </w:rPr>
        <w:t>%</w:t>
      </w:r>
      <w:r>
        <w:rPr>
          <w:rFonts w:ascii="仿宋" w:eastAsia="仿宋" w:hint="eastAsia"/>
          <w:sz w:val="32"/>
          <w:szCs w:val="32"/>
        </w:rPr>
        <w:t>；经营支出0万元，占0</w:t>
      </w:r>
      <w:r>
        <w:rPr>
          <w:rFonts w:ascii="仿宋" w:eastAsia="仿宋"/>
          <w:sz w:val="32"/>
          <w:szCs w:val="32"/>
        </w:rPr>
        <w:t>%</w:t>
      </w:r>
      <w:r>
        <w:rPr>
          <w:rFonts w:ascii="仿宋" w:eastAsia="仿宋" w:hint="eastAsia"/>
          <w:sz w:val="32"/>
          <w:szCs w:val="32"/>
        </w:rPr>
        <w:t>；对附属单位补助支出0万元，占0</w:t>
      </w:r>
      <w:r>
        <w:rPr>
          <w:rFonts w:ascii="仿宋" w:eastAsia="仿宋"/>
          <w:sz w:val="32"/>
          <w:szCs w:val="32"/>
        </w:rPr>
        <w:t>%</w:t>
      </w:r>
      <w:r>
        <w:rPr>
          <w:rFonts w:ascii="仿宋" w:eastAsia="仿宋" w:hint="eastAsia"/>
          <w:sz w:val="32"/>
          <w:szCs w:val="32"/>
        </w:rPr>
        <w:t>。</w:t>
      </w:r>
      <w:r>
        <w:rPr>
          <w:rFonts w:ascii="仿宋" w:eastAsia="仿宋" w:hint="eastAsia"/>
          <w:b/>
          <w:sz w:val="32"/>
          <w:szCs w:val="32"/>
        </w:rPr>
        <w:t>（注：数据来源于财决</w:t>
      </w:r>
      <w:r>
        <w:rPr>
          <w:rFonts w:ascii="仿宋" w:eastAsia="仿宋"/>
          <w:b/>
          <w:sz w:val="32"/>
          <w:szCs w:val="32"/>
        </w:rPr>
        <w:t>04</w:t>
      </w:r>
      <w:r>
        <w:rPr>
          <w:rFonts w:ascii="仿宋" w:eastAsia="仿宋" w:hint="eastAsia"/>
          <w:b/>
          <w:sz w:val="32"/>
          <w:szCs w:val="32"/>
        </w:rPr>
        <w:t>表，仅罗列本单位涉及的支出。）</w:t>
      </w:r>
    </w:p>
    <w:p>
      <w:pPr>
        <w:spacing w:line="600" w:lineRule="exact"/>
        <w:ind w:firstLineChars="200" w:firstLine="640"/>
        <w:outlineLvl w:val="1"/>
        <w:rPr>
          <w:rStyle w:val="2Char"/>
          <w:rFonts w:ascii="黑体" w:eastAsia="黑体"/>
          <w:b w:val="0"/>
        </w:rPr>
      </w:pPr>
      <w:bookmarkStart w:id="26" w:name="_Toc15396606"/>
      <w:bookmarkStart w:id="27" w:name="_Toc15377208"/>
      <w:r>
        <w:rPr>
          <w:rFonts w:ascii="黑体" w:eastAsia="黑体" w:hint="eastAsia"/>
          <w:sz w:val="32"/>
          <w:szCs w:val="32"/>
        </w:rPr>
        <w:t>四、财</w:t>
      </w:r>
      <w:r>
        <w:rPr>
          <w:rStyle w:val="2Char"/>
          <w:rFonts w:ascii="黑体" w:eastAsia="黑体" w:hint="eastAsia"/>
          <w:b w:val="0"/>
        </w:rPr>
        <w:t>政拨款收入支出决算总体情况说明</w:t>
      </w:r>
      <w:bookmarkEnd w:id="26"/>
      <w:bookmarkEnd w:id="27"/>
    </w:p>
    <w:p>
      <w:pPr>
        <w:spacing w:line="600" w:lineRule="exact"/>
        <w:ind w:firstLine="640"/>
        <w:rPr>
          <w:rFonts w:ascii="仿宋" w:eastAsia="仿宋"/>
          <w:b/>
          <w:sz w:val="32"/>
          <w:szCs w:val="32"/>
        </w:rPr>
      </w:pPr>
      <w:r>
        <w:rPr>
          <w:rFonts w:ascii="仿宋" w:eastAsia="仿宋"/>
          <w:sz w:val="32"/>
          <w:szCs w:val="32"/>
        </w:rPr>
        <w:t>202</w:t>
      </w:r>
      <w:r>
        <w:rPr>
          <w:rFonts w:ascii="仿宋" w:eastAsia="仿宋" w:hint="eastAsia"/>
          <w:sz w:val="32"/>
          <w:szCs w:val="32"/>
        </w:rPr>
        <w:t>5年财政拨款收、支总计378.35万元。与</w:t>
      </w:r>
      <w:r>
        <w:rPr>
          <w:rFonts w:ascii="仿宋" w:eastAsia="仿宋"/>
          <w:sz w:val="32"/>
          <w:szCs w:val="32"/>
        </w:rPr>
        <w:t>202</w:t>
      </w:r>
      <w:r>
        <w:rPr>
          <w:rFonts w:ascii="仿宋" w:eastAsia="仿宋" w:hint="eastAsia"/>
          <w:sz w:val="32"/>
          <w:szCs w:val="32"/>
        </w:rPr>
        <w:t>4年相比，财政拨款收、支总计各增加7.13万元，增长1.92</w:t>
      </w:r>
      <w:r>
        <w:rPr>
          <w:rFonts w:ascii="仿宋" w:eastAsia="仿宋"/>
          <w:sz w:val="32"/>
          <w:szCs w:val="32"/>
        </w:rPr>
        <w:t>%</w:t>
      </w:r>
      <w:r>
        <w:rPr>
          <w:rFonts w:ascii="仿宋" w:eastAsia="仿宋" w:hint="eastAsia"/>
          <w:sz w:val="32"/>
          <w:szCs w:val="32"/>
        </w:rPr>
        <w:t>。主要变动原因是</w:t>
      </w:r>
      <w:r>
        <w:rPr>
          <w:rStyle w:val="35"/>
          <w:rFonts w:ascii="仿宋" w:eastAsia="仿宋" w:cs="仿宋" w:hint="eastAsia"/>
          <w:b w:val="0"/>
          <w:bCs/>
          <w:sz w:val="32"/>
          <w:szCs w:val="32"/>
          <w:shd w:val="clear" w:color="auto" w:fill="FFFFFF"/>
        </w:rPr>
        <w:t>增加了在职职工体检费、福利费经费和7月新增2名工作人员</w:t>
      </w:r>
      <w:r>
        <w:rPr>
          <w:rFonts w:ascii="仿宋" w:eastAsia="仿宋" w:hint="eastAsia"/>
          <w:sz w:val="32"/>
          <w:szCs w:val="32"/>
        </w:rPr>
        <w:t>。</w:t>
      </w:r>
      <w:r>
        <w:rPr>
          <w:rFonts w:ascii="仿宋" w:eastAsia="仿宋" w:hint="eastAsia"/>
          <w:b/>
          <w:sz w:val="32"/>
          <w:szCs w:val="32"/>
        </w:rPr>
        <w:t>（注：数据来源于财决</w:t>
      </w:r>
      <w:r>
        <w:rPr>
          <w:rFonts w:ascii="仿宋" w:eastAsia="仿宋"/>
          <w:b/>
          <w:sz w:val="32"/>
          <w:szCs w:val="32"/>
        </w:rPr>
        <w:t>01-1</w:t>
      </w:r>
      <w:r>
        <w:rPr>
          <w:rFonts w:ascii="仿宋" w:eastAsia="仿宋" w:hint="eastAsia"/>
          <w:b/>
          <w:sz w:val="32"/>
          <w:szCs w:val="32"/>
        </w:rPr>
        <w:t>表</w:t>
      </w:r>
      <w:r>
        <w:rPr>
          <w:rFonts w:ascii="仿宋" w:eastAsia="仿宋"/>
          <w:b/>
          <w:sz w:val="32"/>
          <w:szCs w:val="32"/>
        </w:rPr>
        <w:t>）</w:t>
      </w:r>
    </w:p>
    <w:p>
      <w:pPr>
        <w:spacing w:line="600" w:lineRule="exact"/>
      </w:pPr>
      <w:bookmarkStart w:id="28" w:name="_Toc15396607"/>
      <w:bookmarkStart w:id="29" w:name="_Toc15377209"/>
      <w:r>
        <w:drawing>
          <wp:anchor distT="0" distB="0" distL="114300" distR="114300" simplePos="0" relativeHeight="26" behindDoc="0" locked="0" layoutInCell="1" hidden="0" allowOverlap="1">
            <wp:simplePos x="0" y="0"/>
            <wp:positionH relativeFrom="column">
              <wp:posOffset>242570</wp:posOffset>
            </wp:positionH>
            <wp:positionV relativeFrom="paragraph">
              <wp:posOffset>337820</wp:posOffset>
            </wp:positionV>
            <wp:extent cx="4572000" cy="2743200"/>
            <wp:effectExtent l="0" t="0" r="0" b="0"/>
            <wp:wrapTopAndBottom/>
            <wp:docPr id="4" name="图表 2"/>
            <wp:cNvGraphicFramePr>
              <a:graphicFrameLocks noChangeAspect="0"/>
            </wp:cNvGraphicFramePr>
            <a:graphic>
              <a:graphicData uri="http://schemas.openxmlformats.org/drawingml/2006/chart">
                <c:chart xmlns:c="http://schemas.openxmlformats.org/drawingml/2006/chart" r:id="rId7"/>
              </a:graphicData>
            </a:graphic>
          </wp:anchor>
        </w:drawing>
      </w:r>
      <w:r>
        <w:rPr>
          <w:rFonts w:hint="eastAsia"/>
        </w:rPr>
        <w:t xml:space="preserve">      </w:t>
      </w:r>
    </w:p>
    <w:p>
      <w:pPr>
        <w:spacing w:line="600" w:lineRule="exact"/>
        <w:ind w:firstLineChars="300" w:firstLine="630"/>
      </w:pPr>
    </w:p>
    <w:p>
      <w:pPr>
        <w:spacing w:line="600" w:lineRule="exact"/>
        <w:ind w:firstLineChars="300" w:firstLine="630"/>
        <w:rPr>
          <w:rStyle w:val="2Char"/>
          <w:rFonts w:ascii="黑体" w:eastAsia="黑体"/>
          <w:b w:val="0"/>
        </w:rPr>
      </w:pPr>
      <w:r>
        <w:rPr>
          <w:rFonts w:hint="eastAsia"/>
        </w:rPr>
        <w:t xml:space="preserve"> </w:t>
      </w:r>
      <w:r>
        <w:rPr>
          <w:rFonts w:ascii="黑体" w:eastAsia="黑体" w:hint="eastAsia"/>
          <w:sz w:val="32"/>
          <w:szCs w:val="32"/>
        </w:rPr>
        <w:t>五、</w:t>
      </w:r>
      <w:r>
        <w:rPr>
          <w:rFonts w:ascii="黑体" w:eastAsia="黑体" w:hint="eastAsia"/>
          <w:b/>
          <w:sz w:val="32"/>
          <w:szCs w:val="32"/>
        </w:rPr>
        <w:t>一</w:t>
      </w:r>
      <w:r>
        <w:rPr>
          <w:rStyle w:val="2Char"/>
          <w:rFonts w:ascii="黑体" w:eastAsia="黑体" w:hint="eastAsia"/>
          <w:b w:val="0"/>
        </w:rPr>
        <w:t>般公共预算财政拨款支出决算情况说明</w:t>
      </w:r>
      <w:bookmarkEnd w:id="28"/>
      <w:bookmarkEnd w:id="29"/>
    </w:p>
    <w:p>
      <w:pPr>
        <w:spacing w:line="600" w:lineRule="exact"/>
        <w:ind w:firstLineChars="200" w:firstLine="640"/>
        <w:outlineLvl w:val="2"/>
        <w:rPr>
          <w:rFonts w:ascii="仿宋" w:eastAsia="仿宋"/>
          <w:b/>
          <w:sz w:val="32"/>
          <w:szCs w:val="32"/>
        </w:rPr>
      </w:pPr>
      <w:bookmarkStart w:id="30" w:name="_Toc15377210"/>
      <w:r>
        <w:rPr>
          <w:rFonts w:ascii="仿宋" w:eastAsia="仿宋" w:hint="eastAsia"/>
          <w:b/>
          <w:sz w:val="32"/>
          <w:szCs w:val="32"/>
        </w:rPr>
        <w:t>（一）一般公共预算财政拨款支出决算总体情况</w:t>
      </w:r>
      <w:bookmarkEnd w:id="30"/>
    </w:p>
    <w:p>
      <w:pPr>
        <w:spacing w:line="600" w:lineRule="exact"/>
        <w:ind w:firstLineChars="200" w:firstLine="640"/>
        <w:rPr>
          <w:rFonts w:ascii="仿宋" w:eastAsia="仿宋"/>
          <w:sz w:val="32"/>
          <w:szCs w:val="32"/>
        </w:rPr>
      </w:pPr>
      <w:r>
        <w:rPr>
          <w:rFonts w:ascii="仿宋" w:eastAsia="仿宋"/>
          <w:sz w:val="32"/>
          <w:szCs w:val="32"/>
        </w:rPr>
        <w:t>202</w:t>
      </w:r>
      <w:r>
        <w:rPr>
          <w:rFonts w:ascii="仿宋" w:eastAsia="仿宋" w:hint="eastAsia"/>
          <w:sz w:val="32"/>
          <w:szCs w:val="32"/>
        </w:rPr>
        <w:t>5年一般公共预算财政拨款支出378.35万元，占本年支出合计的100</w:t>
      </w:r>
      <w:r>
        <w:rPr>
          <w:rFonts w:ascii="仿宋" w:eastAsia="仿宋"/>
          <w:sz w:val="32"/>
          <w:szCs w:val="32"/>
        </w:rPr>
        <w:t>%</w:t>
      </w:r>
      <w:r>
        <w:rPr>
          <w:rFonts w:ascii="仿宋" w:eastAsia="仿宋" w:hint="eastAsia"/>
          <w:sz w:val="32"/>
          <w:szCs w:val="32"/>
        </w:rPr>
        <w:t>。与</w:t>
      </w:r>
      <w:r>
        <w:rPr>
          <w:rFonts w:ascii="仿宋" w:eastAsia="仿宋"/>
          <w:sz w:val="32"/>
          <w:szCs w:val="32"/>
        </w:rPr>
        <w:t>202</w:t>
      </w:r>
      <w:r>
        <w:rPr>
          <w:rFonts w:ascii="仿宋" w:eastAsia="仿宋" w:hint="eastAsia"/>
          <w:sz w:val="32"/>
          <w:szCs w:val="32"/>
        </w:rPr>
        <w:t>4年相比，一般公共预算财政拨款支出增加7.13万元，增长1.92</w:t>
      </w:r>
      <w:r>
        <w:rPr>
          <w:rFonts w:ascii="仿宋" w:eastAsia="仿宋"/>
          <w:sz w:val="32"/>
          <w:szCs w:val="32"/>
        </w:rPr>
        <w:t>%</w:t>
      </w:r>
      <w:r>
        <w:rPr>
          <w:rFonts w:ascii="仿宋" w:eastAsia="仿宋" w:hint="eastAsia"/>
          <w:sz w:val="32"/>
          <w:szCs w:val="32"/>
        </w:rPr>
        <w:t>。主要变动原因是</w:t>
      </w:r>
      <w:r>
        <w:rPr>
          <w:rStyle w:val="35"/>
          <w:rFonts w:ascii="仿宋" w:eastAsia="仿宋" w:cs="仿宋" w:hint="eastAsia"/>
          <w:b w:val="0"/>
          <w:bCs/>
          <w:sz w:val="32"/>
          <w:szCs w:val="32"/>
          <w:shd w:val="clear" w:color="auto" w:fill="FFFFFF"/>
        </w:rPr>
        <w:t>增加了在职职工体检费、福利费经费和7月新增2名工作人员</w:t>
      </w:r>
      <w:r>
        <w:rPr>
          <w:rFonts w:ascii="仿宋" w:eastAsia="仿宋" w:hint="eastAsia"/>
          <w:sz w:val="32"/>
          <w:szCs w:val="32"/>
        </w:rPr>
        <w:t>。</w:t>
      </w:r>
    </w:p>
    <w:p>
      <w:pPr>
        <w:spacing w:line="600" w:lineRule="exact"/>
        <w:ind w:firstLineChars="200" w:firstLine="640"/>
        <w:rPr>
          <w:rFonts w:ascii="仿宋" w:eastAsia="仿宋"/>
          <w:sz w:val="32"/>
          <w:szCs w:val="32"/>
        </w:rPr>
      </w:pPr>
    </w:p>
    <w:p>
      <w:pPr>
        <w:spacing w:line="600" w:lineRule="exact"/>
        <w:ind w:firstLineChars="200" w:firstLine="640"/>
        <w:rPr>
          <w:rFonts w:ascii="仿宋" w:eastAsia="仿宋"/>
          <w:sz w:val="32"/>
          <w:szCs w:val="32"/>
        </w:rPr>
      </w:pPr>
    </w:p>
    <w:p>
      <w:pPr>
        <w:spacing w:line="600" w:lineRule="exact"/>
        <w:ind w:firstLineChars="200" w:firstLine="420"/>
        <w:rPr>
          <w:rFonts w:ascii="仿宋" w:eastAsia="仿宋"/>
          <w:b/>
          <w:sz w:val="32"/>
          <w:szCs w:val="32"/>
        </w:rPr>
      </w:pPr>
      <w:bookmarkStart w:id="31" w:name="_Toc15377211"/>
      <w:r>
        <w:drawing>
          <wp:anchor distT="0" distB="0" distL="114300" distR="114300" simplePos="0" relativeHeight="28" behindDoc="0" locked="0" layoutInCell="1" hidden="0" allowOverlap="1">
            <wp:simplePos x="0" y="0"/>
            <wp:positionH relativeFrom="column">
              <wp:posOffset>509270</wp:posOffset>
            </wp:positionH>
            <wp:positionV relativeFrom="paragraph">
              <wp:posOffset>61594</wp:posOffset>
            </wp:positionV>
            <wp:extent cx="4181475" cy="2229485"/>
            <wp:effectExtent l="0" t="0" r="0" b="0"/>
            <wp:wrapTopAndBottom/>
            <wp:docPr id="5" name="图表 1"/>
            <wp:cNvGraphicFramePr>
              <a:graphicFrameLocks noChangeAspect="0"/>
            </wp:cNvGraphicFramePr>
            <a:graphic>
              <a:graphicData uri="http://schemas.openxmlformats.org/drawingml/2006/chart">
                <c:chart xmlns:c="http://schemas.openxmlformats.org/drawingml/2006/chart" r:id="rId8"/>
              </a:graphicData>
            </a:graphic>
          </wp:anchor>
        </w:drawing>
      </w:r>
      <w:r>
        <w:rPr>
          <w:rFonts w:ascii="仿宋" w:eastAsia="仿宋" w:hint="eastAsia"/>
          <w:b/>
          <w:sz w:val="32"/>
          <w:szCs w:val="32"/>
        </w:rPr>
        <w:t>（二）一般公共预算财政拨款支出决算结构情况</w:t>
      </w:r>
      <w:bookmarkEnd w:id="31"/>
    </w:p>
    <w:p>
      <w:pPr>
        <w:spacing w:line="600" w:lineRule="exact"/>
        <w:ind w:firstLine="640"/>
        <w:rPr>
          <w:rFonts w:ascii="仿宋" w:eastAsia="仿宋"/>
          <w:b/>
          <w:sz w:val="32"/>
          <w:szCs w:val="32"/>
        </w:rPr>
      </w:pPr>
      <w:r>
        <w:rPr>
          <w:rFonts w:ascii="仿宋" w:eastAsia="仿宋"/>
          <w:sz w:val="32"/>
          <w:szCs w:val="32"/>
        </w:rPr>
        <w:t>202</w:t>
      </w:r>
      <w:r>
        <w:rPr>
          <w:rFonts w:ascii="仿宋" w:eastAsia="仿宋" w:hint="eastAsia"/>
          <w:sz w:val="32"/>
          <w:szCs w:val="32"/>
        </w:rPr>
        <w:t>5年一般公共预算财政拨款支出378.35万元，主要用于以下方面</w:t>
      </w:r>
      <w:r>
        <w:rPr>
          <w:rFonts w:ascii="仿宋" w:eastAsia="仿宋"/>
          <w:sz w:val="32"/>
          <w:szCs w:val="32"/>
        </w:rPr>
        <w:t>:</w:t>
      </w:r>
      <w:r>
        <w:rPr>
          <w:rFonts w:ascii="仿宋" w:eastAsia="仿宋" w:hint="eastAsia"/>
          <w:b/>
          <w:sz w:val="32"/>
          <w:szCs w:val="32"/>
        </w:rPr>
        <w:t>一般公共服务</w:t>
      </w:r>
      <w:r>
        <w:rPr>
          <w:rFonts w:ascii="仿宋" w:eastAsia="仿宋" w:hint="eastAsia"/>
          <w:b/>
          <w:bCs/>
          <w:sz w:val="32"/>
          <w:szCs w:val="32"/>
        </w:rPr>
        <w:t>支出</w:t>
      </w:r>
      <w:r>
        <w:rPr>
          <w:rFonts w:ascii="仿宋" w:eastAsia="仿宋" w:hint="eastAsia"/>
          <w:sz w:val="32"/>
          <w:szCs w:val="32"/>
        </w:rPr>
        <w:t>299.26万元，占79.10</w:t>
      </w:r>
      <w:r>
        <w:rPr>
          <w:rFonts w:ascii="仿宋" w:eastAsia="仿宋"/>
          <w:sz w:val="32"/>
          <w:szCs w:val="32"/>
        </w:rPr>
        <w:t>%</w:t>
      </w:r>
      <w:r>
        <w:rPr>
          <w:rFonts w:ascii="仿宋" w:eastAsia="仿宋" w:hint="eastAsia"/>
          <w:sz w:val="32"/>
          <w:szCs w:val="32"/>
        </w:rPr>
        <w:t>；</w:t>
      </w:r>
      <w:r>
        <w:rPr>
          <w:rFonts w:ascii="仿宋" w:eastAsia="仿宋" w:hint="eastAsia"/>
          <w:b/>
          <w:sz w:val="32"/>
          <w:szCs w:val="32"/>
        </w:rPr>
        <w:t>教育支出</w:t>
      </w:r>
      <w:r>
        <w:rPr>
          <w:rFonts w:ascii="仿宋" w:eastAsia="仿宋" w:hint="eastAsia"/>
          <w:sz w:val="32"/>
          <w:szCs w:val="32"/>
        </w:rPr>
        <w:t>0万元，占0</w:t>
      </w:r>
      <w:r>
        <w:rPr>
          <w:rFonts w:ascii="仿宋" w:eastAsia="仿宋"/>
          <w:sz w:val="32"/>
          <w:szCs w:val="32"/>
        </w:rPr>
        <w:t>%</w:t>
      </w:r>
      <w:r>
        <w:rPr>
          <w:rFonts w:ascii="仿宋" w:eastAsia="仿宋" w:hint="eastAsia"/>
          <w:sz w:val="32"/>
          <w:szCs w:val="32"/>
        </w:rPr>
        <w:t>；</w:t>
      </w:r>
      <w:r>
        <w:rPr>
          <w:rFonts w:ascii="仿宋" w:eastAsia="仿宋" w:hint="eastAsia"/>
          <w:b/>
          <w:sz w:val="32"/>
          <w:szCs w:val="32"/>
        </w:rPr>
        <w:t>科学技术</w:t>
      </w:r>
      <w:r>
        <w:rPr>
          <w:rFonts w:ascii="仿宋" w:eastAsia="仿宋" w:hint="eastAsia"/>
          <w:b/>
          <w:bCs/>
          <w:sz w:val="32"/>
          <w:szCs w:val="32"/>
        </w:rPr>
        <w:t>支出</w:t>
      </w:r>
      <w:r>
        <w:rPr>
          <w:rFonts w:ascii="仿宋" w:eastAsia="仿宋" w:hint="eastAsia"/>
          <w:sz w:val="32"/>
          <w:szCs w:val="32"/>
        </w:rPr>
        <w:t>0万元，占0</w:t>
      </w:r>
      <w:r>
        <w:rPr>
          <w:rFonts w:ascii="仿宋" w:eastAsia="仿宋"/>
          <w:sz w:val="32"/>
          <w:szCs w:val="32"/>
        </w:rPr>
        <w:t>%</w:t>
      </w:r>
      <w:r>
        <w:rPr>
          <w:rFonts w:ascii="仿宋" w:eastAsia="仿宋" w:hint="eastAsia"/>
          <w:sz w:val="32"/>
          <w:szCs w:val="32"/>
        </w:rPr>
        <w:t>；</w:t>
      </w:r>
      <w:r>
        <w:rPr>
          <w:rFonts w:ascii="仿宋" w:eastAsia="仿宋" w:hint="eastAsia"/>
          <w:b/>
          <w:bCs/>
          <w:sz w:val="32"/>
          <w:szCs w:val="32"/>
        </w:rPr>
        <w:t>文化旅游体育与传媒支出0万元，占0</w:t>
      </w:r>
      <w:r>
        <w:rPr>
          <w:rFonts w:ascii="仿宋" w:eastAsia="仿宋"/>
          <w:b/>
          <w:bCs/>
          <w:sz w:val="32"/>
          <w:szCs w:val="32"/>
        </w:rPr>
        <w:t>%</w:t>
      </w:r>
      <w:r>
        <w:rPr>
          <w:rFonts w:ascii="仿宋" w:eastAsia="仿宋" w:hint="eastAsia"/>
          <w:sz w:val="32"/>
          <w:szCs w:val="32"/>
        </w:rPr>
        <w:t>；</w:t>
      </w:r>
      <w:r>
        <w:rPr>
          <w:rFonts w:ascii="仿宋" w:eastAsia="仿宋" w:hint="eastAsia"/>
          <w:b/>
          <w:sz w:val="32"/>
          <w:szCs w:val="32"/>
        </w:rPr>
        <w:t>社会保障和就业</w:t>
      </w:r>
      <w:r>
        <w:rPr>
          <w:rFonts w:ascii="仿宋" w:eastAsia="仿宋" w:hint="eastAsia"/>
          <w:b/>
          <w:bCs/>
          <w:sz w:val="32"/>
          <w:szCs w:val="32"/>
        </w:rPr>
        <w:t>支出</w:t>
      </w:r>
      <w:r>
        <w:rPr>
          <w:rFonts w:ascii="仿宋" w:eastAsia="仿宋" w:hint="eastAsia"/>
          <w:sz w:val="32"/>
          <w:szCs w:val="32"/>
        </w:rPr>
        <w:t>36.69万元，占9.69</w:t>
      </w:r>
      <w:r>
        <w:rPr>
          <w:rFonts w:ascii="仿宋" w:eastAsia="仿宋"/>
          <w:sz w:val="32"/>
          <w:szCs w:val="32"/>
        </w:rPr>
        <w:t>%</w:t>
      </w:r>
      <w:r>
        <w:rPr>
          <w:rFonts w:ascii="仿宋" w:eastAsia="仿宋" w:hint="eastAsia"/>
          <w:sz w:val="32"/>
          <w:szCs w:val="32"/>
        </w:rPr>
        <w:t>；</w:t>
      </w:r>
      <w:r>
        <w:rPr>
          <w:rFonts w:ascii="仿宋" w:eastAsia="仿宋" w:hint="eastAsia"/>
          <w:b/>
          <w:bCs/>
          <w:sz w:val="32"/>
          <w:szCs w:val="32"/>
        </w:rPr>
        <w:t>卫生健康支出16.16</w:t>
      </w:r>
      <w:r>
        <w:rPr>
          <w:rFonts w:ascii="仿宋" w:eastAsia="仿宋" w:hint="eastAsia"/>
          <w:sz w:val="32"/>
          <w:szCs w:val="32"/>
        </w:rPr>
        <w:t>万元，占4.27</w:t>
      </w:r>
      <w:r>
        <w:rPr>
          <w:rFonts w:ascii="仿宋" w:eastAsia="仿宋"/>
          <w:sz w:val="32"/>
          <w:szCs w:val="32"/>
        </w:rPr>
        <w:t>%</w:t>
      </w:r>
      <w:r>
        <w:rPr>
          <w:rFonts w:ascii="仿宋" w:eastAsia="仿宋" w:hint="eastAsia"/>
          <w:sz w:val="32"/>
          <w:szCs w:val="32"/>
        </w:rPr>
        <w:t>；</w:t>
      </w:r>
      <w:r>
        <w:rPr>
          <w:rFonts w:ascii="仿宋" w:eastAsia="仿宋" w:hint="eastAsia"/>
          <w:b/>
          <w:bCs/>
          <w:sz w:val="32"/>
          <w:szCs w:val="32"/>
        </w:rPr>
        <w:t>农林水支出6</w:t>
      </w:r>
      <w:r>
        <w:rPr>
          <w:rFonts w:ascii="仿宋" w:eastAsia="仿宋" w:hint="eastAsia"/>
          <w:sz w:val="32"/>
          <w:szCs w:val="32"/>
        </w:rPr>
        <w:t>万元，占1.59%；</w:t>
      </w:r>
      <w:r>
        <w:rPr>
          <w:rFonts w:ascii="仿宋" w:eastAsia="仿宋" w:hint="eastAsia"/>
          <w:b/>
          <w:bCs/>
          <w:sz w:val="32"/>
          <w:szCs w:val="32"/>
        </w:rPr>
        <w:t>住房保障支出20.25</w:t>
      </w:r>
      <w:r>
        <w:rPr>
          <w:rFonts w:ascii="仿宋" w:eastAsia="仿宋" w:hint="eastAsia"/>
          <w:sz w:val="32"/>
          <w:szCs w:val="32"/>
        </w:rPr>
        <w:t>万元，占5.35</w:t>
      </w:r>
      <w:r>
        <w:rPr>
          <w:rFonts w:ascii="仿宋" w:eastAsia="仿宋"/>
          <w:sz w:val="32"/>
          <w:szCs w:val="32"/>
        </w:rPr>
        <w:t>%</w:t>
      </w:r>
      <w:r>
        <w:rPr>
          <w:rFonts w:ascii="仿宋" w:eastAsia="仿宋" w:hint="eastAsia"/>
          <w:sz w:val="32"/>
          <w:szCs w:val="32"/>
        </w:rPr>
        <w:t>。</w:t>
      </w:r>
    </w:p>
    <w:p>
      <w:pPr>
        <w:spacing w:line="600" w:lineRule="exact"/>
        <w:ind w:firstLine="640"/>
        <w:rPr>
          <w:rFonts w:ascii="仿宋" w:eastAsia="仿宋"/>
          <w:b/>
          <w:sz w:val="32"/>
          <w:szCs w:val="32"/>
        </w:rPr>
      </w:pPr>
      <w:r>
        <w:drawing>
          <wp:anchor distT="0" distB="0" distL="114300" distR="114300" simplePos="0" relativeHeight="30" behindDoc="0" locked="0" layoutInCell="1" hidden="0" allowOverlap="1">
            <wp:simplePos x="0" y="0"/>
            <wp:positionH relativeFrom="column">
              <wp:posOffset>458470</wp:posOffset>
            </wp:positionH>
            <wp:positionV relativeFrom="paragraph">
              <wp:posOffset>798195</wp:posOffset>
            </wp:positionV>
            <wp:extent cx="4171950" cy="2448560"/>
            <wp:effectExtent l="0" t="0" r="0" b="0"/>
            <wp:wrapTopAndBottom/>
            <wp:docPr id="6" name="图表 1"/>
            <wp:cNvGraphicFramePr>
              <a:graphicFrameLocks noChangeAspect="0"/>
            </wp:cNvGraphicFramePr>
            <a:graphic>
              <a:graphicData uri="http://schemas.openxmlformats.org/drawingml/2006/chart">
                <c:chart xmlns:c="http://schemas.openxmlformats.org/drawingml/2006/chart" r:id="rId9"/>
              </a:graphicData>
            </a:graphic>
          </wp:anchor>
        </w:drawing>
      </w:r>
      <w:r>
        <w:rPr>
          <w:rFonts w:ascii="仿宋" w:eastAsia="仿宋" w:hint="eastAsia"/>
          <w:b/>
          <w:sz w:val="32"/>
          <w:szCs w:val="32"/>
        </w:rPr>
        <w:t>（注：数据来源于财决01-1表，仅罗列本单位涉及的全部功能分类科目，至类级。）</w:t>
      </w:r>
    </w:p>
    <w:p>
      <w:pPr>
        <w:spacing w:line="600" w:lineRule="exact"/>
        <w:ind w:firstLineChars="200" w:firstLine="640"/>
        <w:outlineLvl w:val="2"/>
        <w:rPr>
          <w:rFonts w:ascii="仿宋" w:eastAsia="仿宋"/>
          <w:b/>
          <w:sz w:val="32"/>
          <w:szCs w:val="32"/>
        </w:rPr>
      </w:pPr>
      <w:bookmarkStart w:id="32" w:name="_Toc15377212"/>
      <w:r>
        <w:rPr>
          <w:rFonts w:ascii="仿宋" w:eastAsia="仿宋" w:hint="eastAsia"/>
          <w:b/>
          <w:sz w:val="32"/>
          <w:szCs w:val="32"/>
        </w:rPr>
        <w:t>（三）一般公共预算财政拨款支出决算具体情况</w:t>
      </w:r>
      <w:bookmarkEnd w:id="32"/>
    </w:p>
    <w:p>
      <w:pPr>
        <w:spacing w:line="600" w:lineRule="exact"/>
        <w:ind w:firstLineChars="200" w:firstLine="640"/>
        <w:outlineLvl w:val="2"/>
        <w:rPr>
          <w:rFonts w:ascii="仿宋" w:eastAsia="仿宋"/>
          <w:sz w:val="32"/>
          <w:szCs w:val="32"/>
        </w:rPr>
      </w:pPr>
      <w:bookmarkStart w:id="33" w:name="_Toc15377213"/>
      <w:bookmarkStart w:id="34" w:name="_Toc15377444"/>
      <w:bookmarkStart w:id="35" w:name="_Toc15378460"/>
      <w:r>
        <w:rPr>
          <w:rFonts w:ascii="仿宋" w:eastAsia="仿宋" w:hint="eastAsia"/>
          <w:b/>
          <w:sz w:val="32"/>
          <w:szCs w:val="32"/>
        </w:rPr>
        <w:t>2025年一般公共预算支出决算数为378.35万元</w:t>
      </w:r>
      <w:r>
        <w:rPr>
          <w:rFonts w:ascii="仿宋" w:eastAsia="仿宋" w:hint="eastAsia"/>
          <w:sz w:val="32"/>
          <w:szCs w:val="32"/>
        </w:rPr>
        <w:t>，</w:t>
      </w:r>
      <w:r>
        <w:rPr>
          <w:rStyle w:val="26"/>
          <w:rFonts w:ascii="仿宋" w:eastAsia="仿宋" w:hint="eastAsia"/>
          <w:bCs/>
          <w:sz w:val="32"/>
          <w:szCs w:val="32"/>
        </w:rPr>
        <w:t>完成预算100</w:t>
      </w:r>
      <w:r>
        <w:rPr>
          <w:rStyle w:val="26"/>
          <w:rFonts w:ascii="仿宋" w:eastAsia="仿宋"/>
          <w:bCs/>
          <w:sz w:val="32"/>
          <w:szCs w:val="32"/>
        </w:rPr>
        <w:t>%</w:t>
      </w:r>
      <w:r>
        <w:rPr>
          <w:rStyle w:val="26"/>
          <w:rFonts w:ascii="仿宋" w:eastAsia="仿宋" w:hint="eastAsia"/>
          <w:bCs/>
          <w:sz w:val="32"/>
          <w:szCs w:val="32"/>
        </w:rPr>
        <w:t>。其中：</w:t>
      </w:r>
      <w:bookmarkEnd w:id="33"/>
      <w:bookmarkEnd w:id="34"/>
      <w:bookmarkEnd w:id="35"/>
    </w:p>
    <w:p>
      <w:pPr>
        <w:spacing w:line="576" w:lineRule="exact"/>
        <w:ind w:firstLineChars="200" w:firstLine="640"/>
        <w:rPr>
          <w:rFonts w:ascii="仿宋_GB2312" w:eastAsia="仿宋_GB2312" w:cs="仿宋_GB2312"/>
          <w:b/>
          <w:sz w:val="32"/>
          <w:szCs w:val="32"/>
        </w:rPr>
      </w:pPr>
      <w:r>
        <w:rPr>
          <w:rStyle w:val="26"/>
          <w:rFonts w:ascii="仿宋_GB2312" w:eastAsia="仿宋_GB2312" w:cs="仿宋_GB2312" w:hint="eastAsia"/>
          <w:bCs/>
          <w:sz w:val="32"/>
          <w:szCs w:val="32"/>
        </w:rPr>
        <w:t>1.一般公共服务</w:t>
      </w:r>
      <w:r>
        <w:rPr>
          <w:rStyle w:val="26"/>
          <w:rFonts w:ascii="仿宋" w:eastAsia="仿宋" w:hint="eastAsia"/>
          <w:bCs/>
          <w:sz w:val="32"/>
          <w:szCs w:val="32"/>
        </w:rPr>
        <w:t>（类）统计信息事务（款）行政运行（项）</w:t>
      </w:r>
      <w:r>
        <w:rPr>
          <w:rStyle w:val="26"/>
          <w:rFonts w:ascii="仿宋" w:eastAsia="仿宋"/>
          <w:bCs/>
          <w:sz w:val="32"/>
          <w:szCs w:val="32"/>
        </w:rPr>
        <w:t>:</w:t>
      </w:r>
      <w:r>
        <w:rPr>
          <w:rStyle w:val="26"/>
          <w:rFonts w:ascii="仿宋_GB2312" w:eastAsia="仿宋_GB2312" w:cs="仿宋_GB2312" w:hint="eastAsia"/>
          <w:b w:val="0"/>
          <w:bCs/>
          <w:sz w:val="32"/>
          <w:szCs w:val="32"/>
        </w:rPr>
        <w:t>支出决算为224.45万元，完成预算100%，与预算数持平。</w:t>
      </w:r>
    </w:p>
    <w:p>
      <w:pPr>
        <w:spacing w:line="576" w:lineRule="exact"/>
        <w:ind w:firstLineChars="200" w:firstLine="640"/>
        <w:rPr>
          <w:rFonts w:ascii="仿宋" w:eastAsia="仿宋"/>
          <w:sz w:val="32"/>
          <w:szCs w:val="32"/>
        </w:rPr>
      </w:pPr>
      <w:r>
        <w:rPr>
          <w:rStyle w:val="26"/>
          <w:rFonts w:ascii="仿宋_GB2312" w:eastAsia="仿宋_GB2312" w:cs="仿宋_GB2312" w:hint="eastAsia"/>
          <w:bCs/>
          <w:sz w:val="32"/>
          <w:szCs w:val="32"/>
        </w:rPr>
        <w:t>2.</w:t>
      </w:r>
      <w:r>
        <w:rPr>
          <w:rStyle w:val="26"/>
          <w:rFonts w:ascii="仿宋" w:eastAsia="仿宋" w:hint="eastAsia"/>
          <w:sz w:val="32"/>
          <w:szCs w:val="32"/>
        </w:rPr>
        <w:t>一般公共服务（类）</w:t>
      </w:r>
      <w:r>
        <w:rPr>
          <w:rStyle w:val="26"/>
          <w:rFonts w:ascii="仿宋" w:eastAsia="仿宋" w:hint="eastAsia"/>
          <w:bCs/>
          <w:sz w:val="32"/>
          <w:szCs w:val="32"/>
        </w:rPr>
        <w:t>统计信息事务</w:t>
      </w:r>
      <w:r>
        <w:rPr>
          <w:rStyle w:val="26"/>
          <w:rFonts w:ascii="仿宋" w:eastAsia="仿宋" w:hint="eastAsia"/>
          <w:sz w:val="32"/>
          <w:szCs w:val="32"/>
        </w:rPr>
        <w:t>（款）专项统计业务（项）:</w:t>
      </w:r>
      <w:r>
        <w:rPr>
          <w:rFonts w:ascii="仿宋" w:eastAsia="仿宋" w:hint="eastAsia"/>
          <w:sz w:val="32"/>
          <w:szCs w:val="32"/>
        </w:rPr>
        <w:t>支出决算数为70.61万元，完成预算100%</w:t>
      </w:r>
      <w:r>
        <w:rPr>
          <w:rStyle w:val="26"/>
          <w:rFonts w:ascii="仿宋_GB2312" w:eastAsia="仿宋_GB2312" w:cs="仿宋_GB2312" w:hint="eastAsia"/>
          <w:b w:val="0"/>
          <w:bCs/>
          <w:sz w:val="32"/>
          <w:szCs w:val="32"/>
        </w:rPr>
        <w:t>，与预算数持平。</w:t>
      </w:r>
    </w:p>
    <w:p>
      <w:pPr>
        <w:spacing w:line="576" w:lineRule="exact"/>
        <w:ind w:firstLineChars="200" w:firstLine="640"/>
        <w:rPr>
          <w:rStyle w:val="26"/>
          <w:rFonts w:ascii="仿宋_GB2312" w:eastAsia="仿宋_GB2312" w:cs="仿宋_GB2312"/>
          <w:bCs/>
          <w:sz w:val="32"/>
          <w:szCs w:val="32"/>
        </w:rPr>
      </w:pPr>
      <w:r>
        <w:rPr>
          <w:rStyle w:val="26"/>
          <w:rFonts w:ascii="仿宋_GB2312" w:eastAsia="仿宋_GB2312" w:cs="仿宋_GB2312" w:hint="eastAsia"/>
          <w:bCs/>
          <w:sz w:val="32"/>
          <w:szCs w:val="32"/>
        </w:rPr>
        <w:t>3.</w:t>
      </w:r>
      <w:r>
        <w:rPr>
          <w:rStyle w:val="26"/>
          <w:rFonts w:ascii="仿宋" w:eastAsia="仿宋" w:hint="eastAsia"/>
          <w:sz w:val="32"/>
          <w:szCs w:val="32"/>
        </w:rPr>
        <w:t>一般公共服务（类）</w:t>
      </w:r>
      <w:r>
        <w:rPr>
          <w:rStyle w:val="26"/>
          <w:rFonts w:ascii="仿宋" w:eastAsia="仿宋" w:hint="eastAsia"/>
          <w:bCs/>
          <w:sz w:val="32"/>
          <w:szCs w:val="32"/>
        </w:rPr>
        <w:t>统计信息事务</w:t>
      </w:r>
      <w:r>
        <w:rPr>
          <w:rStyle w:val="26"/>
          <w:rFonts w:ascii="仿宋" w:eastAsia="仿宋" w:hint="eastAsia"/>
          <w:sz w:val="32"/>
          <w:szCs w:val="32"/>
        </w:rPr>
        <w:t>（款）专项普查活动（项）:</w:t>
      </w:r>
      <w:r>
        <w:rPr>
          <w:rFonts w:ascii="仿宋" w:eastAsia="仿宋" w:hint="eastAsia"/>
          <w:sz w:val="32"/>
          <w:szCs w:val="32"/>
        </w:rPr>
        <w:t>支出决算数为4.20万元，完成预算100%</w:t>
      </w:r>
      <w:r>
        <w:rPr>
          <w:rStyle w:val="26"/>
          <w:rFonts w:ascii="仿宋_GB2312" w:eastAsia="仿宋_GB2312" w:cs="仿宋_GB2312" w:hint="eastAsia"/>
          <w:b w:val="0"/>
          <w:bCs/>
          <w:sz w:val="32"/>
          <w:szCs w:val="32"/>
        </w:rPr>
        <w:t>，与预算数持平。</w:t>
      </w:r>
    </w:p>
    <w:p>
      <w:pPr>
        <w:spacing w:line="576" w:lineRule="exact"/>
        <w:ind w:firstLineChars="200" w:firstLine="640"/>
        <w:rPr>
          <w:rFonts w:ascii="仿宋" w:eastAsia="仿宋"/>
          <w:sz w:val="32"/>
          <w:szCs w:val="32"/>
        </w:rPr>
      </w:pPr>
      <w:r>
        <w:rPr>
          <w:rStyle w:val="26"/>
          <w:rFonts w:ascii="仿宋" w:eastAsia="仿宋" w:hint="eastAsia"/>
          <w:bCs/>
          <w:sz w:val="32"/>
          <w:szCs w:val="32"/>
        </w:rPr>
        <w:t>4.社会保障和就业（类）行政事业单位养老（款）</w:t>
      </w:r>
      <w:r>
        <w:rPr>
          <w:rStyle w:val="26"/>
          <w:rFonts w:ascii="仿宋" w:eastAsia="仿宋" w:hint="eastAsia"/>
          <w:sz w:val="32"/>
          <w:szCs w:val="32"/>
        </w:rPr>
        <w:t>机关事业单位基本养老保险缴费支出</w:t>
      </w:r>
      <w:r>
        <w:rPr>
          <w:rStyle w:val="26"/>
          <w:rFonts w:ascii="仿宋" w:eastAsia="仿宋" w:hint="eastAsia"/>
          <w:bCs/>
          <w:sz w:val="32"/>
          <w:szCs w:val="32"/>
        </w:rPr>
        <w:t>（项）</w:t>
      </w:r>
      <w:r>
        <w:rPr>
          <w:rStyle w:val="26"/>
          <w:rFonts w:ascii="仿宋" w:eastAsia="仿宋"/>
          <w:bCs/>
          <w:sz w:val="32"/>
          <w:szCs w:val="32"/>
        </w:rPr>
        <w:t xml:space="preserve">: </w:t>
      </w:r>
      <w:r>
        <w:rPr>
          <w:rFonts w:ascii="仿宋" w:eastAsia="仿宋" w:hint="eastAsia"/>
          <w:sz w:val="32"/>
          <w:szCs w:val="32"/>
        </w:rPr>
        <w:t>支出决算数为24.46万元，完成预算100</w:t>
      </w:r>
      <w:r>
        <w:rPr>
          <w:rFonts w:ascii="仿宋" w:eastAsia="仿宋"/>
          <w:sz w:val="32"/>
          <w:szCs w:val="32"/>
        </w:rPr>
        <w:t>%</w:t>
      </w:r>
      <w:r>
        <w:rPr>
          <w:rStyle w:val="26"/>
          <w:rFonts w:ascii="仿宋_GB2312" w:eastAsia="仿宋_GB2312" w:cs="仿宋_GB2312" w:hint="eastAsia"/>
          <w:b w:val="0"/>
          <w:bCs/>
          <w:sz w:val="32"/>
          <w:szCs w:val="32"/>
        </w:rPr>
        <w:t>，与预算数持平。</w:t>
      </w:r>
    </w:p>
    <w:p>
      <w:pPr>
        <w:spacing w:line="576" w:lineRule="exact"/>
        <w:ind w:firstLineChars="200" w:firstLine="640"/>
        <w:rPr>
          <w:rFonts w:ascii="仿宋" w:eastAsia="仿宋"/>
          <w:b/>
          <w:sz w:val="32"/>
          <w:szCs w:val="32"/>
        </w:rPr>
      </w:pPr>
      <w:r>
        <w:rPr>
          <w:rStyle w:val="26"/>
          <w:rFonts w:ascii="仿宋" w:eastAsia="仿宋" w:hint="eastAsia"/>
          <w:sz w:val="32"/>
          <w:szCs w:val="32"/>
        </w:rPr>
        <w:t>5.社会保障和就业（类）</w:t>
      </w:r>
      <w:r>
        <w:rPr>
          <w:rStyle w:val="26"/>
          <w:rFonts w:ascii="仿宋" w:eastAsia="仿宋" w:hint="eastAsia"/>
          <w:bCs/>
          <w:sz w:val="32"/>
          <w:szCs w:val="32"/>
        </w:rPr>
        <w:t>行政事业单位养老</w:t>
      </w:r>
      <w:r>
        <w:rPr>
          <w:rStyle w:val="26"/>
          <w:rFonts w:ascii="仿宋" w:eastAsia="仿宋" w:hint="eastAsia"/>
          <w:sz w:val="32"/>
          <w:szCs w:val="32"/>
        </w:rPr>
        <w:t>（款）机关事业单位职业年金缴费支出（项）:</w:t>
      </w:r>
      <w:r>
        <w:rPr>
          <w:rFonts w:ascii="仿宋" w:eastAsia="仿宋" w:hint="eastAsia"/>
          <w:sz w:val="32"/>
          <w:szCs w:val="32"/>
        </w:rPr>
        <w:t>支出决算数为12.23万元，完成预算100%</w:t>
      </w:r>
      <w:r>
        <w:rPr>
          <w:rStyle w:val="26"/>
          <w:rFonts w:ascii="仿宋_GB2312" w:eastAsia="仿宋_GB2312" w:cs="仿宋_GB2312" w:hint="eastAsia"/>
          <w:b w:val="0"/>
          <w:bCs/>
          <w:sz w:val="32"/>
          <w:szCs w:val="32"/>
        </w:rPr>
        <w:t>，与预算数持平。</w:t>
      </w:r>
    </w:p>
    <w:p>
      <w:pPr>
        <w:spacing w:line="576" w:lineRule="exact"/>
        <w:ind w:firstLineChars="200" w:firstLine="640"/>
        <w:rPr>
          <w:rFonts w:ascii="仿宋" w:eastAsia="仿宋"/>
          <w:sz w:val="32"/>
          <w:szCs w:val="32"/>
        </w:rPr>
      </w:pPr>
      <w:r>
        <w:rPr>
          <w:rStyle w:val="26"/>
          <w:rFonts w:ascii="仿宋_GB2312" w:eastAsia="仿宋_GB2312" w:cs="仿宋_GB2312" w:hint="eastAsia"/>
          <w:bCs/>
          <w:sz w:val="32"/>
          <w:szCs w:val="32"/>
        </w:rPr>
        <w:t>6.</w:t>
      </w:r>
      <w:r>
        <w:rPr>
          <w:rFonts w:ascii="仿宋" w:eastAsia="仿宋" w:hint="eastAsia"/>
          <w:b/>
          <w:bCs/>
          <w:color w:val="000000"/>
          <w:sz w:val="32"/>
          <w:szCs w:val="32"/>
        </w:rPr>
        <w:t>卫生健康</w:t>
      </w:r>
      <w:r>
        <w:rPr>
          <w:rStyle w:val="26"/>
          <w:rFonts w:ascii="仿宋" w:eastAsia="仿宋" w:hint="eastAsia"/>
          <w:sz w:val="32"/>
          <w:szCs w:val="32"/>
        </w:rPr>
        <w:t>（类）行政事业单位医疗（款）行政单位医疗（项）:</w:t>
      </w:r>
      <w:r>
        <w:rPr>
          <w:rFonts w:ascii="仿宋" w:eastAsia="仿宋" w:hint="eastAsia"/>
          <w:sz w:val="32"/>
          <w:szCs w:val="32"/>
        </w:rPr>
        <w:t>支出决算数为12.01万元，完成预算100%</w:t>
      </w:r>
      <w:r>
        <w:rPr>
          <w:rStyle w:val="26"/>
          <w:rFonts w:ascii="仿宋_GB2312" w:eastAsia="仿宋_GB2312" w:cs="仿宋_GB2312" w:hint="eastAsia"/>
          <w:b w:val="0"/>
          <w:bCs/>
          <w:sz w:val="32"/>
          <w:szCs w:val="32"/>
        </w:rPr>
        <w:t>，与预算数持平。</w:t>
      </w:r>
    </w:p>
    <w:p>
      <w:pPr>
        <w:spacing w:line="576" w:lineRule="exact"/>
        <w:ind w:firstLineChars="200" w:firstLine="640"/>
        <w:rPr>
          <w:rFonts w:ascii="仿宋" w:eastAsia="仿宋"/>
          <w:sz w:val="32"/>
          <w:szCs w:val="32"/>
        </w:rPr>
      </w:pPr>
      <w:r>
        <w:rPr>
          <w:rFonts w:ascii="仿宋" w:eastAsia="仿宋" w:hint="eastAsia"/>
          <w:b/>
          <w:bCs/>
          <w:color w:val="000000"/>
          <w:sz w:val="32"/>
          <w:szCs w:val="32"/>
        </w:rPr>
        <w:t>7.卫生健康</w:t>
      </w:r>
      <w:r>
        <w:rPr>
          <w:rFonts w:ascii="仿宋" w:eastAsia="仿宋" w:hint="eastAsia"/>
          <w:b/>
          <w:bCs/>
          <w:color w:val="000000"/>
          <w:sz w:val="32"/>
          <w:szCs w:val="32"/>
          <w:lang w:eastAsia="zh-CN"/>
        </w:rPr>
        <w:t>支出</w:t>
      </w:r>
      <w:r>
        <w:rPr>
          <w:rStyle w:val="26"/>
          <w:rFonts w:ascii="仿宋" w:eastAsia="仿宋" w:hint="eastAsia"/>
          <w:sz w:val="32"/>
          <w:szCs w:val="32"/>
        </w:rPr>
        <w:t>（类）行政事业单位医疗（款）公务员医疗补助（项）:</w:t>
      </w:r>
      <w:r>
        <w:rPr>
          <w:rFonts w:ascii="仿宋" w:eastAsia="仿宋" w:hint="eastAsia"/>
          <w:sz w:val="32"/>
          <w:szCs w:val="32"/>
        </w:rPr>
        <w:t>支出决算数为4.15万元，完成预算100%</w:t>
      </w:r>
      <w:r>
        <w:rPr>
          <w:rStyle w:val="26"/>
          <w:rFonts w:ascii="仿宋_GB2312" w:eastAsia="仿宋_GB2312" w:cs="仿宋_GB2312" w:hint="eastAsia"/>
          <w:b w:val="0"/>
          <w:bCs/>
          <w:sz w:val="32"/>
          <w:szCs w:val="32"/>
        </w:rPr>
        <w:t>，与预算数持平。</w:t>
      </w:r>
    </w:p>
    <w:p>
      <w:pPr>
        <w:spacing w:line="576" w:lineRule="exact"/>
        <w:ind w:firstLineChars="200" w:firstLine="640"/>
        <w:rPr>
          <w:rFonts w:eastAsia="仿宋"/>
        </w:rPr>
      </w:pPr>
      <w:r>
        <w:rPr>
          <w:rFonts w:ascii="仿宋" w:eastAsia="仿宋" w:cs="仿宋" w:hint="eastAsia"/>
          <w:b/>
          <w:bCs/>
          <w:sz w:val="32"/>
          <w:szCs w:val="32"/>
          <w:shd w:val="clear" w:color="auto" w:fill="FFFFFF"/>
        </w:rPr>
        <w:t>8.农林水支出（类）巩固拓展脱贫攻坚成果衔接乡村振兴（款）社会发展（项）：</w:t>
      </w:r>
      <w:r>
        <w:rPr>
          <w:rFonts w:ascii="仿宋" w:eastAsia="仿宋" w:cs="仿宋" w:hint="eastAsia"/>
          <w:sz w:val="32"/>
          <w:szCs w:val="32"/>
          <w:shd w:val="clear" w:color="auto" w:fill="FFFFFF"/>
        </w:rPr>
        <w:t>支出决算数为6.00万元，完成预算数的100%</w:t>
      </w:r>
      <w:r>
        <w:rPr>
          <w:rStyle w:val="26"/>
          <w:rFonts w:ascii="仿宋_GB2312" w:eastAsia="仿宋_GB2312" w:cs="仿宋_GB2312" w:hint="eastAsia"/>
          <w:b w:val="0"/>
          <w:bCs/>
          <w:sz w:val="32"/>
          <w:szCs w:val="32"/>
        </w:rPr>
        <w:t>，与预算数持平。</w:t>
      </w:r>
    </w:p>
    <w:p>
      <w:pPr>
        <w:spacing w:line="576" w:lineRule="exact"/>
        <w:ind w:firstLineChars="200" w:firstLine="640"/>
        <w:rPr>
          <w:rFonts w:ascii="仿宋" w:eastAsia="仿宋"/>
          <w:sz w:val="32"/>
          <w:szCs w:val="32"/>
        </w:rPr>
      </w:pPr>
      <w:r>
        <w:rPr>
          <w:rStyle w:val="26"/>
          <w:rFonts w:ascii="仿宋" w:eastAsia="仿宋" w:hint="eastAsia"/>
          <w:sz w:val="32"/>
          <w:szCs w:val="32"/>
        </w:rPr>
        <w:t>9.住房保障（类）住房改革（款）住房公积金（项）:</w:t>
      </w:r>
      <w:r>
        <w:rPr>
          <w:rFonts w:ascii="仿宋" w:eastAsia="仿宋" w:hint="eastAsia"/>
          <w:sz w:val="32"/>
          <w:szCs w:val="32"/>
        </w:rPr>
        <w:t>支出决算数为20.25万元，完成预算100%</w:t>
      </w:r>
      <w:r>
        <w:rPr>
          <w:rStyle w:val="26"/>
          <w:rFonts w:ascii="仿宋_GB2312" w:eastAsia="仿宋_GB2312" w:cs="仿宋_GB2312" w:hint="eastAsia"/>
          <w:b w:val="0"/>
          <w:bCs/>
          <w:sz w:val="32"/>
          <w:szCs w:val="32"/>
        </w:rPr>
        <w:t>，与预算数持平。</w:t>
      </w:r>
    </w:p>
    <w:p>
      <w:pPr>
        <w:spacing w:line="600" w:lineRule="exact"/>
        <w:ind w:firstLineChars="200" w:firstLine="640"/>
        <w:rPr>
          <w:rFonts w:ascii="仿宋" w:eastAsia="仿宋"/>
          <w:b/>
          <w:sz w:val="32"/>
          <w:szCs w:val="32"/>
        </w:rPr>
      </w:pPr>
      <w:r>
        <w:rPr>
          <w:rFonts w:ascii="仿宋" w:eastAsia="仿宋" w:hint="eastAsia"/>
          <w:b/>
          <w:sz w:val="32"/>
          <w:szCs w:val="32"/>
        </w:rPr>
        <w:t>（注：数据来源于财决</w:t>
      </w:r>
      <w:r>
        <w:rPr>
          <w:rFonts w:ascii="仿宋" w:eastAsia="仿宋"/>
          <w:b/>
          <w:sz w:val="32"/>
          <w:szCs w:val="32"/>
        </w:rPr>
        <w:t>0</w:t>
      </w:r>
      <w:r>
        <w:rPr>
          <w:rFonts w:ascii="仿宋" w:eastAsia="仿宋" w:hint="eastAsia"/>
          <w:b/>
          <w:sz w:val="32"/>
          <w:szCs w:val="32"/>
        </w:rPr>
        <w:t>1-1表和财决08表，仅罗列本单位涉及的全部功能分类科目，至项级。上述“预算”口径为全年预算数。增减变动原因为决算数</w:t>
      </w:r>
      <w:r>
        <w:rPr>
          <w:rFonts w:ascii="仿宋" w:eastAsia="仿宋"/>
          <w:b/>
          <w:sz w:val="32"/>
          <w:szCs w:val="32"/>
        </w:rPr>
        <w:t>&lt;</w:t>
      </w:r>
      <w:r>
        <w:rPr>
          <w:rFonts w:ascii="仿宋" w:eastAsia="仿宋" w:hint="eastAsia"/>
          <w:b/>
          <w:sz w:val="32"/>
          <w:szCs w:val="32"/>
        </w:rPr>
        <w:t>项级</w:t>
      </w:r>
      <w:r>
        <w:rPr>
          <w:rFonts w:ascii="仿宋" w:eastAsia="仿宋"/>
          <w:b/>
          <w:sz w:val="32"/>
          <w:szCs w:val="32"/>
        </w:rPr>
        <w:t>&gt;</w:t>
      </w:r>
      <w:r>
        <w:rPr>
          <w:rFonts w:ascii="仿宋" w:eastAsia="仿宋" w:hint="eastAsia"/>
          <w:b/>
          <w:sz w:val="32"/>
          <w:szCs w:val="32"/>
        </w:rPr>
        <w:t>和全年预算数</w:t>
      </w:r>
      <w:r>
        <w:rPr>
          <w:rFonts w:ascii="仿宋" w:eastAsia="仿宋"/>
          <w:b/>
          <w:sz w:val="32"/>
          <w:szCs w:val="32"/>
        </w:rPr>
        <w:t>&lt;</w:t>
      </w:r>
      <w:r>
        <w:rPr>
          <w:rFonts w:ascii="仿宋" w:eastAsia="仿宋" w:hint="eastAsia"/>
          <w:b/>
          <w:sz w:val="32"/>
          <w:szCs w:val="32"/>
        </w:rPr>
        <w:t>项级</w:t>
      </w:r>
      <w:r>
        <w:rPr>
          <w:rFonts w:ascii="仿宋" w:eastAsia="仿宋"/>
          <w:b/>
          <w:sz w:val="32"/>
          <w:szCs w:val="32"/>
        </w:rPr>
        <w:t>&gt;</w:t>
      </w:r>
      <w:r>
        <w:rPr>
          <w:rFonts w:ascii="仿宋" w:eastAsia="仿宋" w:hint="eastAsia"/>
          <w:b/>
          <w:sz w:val="32"/>
          <w:szCs w:val="32"/>
        </w:rPr>
        <w:t>比较，与预算数持平可以不写原因。）</w:t>
      </w:r>
    </w:p>
    <w:p>
      <w:pPr>
        <w:spacing w:line="600" w:lineRule="exact"/>
        <w:ind w:firstLine="640"/>
        <w:rPr>
          <w:rFonts w:ascii="仿宋" w:eastAsia="仿宋"/>
          <w:b/>
          <w:sz w:val="32"/>
          <w:szCs w:val="32"/>
        </w:rPr>
      </w:pPr>
    </w:p>
    <w:p>
      <w:pPr>
        <w:tabs>
          <w:tab w:val="right" w:pos="8306"/>
        </w:tabs>
        <w:spacing w:line="600" w:lineRule="exact"/>
        <w:ind w:firstLine="640"/>
        <w:outlineLvl w:val="1"/>
        <w:rPr>
          <w:rStyle w:val="2Char"/>
        </w:rPr>
      </w:pPr>
      <w:bookmarkStart w:id="36" w:name="_Toc15377214"/>
      <w:bookmarkStart w:id="37" w:name="_Toc15396608"/>
      <w:r>
        <w:rPr>
          <w:rFonts w:ascii="黑体" w:eastAsia="黑体" w:hint="eastAsia"/>
          <w:sz w:val="32"/>
          <w:szCs w:val="32"/>
        </w:rPr>
        <w:t>六</w:t>
      </w:r>
      <w:r>
        <w:rPr>
          <w:rFonts w:ascii="黑体" w:eastAsia="黑体" w:hint="eastAsia"/>
          <w:b/>
          <w:sz w:val="32"/>
          <w:szCs w:val="32"/>
        </w:rPr>
        <w:t>、一</w:t>
      </w:r>
      <w:r>
        <w:rPr>
          <w:rStyle w:val="2Char"/>
          <w:rFonts w:ascii="黑体" w:eastAsia="黑体" w:hint="eastAsia"/>
          <w:b w:val="0"/>
        </w:rPr>
        <w:t>般公共预算财政拨款基本支出决算情况说明</w:t>
      </w:r>
      <w:bookmarkEnd w:id="36"/>
      <w:bookmarkEnd w:id="37"/>
      <w:r>
        <w:rPr>
          <w:rStyle w:val="2Char"/>
          <w:rFonts w:ascii="黑体" w:eastAsia="黑体"/>
          <w:b w:val="0"/>
        </w:rPr>
        <w:tab/>
      </w:r>
    </w:p>
    <w:p>
      <w:pPr>
        <w:spacing w:line="600" w:lineRule="exact"/>
        <w:ind w:firstLine="645"/>
        <w:rPr>
          <w:rFonts w:ascii="仿宋" w:eastAsia="仿宋"/>
          <w:sz w:val="32"/>
          <w:szCs w:val="32"/>
        </w:rPr>
      </w:pPr>
      <w:r>
        <w:rPr>
          <w:rFonts w:ascii="仿宋" w:eastAsia="仿宋"/>
          <w:sz w:val="32"/>
          <w:szCs w:val="32"/>
        </w:rPr>
        <w:t>202</w:t>
      </w:r>
      <w:r>
        <w:rPr>
          <w:rFonts w:ascii="仿宋" w:eastAsia="仿宋" w:hint="eastAsia"/>
          <w:sz w:val="32"/>
          <w:szCs w:val="32"/>
        </w:rPr>
        <w:t>5年一般公共预算财政拨款基本支出297.54万元，其中：</w:t>
      </w:r>
    </w:p>
    <w:p>
      <w:pPr>
        <w:spacing w:line="600" w:lineRule="exact"/>
        <w:ind w:firstLine="645"/>
        <w:rPr>
          <w:rFonts w:ascii="仿宋" w:eastAsia="仿宋"/>
          <w:b/>
          <w:sz w:val="32"/>
          <w:szCs w:val="32"/>
        </w:rPr>
      </w:pPr>
      <w:r>
        <w:rPr>
          <w:rFonts w:ascii="仿宋" w:eastAsia="仿宋" w:hint="eastAsia"/>
          <w:sz w:val="32"/>
          <w:szCs w:val="32"/>
        </w:rPr>
        <w:t>人员经费262.76万元，</w:t>
      </w:r>
      <w:r>
        <w:rPr>
          <w:rFonts w:ascii="仿宋_GB2312" w:eastAsia="仿宋_GB2312" w:cs="仿宋_GB2312" w:hint="eastAsia"/>
          <w:sz w:val="32"/>
          <w:szCs w:val="32"/>
        </w:rPr>
        <w:t>主要包括：基本工资、津贴补贴、奖金、机关事业单位基本养老保险缴费、职业年金缴费、其他社会保障缴费、生活补助、医疗费补助、住房公积金、其他对个人和家庭的补助支出等。</w:t>
      </w:r>
      <w:r>
        <w:rPr>
          <w:rFonts w:ascii="仿宋" w:eastAsia="仿宋"/>
          <w:sz w:val="32"/>
          <w:szCs w:val="32"/>
        </w:rPr>
        <w:br/>
      </w:r>
      <w:r>
        <w:rPr>
          <w:rFonts w:ascii="仿宋" w:eastAsia="仿宋" w:hint="eastAsia"/>
          <w:sz w:val="32"/>
          <w:szCs w:val="32"/>
        </w:rPr>
        <w:t>　　公用经费34.78万元，</w:t>
      </w:r>
      <w:r>
        <w:rPr>
          <w:rFonts w:ascii="仿宋_GB2312" w:eastAsia="仿宋_GB2312" w:cs="仿宋_GB2312" w:hint="eastAsia"/>
          <w:sz w:val="32"/>
          <w:szCs w:val="32"/>
        </w:rPr>
        <w:t>主要包括：办公费、印刷费、邮电费、差旅费、会议费、培训费、公务接待费、劳务费、公务用车运行维护费、其他交通费、其他商品和服务支出等。</w:t>
      </w:r>
      <w:r>
        <w:rPr>
          <w:rFonts w:ascii="仿宋" w:eastAsia="仿宋" w:hint="eastAsia"/>
          <w:b/>
          <w:sz w:val="32"/>
          <w:szCs w:val="32"/>
        </w:rPr>
        <w:t>（注：数据来源于财决</w:t>
      </w:r>
      <w:r>
        <w:rPr>
          <w:rFonts w:ascii="仿宋" w:eastAsia="仿宋"/>
          <w:b/>
          <w:sz w:val="32"/>
          <w:szCs w:val="32"/>
        </w:rPr>
        <w:t>0</w:t>
      </w:r>
      <w:r>
        <w:rPr>
          <w:rFonts w:ascii="仿宋" w:eastAsia="仿宋" w:hint="eastAsia"/>
          <w:b/>
          <w:sz w:val="32"/>
          <w:szCs w:val="32"/>
        </w:rPr>
        <w:t>7表和财决08-1表，仅罗列本单位实际支出涉及的经济分类科目。）</w:t>
      </w:r>
    </w:p>
    <w:p>
      <w:pPr>
        <w:spacing w:line="600" w:lineRule="exact"/>
        <w:ind w:firstLine="640"/>
        <w:outlineLvl w:val="1"/>
        <w:rPr>
          <w:rStyle w:val="2Char"/>
          <w:rFonts w:ascii="黑体" w:eastAsia="黑体"/>
          <w:b w:val="0"/>
        </w:rPr>
      </w:pPr>
      <w:bookmarkStart w:id="38" w:name="_Toc15377215"/>
      <w:bookmarkStart w:id="39" w:name="_Toc15396609"/>
      <w:r>
        <w:rPr>
          <w:rFonts w:ascii="黑体" w:eastAsia="黑体" w:hint="eastAsia"/>
          <w:sz w:val="32"/>
          <w:szCs w:val="32"/>
        </w:rPr>
        <w:t>七、</w:t>
      </w:r>
      <w:r>
        <w:rPr>
          <w:rStyle w:val="2Char"/>
          <w:rFonts w:ascii="黑体" w:eastAsia="黑体" w:hint="eastAsia"/>
          <w:b w:val="0"/>
        </w:rPr>
        <w:t>财政拨款</w:t>
      </w:r>
      <w:r>
        <w:rPr>
          <w:rStyle w:val="2Char"/>
          <w:rFonts w:ascii="黑体" w:eastAsia="黑体" w:hint="eastAsia"/>
        </w:rPr>
        <w:t>“</w:t>
      </w:r>
      <w:r>
        <w:rPr>
          <w:rStyle w:val="2Char"/>
          <w:rFonts w:ascii="黑体" w:eastAsia="黑体" w:hint="eastAsia"/>
          <w:b w:val="0"/>
        </w:rPr>
        <w:t>三公”经费支出决算情况说明</w:t>
      </w:r>
      <w:bookmarkEnd w:id="38"/>
      <w:bookmarkEnd w:id="39"/>
    </w:p>
    <w:p>
      <w:pPr>
        <w:spacing w:line="600" w:lineRule="exact"/>
        <w:ind w:firstLine="640"/>
        <w:outlineLvl w:val="2"/>
        <w:rPr>
          <w:rFonts w:ascii="仿宋" w:eastAsia="仿宋"/>
          <w:b/>
          <w:sz w:val="32"/>
          <w:szCs w:val="32"/>
        </w:rPr>
      </w:pPr>
      <w:bookmarkStart w:id="40" w:name="_Toc15377216"/>
      <w:r>
        <w:rPr>
          <w:rFonts w:ascii="仿宋" w:eastAsia="仿宋" w:hint="eastAsia"/>
          <w:b/>
          <w:sz w:val="32"/>
          <w:szCs w:val="32"/>
        </w:rPr>
        <w:t>（一）“三公”经费财政拨款支出决算总体情况说明</w:t>
      </w:r>
      <w:bookmarkEnd w:id="40"/>
    </w:p>
    <w:p>
      <w:pPr>
        <w:spacing w:line="600" w:lineRule="exact"/>
        <w:ind w:firstLine="640"/>
        <w:rPr>
          <w:rFonts w:ascii="仿宋" w:eastAsia="仿宋_GB2312" w:hAnsi="仿宋"/>
          <w:sz w:val="32"/>
          <w:szCs w:val="32"/>
        </w:rPr>
      </w:pPr>
      <w:r>
        <w:rPr>
          <w:rFonts w:ascii="仿宋" w:eastAsia="仿宋"/>
          <w:sz w:val="32"/>
          <w:szCs w:val="32"/>
        </w:rPr>
        <w:t>20</w:t>
      </w:r>
      <w:r>
        <w:rPr>
          <w:rFonts w:ascii="仿宋" w:eastAsia="仿宋" w:hint="eastAsia"/>
          <w:sz w:val="32"/>
          <w:szCs w:val="32"/>
        </w:rPr>
        <w:t>25年“三公”经费财政拨款支出决算为8.66万元，完成预算100</w:t>
      </w:r>
      <w:r>
        <w:rPr>
          <w:rFonts w:ascii="仿宋" w:eastAsia="仿宋"/>
          <w:sz w:val="32"/>
          <w:szCs w:val="32"/>
        </w:rPr>
        <w:t>%</w:t>
      </w:r>
      <w:r>
        <w:rPr>
          <w:rFonts w:ascii="仿宋" w:eastAsia="仿宋" w:hint="eastAsia"/>
          <w:sz w:val="32"/>
          <w:szCs w:val="32"/>
        </w:rPr>
        <w:t>，较</w:t>
      </w:r>
      <w:r>
        <w:rPr>
          <w:rFonts w:ascii="仿宋" w:eastAsia="仿宋" w:hint="eastAsia"/>
          <w:sz w:val="32"/>
          <w:szCs w:val="32"/>
          <w:highlight w:val="auto"/>
        </w:rPr>
        <w:t>上年增加4.48万元，增长107.17</w:t>
      </w:r>
      <w:r>
        <w:rPr>
          <w:rFonts w:ascii="仿宋" w:eastAsia="仿宋" w:hint="eastAsia"/>
          <w:sz w:val="32"/>
          <w:szCs w:val="32"/>
        </w:rPr>
        <w:t>%。主要原因是</w:t>
      </w:r>
      <w:r>
        <w:rPr>
          <w:rFonts w:ascii="仿宋_GB2312" w:eastAsia="仿宋_GB2312" w:cs="仿宋_GB2312" w:hint="eastAsia"/>
          <w:sz w:val="32"/>
          <w:szCs w:val="32"/>
        </w:rPr>
        <w:t>我单位2025年在重点工作中新增公务用车预算4.66万元。与预算数持平。</w:t>
      </w:r>
    </w:p>
    <w:p>
      <w:pPr>
        <w:spacing w:line="600" w:lineRule="exact"/>
        <w:ind w:firstLine="640"/>
        <w:rPr>
          <w:rFonts w:ascii="仿宋" w:eastAsia="仿宋"/>
          <w:b/>
          <w:sz w:val="32"/>
          <w:szCs w:val="32"/>
        </w:rPr>
      </w:pPr>
      <w:r>
        <w:rPr>
          <w:rFonts w:ascii="仿宋" w:eastAsia="仿宋" w:hint="eastAsia"/>
          <w:b/>
          <w:sz w:val="32"/>
          <w:szCs w:val="32"/>
        </w:rPr>
        <w:t>（注：上述“预算”口径为全年预算数，包括一般公共预算和政府性基金预算财政拨款支出决算情况。）</w:t>
      </w:r>
    </w:p>
    <w:p>
      <w:pPr>
        <w:spacing w:line="600" w:lineRule="exact"/>
        <w:ind w:firstLine="640"/>
        <w:outlineLvl w:val="2"/>
        <w:rPr>
          <w:rFonts w:ascii="仿宋" w:eastAsia="仿宋"/>
          <w:b/>
          <w:sz w:val="32"/>
          <w:szCs w:val="32"/>
        </w:rPr>
      </w:pPr>
      <w:bookmarkStart w:id="41" w:name="_Toc15377217"/>
      <w:r>
        <w:rPr>
          <w:rFonts w:ascii="仿宋" w:eastAsia="仿宋" w:hint="eastAsia"/>
          <w:b/>
          <w:sz w:val="32"/>
          <w:szCs w:val="32"/>
        </w:rPr>
        <w:t>（二）“三公”经费财政拨款支出决算具体情况说明</w:t>
      </w:r>
      <w:bookmarkEnd w:id="41"/>
    </w:p>
    <w:p>
      <w:pPr>
        <w:spacing w:line="600" w:lineRule="exact"/>
        <w:ind w:firstLine="640"/>
        <w:rPr>
          <w:rFonts w:ascii="仿宋" w:eastAsia="仿宋"/>
          <w:sz w:val="32"/>
          <w:szCs w:val="32"/>
        </w:rPr>
      </w:pPr>
      <w:r>
        <w:drawing>
          <wp:anchor distT="0" distB="0" distL="114300" distR="114300" simplePos="0" relativeHeight="24" behindDoc="0" locked="0" layoutInCell="1" hidden="0" allowOverlap="1">
            <wp:simplePos x="0" y="0"/>
            <wp:positionH relativeFrom="column">
              <wp:posOffset>591820</wp:posOffset>
            </wp:positionH>
            <wp:positionV relativeFrom="paragraph">
              <wp:posOffset>1598930</wp:posOffset>
            </wp:positionV>
            <wp:extent cx="4114800" cy="2534920"/>
            <wp:effectExtent l="0" t="0" r="0" b="0"/>
            <wp:wrapTopAndBottom/>
            <wp:docPr id="7" name="图表 4" descr="7b0a202020202263686172745265734964223a20223230343736303930220a7d0a"/>
            <wp:cNvGraphicFramePr>
              <a:graphicFrameLocks noChangeAspect="0"/>
            </wp:cNvGraphicFramePr>
            <a:graphic>
              <a:graphicData uri="http://schemas.openxmlformats.org/drawingml/2006/chart">
                <c:chart xmlns:c="http://schemas.openxmlformats.org/drawingml/2006/chart" r:id="rId10"/>
              </a:graphicData>
            </a:graphic>
          </wp:anchor>
        </w:drawing>
      </w:r>
      <w:r>
        <w:rPr>
          <w:rFonts w:ascii="仿宋" w:eastAsia="仿宋"/>
          <w:sz w:val="32"/>
          <w:szCs w:val="32"/>
        </w:rPr>
        <w:t>202</w:t>
      </w:r>
      <w:r>
        <w:rPr>
          <w:rFonts w:ascii="仿宋" w:eastAsia="仿宋" w:hint="eastAsia"/>
          <w:sz w:val="32"/>
          <w:szCs w:val="32"/>
        </w:rPr>
        <w:t>5年“三公”经费财政拨款支出决算中，因公出国（境）费支出决算0万元，占0</w:t>
      </w:r>
      <w:r>
        <w:rPr>
          <w:rFonts w:ascii="仿宋" w:eastAsia="仿宋"/>
          <w:sz w:val="32"/>
          <w:szCs w:val="32"/>
        </w:rPr>
        <w:t>%</w:t>
      </w:r>
      <w:r>
        <w:rPr>
          <w:rFonts w:ascii="仿宋" w:eastAsia="仿宋" w:hint="eastAsia"/>
          <w:sz w:val="32"/>
          <w:szCs w:val="32"/>
        </w:rPr>
        <w:t>；公务用车购置及运行维护费支出决算8.66万元，占100</w:t>
      </w:r>
      <w:r>
        <w:rPr>
          <w:rFonts w:ascii="仿宋" w:eastAsia="仿宋"/>
          <w:sz w:val="32"/>
          <w:szCs w:val="32"/>
        </w:rPr>
        <w:t>%</w:t>
      </w:r>
      <w:r>
        <w:rPr>
          <w:rFonts w:ascii="仿宋" w:eastAsia="仿宋" w:hint="eastAsia"/>
          <w:sz w:val="32"/>
          <w:szCs w:val="32"/>
        </w:rPr>
        <w:t>；公务接待费支出决算0.00万元，占0.00</w:t>
      </w:r>
      <w:r>
        <w:rPr>
          <w:rFonts w:ascii="仿宋" w:eastAsia="仿宋"/>
          <w:sz w:val="32"/>
          <w:szCs w:val="32"/>
        </w:rPr>
        <w:t>%</w:t>
      </w:r>
      <w:r>
        <w:rPr>
          <w:rFonts w:ascii="仿宋" w:eastAsia="仿宋" w:hint="eastAsia"/>
          <w:sz w:val="32"/>
          <w:szCs w:val="32"/>
        </w:rPr>
        <w:t>。具体情况如下：</w:t>
      </w:r>
    </w:p>
    <w:p>
      <w:pPr>
        <w:spacing w:line="600" w:lineRule="exact"/>
        <w:ind w:firstLine="640"/>
        <w:rPr>
          <w:rFonts w:ascii="仿宋_GB2312" w:eastAsia="仿宋_GB2312"/>
          <w:b/>
          <w:sz w:val="32"/>
          <w:szCs w:val="32"/>
        </w:rPr>
      </w:pPr>
      <w:r>
        <w:rPr>
          <w:rFonts w:ascii="仿宋_GB2312" w:eastAsia="仿宋_GB2312"/>
          <w:b/>
          <w:sz w:val="32"/>
          <w:szCs w:val="32"/>
        </w:rPr>
        <w:t>1.</w:t>
      </w:r>
      <w:r>
        <w:rPr>
          <w:rFonts w:ascii="仿宋_GB2312" w:eastAsia="仿宋_GB2312" w:hint="eastAsia"/>
          <w:b/>
          <w:sz w:val="32"/>
          <w:szCs w:val="32"/>
        </w:rPr>
        <w:t>因公出国（境）经费支出</w:t>
      </w:r>
      <w:r>
        <w:rPr>
          <w:rFonts w:ascii="仿宋_GB2312" w:eastAsia="仿宋_GB2312" w:hint="eastAsia"/>
          <w:sz w:val="32"/>
          <w:szCs w:val="32"/>
        </w:rPr>
        <w:t>0万元，</w:t>
      </w:r>
      <w:r>
        <w:rPr>
          <w:rStyle w:val="26"/>
          <w:rFonts w:ascii="仿宋" w:eastAsia="仿宋" w:hint="eastAsia"/>
          <w:b w:val="0"/>
          <w:bCs/>
          <w:sz w:val="32"/>
          <w:szCs w:val="32"/>
        </w:rPr>
        <w:t>完成预算0</w:t>
      </w:r>
      <w:r>
        <w:rPr>
          <w:rStyle w:val="26"/>
          <w:rFonts w:ascii="仿宋" w:eastAsia="仿宋"/>
          <w:b w:val="0"/>
          <w:bCs/>
          <w:sz w:val="32"/>
          <w:szCs w:val="32"/>
        </w:rPr>
        <w:t>%</w:t>
      </w:r>
      <w:r>
        <w:rPr>
          <w:rStyle w:val="26"/>
          <w:rFonts w:ascii="仿宋" w:eastAsia="仿宋" w:hint="eastAsia"/>
          <w:b w:val="0"/>
          <w:bCs/>
          <w:sz w:val="32"/>
          <w:szCs w:val="32"/>
        </w:rPr>
        <w:t>。</w:t>
      </w:r>
      <w:r>
        <w:rPr>
          <w:rFonts w:ascii="仿宋_GB2312" w:eastAsia="仿宋_GB2312" w:hint="eastAsia"/>
          <w:sz w:val="32"/>
          <w:szCs w:val="32"/>
        </w:rPr>
        <w:t>全年安排因公出国（境）团组0次，出国（境）0人。</w:t>
      </w:r>
      <w:r>
        <w:rPr>
          <w:rFonts w:ascii="仿宋_GB2312" w:eastAsia="仿宋_GB2312" w:hint="eastAsia"/>
          <w:sz w:val="32"/>
          <w:szCs w:val="32"/>
          <w:highlight w:val="auto"/>
        </w:rPr>
        <w:t>因公出国（境）支出决算比</w:t>
      </w:r>
      <w:r>
        <w:rPr>
          <w:rFonts w:ascii="仿宋_GB2312" w:eastAsia="仿宋_GB2312"/>
          <w:sz w:val="32"/>
          <w:szCs w:val="32"/>
          <w:highlight w:val="auto"/>
        </w:rPr>
        <w:t>202</w:t>
      </w:r>
      <w:r>
        <w:rPr>
          <w:rFonts w:ascii="仿宋_GB2312" w:eastAsia="仿宋_GB2312" w:hint="eastAsia"/>
          <w:sz w:val="32"/>
          <w:szCs w:val="32"/>
          <w:highlight w:val="auto"/>
        </w:rPr>
        <w:t>4年增加0万元，增长0</w:t>
      </w:r>
      <w:r>
        <w:rPr>
          <w:rFonts w:ascii="仿宋_GB2312" w:eastAsia="仿宋_GB2312"/>
          <w:sz w:val="32"/>
          <w:szCs w:val="32"/>
          <w:highlight w:val="auto"/>
        </w:rPr>
        <w:t>%</w:t>
      </w:r>
      <w:r>
        <w:rPr>
          <w:rFonts w:ascii="仿宋_GB2312" w:eastAsia="仿宋_GB2312" w:hint="eastAsia"/>
          <w:sz w:val="32"/>
          <w:szCs w:val="32"/>
        </w:rPr>
        <w:t>。</w:t>
      </w:r>
      <w:r>
        <w:rPr>
          <w:rFonts w:ascii="仿宋_GB2312" w:eastAsia="仿宋_GB2312" w:cs="仿宋_GB2312" w:hint="eastAsia"/>
          <w:sz w:val="32"/>
          <w:szCs w:val="32"/>
        </w:rPr>
        <w:t>支出决算与2024年持平， 主要是我单位无</w:t>
      </w:r>
      <w:r>
        <w:rPr>
          <w:rFonts w:ascii="仿宋_GB2312" w:eastAsia="仿宋_GB2312" w:hint="eastAsia"/>
          <w:sz w:val="32"/>
          <w:szCs w:val="32"/>
        </w:rPr>
        <w:t>因公出国（境）费用支出。</w:t>
      </w:r>
    </w:p>
    <w:p>
      <w:pPr>
        <w:spacing w:line="600" w:lineRule="exact"/>
        <w:ind w:firstLine="640"/>
        <w:rPr>
          <w:rFonts w:ascii="仿宋_GB2312" w:eastAsia="仿宋_GB2312"/>
          <w:b/>
          <w:sz w:val="32"/>
          <w:szCs w:val="32"/>
        </w:rPr>
      </w:pPr>
      <w:r>
        <w:rPr>
          <w:rFonts w:ascii="仿宋_GB2312" w:eastAsia="仿宋_GB2312"/>
          <w:b/>
          <w:sz w:val="32"/>
          <w:szCs w:val="32"/>
        </w:rPr>
        <w:t>2.</w:t>
      </w:r>
      <w:r>
        <w:rPr>
          <w:rFonts w:ascii="仿宋_GB2312" w:eastAsia="仿宋_GB2312" w:hint="eastAsia"/>
          <w:b/>
          <w:sz w:val="32"/>
          <w:szCs w:val="32"/>
        </w:rPr>
        <w:t>公务用车购置及运行维护费支出</w:t>
      </w:r>
      <w:r>
        <w:rPr>
          <w:rFonts w:ascii="仿宋_GB2312" w:eastAsia="仿宋_GB2312" w:hint="eastAsia"/>
          <w:sz w:val="32"/>
          <w:szCs w:val="32"/>
        </w:rPr>
        <w:t>8.66万元,</w:t>
      </w:r>
      <w:r>
        <w:rPr>
          <w:rStyle w:val="26"/>
          <w:rFonts w:ascii="仿宋" w:eastAsia="仿宋" w:hint="eastAsia"/>
          <w:b w:val="0"/>
          <w:bCs/>
          <w:sz w:val="32"/>
          <w:szCs w:val="32"/>
        </w:rPr>
        <w:t>完成预算100</w:t>
      </w:r>
      <w:r>
        <w:rPr>
          <w:rStyle w:val="26"/>
          <w:rFonts w:ascii="仿宋" w:eastAsia="仿宋"/>
          <w:b w:val="0"/>
          <w:bCs/>
          <w:sz w:val="32"/>
          <w:szCs w:val="32"/>
        </w:rPr>
        <w:t>%</w:t>
      </w:r>
      <w:r>
        <w:rPr>
          <w:rStyle w:val="26"/>
          <w:rFonts w:ascii="仿宋" w:eastAsia="仿宋" w:hint="eastAsia"/>
          <w:b w:val="0"/>
          <w:bCs/>
          <w:sz w:val="32"/>
          <w:szCs w:val="32"/>
        </w:rPr>
        <w:t>。</w:t>
      </w:r>
      <w:r>
        <w:rPr>
          <w:rFonts w:ascii="仿宋_GB2312" w:eastAsia="仿宋_GB2312" w:hint="eastAsia"/>
          <w:sz w:val="32"/>
          <w:szCs w:val="32"/>
        </w:rPr>
        <w:t>公务用车购置及运行维护费支出决算比</w:t>
      </w:r>
      <w:r>
        <w:rPr>
          <w:rFonts w:ascii="仿宋_GB2312" w:eastAsia="仿宋_GB2312"/>
          <w:sz w:val="32"/>
          <w:szCs w:val="32"/>
        </w:rPr>
        <w:t>202</w:t>
      </w:r>
      <w:r>
        <w:rPr>
          <w:rFonts w:ascii="仿宋_GB2312" w:eastAsia="仿宋_GB2312" w:hint="eastAsia"/>
          <w:sz w:val="32"/>
          <w:szCs w:val="32"/>
        </w:rPr>
        <w:t>4年增加4.48万元，增长107.17</w:t>
      </w:r>
      <w:r>
        <w:rPr>
          <w:rFonts w:ascii="仿宋_GB2312" w:eastAsia="仿宋_GB2312"/>
          <w:sz w:val="32"/>
          <w:szCs w:val="32"/>
        </w:rPr>
        <w:t>%</w:t>
      </w:r>
      <w:r>
        <w:rPr>
          <w:rFonts w:ascii="仿宋_GB2312" w:eastAsia="仿宋_GB2312" w:hint="eastAsia"/>
          <w:sz w:val="32"/>
          <w:szCs w:val="32"/>
        </w:rPr>
        <w:t>。主要原因是</w:t>
      </w:r>
      <w:r>
        <w:rPr>
          <w:rFonts w:ascii="仿宋_GB2312" w:eastAsia="仿宋_GB2312" w:cs="仿宋_GB2312" w:hint="eastAsia"/>
          <w:sz w:val="32"/>
          <w:szCs w:val="32"/>
        </w:rPr>
        <w:t>我单位2025年在重点工作经费中新增预算公务用车经</w:t>
      </w:r>
      <w:r>
        <w:rPr>
          <w:rFonts w:ascii="仿宋_GB2312" w:eastAsia="仿宋_GB2312" w:cs="仿宋_GB2312" w:hint="eastAsia"/>
          <w:sz w:val="32"/>
          <w:szCs w:val="32"/>
          <w:lang w:eastAsia="zh-CN"/>
        </w:rPr>
        <w:t>费</w:t>
      </w:r>
      <w:r>
        <w:rPr>
          <w:rFonts w:ascii="仿宋_GB2312" w:eastAsia="仿宋_GB2312" w:cs="仿宋_GB2312" w:hint="eastAsia"/>
          <w:sz w:val="32"/>
          <w:szCs w:val="32"/>
        </w:rPr>
        <w:t>4.66万元。</w:t>
      </w:r>
    </w:p>
    <w:p>
      <w:pPr>
        <w:spacing w:line="600" w:lineRule="exact"/>
        <w:ind w:firstLineChars="200" w:firstLine="640"/>
        <w:rPr>
          <w:rFonts w:ascii="仿宋_GB2312" w:eastAsia="仿宋_GB2312"/>
          <w:b/>
          <w:sz w:val="32"/>
          <w:szCs w:val="32"/>
        </w:rPr>
      </w:pPr>
      <w:r>
        <w:rPr>
          <w:rFonts w:ascii="仿宋_GB2312" w:eastAsia="仿宋_GB2312" w:hint="eastAsia"/>
          <w:sz w:val="32"/>
          <w:szCs w:val="32"/>
        </w:rPr>
        <w:t>其中：</w:t>
      </w:r>
      <w:r>
        <w:rPr>
          <w:rFonts w:ascii="仿宋_GB2312" w:eastAsia="仿宋_GB2312" w:hint="eastAsia"/>
          <w:b/>
          <w:sz w:val="32"/>
          <w:szCs w:val="32"/>
        </w:rPr>
        <w:t>公务用车购置支出</w:t>
      </w:r>
      <w:r>
        <w:rPr>
          <w:rFonts w:ascii="仿宋_GB2312" w:eastAsia="仿宋_GB2312" w:hint="eastAsia"/>
          <w:sz w:val="32"/>
          <w:szCs w:val="32"/>
        </w:rPr>
        <w:t>0万元。全年按规定更新购置公务用车0辆，其中：轿车0辆、金额0万元，越野车0辆、金额0万元，载客汽车0辆、金额0万元。截至</w:t>
      </w:r>
      <w:r>
        <w:rPr>
          <w:rFonts w:ascii="仿宋_GB2312" w:eastAsia="仿宋_GB2312"/>
          <w:sz w:val="32"/>
          <w:szCs w:val="32"/>
        </w:rPr>
        <w:t>2024</w:t>
      </w:r>
      <w:r>
        <w:rPr>
          <w:rFonts w:ascii="仿宋_GB2312" w:eastAsia="仿宋_GB2312" w:hint="eastAsia"/>
          <w:sz w:val="32"/>
          <w:szCs w:val="32"/>
        </w:rPr>
        <w:t>年</w:t>
      </w:r>
      <w:r>
        <w:rPr>
          <w:rFonts w:ascii="仿宋_GB2312" w:eastAsia="仿宋_GB2312"/>
          <w:sz w:val="32"/>
          <w:szCs w:val="32"/>
        </w:rPr>
        <w:t>12</w:t>
      </w:r>
      <w:r>
        <w:rPr>
          <w:rFonts w:ascii="仿宋_GB2312" w:eastAsia="仿宋_GB2312" w:hint="eastAsia"/>
          <w:sz w:val="32"/>
          <w:szCs w:val="32"/>
        </w:rPr>
        <w:t>月底，单位共有公务用车1辆，其中：轿车0辆、越野车1辆、载客汽车0辆。</w:t>
      </w:r>
    </w:p>
    <w:p>
      <w:pPr>
        <w:spacing w:line="600" w:lineRule="exact"/>
        <w:ind w:firstLine="640"/>
        <w:rPr>
          <w:rFonts w:ascii="仿宋_GB2312" w:eastAsia="仿宋_GB2312"/>
          <w:sz w:val="32"/>
          <w:szCs w:val="32"/>
        </w:rPr>
      </w:pPr>
      <w:r>
        <w:rPr>
          <w:rFonts w:ascii="仿宋_GB2312" w:eastAsia="仿宋_GB2312" w:hint="eastAsia"/>
          <w:b/>
          <w:sz w:val="32"/>
          <w:szCs w:val="32"/>
        </w:rPr>
        <w:t>公务用车运行维护费支出8.66</w:t>
      </w:r>
      <w:r>
        <w:rPr>
          <w:rFonts w:ascii="仿宋_GB2312" w:eastAsia="仿宋_GB2312" w:hint="eastAsia"/>
          <w:sz w:val="32"/>
          <w:szCs w:val="32"/>
        </w:rPr>
        <w:t>万元。主要用于开展统计业务等所需的公务用车燃料费、维修费、过路过桥费、保险费等支出。</w:t>
      </w:r>
    </w:p>
    <w:p>
      <w:pPr>
        <w:spacing w:line="576" w:lineRule="exact"/>
        <w:ind w:firstLine="640"/>
        <w:rPr>
          <w:rFonts w:ascii="仿宋_GB2312" w:eastAsia="仿宋_GB2312" w:cs="仿宋_GB2312"/>
          <w:sz w:val="32"/>
          <w:szCs w:val="32"/>
        </w:rPr>
      </w:pPr>
      <w:r>
        <w:rPr>
          <w:rFonts w:ascii="仿宋_GB2312" w:eastAsia="仿宋_GB2312"/>
          <w:b/>
          <w:sz w:val="32"/>
          <w:szCs w:val="32"/>
        </w:rPr>
        <w:t>3.</w:t>
      </w:r>
      <w:r>
        <w:rPr>
          <w:rFonts w:ascii="仿宋_GB2312" w:eastAsia="仿宋_GB2312" w:hint="eastAsia"/>
          <w:b/>
          <w:sz w:val="32"/>
          <w:szCs w:val="32"/>
        </w:rPr>
        <w:t>公务接待费支出</w:t>
      </w:r>
      <w:r>
        <w:rPr>
          <w:rFonts w:ascii="仿宋_GB2312" w:eastAsia="仿宋_GB2312" w:hint="eastAsia"/>
          <w:sz w:val="32"/>
          <w:szCs w:val="32"/>
        </w:rPr>
        <w:t>0.00万元，</w:t>
      </w:r>
      <w:r>
        <w:rPr>
          <w:rStyle w:val="26"/>
          <w:rFonts w:ascii="仿宋" w:eastAsia="仿宋" w:hint="eastAsia"/>
          <w:b w:val="0"/>
          <w:bCs/>
          <w:sz w:val="32"/>
          <w:szCs w:val="32"/>
        </w:rPr>
        <w:t>完成预算100</w:t>
      </w:r>
      <w:r>
        <w:rPr>
          <w:rStyle w:val="26"/>
          <w:rFonts w:ascii="仿宋" w:eastAsia="仿宋"/>
          <w:b w:val="0"/>
          <w:bCs/>
          <w:sz w:val="32"/>
          <w:szCs w:val="32"/>
        </w:rPr>
        <w:t>%</w:t>
      </w:r>
      <w:r>
        <w:rPr>
          <w:rStyle w:val="26"/>
          <w:rFonts w:ascii="仿宋" w:eastAsia="仿宋" w:hint="eastAsia"/>
          <w:b w:val="0"/>
          <w:bCs/>
          <w:sz w:val="32"/>
          <w:szCs w:val="32"/>
        </w:rPr>
        <w:t>。</w:t>
      </w:r>
      <w:r>
        <w:rPr>
          <w:rFonts w:ascii="仿宋_GB2312" w:eastAsia="仿宋_GB2312" w:hint="eastAsia"/>
          <w:sz w:val="32"/>
          <w:szCs w:val="32"/>
        </w:rPr>
        <w:t>公务接待费支出决算比</w:t>
      </w:r>
      <w:r>
        <w:rPr>
          <w:rFonts w:ascii="仿宋_GB2312" w:eastAsia="仿宋_GB2312"/>
          <w:sz w:val="32"/>
          <w:szCs w:val="32"/>
        </w:rPr>
        <w:t>202</w:t>
      </w:r>
      <w:r>
        <w:rPr>
          <w:rFonts w:ascii="仿宋_GB2312" w:eastAsia="仿宋_GB2312" w:hint="eastAsia"/>
          <w:sz w:val="32"/>
          <w:szCs w:val="32"/>
        </w:rPr>
        <w:t>4年减少0.18万元，下降100</w:t>
      </w:r>
      <w:r>
        <w:rPr>
          <w:rFonts w:ascii="仿宋_GB2312" w:eastAsia="仿宋_GB2312"/>
          <w:sz w:val="32"/>
          <w:szCs w:val="32"/>
        </w:rPr>
        <w:t>%</w:t>
      </w:r>
      <w:r>
        <w:rPr>
          <w:rFonts w:ascii="仿宋_GB2312" w:eastAsia="仿宋_GB2312" w:hint="eastAsia"/>
          <w:sz w:val="32"/>
          <w:szCs w:val="32"/>
        </w:rPr>
        <w:t>。</w:t>
      </w:r>
      <w:r>
        <w:rPr>
          <w:rFonts w:ascii="仿宋_GB2312" w:eastAsia="仿宋_GB2312" w:cs="仿宋_GB2312" w:hint="eastAsia"/>
          <w:sz w:val="32"/>
          <w:szCs w:val="32"/>
        </w:rPr>
        <w:t>主要原因是我单位严格控制公务接待费用开支，2025年度无公务接待费用支出。</w:t>
      </w:r>
    </w:p>
    <w:p>
      <w:pPr>
        <w:spacing w:line="600" w:lineRule="exact"/>
        <w:ind w:firstLine="640"/>
        <w:rPr>
          <w:rFonts w:ascii="仿宋_GB2312" w:eastAsia="仿宋_GB2312"/>
          <w:sz w:val="32"/>
          <w:szCs w:val="32"/>
        </w:rPr>
      </w:pPr>
      <w:r>
        <w:rPr>
          <w:rFonts w:ascii="仿宋" w:eastAsia="仿宋" w:hint="eastAsia"/>
          <w:b/>
          <w:sz w:val="32"/>
          <w:szCs w:val="32"/>
        </w:rPr>
        <w:t>国内公务接待支出</w:t>
      </w:r>
      <w:r>
        <w:rPr>
          <w:rFonts w:ascii="仿宋" w:eastAsia="仿宋" w:hint="eastAsia"/>
          <w:sz w:val="32"/>
          <w:szCs w:val="32"/>
        </w:rPr>
        <w:t>0.00</w:t>
      </w:r>
      <w:r>
        <w:rPr>
          <w:rFonts w:ascii="仿宋_GB2312" w:eastAsia="仿宋_GB2312" w:hint="eastAsia"/>
          <w:sz w:val="32"/>
          <w:szCs w:val="32"/>
        </w:rPr>
        <w:t>万元，主要用于执行公务、开展业务活动开支的用餐费。国内公务接待0批次，0人次（不包括陪同人员），共计支出0.00万元。</w:t>
      </w:r>
    </w:p>
    <w:p>
      <w:pPr>
        <w:spacing w:line="600" w:lineRule="exact"/>
        <w:ind w:firstLineChars="200" w:firstLine="640"/>
        <w:rPr>
          <w:rFonts w:ascii="黑体" w:eastAsia="黑体"/>
          <w:sz w:val="32"/>
          <w:szCs w:val="32"/>
        </w:rPr>
      </w:pPr>
      <w:r>
        <w:rPr>
          <w:rFonts w:ascii="仿宋" w:eastAsia="仿宋" w:hint="eastAsia"/>
          <w:b/>
          <w:sz w:val="32"/>
          <w:szCs w:val="32"/>
        </w:rPr>
        <w:t>外事接待支出</w:t>
      </w:r>
      <w:r>
        <w:rPr>
          <w:rFonts w:ascii="仿宋" w:eastAsia="仿宋" w:hint="eastAsia"/>
          <w:sz w:val="32"/>
          <w:szCs w:val="32"/>
        </w:rPr>
        <w:t>0</w:t>
      </w:r>
      <w:r>
        <w:rPr>
          <w:rFonts w:ascii="仿宋_GB2312" w:eastAsia="仿宋_GB2312" w:hint="eastAsia"/>
          <w:sz w:val="32"/>
          <w:szCs w:val="32"/>
        </w:rPr>
        <w:t>万元，无。外事接待0批次，0人次（不包括陪同人员），共计支出0万元。</w:t>
      </w:r>
      <w:bookmarkStart w:id="42" w:name="_Toc15396610"/>
      <w:bookmarkStart w:id="43" w:name="_Toc15377218"/>
    </w:p>
    <w:p>
      <w:pPr>
        <w:spacing w:line="600" w:lineRule="exact"/>
        <w:ind w:firstLine="640"/>
        <w:outlineLvl w:val="1"/>
        <w:rPr>
          <w:rStyle w:val="2Char"/>
          <w:rFonts w:ascii="黑体" w:eastAsia="黑体"/>
        </w:rPr>
      </w:pPr>
      <w:r>
        <w:rPr>
          <w:rFonts w:ascii="黑体" w:eastAsia="黑体" w:hint="eastAsia"/>
          <w:sz w:val="32"/>
          <w:szCs w:val="32"/>
        </w:rPr>
        <w:t>八、</w:t>
      </w:r>
      <w:r>
        <w:rPr>
          <w:rStyle w:val="2Char"/>
          <w:rFonts w:ascii="黑体" w:eastAsia="黑体" w:hint="eastAsia"/>
          <w:b w:val="0"/>
        </w:rPr>
        <w:t>政府性基金预算支出决算情况说明</w:t>
      </w:r>
      <w:bookmarkEnd w:id="42"/>
      <w:bookmarkEnd w:id="43"/>
    </w:p>
    <w:p>
      <w:pPr>
        <w:spacing w:line="600" w:lineRule="exact"/>
        <w:ind w:firstLine="640"/>
        <w:rPr>
          <w:rFonts w:ascii="仿宋_GB2312" w:eastAsia="仿宋_GB2312"/>
          <w:sz w:val="32"/>
          <w:szCs w:val="32"/>
        </w:rPr>
      </w:pPr>
      <w:r>
        <w:rPr>
          <w:rFonts w:ascii="仿宋_GB2312" w:eastAsia="仿宋_GB2312"/>
          <w:sz w:val="32"/>
          <w:szCs w:val="32"/>
        </w:rPr>
        <w:t>202</w:t>
      </w:r>
      <w:r>
        <w:rPr>
          <w:rFonts w:ascii="仿宋_GB2312" w:eastAsia="仿宋_GB2312" w:hint="eastAsia"/>
          <w:sz w:val="32"/>
          <w:szCs w:val="32"/>
        </w:rPr>
        <w:t>5年政府性基金预算财政拨款支出0万元。</w:t>
      </w:r>
    </w:p>
    <w:p>
      <w:pPr>
        <w:numPr>
          <w:ilvl w:val="0"/>
          <w:numId w:val="2"/>
        </w:numPr>
        <w:spacing w:line="600" w:lineRule="exact"/>
        <w:ind w:left="0" w:firstLine="640"/>
        <w:outlineLvl w:val="1"/>
        <w:rPr>
          <w:rStyle w:val="2Char"/>
          <w:rFonts w:ascii="黑体" w:eastAsia="黑体"/>
          <w:b w:val="0"/>
        </w:rPr>
      </w:pPr>
      <w:bookmarkStart w:id="44" w:name="_Toc15396611"/>
      <w:bookmarkStart w:id="45" w:name="_Toc15377219"/>
      <w:r>
        <w:rPr>
          <w:rStyle w:val="2Char"/>
          <w:rFonts w:ascii="黑体" w:eastAsia="黑体" w:hint="eastAsia"/>
          <w:b w:val="0"/>
        </w:rPr>
        <w:t>国有资本经营预算支出决算情况说明</w:t>
      </w:r>
      <w:bookmarkEnd w:id="44"/>
      <w:bookmarkEnd w:id="45"/>
    </w:p>
    <w:p>
      <w:pPr>
        <w:spacing w:line="600" w:lineRule="exact"/>
        <w:ind w:firstLine="640"/>
        <w:rPr>
          <w:rFonts w:ascii="方正小标宋简体" w:eastAsia="方正小标宋简体" w:cs="方正小标宋简体"/>
          <w:sz w:val="44"/>
          <w:szCs w:val="44"/>
        </w:rPr>
      </w:pPr>
      <w:r>
        <w:rPr>
          <w:rFonts w:ascii="仿宋_GB2312" w:eastAsia="仿宋_GB2312"/>
          <w:sz w:val="32"/>
          <w:szCs w:val="32"/>
        </w:rPr>
        <w:t>202</w:t>
      </w:r>
      <w:r>
        <w:rPr>
          <w:rFonts w:ascii="仿宋_GB2312" w:eastAsia="仿宋_GB2312" w:hint="eastAsia"/>
          <w:sz w:val="32"/>
          <w:szCs w:val="32"/>
        </w:rPr>
        <w:t>5年国有资本经营预算财政拨款支出0万元。</w:t>
      </w:r>
    </w:p>
    <w:p>
      <w:pPr>
        <w:numPr>
          <w:ilvl w:val="0"/>
          <w:numId w:val="2"/>
        </w:numPr>
        <w:spacing w:line="600" w:lineRule="exact"/>
        <w:ind w:left="0" w:firstLine="640"/>
        <w:outlineLvl w:val="1"/>
        <w:rPr>
          <w:rStyle w:val="2Char"/>
          <w:rFonts w:ascii="黑体" w:eastAsia="黑体"/>
          <w:b w:val="0"/>
        </w:rPr>
      </w:pPr>
      <w:bookmarkStart w:id="46" w:name="_Toc15396612"/>
      <w:bookmarkStart w:id="47" w:name="_Toc15377221"/>
      <w:r>
        <w:rPr>
          <w:rStyle w:val="2Char"/>
          <w:rFonts w:ascii="黑体" w:eastAsia="黑体" w:hint="eastAsia"/>
          <w:b w:val="0"/>
        </w:rPr>
        <w:t>其他重要事项的情况说明</w:t>
      </w:r>
      <w:bookmarkEnd w:id="46"/>
      <w:bookmarkEnd w:id="47"/>
    </w:p>
    <w:p>
      <w:pPr>
        <w:spacing w:line="600" w:lineRule="exact"/>
        <w:ind w:firstLineChars="200" w:firstLine="640"/>
        <w:outlineLvl w:val="2"/>
        <w:rPr>
          <w:rFonts w:ascii="仿宋" w:eastAsia="仿宋"/>
          <w:sz w:val="32"/>
          <w:szCs w:val="32"/>
        </w:rPr>
      </w:pPr>
      <w:bookmarkStart w:id="48" w:name="_Toc15377222"/>
      <w:r>
        <w:rPr>
          <w:rFonts w:ascii="仿宋" w:eastAsia="仿宋" w:hint="eastAsia"/>
          <w:b/>
          <w:sz w:val="32"/>
          <w:szCs w:val="32"/>
        </w:rPr>
        <w:t>（一）机关运行经费支出情况</w:t>
      </w:r>
      <w:bookmarkEnd w:id="48"/>
    </w:p>
    <w:p>
      <w:pPr>
        <w:spacing w:line="600" w:lineRule="exact"/>
        <w:ind w:firstLine="640"/>
        <w:rPr>
          <w:rFonts w:ascii="仿宋_GB2312" w:eastAsia="仿宋_GB2312"/>
          <w:sz w:val="32"/>
          <w:szCs w:val="32"/>
        </w:rPr>
      </w:pPr>
      <w:r>
        <w:rPr>
          <w:rFonts w:ascii="仿宋_GB2312" w:eastAsia="仿宋_GB2312"/>
          <w:sz w:val="32"/>
          <w:szCs w:val="32"/>
        </w:rPr>
        <w:t>202</w:t>
      </w:r>
      <w:r>
        <w:rPr>
          <w:rFonts w:ascii="仿宋_GB2312" w:eastAsia="仿宋_GB2312" w:hint="eastAsia"/>
          <w:sz w:val="32"/>
          <w:szCs w:val="32"/>
        </w:rPr>
        <w:t>5年，汶川县统计局机关运行经费支出34.78万元，比</w:t>
      </w:r>
      <w:r>
        <w:rPr>
          <w:rFonts w:ascii="仿宋_GB2312" w:eastAsia="仿宋_GB2312"/>
          <w:sz w:val="32"/>
          <w:szCs w:val="32"/>
        </w:rPr>
        <w:t>202</w:t>
      </w:r>
      <w:r>
        <w:rPr>
          <w:rFonts w:ascii="仿宋_GB2312" w:eastAsia="仿宋_GB2312" w:hint="eastAsia"/>
          <w:sz w:val="32"/>
          <w:szCs w:val="32"/>
        </w:rPr>
        <w:t>4年增长18.60万元，增长114.95</w:t>
      </w:r>
      <w:r>
        <w:rPr>
          <w:rFonts w:ascii="仿宋_GB2312" w:eastAsia="仿宋_GB2312"/>
          <w:sz w:val="32"/>
          <w:szCs w:val="32"/>
        </w:rPr>
        <w:t>%</w:t>
      </w:r>
      <w:r>
        <w:rPr>
          <w:rFonts w:ascii="仿宋_GB2312" w:eastAsia="仿宋_GB2312" w:hint="eastAsia"/>
          <w:sz w:val="32"/>
          <w:szCs w:val="32"/>
        </w:rPr>
        <w:t>。主要原因是</w:t>
      </w:r>
      <w:r>
        <w:rPr>
          <w:rFonts w:ascii="仿宋_GB2312" w:eastAsia="仿宋_GB2312" w:cs="仿宋_GB2312" w:hint="eastAsia"/>
          <w:sz w:val="32"/>
          <w:szCs w:val="32"/>
        </w:rPr>
        <w:t>2025年新增福利费预算、在职职工体检费和目标考核一等奖激励工作经费。</w:t>
      </w:r>
    </w:p>
    <w:p>
      <w:pPr>
        <w:spacing w:line="600" w:lineRule="exact"/>
        <w:ind w:firstLineChars="200" w:firstLine="640"/>
        <w:rPr>
          <w:rFonts w:ascii="仿宋" w:eastAsia="仿宋"/>
          <w:b/>
          <w:sz w:val="32"/>
          <w:szCs w:val="32"/>
        </w:rPr>
      </w:pPr>
      <w:r>
        <w:rPr>
          <w:rFonts w:ascii="仿宋" w:eastAsia="仿宋" w:hint="eastAsia"/>
          <w:b/>
          <w:sz w:val="32"/>
          <w:szCs w:val="32"/>
        </w:rPr>
        <w:t>（注：数据来源于财决附</w:t>
      </w:r>
      <w:r>
        <w:rPr>
          <w:rFonts w:ascii="仿宋" w:eastAsia="仿宋"/>
          <w:b/>
          <w:sz w:val="32"/>
          <w:szCs w:val="32"/>
        </w:rPr>
        <w:t>03</w:t>
      </w:r>
      <w:r>
        <w:rPr>
          <w:rFonts w:ascii="仿宋" w:eastAsia="仿宋" w:hint="eastAsia"/>
          <w:b/>
          <w:sz w:val="32"/>
          <w:szCs w:val="32"/>
        </w:rPr>
        <w:t>表）</w:t>
      </w:r>
    </w:p>
    <w:p>
      <w:pPr>
        <w:autoSpaceDE w:val="0"/>
        <w:autoSpaceDN w:val="0"/>
        <w:adjustRightInd w:val="0"/>
        <w:spacing w:line="600" w:lineRule="exact"/>
        <w:ind w:firstLineChars="200" w:firstLine="640"/>
        <w:jc w:val="left"/>
        <w:outlineLvl w:val="2"/>
        <w:rPr>
          <w:rFonts w:ascii="仿宋" w:eastAsia="仿宋"/>
          <w:b/>
          <w:sz w:val="32"/>
          <w:szCs w:val="32"/>
        </w:rPr>
      </w:pPr>
      <w:bookmarkStart w:id="49" w:name="_Toc15377223"/>
      <w:r>
        <w:rPr>
          <w:rFonts w:ascii="仿宋" w:eastAsia="仿宋" w:hint="eastAsia"/>
          <w:b/>
          <w:sz w:val="32"/>
          <w:szCs w:val="32"/>
        </w:rPr>
        <w:t>（二）政府采购支出情况</w:t>
      </w:r>
      <w:bookmarkEnd w:id="49"/>
    </w:p>
    <w:p>
      <w:pPr>
        <w:spacing w:line="600" w:lineRule="exact"/>
        <w:ind w:firstLineChars="200" w:firstLine="640"/>
        <w:rPr>
          <w:rFonts w:ascii="仿宋_GB2312" w:eastAsia="仿宋_GB2312"/>
          <w:sz w:val="32"/>
          <w:szCs w:val="32"/>
        </w:rPr>
      </w:pPr>
      <w:r>
        <w:rPr>
          <w:rFonts w:ascii="仿宋_GB2312" w:eastAsia="仿宋_GB2312"/>
          <w:sz w:val="32"/>
          <w:szCs w:val="32"/>
        </w:rPr>
        <w:t>202</w:t>
      </w:r>
      <w:r>
        <w:rPr>
          <w:rFonts w:ascii="仿宋_GB2312" w:eastAsia="仿宋_GB2312" w:hint="eastAsia"/>
          <w:sz w:val="32"/>
          <w:szCs w:val="32"/>
        </w:rPr>
        <w:t>5年，汶川县统计局政府采购支出总额0万元，其中：政府采购货物支出0万元、政府采购工程支出0万元、政府采购服务支出0万元。授予中小企业合同金额0万元，占政府采购支出总额的0</w:t>
      </w:r>
      <w:r>
        <w:rPr>
          <w:rFonts w:ascii="仿宋_GB2312" w:eastAsia="仿宋_GB2312"/>
          <w:sz w:val="32"/>
          <w:szCs w:val="32"/>
        </w:rPr>
        <w:t>%</w:t>
      </w:r>
      <w:r>
        <w:rPr>
          <w:rFonts w:ascii="仿宋_GB2312" w:eastAsia="仿宋_GB2312" w:hint="eastAsia"/>
          <w:sz w:val="32"/>
          <w:szCs w:val="32"/>
        </w:rPr>
        <w:t>，其中：授予小微企业合同金额0万元，占政府采购支出总额的0</w:t>
      </w:r>
      <w:r>
        <w:rPr>
          <w:rFonts w:ascii="仿宋_GB2312" w:eastAsia="仿宋_GB2312"/>
          <w:sz w:val="32"/>
          <w:szCs w:val="32"/>
        </w:rPr>
        <w:t>%</w:t>
      </w:r>
      <w:r>
        <w:rPr>
          <w:rFonts w:ascii="仿宋_GB2312" w:eastAsia="仿宋_GB2312" w:hint="eastAsia"/>
          <w:sz w:val="32"/>
          <w:szCs w:val="32"/>
        </w:rPr>
        <w:t>。</w:t>
      </w:r>
    </w:p>
    <w:p>
      <w:pPr>
        <w:spacing w:line="600" w:lineRule="exact"/>
        <w:ind w:firstLineChars="200" w:firstLine="640"/>
        <w:rPr>
          <w:rFonts w:ascii="仿宋" w:eastAsia="仿宋"/>
          <w:b/>
          <w:sz w:val="32"/>
          <w:szCs w:val="32"/>
        </w:rPr>
      </w:pPr>
      <w:r>
        <w:rPr>
          <w:rFonts w:ascii="仿宋" w:eastAsia="仿宋" w:hint="eastAsia"/>
          <w:b/>
          <w:sz w:val="32"/>
          <w:szCs w:val="32"/>
        </w:rPr>
        <w:t>（注：数据来源于财决附</w:t>
      </w:r>
      <w:r>
        <w:rPr>
          <w:rFonts w:ascii="仿宋" w:eastAsia="仿宋"/>
          <w:b/>
          <w:sz w:val="32"/>
          <w:szCs w:val="32"/>
        </w:rPr>
        <w:t>03</w:t>
      </w:r>
      <w:r>
        <w:rPr>
          <w:rFonts w:ascii="仿宋" w:eastAsia="仿宋" w:hint="eastAsia"/>
          <w:b/>
          <w:sz w:val="32"/>
          <w:szCs w:val="32"/>
        </w:rPr>
        <w:t>表）</w:t>
      </w:r>
    </w:p>
    <w:p>
      <w:pPr>
        <w:autoSpaceDE w:val="0"/>
        <w:autoSpaceDN w:val="0"/>
        <w:adjustRightInd w:val="0"/>
        <w:spacing w:line="600" w:lineRule="exact"/>
        <w:ind w:firstLineChars="200" w:firstLine="640"/>
        <w:jc w:val="left"/>
        <w:outlineLvl w:val="2"/>
        <w:rPr>
          <w:rFonts w:ascii="仿宋" w:eastAsia="仿宋"/>
          <w:b/>
          <w:sz w:val="32"/>
          <w:szCs w:val="32"/>
        </w:rPr>
      </w:pPr>
      <w:bookmarkStart w:id="50" w:name="_Toc15377224"/>
      <w:r>
        <w:rPr>
          <w:rFonts w:ascii="仿宋" w:eastAsia="仿宋" w:hint="eastAsia"/>
          <w:b/>
          <w:sz w:val="32"/>
          <w:szCs w:val="32"/>
        </w:rPr>
        <w:t>（三）国有资产占有使用情况</w:t>
      </w:r>
      <w:bookmarkEnd w:id="50"/>
    </w:p>
    <w:p>
      <w:pPr>
        <w:autoSpaceDE w:val="0"/>
        <w:autoSpaceDN w:val="0"/>
        <w:adjustRightInd w:val="0"/>
        <w:spacing w:line="600" w:lineRule="exact"/>
        <w:ind w:firstLineChars="200" w:firstLine="640"/>
        <w:jc w:val="left"/>
        <w:rPr>
          <w:rFonts w:ascii="仿宋_GB2312" w:eastAsia="仿宋_GB2312"/>
          <w:sz w:val="32"/>
          <w:szCs w:val="32"/>
        </w:rPr>
      </w:pPr>
      <w:r>
        <w:rPr>
          <w:rFonts w:ascii="仿宋_GB2312" w:eastAsia="仿宋_GB2312" w:hint="eastAsia"/>
          <w:sz w:val="32"/>
          <w:szCs w:val="32"/>
        </w:rPr>
        <w:t>截至</w:t>
      </w:r>
      <w:r>
        <w:rPr>
          <w:rFonts w:ascii="仿宋_GB2312" w:eastAsia="仿宋_GB2312"/>
          <w:sz w:val="32"/>
          <w:szCs w:val="32"/>
        </w:rPr>
        <w:t>202</w:t>
      </w:r>
      <w:r>
        <w:rPr>
          <w:rFonts w:ascii="仿宋_GB2312" w:eastAsia="仿宋_GB2312" w:hint="eastAsia"/>
          <w:sz w:val="32"/>
          <w:szCs w:val="32"/>
        </w:rPr>
        <w:t>5年</w:t>
      </w:r>
      <w:r>
        <w:rPr>
          <w:rFonts w:ascii="仿宋_GB2312" w:eastAsia="仿宋_GB2312"/>
          <w:sz w:val="32"/>
          <w:szCs w:val="32"/>
        </w:rPr>
        <w:t>12</w:t>
      </w:r>
      <w:r>
        <w:rPr>
          <w:rFonts w:ascii="仿宋_GB2312" w:eastAsia="仿宋_GB2312" w:hint="eastAsia"/>
          <w:sz w:val="32"/>
          <w:szCs w:val="32"/>
        </w:rPr>
        <w:t>月</w:t>
      </w:r>
      <w:r>
        <w:rPr>
          <w:rFonts w:ascii="仿宋_GB2312" w:eastAsia="仿宋_GB2312"/>
          <w:sz w:val="32"/>
          <w:szCs w:val="32"/>
        </w:rPr>
        <w:t>31</w:t>
      </w:r>
      <w:r>
        <w:rPr>
          <w:rFonts w:ascii="仿宋_GB2312" w:eastAsia="仿宋_GB2312" w:hint="eastAsia"/>
          <w:sz w:val="32"/>
          <w:szCs w:val="32"/>
        </w:rPr>
        <w:t>日，汶川县统计局共有车辆1辆，其中：主要领导干部用车0辆、机要通信用车0辆、应急保障用车0辆、其他用车1辆，其他用车主要是用于开展统计业务工作等。单价</w:t>
      </w:r>
      <w:r>
        <w:rPr>
          <w:rFonts w:ascii="仿宋_GB2312" w:eastAsia="仿宋_GB2312"/>
          <w:sz w:val="32"/>
          <w:szCs w:val="32"/>
        </w:rPr>
        <w:t>100</w:t>
      </w:r>
      <w:r>
        <w:rPr>
          <w:rFonts w:ascii="仿宋_GB2312" w:eastAsia="仿宋_GB2312" w:hint="eastAsia"/>
          <w:sz w:val="32"/>
          <w:szCs w:val="32"/>
        </w:rPr>
        <w:t>万元以上专用设备0台（套）。</w:t>
      </w:r>
    </w:p>
    <w:p>
      <w:pPr>
        <w:autoSpaceDE w:val="0"/>
        <w:autoSpaceDN w:val="0"/>
        <w:adjustRightInd w:val="0"/>
        <w:spacing w:line="600" w:lineRule="exact"/>
        <w:ind w:firstLineChars="200" w:firstLine="640"/>
        <w:jc w:val="left"/>
        <w:rPr>
          <w:rFonts w:ascii="仿宋" w:eastAsia="仿宋"/>
          <w:b/>
          <w:sz w:val="32"/>
          <w:szCs w:val="32"/>
        </w:rPr>
      </w:pPr>
      <w:r>
        <w:rPr>
          <w:rFonts w:ascii="仿宋" w:eastAsia="仿宋" w:hint="eastAsia"/>
          <w:b/>
          <w:sz w:val="32"/>
          <w:szCs w:val="32"/>
        </w:rPr>
        <w:t>（注：数据来源于财决附</w:t>
      </w:r>
      <w:r>
        <w:rPr>
          <w:rFonts w:ascii="仿宋" w:eastAsia="仿宋"/>
          <w:b/>
          <w:sz w:val="32"/>
          <w:szCs w:val="32"/>
        </w:rPr>
        <w:t>03</w:t>
      </w:r>
      <w:r>
        <w:rPr>
          <w:rFonts w:ascii="仿宋" w:eastAsia="仿宋" w:hint="eastAsia"/>
          <w:b/>
          <w:sz w:val="32"/>
          <w:szCs w:val="32"/>
        </w:rPr>
        <w:t>表，按单位决算报表填报数据罗列车辆情况。）</w:t>
      </w:r>
    </w:p>
    <w:p>
      <w:pPr>
        <w:autoSpaceDE w:val="0"/>
        <w:autoSpaceDN w:val="0"/>
        <w:adjustRightInd w:val="0"/>
        <w:spacing w:line="600" w:lineRule="exact"/>
        <w:ind w:firstLineChars="200" w:firstLine="640"/>
        <w:jc w:val="left"/>
        <w:outlineLvl w:val="2"/>
        <w:rPr>
          <w:rFonts w:ascii="仿宋" w:eastAsia="仿宋"/>
          <w:b/>
          <w:sz w:val="32"/>
          <w:szCs w:val="32"/>
        </w:rPr>
      </w:pPr>
      <w:r>
        <w:rPr>
          <w:rFonts w:ascii="仿宋" w:eastAsia="仿宋" w:hint="eastAsia"/>
          <w:b/>
          <w:sz w:val="32"/>
          <w:szCs w:val="32"/>
        </w:rPr>
        <w:t>（四）预算绩效管理情况</w:t>
      </w:r>
    </w:p>
    <w:p>
      <w:pPr>
        <w:pStyle w:val="24"/>
        <w:shd w:val="clear" w:color="auto" w:fill="FFFFFF"/>
        <w:spacing w:before="0" w:beforeAutospacing="0" w:after="0" w:afterAutospacing="0" w:line="576" w:lineRule="exact"/>
        <w:ind w:firstLineChars="200" w:firstLine="640"/>
        <w:jc w:val="both"/>
        <w:rPr>
          <w:rFonts w:ascii="仿宋" w:eastAsia="仿宋"/>
          <w:kern w:val="2"/>
          <w:sz w:val="32"/>
          <w:szCs w:val="32"/>
        </w:rPr>
      </w:pPr>
      <w:bookmarkStart w:id="51" w:name="OLE_LINK3"/>
      <w:bookmarkStart w:id="52" w:name="_Toc15377225"/>
      <w:bookmarkStart w:id="53" w:name="_Toc15396613"/>
      <w:r>
        <w:rPr>
          <w:rFonts w:ascii="仿宋" w:eastAsia="仿宋" w:hint="eastAsia"/>
          <w:kern w:val="2"/>
          <w:sz w:val="32"/>
          <w:szCs w:val="32"/>
        </w:rPr>
        <w:t>2025年我部门整体支出</w:t>
      </w:r>
      <w:r>
        <w:rPr>
          <w:rFonts w:ascii="仿宋" w:eastAsia="仿宋" w:hint="eastAsia"/>
          <w:bCs/>
          <w:sz w:val="32"/>
          <w:szCs w:val="32"/>
        </w:rPr>
        <w:t>418.21</w:t>
      </w:r>
      <w:r>
        <w:rPr>
          <w:rFonts w:ascii="仿宋" w:eastAsia="仿宋" w:hint="eastAsia"/>
          <w:kern w:val="2"/>
          <w:sz w:val="32"/>
          <w:szCs w:val="32"/>
        </w:rPr>
        <w:t>万元，其中行政支出381.35万元，支出与目标申报一致。根据预算绩效管理要求，我单位对2025年部门整体支出进行了自评及评分。经自评</w:t>
      </w:r>
      <w:r>
        <w:rPr>
          <w:rFonts w:ascii="仿宋_GB2312" w:eastAsia="仿宋_GB2312" w:hint="eastAsia"/>
          <w:bCs/>
          <w:sz w:val="32"/>
          <w:szCs w:val="32"/>
        </w:rPr>
        <w:t>得分为95.5分。</w:t>
      </w:r>
      <w:r>
        <w:rPr>
          <w:rFonts w:ascii="仿宋" w:eastAsia="仿宋" w:hint="eastAsia"/>
          <w:bCs/>
          <w:sz w:val="32"/>
          <w:szCs w:val="32"/>
        </w:rPr>
        <w:t>绩效自评综述：2025年度预算资金能够保障单位各项工作正常运转，确保人员工资全额发放、人员社会</w:t>
      </w:r>
      <w:r>
        <w:rPr>
          <w:rFonts w:ascii="仿宋" w:eastAsia="仿宋"/>
          <w:bCs/>
          <w:sz w:val="32"/>
          <w:szCs w:val="32"/>
        </w:rPr>
        <w:t>保险</w:t>
      </w:r>
      <w:r>
        <w:rPr>
          <w:rFonts w:ascii="仿宋" w:eastAsia="仿宋" w:hint="eastAsia"/>
          <w:bCs/>
          <w:sz w:val="32"/>
          <w:szCs w:val="32"/>
        </w:rPr>
        <w:t>费全额缴纳、人员工作经费到位，统计业务工作、统计执法、《汶川统计年鉴（2025）》、名录库建设、五经普等项目有效实施，全年各项工作得到州统计局有效肯定，各项工作在全州排名靠前，在县级年度目标考核中为一等奖。整体支出绩效评价报告及完成情况自评</w:t>
      </w:r>
      <w:r>
        <w:rPr>
          <w:rFonts w:ascii="仿宋" w:eastAsia="仿宋" w:hint="eastAsia"/>
          <w:kern w:val="2"/>
          <w:sz w:val="32"/>
          <w:szCs w:val="32"/>
        </w:rPr>
        <w:t>表详见第四部分附件。</w:t>
      </w:r>
    </w:p>
    <w:p>
      <w:pPr>
        <w:pStyle w:val="16"/>
        <w:spacing w:beforeLines="0" w:before="93"/>
        <w:ind w:firstLineChars="200" w:firstLine="640"/>
        <w:rPr>
          <w:rFonts w:ascii="仿宋" w:eastAsia="仿宋"/>
          <w:kern w:val="2"/>
          <w:sz w:val="32"/>
          <w:szCs w:val="32"/>
        </w:rPr>
      </w:pPr>
      <w:r>
        <w:rPr>
          <w:rFonts w:ascii="仿宋" w:eastAsia="仿宋" w:hint="eastAsia"/>
          <w:kern w:val="2"/>
          <w:sz w:val="32"/>
          <w:szCs w:val="32"/>
        </w:rPr>
        <w:t>2025年我部门完成</w:t>
      </w:r>
      <w:r>
        <w:rPr>
          <w:rFonts w:ascii="仿宋" w:eastAsia="仿宋" w:hint="eastAsia"/>
          <w:bCs/>
          <w:sz w:val="32"/>
          <w:szCs w:val="32"/>
        </w:rPr>
        <w:t>9</w:t>
      </w:r>
      <w:r>
        <w:rPr>
          <w:rFonts w:ascii="仿宋" w:eastAsia="仿宋" w:hint="eastAsia"/>
          <w:kern w:val="2"/>
          <w:sz w:val="32"/>
          <w:szCs w:val="32"/>
        </w:rPr>
        <w:t>个项目，项目支出共计</w:t>
      </w:r>
      <w:r>
        <w:rPr>
          <w:rFonts w:ascii="仿宋" w:eastAsia="仿宋" w:hint="eastAsia"/>
          <w:bCs/>
          <w:sz w:val="32"/>
          <w:szCs w:val="32"/>
        </w:rPr>
        <w:t>83.81</w:t>
      </w:r>
      <w:r>
        <w:rPr>
          <w:rFonts w:ascii="仿宋" w:eastAsia="仿宋" w:hint="eastAsia"/>
          <w:kern w:val="2"/>
          <w:sz w:val="32"/>
          <w:szCs w:val="32"/>
        </w:rPr>
        <w:t>万元，项目支出与申报目标一致，根据绩效管理要求，2025 年度预算编制阶段，组织对</w:t>
      </w:r>
      <w:r>
        <w:rPr>
          <w:rFonts w:ascii="仿宋" w:eastAsia="仿宋" w:hint="eastAsia"/>
          <w:bCs/>
          <w:sz w:val="32"/>
          <w:szCs w:val="32"/>
        </w:rPr>
        <w:t>5</w:t>
      </w:r>
      <w:r>
        <w:rPr>
          <w:rFonts w:ascii="仿宋" w:eastAsia="仿宋" w:hint="eastAsia"/>
          <w:kern w:val="2"/>
          <w:sz w:val="32"/>
          <w:szCs w:val="32"/>
        </w:rPr>
        <w:t>个项目开展了预算事前绩效评估，对</w:t>
      </w:r>
      <w:r>
        <w:rPr>
          <w:rFonts w:ascii="仿宋" w:eastAsia="仿宋" w:hint="eastAsia"/>
          <w:bCs/>
          <w:sz w:val="32"/>
          <w:szCs w:val="32"/>
        </w:rPr>
        <w:t>5</w:t>
      </w:r>
      <w:r>
        <w:rPr>
          <w:rFonts w:ascii="仿宋" w:eastAsia="仿宋" w:hint="eastAsia"/>
          <w:kern w:val="2"/>
          <w:sz w:val="32"/>
          <w:szCs w:val="32"/>
        </w:rPr>
        <w:t>个项目编制了绩效目标，预算执行过程中，选取</w:t>
      </w:r>
      <w:r>
        <w:rPr>
          <w:rFonts w:ascii="仿宋" w:eastAsia="仿宋" w:hint="eastAsia"/>
          <w:bCs/>
          <w:sz w:val="32"/>
          <w:szCs w:val="32"/>
        </w:rPr>
        <w:t>35</w:t>
      </w:r>
      <w:r>
        <w:rPr>
          <w:rFonts w:ascii="仿宋" w:eastAsia="仿宋" w:hint="eastAsia"/>
          <w:kern w:val="2"/>
          <w:sz w:val="32"/>
          <w:szCs w:val="32"/>
        </w:rPr>
        <w:t>个项目开展了绩效监控；组织对</w:t>
      </w:r>
      <w:r>
        <w:rPr>
          <w:rFonts w:ascii="仿宋" w:eastAsia="仿宋" w:hint="eastAsia"/>
          <w:bCs/>
          <w:sz w:val="32"/>
          <w:szCs w:val="32"/>
        </w:rPr>
        <w:t>9</w:t>
      </w:r>
      <w:r>
        <w:rPr>
          <w:rFonts w:ascii="仿宋" w:eastAsia="仿宋" w:hint="eastAsia"/>
          <w:kern w:val="2"/>
          <w:sz w:val="32"/>
          <w:szCs w:val="32"/>
        </w:rPr>
        <w:t>个项目开展绩效自评，其中</w:t>
      </w:r>
      <w:r>
        <w:rPr>
          <w:rFonts w:ascii="仿宋" w:eastAsia="仿宋" w:hint="eastAsia"/>
          <w:bCs/>
          <w:sz w:val="32"/>
          <w:szCs w:val="32"/>
        </w:rPr>
        <w:t>4</w:t>
      </w:r>
      <w:r>
        <w:rPr>
          <w:rFonts w:ascii="仿宋" w:eastAsia="仿宋" w:hint="eastAsia"/>
          <w:kern w:val="2"/>
          <w:sz w:val="32"/>
          <w:szCs w:val="32"/>
        </w:rPr>
        <w:t>个项目绩效报告及自评表详见第四部分附件。</w:t>
      </w:r>
    </w:p>
    <w:p>
      <w:pPr>
        <w:pStyle w:val="16"/>
        <w:spacing w:beforeLines="0" w:before="93"/>
        <w:rPr>
          <w:rFonts w:ascii="仿宋" w:eastAsia="仿宋"/>
          <w:kern w:val="2"/>
          <w:sz w:val="32"/>
          <w:szCs w:val="32"/>
        </w:rPr>
      </w:pPr>
      <w:bookmarkEnd w:id="51"/>
    </w:p>
    <w:p>
      <w:pPr>
        <w:pStyle w:val="16"/>
        <w:spacing w:beforeLines="0" w:before="93"/>
        <w:rPr>
          <w:rFonts w:ascii="仿宋" w:eastAsia="仿宋"/>
          <w:kern w:val="2"/>
          <w:sz w:val="32"/>
          <w:szCs w:val="32"/>
        </w:rPr>
      </w:pPr>
    </w:p>
    <w:p>
      <w:pPr>
        <w:pStyle w:val="16"/>
        <w:spacing w:beforeLines="0" w:before="93"/>
        <w:rPr>
          <w:rFonts w:ascii="仿宋" w:eastAsia="仿宋"/>
          <w:kern w:val="2"/>
          <w:sz w:val="32"/>
          <w:szCs w:val="32"/>
        </w:rPr>
      </w:pPr>
    </w:p>
    <w:p>
      <w:pPr>
        <w:pStyle w:val="16"/>
        <w:spacing w:beforeLines="0" w:before="93"/>
        <w:rPr>
          <w:rFonts w:ascii="仿宋" w:eastAsia="仿宋"/>
          <w:kern w:val="2"/>
          <w:sz w:val="32"/>
          <w:szCs w:val="32"/>
        </w:rPr>
      </w:pPr>
    </w:p>
    <w:p>
      <w:pPr>
        <w:pStyle w:val="16"/>
        <w:spacing w:beforeLines="0" w:before="93"/>
        <w:rPr>
          <w:rFonts w:ascii="仿宋" w:eastAsia="仿宋"/>
          <w:kern w:val="2"/>
          <w:sz w:val="32"/>
          <w:szCs w:val="32"/>
        </w:rPr>
      </w:pPr>
    </w:p>
    <w:p>
      <w:pPr>
        <w:numPr>
          <w:ilvl w:val="0"/>
          <w:numId w:val="3"/>
        </w:numPr>
        <w:spacing w:line="600" w:lineRule="exact"/>
        <w:ind w:left="0" w:firstLineChars="150" w:firstLine="660"/>
        <w:jc w:val="center"/>
        <w:outlineLvl w:val="0"/>
        <w:rPr>
          <w:rStyle w:val="1Char"/>
          <w:rFonts w:ascii="黑体" w:eastAsia="黑体"/>
          <w:b w:val="0"/>
        </w:rPr>
      </w:pPr>
      <w:r>
        <w:rPr>
          <w:rFonts w:ascii="黑体" w:eastAsia="黑体" w:hint="eastAsia"/>
          <w:sz w:val="44"/>
          <w:szCs w:val="44"/>
        </w:rPr>
        <w:t>名</w:t>
      </w:r>
      <w:r>
        <w:rPr>
          <w:rStyle w:val="1Char"/>
          <w:rFonts w:ascii="黑体" w:eastAsia="黑体" w:hint="eastAsia"/>
          <w:b w:val="0"/>
        </w:rPr>
        <w:t>词解释</w:t>
      </w:r>
      <w:bookmarkEnd w:id="52"/>
      <w:bookmarkEnd w:id="53"/>
    </w:p>
    <w:p>
      <w:pPr>
        <w:spacing w:line="600" w:lineRule="exact"/>
        <w:jc w:val="left"/>
        <w:rPr>
          <w:rFonts w:ascii="宋体"/>
          <w:b/>
          <w:sz w:val="44"/>
          <w:szCs w:val="44"/>
        </w:rPr>
      </w:pPr>
    </w:p>
    <w:p>
      <w:pPr>
        <w:pStyle w:val="31"/>
        <w:spacing w:line="560" w:lineRule="exact"/>
        <w:ind w:firstLineChars="200" w:firstLine="640"/>
        <w:rPr>
          <w:rFonts w:ascii="仿宋_GB2312" w:eastAsia="仿宋_GB2312"/>
          <w:color w:val="auto"/>
          <w:sz w:val="32"/>
          <w:szCs w:val="32"/>
        </w:rPr>
      </w:pPr>
      <w:r>
        <w:rPr>
          <w:rFonts w:ascii="仿宋_GB2312" w:eastAsia="仿宋_GB2312"/>
          <w:color w:val="auto"/>
          <w:sz w:val="32"/>
          <w:szCs w:val="32"/>
        </w:rPr>
        <w:t>1.</w:t>
      </w:r>
      <w:r>
        <w:rPr>
          <w:rFonts w:ascii="仿宋_GB2312" w:eastAsia="仿宋_GB2312" w:hint="eastAsia"/>
          <w:color w:val="auto"/>
          <w:sz w:val="32"/>
          <w:szCs w:val="32"/>
        </w:rPr>
        <w:t>财政拨款收入：指单位从同级财政部门取得的财政预算资金。</w:t>
      </w:r>
    </w:p>
    <w:p>
      <w:pPr>
        <w:pStyle w:val="31"/>
        <w:spacing w:line="560" w:lineRule="exact"/>
        <w:ind w:firstLineChars="200" w:firstLine="640"/>
        <w:rPr>
          <w:rFonts w:ascii="仿宋_GB2312" w:eastAsia="仿宋_GB2312"/>
          <w:color w:val="auto"/>
          <w:sz w:val="32"/>
          <w:szCs w:val="32"/>
        </w:rPr>
      </w:pPr>
      <w:r>
        <w:rPr>
          <w:rFonts w:ascii="仿宋_GB2312" w:eastAsia="仿宋_GB2312"/>
          <w:color w:val="auto"/>
          <w:sz w:val="32"/>
          <w:szCs w:val="32"/>
        </w:rPr>
        <w:t>2.</w:t>
      </w:r>
      <w:r>
        <w:rPr>
          <w:rFonts w:ascii="仿宋_GB2312" w:eastAsia="仿宋_GB2312" w:hint="eastAsia"/>
          <w:color w:val="auto"/>
          <w:sz w:val="32"/>
          <w:szCs w:val="32"/>
        </w:rPr>
        <w:t>事业收入：指事业单位开展专业业务活动及辅助活动取得的收入。如（二级预算单位事业收入情况）等。</w:t>
      </w:r>
    </w:p>
    <w:p>
      <w:pPr>
        <w:pStyle w:val="31"/>
        <w:spacing w:line="560" w:lineRule="exact"/>
        <w:ind w:firstLineChars="200" w:firstLine="640"/>
        <w:rPr>
          <w:rFonts w:ascii="仿宋_GB2312" w:eastAsia="仿宋_GB2312"/>
          <w:color w:val="auto"/>
          <w:sz w:val="32"/>
          <w:szCs w:val="32"/>
        </w:rPr>
      </w:pPr>
      <w:r>
        <w:rPr>
          <w:rFonts w:ascii="仿宋_GB2312" w:eastAsia="仿宋_GB2312"/>
          <w:color w:val="auto"/>
          <w:sz w:val="32"/>
          <w:szCs w:val="32"/>
        </w:rPr>
        <w:t>3.</w:t>
      </w:r>
      <w:r>
        <w:rPr>
          <w:rFonts w:ascii="仿宋_GB2312" w:eastAsia="仿宋_GB2312" w:hint="eastAsia"/>
          <w:color w:val="auto"/>
          <w:sz w:val="32"/>
          <w:szCs w:val="32"/>
        </w:rPr>
        <w:t>经营收入：指事业单位在专业业务活动及其辅助活动之外开展非独立核算经营活动取得的收入。如…（二级预算单位经营收入情况）等。</w:t>
      </w:r>
    </w:p>
    <w:p>
      <w:pPr>
        <w:pStyle w:val="31"/>
        <w:spacing w:line="560" w:lineRule="exact"/>
        <w:ind w:firstLineChars="200" w:firstLine="640"/>
        <w:rPr>
          <w:rFonts w:ascii="仿宋_GB2312" w:eastAsia="仿宋_GB2312"/>
          <w:color w:val="auto"/>
          <w:sz w:val="32"/>
          <w:szCs w:val="32"/>
        </w:rPr>
      </w:pPr>
      <w:r>
        <w:rPr>
          <w:rFonts w:ascii="仿宋_GB2312" w:eastAsia="仿宋_GB2312"/>
          <w:color w:val="auto"/>
          <w:sz w:val="32"/>
          <w:szCs w:val="32"/>
        </w:rPr>
        <w:t>4.</w:t>
      </w:r>
      <w:r>
        <w:rPr>
          <w:rFonts w:ascii="仿宋_GB2312" w:eastAsia="仿宋_GB2312" w:hint="eastAsia"/>
          <w:color w:val="auto"/>
          <w:sz w:val="32"/>
          <w:szCs w:val="32"/>
        </w:rPr>
        <w:t>其他收入：指单位取得的除上述收入以外的各项收入。主要是（收入类型）等。</w:t>
      </w:r>
      <w:r>
        <w:rPr>
          <w:rFonts w:ascii="仿宋_GB2312" w:eastAsia="仿宋_GB2312"/>
          <w:color w:val="auto"/>
          <w:sz w:val="32"/>
          <w:szCs w:val="32"/>
        </w:rPr>
        <w:t xml:space="preserve"> </w:t>
      </w:r>
    </w:p>
    <w:p>
      <w:pPr>
        <w:pStyle w:val="31"/>
        <w:spacing w:line="560" w:lineRule="exact"/>
        <w:ind w:firstLineChars="200" w:firstLine="640"/>
        <w:rPr>
          <w:rFonts w:ascii="仿宋_GB2312" w:eastAsia="仿宋_GB2312"/>
          <w:color w:val="auto"/>
          <w:sz w:val="32"/>
          <w:szCs w:val="32"/>
        </w:rPr>
      </w:pPr>
      <w:r>
        <w:rPr>
          <w:rFonts w:ascii="仿宋_GB2312" w:eastAsia="仿宋_GB2312"/>
          <w:color w:val="auto"/>
          <w:sz w:val="32"/>
          <w:szCs w:val="32"/>
        </w:rPr>
        <w:t>5.</w:t>
      </w:r>
      <w:r>
        <w:rPr>
          <w:rFonts w:ascii="仿宋_GB2312" w:eastAsia="仿宋_GB2312" w:hint="eastAsia"/>
          <w:color w:val="auto"/>
          <w:sz w:val="32"/>
          <w:szCs w:val="32"/>
        </w:rPr>
        <w:t>使用非财政拨款结余：指事业单位使用以前年度积累的非财政拨款结余弥补当年收支差额的金额。</w:t>
      </w:r>
      <w:r>
        <w:rPr>
          <w:rFonts w:ascii="仿宋_GB2312" w:eastAsia="仿宋_GB2312"/>
          <w:color w:val="auto"/>
          <w:sz w:val="32"/>
          <w:szCs w:val="32"/>
        </w:rPr>
        <w:t xml:space="preserve"> </w:t>
      </w:r>
    </w:p>
    <w:p>
      <w:pPr>
        <w:pStyle w:val="31"/>
        <w:spacing w:line="560" w:lineRule="exact"/>
        <w:ind w:firstLineChars="200" w:firstLine="640"/>
        <w:rPr>
          <w:rFonts w:ascii="仿宋_GB2312" w:eastAsia="仿宋_GB2312"/>
          <w:color w:val="auto"/>
          <w:sz w:val="32"/>
          <w:szCs w:val="32"/>
        </w:rPr>
      </w:pPr>
      <w:r>
        <w:rPr>
          <w:rFonts w:ascii="仿宋_GB2312" w:eastAsia="仿宋_GB2312"/>
          <w:color w:val="auto"/>
          <w:sz w:val="32"/>
          <w:szCs w:val="32"/>
        </w:rPr>
        <w:t>6.</w:t>
      </w:r>
      <w:r>
        <w:rPr>
          <w:rFonts w:ascii="仿宋_GB2312" w:eastAsia="仿宋_GB2312" w:hint="eastAsia"/>
          <w:color w:val="auto"/>
          <w:sz w:val="32"/>
          <w:szCs w:val="32"/>
        </w:rPr>
        <w:t>年初结转和结余：指以前年度尚未完成、结转到本年按有关规定继续使用的资金。</w:t>
      </w:r>
      <w:r>
        <w:rPr>
          <w:rFonts w:ascii="仿宋_GB2312" w:eastAsia="仿宋_GB2312"/>
          <w:color w:val="auto"/>
          <w:sz w:val="32"/>
          <w:szCs w:val="32"/>
        </w:rPr>
        <w:t xml:space="preserve"> </w:t>
      </w:r>
    </w:p>
    <w:p>
      <w:pPr>
        <w:pStyle w:val="31"/>
        <w:spacing w:line="560" w:lineRule="exact"/>
        <w:ind w:firstLineChars="200" w:firstLine="640"/>
        <w:rPr>
          <w:rFonts w:ascii="仿宋_GB2312" w:eastAsia="仿宋_GB2312"/>
          <w:color w:val="auto"/>
          <w:sz w:val="32"/>
          <w:szCs w:val="32"/>
        </w:rPr>
      </w:pPr>
      <w:r>
        <w:rPr>
          <w:rFonts w:ascii="仿宋_GB2312" w:eastAsia="仿宋_GB2312"/>
          <w:color w:val="auto"/>
          <w:sz w:val="32"/>
          <w:szCs w:val="32"/>
        </w:rPr>
        <w:t>7.</w:t>
      </w:r>
      <w:r>
        <w:rPr>
          <w:rFonts w:ascii="仿宋_GB2312" w:eastAsia="仿宋_GB2312" w:hint="eastAsia"/>
          <w:color w:val="auto"/>
          <w:sz w:val="32"/>
          <w:szCs w:val="32"/>
        </w:rPr>
        <w:t>结余分配：指事业单位按照会计制度规定缴纳的所得税、提取的专用结余以及转入非财政拨款结余的金额等。</w:t>
      </w:r>
    </w:p>
    <w:p>
      <w:pPr>
        <w:pStyle w:val="31"/>
        <w:spacing w:line="560" w:lineRule="exact"/>
        <w:ind w:firstLineChars="200" w:firstLine="640"/>
        <w:rPr>
          <w:rFonts w:ascii="仿宋_GB2312" w:eastAsia="仿宋_GB2312"/>
          <w:color w:val="auto"/>
          <w:sz w:val="32"/>
          <w:szCs w:val="32"/>
        </w:rPr>
      </w:pPr>
      <w:r>
        <w:rPr>
          <w:rFonts w:ascii="仿宋_GB2312" w:eastAsia="仿宋_GB2312"/>
          <w:color w:val="auto"/>
          <w:sz w:val="32"/>
          <w:szCs w:val="32"/>
        </w:rPr>
        <w:t>8</w:t>
      </w:r>
      <w:r>
        <w:rPr>
          <w:rFonts w:ascii="仿宋_GB2312" w:eastAsia="仿宋_GB2312" w:hint="eastAsia"/>
          <w:color w:val="auto"/>
          <w:sz w:val="32"/>
          <w:szCs w:val="32"/>
        </w:rPr>
        <w:t>.年末结转和结余：指单位按有关规定结转到下年或以后年度继续使用的资金。</w:t>
      </w:r>
    </w:p>
    <w:p>
      <w:pPr>
        <w:pStyle w:val="24"/>
        <w:widowControl w:val="0"/>
        <w:shd w:val="clear" w:color="auto" w:fill="FFFFFF"/>
        <w:spacing w:before="0" w:beforeAutospacing="0" w:after="0" w:afterAutospacing="0" w:line="576" w:lineRule="exact"/>
        <w:ind w:firstLineChars="200" w:firstLine="640"/>
        <w:jc w:val="both"/>
        <w:rPr>
          <w:rFonts w:ascii="仿宋_GB2312" w:eastAsia="仿宋_GB2312"/>
          <w:sz w:val="32"/>
          <w:szCs w:val="32"/>
        </w:rPr>
      </w:pPr>
      <w:r>
        <w:rPr>
          <w:rFonts w:ascii="仿宋_GB2312" w:eastAsia="仿宋_GB2312" w:cs="仿宋_GB2312" w:hint="eastAsia"/>
          <w:sz w:val="32"/>
          <w:szCs w:val="32"/>
        </w:rPr>
        <w:t>9.</w:t>
      </w:r>
      <w:r>
        <w:rPr>
          <w:rFonts w:ascii="仿宋_GB2312" w:eastAsia="仿宋_GB2312" w:hint="eastAsia"/>
          <w:sz w:val="32"/>
          <w:szCs w:val="32"/>
        </w:rPr>
        <w:t>一般公共服务</w:t>
      </w:r>
      <w:r>
        <w:rPr>
          <w:rFonts w:ascii="仿宋_GB2312" w:eastAsia="仿宋_GB2312" w:hint="eastAsia"/>
          <w:sz w:val="32"/>
          <w:szCs w:val="32"/>
          <w:lang w:eastAsia="zh-CN"/>
        </w:rPr>
        <w:t>支出</w:t>
      </w:r>
      <w:r>
        <w:rPr>
          <w:rFonts w:ascii="仿宋_GB2312" w:eastAsia="仿宋_GB2312" w:hint="eastAsia"/>
          <w:sz w:val="32"/>
          <w:szCs w:val="32"/>
        </w:rPr>
        <w:t>（类）</w:t>
      </w:r>
      <w:r>
        <w:rPr>
          <w:rFonts w:ascii="仿宋_GB2312" w:eastAsia="仿宋_GB2312" w:hint="eastAsia"/>
          <w:sz w:val="32"/>
          <w:szCs w:val="32"/>
          <w:lang w:eastAsia="zh-CN"/>
        </w:rPr>
        <w:t>统计信息事务</w:t>
      </w:r>
      <w:r>
        <w:rPr>
          <w:rFonts w:ascii="仿宋_GB2312" w:eastAsia="仿宋_GB2312" w:hint="eastAsia"/>
          <w:sz w:val="32"/>
          <w:szCs w:val="32"/>
        </w:rPr>
        <w:t>（款）</w:t>
      </w:r>
      <w:r>
        <w:rPr>
          <w:rFonts w:ascii="仿宋_GB2312" w:eastAsia="仿宋_GB2312" w:hint="eastAsia"/>
          <w:sz w:val="32"/>
          <w:szCs w:val="32"/>
          <w:lang w:eastAsia="zh-CN"/>
        </w:rPr>
        <w:t>行政运行</w:t>
      </w:r>
      <w:r>
        <w:rPr>
          <w:rFonts w:ascii="仿宋_GB2312" w:eastAsia="仿宋_GB2312" w:hint="eastAsia"/>
          <w:sz w:val="32"/>
          <w:szCs w:val="32"/>
        </w:rPr>
        <w:t>（项）01：指行政运行单位基本支出。</w:t>
      </w:r>
    </w:p>
    <w:p>
      <w:pPr>
        <w:pStyle w:val="24"/>
        <w:widowControl w:val="0"/>
        <w:shd w:val="clear" w:color="auto" w:fill="FFFFFF"/>
        <w:spacing w:before="0" w:beforeAutospacing="0" w:after="0" w:afterAutospacing="0" w:line="576" w:lineRule="exact"/>
        <w:ind w:firstLineChars="200" w:firstLine="640"/>
        <w:jc w:val="both"/>
        <w:rPr>
          <w:rFonts w:ascii="仿宋_GB2312" w:eastAsia="仿宋_GB2312"/>
          <w:sz w:val="32"/>
          <w:szCs w:val="32"/>
        </w:rPr>
      </w:pPr>
      <w:r>
        <w:rPr>
          <w:rFonts w:ascii="仿宋_GB2312" w:eastAsia="仿宋_GB2312" w:hint="eastAsia"/>
          <w:sz w:val="32"/>
          <w:szCs w:val="32"/>
        </w:rPr>
        <w:t>10.一般公共服务</w:t>
      </w:r>
      <w:r>
        <w:rPr>
          <w:rFonts w:ascii="仿宋_GB2312" w:eastAsia="仿宋_GB2312" w:hint="eastAsia"/>
          <w:sz w:val="32"/>
          <w:szCs w:val="32"/>
          <w:lang w:eastAsia="zh-CN"/>
        </w:rPr>
        <w:t>支出</w:t>
      </w:r>
      <w:r>
        <w:rPr>
          <w:rFonts w:ascii="仿宋_GB2312" w:eastAsia="仿宋_GB2312" w:hint="eastAsia"/>
          <w:sz w:val="32"/>
          <w:szCs w:val="32"/>
        </w:rPr>
        <w:t>（类）</w:t>
      </w:r>
      <w:r>
        <w:rPr>
          <w:rFonts w:ascii="仿宋_GB2312" w:eastAsia="仿宋_GB2312" w:hint="eastAsia"/>
          <w:sz w:val="32"/>
          <w:szCs w:val="32"/>
          <w:lang w:eastAsia="zh-CN"/>
        </w:rPr>
        <w:t>统计信息事务</w:t>
      </w:r>
      <w:r>
        <w:rPr>
          <w:rFonts w:ascii="仿宋_GB2312" w:eastAsia="仿宋_GB2312" w:hint="eastAsia"/>
          <w:sz w:val="32"/>
          <w:szCs w:val="32"/>
        </w:rPr>
        <w:t>（款）</w:t>
      </w:r>
      <w:r>
        <w:rPr>
          <w:rFonts w:ascii="仿宋_GB2312" w:eastAsia="仿宋_GB2312" w:hint="eastAsia"/>
          <w:sz w:val="32"/>
          <w:szCs w:val="32"/>
          <w:lang w:eastAsia="zh-CN"/>
        </w:rPr>
        <w:t>专项统计业务</w:t>
      </w:r>
      <w:r>
        <w:rPr>
          <w:rFonts w:ascii="仿宋_GB2312" w:eastAsia="仿宋_GB2312" w:hint="eastAsia"/>
          <w:sz w:val="32"/>
          <w:szCs w:val="32"/>
        </w:rPr>
        <w:t>（项）：指开展专项统计业务工作支出。</w:t>
      </w:r>
    </w:p>
    <w:p>
      <w:pPr>
        <w:pStyle w:val="24"/>
        <w:widowControl w:val="0"/>
        <w:shd w:val="clear" w:color="auto" w:fill="FFFFFF"/>
        <w:spacing w:before="0" w:beforeAutospacing="0" w:after="0" w:afterAutospacing="0" w:line="576" w:lineRule="exact"/>
        <w:ind w:firstLineChars="200" w:firstLine="640"/>
        <w:jc w:val="both"/>
        <w:rPr>
          <w:rFonts w:ascii="仿宋_GB2312" w:eastAsia="仿宋_GB2312"/>
          <w:sz w:val="32"/>
          <w:szCs w:val="32"/>
        </w:rPr>
      </w:pPr>
      <w:r>
        <w:rPr>
          <w:rFonts w:ascii="仿宋_GB2312" w:eastAsia="仿宋_GB2312" w:hint="eastAsia"/>
          <w:sz w:val="32"/>
          <w:szCs w:val="32"/>
        </w:rPr>
        <w:t>11.一般公共服务</w:t>
      </w:r>
      <w:r>
        <w:rPr>
          <w:rFonts w:ascii="仿宋_GB2312" w:eastAsia="仿宋_GB2312" w:hint="eastAsia"/>
          <w:sz w:val="32"/>
          <w:szCs w:val="32"/>
          <w:lang w:eastAsia="zh-CN"/>
        </w:rPr>
        <w:t>支出</w:t>
      </w:r>
      <w:r>
        <w:rPr>
          <w:rFonts w:ascii="仿宋_GB2312" w:eastAsia="仿宋_GB2312" w:hint="eastAsia"/>
          <w:sz w:val="32"/>
          <w:szCs w:val="32"/>
        </w:rPr>
        <w:t>（类）</w:t>
      </w:r>
      <w:r>
        <w:rPr>
          <w:rFonts w:ascii="仿宋_GB2312" w:eastAsia="仿宋_GB2312" w:hint="eastAsia"/>
          <w:sz w:val="32"/>
          <w:szCs w:val="32"/>
          <w:lang w:eastAsia="zh-CN"/>
        </w:rPr>
        <w:t>统计信息事务</w:t>
      </w:r>
      <w:r>
        <w:rPr>
          <w:rFonts w:ascii="仿宋_GB2312" w:eastAsia="仿宋_GB2312" w:hint="eastAsia"/>
          <w:sz w:val="32"/>
          <w:szCs w:val="32"/>
        </w:rPr>
        <w:t>（款）</w:t>
      </w:r>
      <w:r>
        <w:rPr>
          <w:rFonts w:ascii="仿宋_GB2312" w:eastAsia="仿宋_GB2312" w:hint="eastAsia"/>
          <w:sz w:val="32"/>
          <w:szCs w:val="32"/>
          <w:lang w:eastAsia="zh-CN"/>
        </w:rPr>
        <w:t>专项普查活动</w:t>
      </w:r>
      <w:r>
        <w:rPr>
          <w:rFonts w:ascii="仿宋_GB2312" w:eastAsia="仿宋_GB2312" w:hint="eastAsia"/>
          <w:sz w:val="32"/>
          <w:szCs w:val="32"/>
        </w:rPr>
        <w:t>（项）：指开展经济普查周期性普查工作支出。</w:t>
      </w:r>
    </w:p>
    <w:p>
      <w:pPr>
        <w:pStyle w:val="24"/>
        <w:widowControl w:val="0"/>
        <w:shd w:val="clear" w:color="auto" w:fill="FFFFFF"/>
        <w:spacing w:before="0" w:beforeAutospacing="0" w:after="0" w:afterAutospacing="0" w:line="576" w:lineRule="exact"/>
        <w:ind w:firstLineChars="200" w:firstLine="640"/>
        <w:jc w:val="both"/>
        <w:rPr>
          <w:rFonts w:ascii="仿宋_GB2312" w:eastAsia="仿宋_GB2312"/>
          <w:sz w:val="32"/>
          <w:szCs w:val="32"/>
        </w:rPr>
      </w:pPr>
      <w:r>
        <w:rPr>
          <w:rFonts w:ascii="仿宋_GB2312" w:eastAsia="仿宋_GB2312" w:hint="eastAsia"/>
          <w:sz w:val="32"/>
          <w:szCs w:val="32"/>
        </w:rPr>
        <w:t>12.</w:t>
      </w:r>
      <w:r>
        <w:rPr>
          <w:rFonts w:ascii="仿宋_GB2312" w:eastAsia="仿宋_GB2312" w:cs="仿宋_GB2312" w:hint="eastAsia"/>
          <w:sz w:val="32"/>
          <w:szCs w:val="32"/>
        </w:rPr>
        <w:t>社会保障和就业</w:t>
      </w:r>
      <w:r>
        <w:rPr>
          <w:rFonts w:ascii="仿宋_GB2312" w:eastAsia="仿宋_GB2312" w:cs="仿宋_GB2312" w:hint="eastAsia"/>
          <w:sz w:val="32"/>
          <w:szCs w:val="32"/>
          <w:lang w:eastAsia="zh-CN"/>
        </w:rPr>
        <w:t>支出</w:t>
      </w:r>
      <w:r>
        <w:rPr>
          <w:rFonts w:ascii="仿宋_GB2312" w:eastAsia="仿宋_GB2312" w:cs="仿宋_GB2312" w:hint="eastAsia"/>
          <w:sz w:val="32"/>
          <w:szCs w:val="32"/>
        </w:rPr>
        <w:t>（类）</w:t>
      </w:r>
      <w:r>
        <w:rPr>
          <w:rFonts w:ascii="仿宋_GB2312" w:eastAsia="仿宋_GB2312" w:cs="仿宋_GB2312" w:hint="eastAsia"/>
          <w:sz w:val="32"/>
          <w:szCs w:val="32"/>
          <w:lang w:eastAsia="zh-CN"/>
        </w:rPr>
        <w:t>行政事业单位养老支出</w:t>
      </w:r>
      <w:r>
        <w:rPr>
          <w:rFonts w:ascii="仿宋_GB2312" w:eastAsia="仿宋_GB2312" w:cs="仿宋_GB2312" w:hint="eastAsia"/>
          <w:sz w:val="32"/>
          <w:szCs w:val="32"/>
        </w:rPr>
        <w:t>（款）</w:t>
      </w:r>
      <w:r>
        <w:rPr>
          <w:rFonts w:ascii="仿宋_GB2312" w:eastAsia="仿宋_GB2312" w:cs="仿宋_GB2312" w:hint="eastAsia"/>
          <w:sz w:val="32"/>
          <w:szCs w:val="32"/>
          <w:lang w:eastAsia="zh-CN"/>
        </w:rPr>
        <w:t>机关事业单位基本养老保险缴费支出</w:t>
      </w:r>
      <w:r>
        <w:rPr>
          <w:rFonts w:ascii="仿宋_GB2312" w:eastAsia="仿宋_GB2312" w:cs="仿宋_GB2312" w:hint="eastAsia"/>
          <w:sz w:val="32"/>
          <w:szCs w:val="32"/>
        </w:rPr>
        <w:t>（项）：指</w:t>
      </w:r>
      <w:r>
        <w:rPr>
          <w:rFonts w:ascii="仿宋_GB2312" w:eastAsia="仿宋_GB2312" w:hint="eastAsia"/>
          <w:sz w:val="32"/>
          <w:szCs w:val="32"/>
        </w:rPr>
        <w:t>机关事业单位由单位缴纳的养老保险费支出。</w:t>
      </w:r>
    </w:p>
    <w:p>
      <w:pPr>
        <w:pStyle w:val="24"/>
        <w:widowControl w:val="0"/>
        <w:shd w:val="clear" w:color="auto" w:fill="FFFFFF"/>
        <w:spacing w:before="0" w:beforeAutospacing="0" w:after="0" w:afterAutospacing="0" w:line="576" w:lineRule="exact"/>
        <w:ind w:firstLineChars="200" w:firstLine="640"/>
        <w:jc w:val="both"/>
        <w:rPr>
          <w:rFonts w:ascii="仿宋_GB2312" w:eastAsia="仿宋_GB2312"/>
          <w:sz w:val="32"/>
          <w:szCs w:val="32"/>
        </w:rPr>
      </w:pPr>
      <w:r>
        <w:rPr>
          <w:rFonts w:ascii="仿宋_GB2312" w:eastAsia="仿宋_GB2312" w:hint="eastAsia"/>
          <w:sz w:val="32"/>
          <w:szCs w:val="32"/>
        </w:rPr>
        <w:t>1</w:t>
      </w:r>
      <w:r>
        <w:rPr>
          <w:rFonts w:ascii="仿宋_GB2312" w:eastAsia="仿宋_GB2312" w:hint="eastAsia"/>
          <w:sz w:val="32"/>
          <w:szCs w:val="32"/>
          <w:lang w:val="en-US" w:eastAsia="zh-CN"/>
        </w:rPr>
        <w:t>3</w:t>
      </w:r>
      <w:r>
        <w:rPr>
          <w:rFonts w:ascii="仿宋_GB2312" w:eastAsia="仿宋_GB2312" w:hint="eastAsia"/>
          <w:sz w:val="32"/>
          <w:szCs w:val="32"/>
        </w:rPr>
        <w:t>.社会保障和就业</w:t>
      </w:r>
      <w:r>
        <w:rPr>
          <w:rFonts w:ascii="仿宋_GB2312" w:eastAsia="仿宋_GB2312" w:hint="eastAsia"/>
          <w:sz w:val="32"/>
          <w:szCs w:val="32"/>
          <w:lang w:eastAsia="zh-CN"/>
        </w:rPr>
        <w:t>支出</w:t>
      </w:r>
      <w:r>
        <w:rPr>
          <w:rFonts w:ascii="仿宋_GB2312" w:eastAsia="仿宋_GB2312" w:hint="eastAsia"/>
          <w:sz w:val="32"/>
          <w:szCs w:val="32"/>
        </w:rPr>
        <w:t>（类）</w:t>
      </w:r>
      <w:r>
        <w:rPr>
          <w:rFonts w:ascii="仿宋_GB2312" w:eastAsia="仿宋_GB2312" w:cs="仿宋_GB2312" w:hint="eastAsia"/>
          <w:sz w:val="32"/>
          <w:szCs w:val="32"/>
          <w:lang w:eastAsia="zh-CN"/>
        </w:rPr>
        <w:t>行政事业单位养老支出</w:t>
      </w:r>
      <w:r>
        <w:rPr>
          <w:rFonts w:ascii="仿宋_GB2312" w:eastAsia="仿宋_GB2312" w:hint="eastAsia"/>
          <w:sz w:val="32"/>
          <w:szCs w:val="32"/>
        </w:rPr>
        <w:t>（款）</w:t>
      </w:r>
      <w:r>
        <w:rPr>
          <w:rFonts w:ascii="仿宋_GB2312" w:eastAsia="仿宋_GB2312" w:hint="eastAsia"/>
          <w:sz w:val="32"/>
          <w:szCs w:val="32"/>
          <w:lang w:eastAsia="zh-CN"/>
        </w:rPr>
        <w:t>机关事业单位职业年金缴费支出</w:t>
      </w:r>
      <w:r>
        <w:rPr>
          <w:rFonts w:ascii="仿宋_GB2312" w:eastAsia="仿宋_GB2312" w:hint="eastAsia"/>
          <w:sz w:val="32"/>
          <w:szCs w:val="32"/>
        </w:rPr>
        <w:t>（项）：指机关事业单位由单位缴纳的职业年金支出。</w:t>
      </w:r>
    </w:p>
    <w:p>
      <w:pPr>
        <w:pStyle w:val="24"/>
        <w:widowControl w:val="0"/>
        <w:shd w:val="clear" w:color="auto" w:fill="FFFFFF"/>
        <w:spacing w:before="0" w:beforeAutospacing="0" w:after="0" w:afterAutospacing="0" w:line="576" w:lineRule="exact"/>
        <w:ind w:firstLineChars="200" w:firstLine="640"/>
        <w:jc w:val="both"/>
        <w:rPr>
          <w:rFonts w:ascii="仿宋_GB2312" w:eastAsia="仿宋_GB2312"/>
          <w:sz w:val="32"/>
          <w:szCs w:val="32"/>
        </w:rPr>
      </w:pPr>
      <w:r>
        <w:rPr>
          <w:rFonts w:ascii="仿宋_GB2312" w:eastAsia="仿宋_GB2312" w:hint="eastAsia"/>
          <w:sz w:val="32"/>
          <w:szCs w:val="32"/>
        </w:rPr>
        <w:t>1</w:t>
      </w:r>
      <w:r>
        <w:rPr>
          <w:rFonts w:ascii="仿宋_GB2312" w:eastAsia="仿宋_GB2312" w:hint="eastAsia"/>
          <w:sz w:val="32"/>
          <w:szCs w:val="32"/>
          <w:lang w:val="en-US" w:eastAsia="zh-CN"/>
        </w:rPr>
        <w:t>4</w:t>
      </w:r>
      <w:r>
        <w:rPr>
          <w:rFonts w:ascii="仿宋_GB2312" w:eastAsia="仿宋_GB2312" w:hint="eastAsia"/>
          <w:sz w:val="32"/>
          <w:szCs w:val="32"/>
        </w:rPr>
        <w:t>.卫生健康支出（类）</w:t>
      </w:r>
      <w:r>
        <w:rPr>
          <w:rFonts w:ascii="仿宋_GB2312" w:eastAsia="仿宋_GB2312" w:hint="eastAsia"/>
          <w:sz w:val="32"/>
          <w:szCs w:val="32"/>
          <w:lang w:eastAsia="zh-CN"/>
        </w:rPr>
        <w:t>行政事业单位医疗</w:t>
      </w:r>
      <w:r>
        <w:rPr>
          <w:rFonts w:ascii="仿宋_GB2312" w:eastAsia="仿宋_GB2312" w:hint="eastAsia"/>
          <w:sz w:val="32"/>
          <w:szCs w:val="32"/>
        </w:rPr>
        <w:t>（款）</w:t>
      </w:r>
      <w:r>
        <w:rPr>
          <w:rFonts w:ascii="仿宋_GB2312" w:eastAsia="仿宋_GB2312" w:hint="eastAsia"/>
          <w:sz w:val="32"/>
          <w:szCs w:val="32"/>
          <w:lang w:eastAsia="zh-CN"/>
        </w:rPr>
        <w:t>行政单位医疗</w:t>
      </w:r>
      <w:r>
        <w:rPr>
          <w:rFonts w:ascii="仿宋_GB2312" w:eastAsia="仿宋_GB2312" w:hint="eastAsia"/>
          <w:sz w:val="32"/>
          <w:szCs w:val="32"/>
        </w:rPr>
        <w:t>（项）：指财政部门安排的行政单位（包括实行公务员管理的事业单位）基本医疗保险缴费经费。</w:t>
      </w:r>
    </w:p>
    <w:p>
      <w:pPr>
        <w:pStyle w:val="24"/>
        <w:widowControl w:val="0"/>
        <w:shd w:val="clear" w:color="auto" w:fill="FFFFFF"/>
        <w:spacing w:before="0" w:beforeAutospacing="0" w:after="0" w:afterAutospacing="0" w:line="576" w:lineRule="exact"/>
        <w:ind w:firstLineChars="200" w:firstLine="640"/>
        <w:jc w:val="both"/>
        <w:rPr>
          <w:rFonts w:ascii="仿宋_GB2312" w:eastAsia="仿宋_GB2312"/>
          <w:sz w:val="32"/>
          <w:szCs w:val="32"/>
        </w:rPr>
      </w:pPr>
      <w:r>
        <w:rPr>
          <w:rFonts w:ascii="仿宋_GB2312" w:eastAsia="仿宋_GB2312" w:hint="eastAsia"/>
          <w:sz w:val="32"/>
          <w:szCs w:val="32"/>
        </w:rPr>
        <w:t>1</w:t>
      </w:r>
      <w:r>
        <w:rPr>
          <w:rFonts w:ascii="仿宋_GB2312" w:eastAsia="仿宋_GB2312" w:hint="eastAsia"/>
          <w:sz w:val="32"/>
          <w:szCs w:val="32"/>
          <w:lang w:val="en-US" w:eastAsia="zh-CN"/>
        </w:rPr>
        <w:t>5</w:t>
      </w:r>
      <w:r>
        <w:rPr>
          <w:rFonts w:ascii="仿宋_GB2312" w:eastAsia="仿宋_GB2312" w:hint="eastAsia"/>
          <w:sz w:val="32"/>
          <w:szCs w:val="32"/>
        </w:rPr>
        <w:t>.卫生健康支出（类）</w:t>
      </w:r>
      <w:r>
        <w:rPr>
          <w:rFonts w:ascii="仿宋_GB2312" w:eastAsia="仿宋_GB2312" w:hint="eastAsia"/>
          <w:sz w:val="32"/>
          <w:szCs w:val="32"/>
          <w:lang w:eastAsia="zh-CN"/>
        </w:rPr>
        <w:t>行政事业单位医疗</w:t>
      </w:r>
      <w:r>
        <w:rPr>
          <w:rFonts w:ascii="仿宋_GB2312" w:eastAsia="仿宋_GB2312" w:hint="eastAsia"/>
          <w:sz w:val="32"/>
          <w:szCs w:val="32"/>
        </w:rPr>
        <w:t>（款）</w:t>
      </w:r>
      <w:r>
        <w:rPr>
          <w:rFonts w:ascii="仿宋_GB2312" w:eastAsia="仿宋_GB2312" w:hint="eastAsia"/>
          <w:sz w:val="32"/>
          <w:szCs w:val="32"/>
          <w:lang w:eastAsia="zh-CN"/>
        </w:rPr>
        <w:t>公务员医疗补助</w:t>
      </w:r>
      <w:r>
        <w:rPr>
          <w:rFonts w:ascii="仿宋_GB2312" w:eastAsia="仿宋_GB2312" w:hint="eastAsia"/>
          <w:sz w:val="32"/>
          <w:szCs w:val="32"/>
        </w:rPr>
        <w:t>（项）：指财政部门安排的公务员医疗补助经费。</w:t>
      </w:r>
    </w:p>
    <w:p>
      <w:pPr>
        <w:pStyle w:val="24"/>
        <w:widowControl w:val="0"/>
        <w:shd w:val="clear" w:color="auto" w:fill="FFFFFF"/>
        <w:spacing w:before="0" w:beforeAutospacing="0" w:after="0" w:afterAutospacing="0" w:line="576" w:lineRule="exact"/>
        <w:ind w:firstLineChars="200" w:firstLine="640"/>
        <w:jc w:val="both"/>
        <w:rPr>
          <w:rFonts w:ascii="仿宋_GB2312" w:eastAsia="仿宋_GB2312"/>
          <w:sz w:val="32"/>
          <w:szCs w:val="32"/>
        </w:rPr>
      </w:pPr>
      <w:r>
        <w:rPr>
          <w:rFonts w:ascii="仿宋_GB2312" w:eastAsia="仿宋_GB2312" w:cs="仿宋_GB2312" w:hint="eastAsia"/>
          <w:bCs/>
          <w:sz w:val="32"/>
          <w:szCs w:val="32"/>
        </w:rPr>
        <w:t>1</w:t>
      </w:r>
      <w:r>
        <w:rPr>
          <w:rFonts w:ascii="仿宋_GB2312" w:eastAsia="仿宋_GB2312" w:cs="仿宋_GB2312" w:hint="eastAsia"/>
          <w:bCs/>
          <w:sz w:val="32"/>
          <w:szCs w:val="32"/>
          <w:lang w:val="en-US" w:eastAsia="zh-CN"/>
        </w:rPr>
        <w:t>6</w:t>
      </w:r>
      <w:r>
        <w:rPr>
          <w:rFonts w:ascii="仿宋_GB2312" w:eastAsia="仿宋_GB2312" w:cs="仿宋_GB2312" w:hint="eastAsia"/>
          <w:bCs/>
          <w:sz w:val="32"/>
          <w:szCs w:val="32"/>
        </w:rPr>
        <w:t>.</w:t>
      </w:r>
      <w:r>
        <w:rPr>
          <w:rFonts w:ascii="仿宋_GB2312" w:eastAsia="仿宋_GB2312" w:hint="eastAsia"/>
          <w:sz w:val="32"/>
          <w:szCs w:val="32"/>
        </w:rPr>
        <w:t>农林水</w:t>
      </w:r>
      <w:r>
        <w:rPr>
          <w:rFonts w:ascii="仿宋_GB2312" w:eastAsia="仿宋_GB2312" w:hint="eastAsia"/>
          <w:sz w:val="32"/>
          <w:szCs w:val="32"/>
          <w:lang w:eastAsia="zh-CN"/>
        </w:rPr>
        <w:t>支出</w:t>
      </w:r>
      <w:r>
        <w:rPr>
          <w:rFonts w:ascii="仿宋_GB2312" w:eastAsia="仿宋_GB2312" w:hint="eastAsia"/>
          <w:sz w:val="32"/>
          <w:szCs w:val="32"/>
        </w:rPr>
        <w:t>（类）</w:t>
      </w:r>
      <w:r>
        <w:rPr>
          <w:rFonts w:ascii="仿宋_GB2312" w:eastAsia="仿宋_GB2312" w:hint="eastAsia"/>
          <w:sz w:val="32"/>
          <w:szCs w:val="32"/>
          <w:lang w:eastAsia="zh-CN"/>
        </w:rPr>
        <w:t>巩固拓展脱贫攻坚成果衔接乡村振兴</w:t>
      </w:r>
      <w:r>
        <w:rPr>
          <w:rFonts w:ascii="仿宋_GB2312" w:eastAsia="仿宋_GB2312" w:hint="eastAsia"/>
          <w:sz w:val="32"/>
          <w:szCs w:val="32"/>
        </w:rPr>
        <w:t>（款）</w:t>
      </w:r>
      <w:r>
        <w:rPr>
          <w:rFonts w:ascii="仿宋_GB2312" w:eastAsia="仿宋_GB2312" w:hint="eastAsia"/>
          <w:sz w:val="32"/>
          <w:szCs w:val="32"/>
          <w:lang w:eastAsia="zh-CN"/>
        </w:rPr>
        <w:t>社会发展</w:t>
      </w:r>
      <w:r>
        <w:rPr>
          <w:rFonts w:ascii="仿宋_GB2312" w:eastAsia="仿宋_GB2312" w:hint="eastAsia"/>
          <w:sz w:val="32"/>
          <w:szCs w:val="32"/>
        </w:rPr>
        <w:t>（项）：指用农村欠发达地区中小学教育、文化、广播、电视、卫生健康等方面的项目支出。我单位用于浙江对口支援交流学习相关费用。</w:t>
      </w:r>
    </w:p>
    <w:p>
      <w:pPr>
        <w:pStyle w:val="24"/>
        <w:widowControl w:val="0"/>
        <w:shd w:val="clear" w:color="auto" w:fill="FFFFFF"/>
        <w:spacing w:before="0" w:beforeAutospacing="0" w:after="0" w:afterAutospacing="0" w:line="576" w:lineRule="exact"/>
        <w:ind w:firstLineChars="200" w:firstLine="640"/>
        <w:jc w:val="both"/>
        <w:rPr>
          <w:rFonts w:ascii="仿宋_GB2312" w:eastAsia="仿宋_GB2312" w:cs="仿宋_GB2312"/>
          <w:b/>
          <w:sz w:val="32"/>
          <w:szCs w:val="32"/>
        </w:rPr>
      </w:pPr>
      <w:r>
        <w:rPr>
          <w:rFonts w:ascii="仿宋_GB2312" w:eastAsia="仿宋_GB2312" w:hint="eastAsia"/>
          <w:sz w:val="32"/>
          <w:szCs w:val="32"/>
        </w:rPr>
        <w:t>1</w:t>
      </w:r>
      <w:r>
        <w:rPr>
          <w:rFonts w:ascii="仿宋_GB2312" w:eastAsia="仿宋_GB2312" w:hint="eastAsia"/>
          <w:sz w:val="32"/>
          <w:szCs w:val="32"/>
          <w:lang w:val="en-US" w:eastAsia="zh-CN"/>
        </w:rPr>
        <w:t>7</w:t>
      </w:r>
      <w:r>
        <w:rPr>
          <w:rFonts w:ascii="仿宋_GB2312" w:eastAsia="仿宋_GB2312" w:hint="eastAsia"/>
          <w:sz w:val="32"/>
          <w:szCs w:val="32"/>
        </w:rPr>
        <w:t>.住房保障</w:t>
      </w:r>
      <w:r>
        <w:rPr>
          <w:rFonts w:ascii="仿宋_GB2312" w:eastAsia="仿宋_GB2312" w:hint="eastAsia"/>
          <w:sz w:val="32"/>
          <w:szCs w:val="32"/>
          <w:lang w:eastAsia="zh-CN"/>
        </w:rPr>
        <w:t>支出</w:t>
      </w:r>
      <w:r>
        <w:rPr>
          <w:rFonts w:ascii="仿宋_GB2312" w:eastAsia="仿宋_GB2312" w:hint="eastAsia"/>
          <w:sz w:val="32"/>
          <w:szCs w:val="32"/>
        </w:rPr>
        <w:t>（类）</w:t>
      </w:r>
      <w:r>
        <w:rPr>
          <w:rFonts w:ascii="仿宋_GB2312" w:eastAsia="仿宋_GB2312" w:hint="eastAsia"/>
          <w:sz w:val="32"/>
          <w:szCs w:val="32"/>
          <w:lang w:eastAsia="zh-CN"/>
        </w:rPr>
        <w:t>住房改革支出</w:t>
      </w:r>
      <w:r>
        <w:rPr>
          <w:rFonts w:ascii="仿宋_GB2312" w:eastAsia="仿宋_GB2312" w:hint="eastAsia"/>
          <w:sz w:val="32"/>
          <w:szCs w:val="32"/>
        </w:rPr>
        <w:t>（款）</w:t>
      </w:r>
      <w:r>
        <w:rPr>
          <w:rFonts w:ascii="仿宋_GB2312" w:eastAsia="仿宋_GB2312" w:hint="eastAsia"/>
          <w:sz w:val="32"/>
          <w:szCs w:val="32"/>
          <w:lang w:eastAsia="zh-CN"/>
        </w:rPr>
        <w:t>住房公积金</w:t>
      </w:r>
      <w:r>
        <w:rPr>
          <w:rFonts w:ascii="仿宋_GB2312" w:eastAsia="仿宋_GB2312" w:hint="eastAsia"/>
          <w:sz w:val="32"/>
          <w:szCs w:val="32"/>
        </w:rPr>
        <w:t>（项）：指行政事业单位按人力资源和社</w:t>
      </w:r>
      <w:r>
        <w:rPr>
          <w:rFonts w:ascii="仿宋_GB2312" w:eastAsia="仿宋_GB2312"/>
          <w:sz w:val="32"/>
          <w:szCs w:val="32"/>
        </w:rPr>
        <w:t>会</w:t>
      </w:r>
      <w:r>
        <w:rPr>
          <w:rFonts w:ascii="仿宋_GB2312" w:eastAsia="仿宋_GB2312" w:hint="eastAsia"/>
          <w:sz w:val="32"/>
          <w:szCs w:val="32"/>
        </w:rPr>
        <w:t>保障部、财政部规定的基本工资和津贴补贴以及规定比例为职业缴纳的住房公积金。</w:t>
      </w:r>
    </w:p>
    <w:p>
      <w:pPr>
        <w:spacing w:line="600" w:lineRule="exact"/>
        <w:ind w:firstLine="640"/>
        <w:rPr>
          <w:rFonts w:ascii="仿宋" w:eastAsia="仿宋"/>
          <w:b/>
          <w:sz w:val="32"/>
          <w:szCs w:val="32"/>
        </w:rPr>
      </w:pPr>
      <w:r>
        <w:rPr>
          <w:rFonts w:ascii="仿宋" w:eastAsia="仿宋" w:hint="eastAsia"/>
          <w:b/>
          <w:sz w:val="32"/>
          <w:szCs w:val="32"/>
        </w:rPr>
        <w:t>（解释本单位决算报表中涉及的全部功能分类科目至项级，不涉及的科目请自行删除。请参照《</w:t>
      </w:r>
      <w:r>
        <w:rPr>
          <w:rFonts w:ascii="仿宋" w:eastAsia="仿宋"/>
          <w:b/>
          <w:sz w:val="32"/>
          <w:szCs w:val="32"/>
        </w:rPr>
        <w:t>2024</w:t>
      </w:r>
      <w:r>
        <w:rPr>
          <w:rFonts w:ascii="仿宋" w:eastAsia="仿宋" w:hint="eastAsia"/>
          <w:b/>
          <w:sz w:val="32"/>
          <w:szCs w:val="32"/>
        </w:rPr>
        <w:t>年政府收支分类科目》增减内容。）</w:t>
      </w:r>
    </w:p>
    <w:p>
      <w:pPr>
        <w:ind w:firstLineChars="200" w:firstLine="640"/>
        <w:rPr>
          <w:rFonts w:ascii="仿宋_GB2312" w:eastAsia="仿宋_GB2312"/>
          <w:sz w:val="32"/>
          <w:szCs w:val="32"/>
        </w:rPr>
      </w:pPr>
      <w:r>
        <w:rPr>
          <w:rFonts w:ascii="仿宋_GB2312" w:eastAsia="仿宋_GB2312" w:hint="eastAsia"/>
          <w:sz w:val="32"/>
          <w:szCs w:val="32"/>
        </w:rPr>
        <w:t>1</w:t>
      </w:r>
      <w:r>
        <w:rPr>
          <w:rFonts w:ascii="仿宋_GB2312" w:eastAsia="仿宋_GB2312" w:hint="eastAsia"/>
          <w:sz w:val="32"/>
          <w:szCs w:val="32"/>
          <w:lang w:val="en-US" w:eastAsia="zh-CN"/>
        </w:rPr>
        <w:t>8</w:t>
      </w:r>
      <w:r>
        <w:rPr>
          <w:rFonts w:ascii="仿宋_GB2312" w:eastAsia="仿宋_GB2312"/>
          <w:sz w:val="32"/>
          <w:szCs w:val="32"/>
        </w:rPr>
        <w:t>.</w:t>
      </w:r>
      <w:r>
        <w:rPr>
          <w:rFonts w:ascii="仿宋_GB2312" w:eastAsia="仿宋_GB2312" w:hint="eastAsia"/>
          <w:sz w:val="32"/>
          <w:szCs w:val="32"/>
        </w:rPr>
        <w:t>基本支出：指为保障机构正常运转、完成日常工作任务而发生的人员支出和公用支出。</w:t>
      </w:r>
    </w:p>
    <w:p>
      <w:pPr>
        <w:ind w:firstLineChars="200" w:firstLine="640"/>
        <w:rPr>
          <w:rFonts w:ascii="仿宋_GB2312" w:eastAsia="仿宋_GB2312"/>
          <w:sz w:val="32"/>
          <w:szCs w:val="32"/>
        </w:rPr>
      </w:pPr>
      <w:r>
        <w:rPr>
          <w:rFonts w:ascii="仿宋_GB2312" w:eastAsia="仿宋_GB2312" w:hint="eastAsia"/>
          <w:sz w:val="32"/>
          <w:szCs w:val="32"/>
          <w:lang w:val="en-US" w:eastAsia="zh-CN"/>
        </w:rPr>
        <w:t>19</w:t>
      </w:r>
      <w:r>
        <w:rPr>
          <w:rFonts w:ascii="仿宋_GB2312" w:eastAsia="仿宋_GB2312"/>
          <w:sz w:val="32"/>
          <w:szCs w:val="32"/>
        </w:rPr>
        <w:t>.</w:t>
      </w:r>
      <w:r>
        <w:rPr>
          <w:rFonts w:ascii="仿宋_GB2312" w:eastAsia="仿宋_GB2312" w:hint="eastAsia"/>
          <w:sz w:val="32"/>
          <w:szCs w:val="32"/>
        </w:rPr>
        <w:t>项目支出：指在基本支出之外为完成特定行政任务和事业发展目标所发生的支出。</w:t>
      </w:r>
      <w:r>
        <w:rPr>
          <w:rFonts w:ascii="仿宋_GB2312" w:eastAsia="仿宋_GB2312"/>
          <w:sz w:val="32"/>
          <w:szCs w:val="32"/>
        </w:rPr>
        <w:t xml:space="preserve"> </w:t>
      </w:r>
    </w:p>
    <w:p>
      <w:pPr>
        <w:pStyle w:val="31"/>
        <w:spacing w:line="560" w:lineRule="exact"/>
        <w:ind w:firstLineChars="200" w:firstLine="640"/>
        <w:rPr>
          <w:rFonts w:ascii="仿宋_GB2312" w:eastAsia="仿宋_GB2312"/>
          <w:color w:val="auto"/>
          <w:sz w:val="32"/>
          <w:szCs w:val="32"/>
        </w:rPr>
      </w:pPr>
      <w:r>
        <w:rPr>
          <w:rFonts w:ascii="仿宋_GB2312" w:eastAsia="仿宋_GB2312" w:hint="eastAsia"/>
          <w:color w:val="auto"/>
          <w:sz w:val="32"/>
          <w:szCs w:val="32"/>
        </w:rPr>
        <w:t>2</w:t>
      </w:r>
      <w:r>
        <w:rPr>
          <w:rFonts w:ascii="仿宋_GB2312" w:eastAsia="仿宋_GB2312" w:hint="eastAsia"/>
          <w:color w:val="auto"/>
          <w:sz w:val="32"/>
          <w:szCs w:val="32"/>
          <w:lang w:val="en-US" w:eastAsia="zh-CN"/>
        </w:rPr>
        <w:t>0</w:t>
      </w:r>
      <w:r>
        <w:rPr>
          <w:rFonts w:ascii="仿宋_GB2312" w:eastAsia="仿宋_GB2312"/>
          <w:color w:val="auto"/>
          <w:sz w:val="32"/>
          <w:szCs w:val="32"/>
        </w:rPr>
        <w:t>.</w:t>
      </w:r>
      <w:r>
        <w:rPr>
          <w:rFonts w:ascii="仿宋_GB2312" w:eastAsia="仿宋_GB2312" w:hint="eastAsia"/>
          <w:color w:val="auto"/>
          <w:sz w:val="32"/>
          <w:szCs w:val="32"/>
        </w:rPr>
        <w:t>“三公”经费：指单位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pPr>
        <w:pStyle w:val="31"/>
        <w:spacing w:line="560" w:lineRule="exact"/>
        <w:ind w:firstLineChars="200" w:firstLine="640"/>
        <w:rPr>
          <w:rFonts w:ascii="仿宋_GB2312" w:eastAsia="仿宋_GB2312"/>
          <w:color w:val="auto"/>
          <w:sz w:val="32"/>
          <w:szCs w:val="32"/>
        </w:rPr>
      </w:pPr>
      <w:r>
        <w:rPr>
          <w:rFonts w:ascii="仿宋_GB2312" w:eastAsia="仿宋_GB2312" w:hint="eastAsia"/>
          <w:color w:val="auto"/>
          <w:sz w:val="32"/>
          <w:szCs w:val="32"/>
        </w:rPr>
        <w:t>2</w:t>
      </w:r>
      <w:r>
        <w:rPr>
          <w:rFonts w:ascii="仿宋_GB2312" w:eastAsia="仿宋_GB2312" w:hint="eastAsia"/>
          <w:color w:val="auto"/>
          <w:sz w:val="32"/>
          <w:szCs w:val="32"/>
          <w:lang w:val="en-US" w:eastAsia="zh-CN"/>
        </w:rPr>
        <w:t>1</w:t>
      </w:r>
      <w:r>
        <w:rPr>
          <w:rFonts w:ascii="仿宋_GB2312" w:eastAsia="仿宋_GB2312"/>
          <w:color w:val="auto"/>
          <w:sz w:val="32"/>
          <w:szCs w:val="32"/>
        </w:rPr>
        <w:t>.</w:t>
      </w:r>
      <w:r>
        <w:rPr>
          <w:rFonts w:ascii="仿宋_GB2312" w:eastAsia="仿宋_GB2312" w:hint="eastAsia"/>
          <w:color w:val="auto"/>
          <w:sz w:val="32"/>
          <w:szCs w:val="32"/>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pStyle w:val="31"/>
        <w:spacing w:line="560" w:lineRule="exact"/>
        <w:ind w:firstLineChars="200" w:firstLine="640"/>
        <w:rPr>
          <w:rFonts w:ascii="仿宋_GB2312" w:eastAsia="仿宋_GB2312" w:cs="黑体"/>
          <w:color w:val="auto"/>
          <w:sz w:val="32"/>
          <w:szCs w:val="32"/>
        </w:rPr>
      </w:pPr>
    </w:p>
    <w:p>
      <w:pPr>
        <w:ind w:firstLineChars="200" w:firstLine="640"/>
        <w:rPr>
          <w:rFonts w:ascii="仿宋" w:eastAsia="仿宋"/>
          <w:b/>
          <w:sz w:val="32"/>
          <w:szCs w:val="32"/>
        </w:rPr>
      </w:pPr>
      <w:r>
        <w:rPr>
          <w:rFonts w:ascii="仿宋" w:eastAsia="仿宋" w:hint="eastAsia"/>
          <w:b/>
          <w:sz w:val="32"/>
          <w:szCs w:val="32"/>
        </w:rPr>
        <w:t>（名词解释部分请根据各单位实际列支情况罗列，并根据本单位职责职能增减名词解释内容。）</w:t>
      </w:r>
    </w:p>
    <w:p>
      <w:pPr>
        <w:spacing w:line="600" w:lineRule="exact"/>
        <w:jc w:val="center"/>
        <w:outlineLvl w:val="0"/>
        <w:rPr>
          <w:rStyle w:val="1Char"/>
          <w:rFonts w:ascii="黑体" w:eastAsia="黑体"/>
          <w:b w:val="0"/>
        </w:rPr>
      </w:pPr>
      <w:bookmarkStart w:id="54" w:name="_Toc15377226"/>
      <w:r>
        <w:rPr>
          <w:rFonts w:ascii="宋体"/>
          <w:b/>
          <w:sz w:val="44"/>
          <w:szCs w:val="44"/>
        </w:rPr>
        <w:br w:type="page"/>
      </w:r>
      <w:bookmarkStart w:id="55" w:name="_Toc15396614"/>
      <w:r>
        <w:rPr>
          <w:rFonts w:ascii="黑体" w:eastAsia="黑体" w:hint="eastAsia"/>
          <w:sz w:val="44"/>
          <w:szCs w:val="44"/>
        </w:rPr>
        <w:t>第</w:t>
      </w:r>
      <w:r>
        <w:rPr>
          <w:rStyle w:val="1Char"/>
          <w:rFonts w:ascii="黑体" w:eastAsia="黑体" w:hint="eastAsia"/>
          <w:b w:val="0"/>
        </w:rPr>
        <w:t>四部分 附件</w:t>
      </w:r>
      <w:bookmarkEnd w:id="55"/>
    </w:p>
    <w:p>
      <w:pPr>
        <w:spacing w:line="572" w:lineRule="exact"/>
        <w:jc w:val="left"/>
        <w:outlineLvl w:val="0"/>
        <w:rPr>
          <w:rFonts w:ascii="仿宋_GB2312" w:eastAsia="仿宋_GB2312" w:cs="仿宋_GB2312"/>
          <w:sz w:val="32"/>
          <w:szCs w:val="32"/>
        </w:rPr>
      </w:pPr>
    </w:p>
    <w:p>
      <w:pPr>
        <w:pStyle w:val="24"/>
        <w:shd w:val="clear" w:color="auto" w:fill="FFFFFF"/>
        <w:spacing w:line="560" w:lineRule="exact"/>
        <w:jc w:val="both"/>
        <w:rPr>
          <w:rStyle w:val="26"/>
          <w:rFonts w:ascii="仿宋" w:eastAsia="仿宋" w:cs="仿宋"/>
          <w:b w:val="0"/>
          <w:bCs/>
          <w:sz w:val="32"/>
          <w:szCs w:val="32"/>
        </w:rPr>
      </w:pPr>
      <w:bookmarkStart w:id="56" w:name="_Toc15396618"/>
      <w:r>
        <w:rPr>
          <w:rStyle w:val="26"/>
          <w:rFonts w:ascii="仿宋" w:eastAsia="仿宋" w:cs="仿宋" w:hint="eastAsia"/>
          <w:b w:val="0"/>
          <w:bCs/>
          <w:sz w:val="32"/>
          <w:szCs w:val="32"/>
        </w:rPr>
        <w:t>附件1：</w:t>
      </w:r>
    </w:p>
    <w:p>
      <w:pPr>
        <w:widowControl/>
        <w:spacing w:line="578" w:lineRule="exact"/>
        <w:contextualSpacing/>
        <w:jc w:val="center"/>
        <w:outlineLvl w:val="0"/>
        <w:rPr>
          <w:rFonts w:ascii="宋体" w:cs="宋体"/>
          <w:b/>
          <w:spacing w:val="-20"/>
          <w:szCs w:val="32"/>
          <w:shd w:val="clear" w:color="auto" w:fill="FFFFFF"/>
        </w:rPr>
      </w:pPr>
      <w:r>
        <w:rPr>
          <w:rFonts w:ascii="宋体" w:cs="宋体" w:hint="eastAsia"/>
          <w:b/>
          <w:spacing w:val="-20"/>
          <w:sz w:val="44"/>
          <w:szCs w:val="44"/>
          <w:shd w:val="clear" w:color="auto" w:fill="FFFFFF"/>
        </w:rPr>
        <w:t>汶川县统计局2025年部门预算绩效评价报告</w:t>
      </w:r>
    </w:p>
    <w:p>
      <w:pPr>
        <w:widowControl/>
        <w:adjustRightInd w:val="0"/>
        <w:snapToGrid w:val="0"/>
        <w:spacing w:line="578" w:lineRule="exact"/>
        <w:ind w:firstLineChars="200" w:firstLine="640"/>
        <w:contextualSpacing/>
        <w:jc w:val="left"/>
        <w:outlineLvl w:val="0"/>
        <w:rPr>
          <w:rFonts w:eastAsia="黑体"/>
          <w:sz w:val="32"/>
          <w:szCs w:val="32"/>
        </w:rPr>
      </w:pPr>
      <w:r>
        <w:rPr>
          <w:rFonts w:eastAsia="黑体" w:hint="eastAsia"/>
          <w:color w:val="000000"/>
          <w:kern w:val="0"/>
          <w:sz w:val="32"/>
          <w:szCs w:val="32"/>
          <w:shd w:val="clear" w:color="auto" w:fill="FFFFFF"/>
          <w:lang w:val="zh-CN"/>
        </w:rPr>
        <w:t>一、</w:t>
      </w:r>
      <w:r>
        <w:rPr>
          <w:rFonts w:eastAsia="黑体"/>
          <w:color w:val="000000"/>
          <w:kern w:val="0"/>
          <w:sz w:val="32"/>
          <w:szCs w:val="32"/>
          <w:shd w:val="clear" w:color="auto" w:fill="FFFFFF"/>
          <w:lang w:val="zh-CN"/>
        </w:rPr>
        <w:t>部门（单位）基本情况</w:t>
      </w:r>
      <w:r>
        <w:rPr>
          <w:rFonts w:eastAsia="黑体" w:hint="eastAsia"/>
          <w:color w:val="000000"/>
          <w:kern w:val="0"/>
          <w:sz w:val="32"/>
          <w:szCs w:val="32"/>
          <w:shd w:val="clear" w:color="auto" w:fill="FFFFFF"/>
        </w:rPr>
        <w:t xml:space="preserve"> </w:t>
      </w:r>
    </w:p>
    <w:p>
      <w:pPr>
        <w:pStyle w:val="16"/>
        <w:adjustRightInd w:val="0"/>
        <w:snapToGrid w:val="0"/>
        <w:spacing w:beforeLines="0" w:before="93" w:line="580" w:lineRule="exact"/>
        <w:ind w:firstLineChars="200" w:firstLine="600"/>
        <w:rPr>
          <w:sz w:val="32"/>
          <w:szCs w:val="32"/>
        </w:rPr>
      </w:pPr>
      <w:r>
        <w:rPr>
          <w:rFonts w:eastAsia="楷体_GB2312" w:hint="eastAsia"/>
          <w:b/>
          <w:bCs/>
          <w:color w:val="000000"/>
          <w:szCs w:val="32"/>
          <w:shd w:val="clear" w:color="auto" w:fill="FFFFFF"/>
          <w:lang w:val="zh-CN"/>
        </w:rPr>
        <w:t>（一）</w:t>
      </w:r>
      <w:r>
        <w:rPr>
          <w:rFonts w:ascii="Times New Roman" w:eastAsia="楷体_GB2312" w:hAnsi="Times New Roman"/>
          <w:b/>
          <w:bCs/>
          <w:color w:val="000000"/>
          <w:szCs w:val="32"/>
          <w:shd w:val="clear" w:color="auto" w:fill="FFFFFF"/>
          <w:lang w:val="zh-CN"/>
        </w:rPr>
        <w:t>机构组成。</w:t>
      </w:r>
      <w:r>
        <w:rPr>
          <w:rFonts w:hint="eastAsia"/>
          <w:sz w:val="32"/>
          <w:szCs w:val="32"/>
        </w:rPr>
        <w:t>汶川县统计局机关设办公室、国民经济核算综合统计股、农业工业能源统计股、投资和法规股。</w:t>
      </w:r>
    </w:p>
    <w:p>
      <w:pPr>
        <w:pStyle w:val="16"/>
        <w:adjustRightInd w:val="0"/>
        <w:snapToGrid w:val="0"/>
        <w:spacing w:beforeLines="0" w:before="93" w:line="580" w:lineRule="exact"/>
        <w:ind w:firstLineChars="200" w:firstLine="640"/>
        <w:rPr>
          <w:sz w:val="32"/>
          <w:szCs w:val="32"/>
        </w:rPr>
      </w:pPr>
      <w:r>
        <w:rPr>
          <w:rFonts w:hint="eastAsia"/>
          <w:sz w:val="32"/>
          <w:szCs w:val="32"/>
        </w:rPr>
        <w:t>一个参照公务员管理的股级事业单位：汶川县统计普查中心。一个股级事业单位：汶川县社情民意调查中心。</w:t>
      </w:r>
    </w:p>
    <w:p>
      <w:pPr>
        <w:widowControl/>
        <w:adjustRightInd w:val="0"/>
        <w:snapToGrid w:val="0"/>
        <w:spacing w:line="578" w:lineRule="exact"/>
        <w:ind w:firstLineChars="200" w:firstLine="640"/>
        <w:contextualSpacing/>
        <w:jc w:val="left"/>
        <w:rPr>
          <w:rFonts w:eastAsia="楷体_GB2312"/>
          <w:b/>
          <w:bCs/>
          <w:color w:val="000000"/>
          <w:kern w:val="0"/>
          <w:sz w:val="32"/>
          <w:szCs w:val="32"/>
          <w:shd w:val="clear" w:color="auto" w:fill="FFFFFF"/>
          <w:lang w:val="zh-CN"/>
        </w:rPr>
      </w:pPr>
      <w:r>
        <w:rPr>
          <w:rFonts w:eastAsia="楷体_GB2312"/>
          <w:b/>
          <w:bCs/>
          <w:color w:val="000000"/>
          <w:kern w:val="0"/>
          <w:sz w:val="32"/>
          <w:szCs w:val="32"/>
          <w:shd w:val="clear" w:color="auto" w:fill="FFFFFF"/>
          <w:lang w:val="zh-CN"/>
        </w:rPr>
        <w:t>（二）机构职能</w:t>
      </w:r>
      <w:r>
        <w:rPr>
          <w:rFonts w:eastAsia="楷体_GB2312" w:hint="eastAsia"/>
          <w:b/>
          <w:bCs/>
          <w:color w:val="000000"/>
          <w:kern w:val="0"/>
          <w:sz w:val="32"/>
          <w:szCs w:val="32"/>
          <w:shd w:val="clear" w:color="auto" w:fill="FFFFFF"/>
          <w:lang w:val="zh-CN"/>
        </w:rPr>
        <w:t>。</w:t>
      </w:r>
    </w:p>
    <w:p>
      <w:pPr>
        <w:pStyle w:val="24"/>
        <w:shd w:val="clear" w:color="auto" w:fill="FFFFFF"/>
        <w:adjustRightInd w:val="0"/>
        <w:snapToGrid w:val="0"/>
        <w:spacing w:before="0" w:beforeAutospacing="0" w:after="0" w:afterAutospacing="0" w:line="580" w:lineRule="exact"/>
        <w:ind w:firstLineChars="200" w:firstLine="640"/>
        <w:rPr>
          <w:rFonts w:ascii="仿宋_GB2312" w:eastAsia="仿宋_GB2312" w:cs="Times New Roman"/>
          <w:kern w:val="2"/>
          <w:sz w:val="32"/>
          <w:szCs w:val="32"/>
        </w:rPr>
      </w:pPr>
      <w:r>
        <w:rPr>
          <w:rFonts w:ascii="仿宋_GB2312" w:eastAsia="仿宋_GB2312" w:cs="Times New Roman" w:hint="eastAsia"/>
          <w:kern w:val="2"/>
          <w:sz w:val="32"/>
          <w:szCs w:val="32"/>
        </w:rPr>
        <w:t>1</w:t>
      </w:r>
      <w:r>
        <w:rPr>
          <w:rFonts w:ascii="仿宋_GB2312" w:cs="Times New Roman" w:hAnsi="仿宋_GB2312" w:hint="eastAsia"/>
          <w:kern w:val="2"/>
          <w:sz w:val="32"/>
          <w:szCs w:val="32"/>
        </w:rPr>
        <w:t>.</w:t>
      </w:r>
      <w:r>
        <w:rPr>
          <w:rFonts w:ascii="仿宋_GB2312" w:eastAsia="仿宋_GB2312" w:cs="Times New Roman" w:hint="eastAsia"/>
          <w:kern w:val="2"/>
          <w:sz w:val="32"/>
          <w:szCs w:val="32"/>
        </w:rPr>
        <w:t>贯彻执行国家统计工作方针、政策和统计法律、法规，完成国家规定的统计调查任务，检查监督统计法律法规执行情况，查处各类统计违法违规行为。</w:t>
      </w:r>
    </w:p>
    <w:p>
      <w:pPr>
        <w:pStyle w:val="24"/>
        <w:shd w:val="clear" w:color="auto" w:fill="FFFFFF"/>
        <w:adjustRightInd w:val="0"/>
        <w:snapToGrid w:val="0"/>
        <w:spacing w:before="0" w:beforeAutospacing="0" w:after="0" w:afterAutospacing="0" w:line="580" w:lineRule="exact"/>
        <w:ind w:firstLineChars="200" w:firstLine="640"/>
        <w:rPr>
          <w:rFonts w:ascii="仿宋_GB2312" w:eastAsia="仿宋_GB2312" w:cs="Times New Roman"/>
          <w:kern w:val="2"/>
          <w:sz w:val="32"/>
          <w:szCs w:val="32"/>
        </w:rPr>
      </w:pPr>
      <w:r>
        <w:rPr>
          <w:rFonts w:ascii="仿宋_GB2312" w:eastAsia="仿宋_GB2312" w:cs="Times New Roman" w:hint="eastAsia"/>
          <w:kern w:val="2"/>
          <w:sz w:val="32"/>
          <w:szCs w:val="32"/>
        </w:rPr>
        <w:t>2</w:t>
      </w:r>
      <w:r>
        <w:rPr>
          <w:rFonts w:ascii="仿宋_GB2312" w:cs="Times New Roman" w:hAnsi="仿宋_GB2312" w:hint="eastAsia"/>
          <w:kern w:val="2"/>
          <w:sz w:val="32"/>
          <w:szCs w:val="32"/>
        </w:rPr>
        <w:t>.</w:t>
      </w:r>
      <w:r>
        <w:rPr>
          <w:rFonts w:ascii="仿宋_GB2312" w:eastAsia="仿宋_GB2312" w:cs="Times New Roman" w:hint="eastAsia"/>
          <w:kern w:val="2"/>
          <w:sz w:val="32"/>
          <w:szCs w:val="32"/>
        </w:rPr>
        <w:t>组织实施周期性的人口、农业、经济和基本调查单位等重大国情国力普查，组织协调全县性的社会经济专项调查；组织领导和综合协调各部门的统计和国民经济核算工作。 </w:t>
      </w:r>
    </w:p>
    <w:p>
      <w:pPr>
        <w:pStyle w:val="24"/>
        <w:shd w:val="clear" w:color="auto" w:fill="FFFFFF"/>
        <w:adjustRightInd w:val="0"/>
        <w:snapToGrid w:val="0"/>
        <w:spacing w:before="0" w:beforeAutospacing="0" w:after="0" w:afterAutospacing="0" w:line="580" w:lineRule="exact"/>
        <w:ind w:firstLineChars="200" w:firstLine="640"/>
        <w:rPr>
          <w:rFonts w:ascii="仿宋_GB2312" w:eastAsia="仿宋_GB2312" w:cs="Times New Roman"/>
          <w:kern w:val="2"/>
          <w:sz w:val="32"/>
          <w:szCs w:val="32"/>
        </w:rPr>
      </w:pPr>
      <w:r>
        <w:rPr>
          <w:rFonts w:ascii="仿宋_GB2312" w:eastAsia="仿宋_GB2312" w:cs="Times New Roman" w:hint="eastAsia"/>
          <w:kern w:val="2"/>
          <w:sz w:val="32"/>
          <w:szCs w:val="32"/>
        </w:rPr>
        <w:t>3</w:t>
      </w:r>
      <w:r>
        <w:rPr>
          <w:rFonts w:ascii="仿宋_GB2312" w:cs="Times New Roman" w:hAnsi="仿宋_GB2312" w:hint="eastAsia"/>
          <w:kern w:val="2"/>
          <w:sz w:val="32"/>
          <w:szCs w:val="32"/>
        </w:rPr>
        <w:t>.</w:t>
      </w:r>
      <w:r>
        <w:rPr>
          <w:rFonts w:ascii="仿宋_GB2312" w:eastAsia="仿宋_GB2312" w:cs="Times New Roman" w:hint="eastAsia"/>
          <w:kern w:val="2"/>
          <w:sz w:val="32"/>
          <w:szCs w:val="32"/>
        </w:rPr>
        <w:t>搜集、整理、提供全县性的基本统计资料，并对全县国民经济、社会发展和科技进步情况进行统计分析、统计预测和统计监督，向县委、县政府及有关部门提供咨询建议。    4</w:t>
      </w:r>
      <w:r>
        <w:rPr>
          <w:rFonts w:ascii="仿宋_GB2312" w:cs="Times New Roman" w:hAnsi="仿宋_GB2312" w:hint="eastAsia"/>
          <w:kern w:val="2"/>
          <w:sz w:val="32"/>
          <w:szCs w:val="32"/>
        </w:rPr>
        <w:t>.</w:t>
      </w:r>
      <w:r>
        <w:rPr>
          <w:rFonts w:ascii="仿宋_GB2312" w:eastAsia="仿宋_GB2312" w:cs="Times New Roman" w:hint="eastAsia"/>
          <w:kern w:val="2"/>
          <w:sz w:val="32"/>
          <w:szCs w:val="32"/>
        </w:rPr>
        <w:t>统一审定、管理、公布、出版全县性的基本统计资料、定期发布全县国民经济和社会发展情况的统计公报。</w:t>
      </w:r>
    </w:p>
    <w:p>
      <w:pPr>
        <w:pStyle w:val="24"/>
        <w:shd w:val="clear" w:color="auto" w:fill="FFFFFF"/>
        <w:adjustRightInd w:val="0"/>
        <w:snapToGrid w:val="0"/>
        <w:spacing w:before="0" w:beforeAutospacing="0" w:after="0" w:afterAutospacing="0" w:line="580" w:lineRule="exact"/>
        <w:ind w:firstLineChars="200" w:firstLine="640"/>
        <w:rPr>
          <w:rFonts w:ascii="仿宋_GB2312" w:eastAsia="仿宋_GB2312" w:cs="Times New Roman"/>
          <w:kern w:val="2"/>
          <w:sz w:val="32"/>
          <w:szCs w:val="32"/>
        </w:rPr>
      </w:pPr>
      <w:r>
        <w:rPr>
          <w:rFonts w:ascii="仿宋_GB2312" w:eastAsia="仿宋_GB2312" w:cs="Times New Roman" w:hint="eastAsia"/>
          <w:kern w:val="2"/>
          <w:sz w:val="32"/>
          <w:szCs w:val="32"/>
        </w:rPr>
        <w:t>5</w:t>
      </w:r>
      <w:r>
        <w:rPr>
          <w:rFonts w:ascii="仿宋_GB2312" w:cs="Times New Roman" w:hAnsi="仿宋_GB2312" w:hint="eastAsia"/>
          <w:kern w:val="2"/>
          <w:sz w:val="32"/>
          <w:szCs w:val="32"/>
        </w:rPr>
        <w:t>.</w:t>
      </w:r>
      <w:r>
        <w:rPr>
          <w:rFonts w:ascii="仿宋_GB2312" w:eastAsia="仿宋_GB2312" w:cs="Times New Roman" w:hint="eastAsia"/>
          <w:kern w:val="2"/>
          <w:sz w:val="32"/>
          <w:szCs w:val="32"/>
        </w:rPr>
        <w:t>建立健全和管理全县统计信息自动化系统和统计数据库体系；指导基层单位加强统计基础建设。 </w:t>
      </w:r>
    </w:p>
    <w:p>
      <w:pPr>
        <w:pStyle w:val="24"/>
        <w:shd w:val="clear" w:color="auto" w:fill="FFFFFF"/>
        <w:adjustRightInd w:val="0"/>
        <w:snapToGrid w:val="0"/>
        <w:spacing w:before="0" w:beforeAutospacing="0" w:after="0" w:afterAutospacing="0" w:line="580" w:lineRule="exact"/>
        <w:ind w:firstLineChars="200" w:firstLine="640"/>
        <w:rPr>
          <w:rFonts w:ascii="仿宋_GB2312" w:eastAsia="仿宋_GB2312" w:cs="Times New Roman"/>
          <w:kern w:val="2"/>
          <w:sz w:val="32"/>
          <w:szCs w:val="32"/>
        </w:rPr>
      </w:pPr>
      <w:r>
        <w:rPr>
          <w:rFonts w:ascii="仿宋_GB2312" w:eastAsia="仿宋_GB2312" w:cs="Times New Roman" w:hint="eastAsia"/>
          <w:kern w:val="2"/>
          <w:sz w:val="32"/>
          <w:szCs w:val="32"/>
        </w:rPr>
        <w:t>6</w:t>
      </w:r>
      <w:r>
        <w:rPr>
          <w:rFonts w:ascii="仿宋_GB2312" w:cs="Times New Roman" w:hAnsi="仿宋_GB2312" w:hint="eastAsia"/>
          <w:kern w:val="2"/>
          <w:sz w:val="32"/>
          <w:szCs w:val="32"/>
        </w:rPr>
        <w:t>.</w:t>
      </w:r>
      <w:r>
        <w:rPr>
          <w:rFonts w:ascii="仿宋_GB2312" w:eastAsia="仿宋_GB2312" w:cs="Times New Roman" w:hint="eastAsia"/>
          <w:kern w:val="2"/>
          <w:sz w:val="32"/>
          <w:szCs w:val="32"/>
        </w:rPr>
        <w:t>完成县委、县政府交办的其他或临时性工作任务。</w:t>
      </w:r>
    </w:p>
    <w:p>
      <w:pPr>
        <w:spacing w:line="600" w:lineRule="exact"/>
        <w:ind w:firstLineChars="200" w:firstLine="640"/>
        <w:rPr>
          <w:rFonts w:eastAsia="楷体_GB2312"/>
          <w:b/>
          <w:bCs/>
          <w:color w:val="000000"/>
          <w:kern w:val="0"/>
          <w:sz w:val="32"/>
          <w:szCs w:val="32"/>
          <w:shd w:val="clear" w:color="auto" w:fill="FFFFFF"/>
          <w:lang w:val="zh-CN"/>
        </w:rPr>
      </w:pPr>
      <w:r>
        <w:rPr>
          <w:rFonts w:eastAsia="楷体_GB2312"/>
          <w:b/>
          <w:bCs/>
          <w:color w:val="000000"/>
          <w:kern w:val="0"/>
          <w:sz w:val="32"/>
          <w:szCs w:val="32"/>
          <w:shd w:val="clear" w:color="auto" w:fill="FFFFFF"/>
          <w:lang w:val="zh-CN"/>
        </w:rPr>
        <w:t>（</w:t>
      </w:r>
      <w:r>
        <w:rPr>
          <w:rFonts w:eastAsia="楷体_GB2312" w:hint="eastAsia"/>
          <w:b/>
          <w:bCs/>
          <w:color w:val="000000"/>
          <w:kern w:val="0"/>
          <w:sz w:val="32"/>
          <w:szCs w:val="32"/>
          <w:shd w:val="clear" w:color="auto" w:fill="FFFFFF"/>
          <w:lang w:val="zh-CN"/>
        </w:rPr>
        <w:t>三</w:t>
      </w:r>
      <w:r>
        <w:rPr>
          <w:rFonts w:eastAsia="楷体_GB2312"/>
          <w:b/>
          <w:bCs/>
          <w:color w:val="000000"/>
          <w:kern w:val="0"/>
          <w:sz w:val="32"/>
          <w:szCs w:val="32"/>
          <w:shd w:val="clear" w:color="auto" w:fill="FFFFFF"/>
          <w:lang w:val="zh-CN"/>
        </w:rPr>
        <w:t>）人员概况</w:t>
      </w:r>
      <w:r>
        <w:rPr>
          <w:rFonts w:eastAsia="楷体_GB2312" w:hint="eastAsia"/>
          <w:b/>
          <w:bCs/>
          <w:color w:val="000000"/>
          <w:kern w:val="0"/>
          <w:sz w:val="32"/>
          <w:szCs w:val="32"/>
          <w:shd w:val="clear" w:color="auto" w:fill="FFFFFF"/>
          <w:lang w:val="zh-CN"/>
        </w:rPr>
        <w:t>。</w:t>
      </w:r>
    </w:p>
    <w:p>
      <w:pPr>
        <w:widowControl/>
        <w:adjustRightInd w:val="0"/>
        <w:snapToGrid w:val="0"/>
        <w:spacing w:line="560" w:lineRule="exact"/>
        <w:ind w:firstLineChars="200" w:firstLine="640"/>
        <w:jc w:val="left"/>
        <w:rPr>
          <w:sz w:val="32"/>
          <w:szCs w:val="32"/>
        </w:rPr>
      </w:pPr>
      <w:r>
        <w:rPr>
          <w:rFonts w:ascii="仿宋_GB2312" w:eastAsia="仿宋_GB2312" w:cs="宋体" w:hint="eastAsia"/>
          <w:kern w:val="0"/>
          <w:sz w:val="32"/>
          <w:szCs w:val="32"/>
        </w:rPr>
        <w:t>总编制1</w:t>
      </w:r>
      <w:r>
        <w:rPr>
          <w:rFonts w:ascii="仿宋_GB2312" w:cs="宋体" w:hAnsi="仿宋_GB2312" w:hint="eastAsia"/>
          <w:kern w:val="0"/>
          <w:sz w:val="32"/>
          <w:szCs w:val="32"/>
        </w:rPr>
        <w:t>6</w:t>
      </w:r>
      <w:r>
        <w:rPr>
          <w:rFonts w:ascii="仿宋_GB2312" w:eastAsia="仿宋_GB2312" w:cs="宋体" w:hint="eastAsia"/>
          <w:kern w:val="0"/>
          <w:sz w:val="32"/>
          <w:szCs w:val="32"/>
        </w:rPr>
        <w:t>名,其中:行政编制7名,参照公务员法管理的事业编制5名，行政工勤1名，参公工勤1名，其他事业编制2名。在职人员总数</w:t>
      </w:r>
      <w:r>
        <w:rPr>
          <w:rFonts w:ascii="仿宋_GB2312" w:cs="宋体" w:hAnsi="仿宋_GB2312" w:hint="eastAsia"/>
          <w:kern w:val="0"/>
          <w:sz w:val="32"/>
          <w:szCs w:val="32"/>
        </w:rPr>
        <w:t>16</w:t>
      </w:r>
      <w:r>
        <w:rPr>
          <w:rFonts w:ascii="仿宋_GB2312" w:eastAsia="仿宋_GB2312" w:cs="宋体" w:hint="eastAsia"/>
          <w:kern w:val="0"/>
          <w:sz w:val="32"/>
          <w:szCs w:val="32"/>
        </w:rPr>
        <w:t>名，其中：行政人员</w:t>
      </w:r>
      <w:r>
        <w:rPr>
          <w:rFonts w:ascii="仿宋_GB2312" w:cs="宋体" w:hAnsi="仿宋_GB2312" w:hint="eastAsia"/>
          <w:kern w:val="0"/>
          <w:sz w:val="32"/>
          <w:szCs w:val="32"/>
        </w:rPr>
        <w:t>7</w:t>
      </w:r>
      <w:r>
        <w:rPr>
          <w:rFonts w:ascii="仿宋_GB2312" w:eastAsia="仿宋_GB2312" w:cs="宋体" w:hint="eastAsia"/>
          <w:kern w:val="0"/>
          <w:sz w:val="32"/>
          <w:szCs w:val="32"/>
        </w:rPr>
        <w:t>名，参照公务员法管理的事业人员</w:t>
      </w:r>
      <w:r>
        <w:rPr>
          <w:rFonts w:ascii="仿宋_GB2312" w:cs="宋体" w:hAnsi="仿宋_GB2312" w:hint="eastAsia"/>
          <w:kern w:val="0"/>
          <w:sz w:val="32"/>
          <w:szCs w:val="32"/>
        </w:rPr>
        <w:t>5</w:t>
      </w:r>
      <w:r>
        <w:rPr>
          <w:rFonts w:ascii="仿宋_GB2312" w:eastAsia="仿宋_GB2312" w:cs="宋体" w:hint="eastAsia"/>
          <w:kern w:val="0"/>
          <w:sz w:val="32"/>
          <w:szCs w:val="32"/>
        </w:rPr>
        <w:t>名，行政工勤</w:t>
      </w:r>
      <w:r>
        <w:rPr>
          <w:rFonts w:ascii="仿宋_GB2312" w:cs="宋体" w:hAnsi="仿宋_GB2312" w:hint="eastAsia"/>
          <w:kern w:val="0"/>
          <w:sz w:val="32"/>
          <w:szCs w:val="32"/>
        </w:rPr>
        <w:t>1</w:t>
      </w:r>
      <w:r>
        <w:rPr>
          <w:rFonts w:ascii="仿宋_GB2312" w:eastAsia="仿宋_GB2312" w:cs="宋体" w:hint="eastAsia"/>
          <w:kern w:val="0"/>
          <w:sz w:val="32"/>
          <w:szCs w:val="32"/>
        </w:rPr>
        <w:t>名，参公工勤1名，其他事业人员2名；离休人员0人，退休人员10人；编外长期聘用人员0名。</w:t>
      </w:r>
    </w:p>
    <w:p>
      <w:pPr>
        <w:widowControl/>
        <w:adjustRightInd w:val="0"/>
        <w:snapToGrid w:val="0"/>
        <w:spacing w:line="578" w:lineRule="exact"/>
        <w:ind w:firstLineChars="200" w:firstLine="640"/>
        <w:contextualSpacing/>
        <w:jc w:val="left"/>
        <w:outlineLvl w:val="0"/>
        <w:rPr>
          <w:rFonts w:eastAsia="黑体"/>
          <w:color w:val="000000"/>
          <w:kern w:val="0"/>
          <w:sz w:val="32"/>
          <w:szCs w:val="32"/>
          <w:shd w:val="clear" w:color="auto" w:fill="FFFFFF"/>
        </w:rPr>
      </w:pPr>
      <w:r>
        <w:rPr>
          <w:rFonts w:eastAsia="黑体"/>
          <w:color w:val="000000"/>
          <w:kern w:val="0"/>
          <w:sz w:val="32"/>
          <w:szCs w:val="32"/>
          <w:shd w:val="clear" w:color="auto" w:fill="FFFFFF"/>
        </w:rPr>
        <w:t>二、部门资金收支情况</w:t>
      </w:r>
    </w:p>
    <w:p>
      <w:pPr>
        <w:widowControl/>
        <w:adjustRightInd w:val="0"/>
        <w:snapToGrid w:val="0"/>
        <w:spacing w:line="578" w:lineRule="exact"/>
        <w:ind w:firstLineChars="200" w:firstLine="640"/>
        <w:contextualSpacing/>
        <w:jc w:val="left"/>
        <w:rPr>
          <w:rFonts w:eastAsia="楷体_GB2312"/>
          <w:b/>
          <w:bCs/>
          <w:color w:val="000000"/>
          <w:kern w:val="0"/>
          <w:sz w:val="32"/>
          <w:szCs w:val="32"/>
          <w:shd w:val="clear" w:color="auto" w:fill="FFFFFF"/>
          <w:lang w:val="zh-CN"/>
        </w:rPr>
      </w:pPr>
      <w:r>
        <w:rPr>
          <w:rFonts w:eastAsia="楷体_GB2312"/>
          <w:b/>
          <w:bCs/>
          <w:color w:val="000000"/>
          <w:kern w:val="0"/>
          <w:sz w:val="32"/>
          <w:szCs w:val="32"/>
          <w:shd w:val="clear" w:color="auto" w:fill="FFFFFF"/>
          <w:lang w:val="zh-CN"/>
        </w:rPr>
        <w:t>（一）</w:t>
      </w:r>
      <w:r>
        <w:rPr>
          <w:rFonts w:eastAsia="楷体_GB2312" w:hint="eastAsia"/>
          <w:b/>
          <w:bCs/>
          <w:color w:val="000000"/>
          <w:kern w:val="0"/>
          <w:sz w:val="32"/>
          <w:szCs w:val="32"/>
          <w:shd w:val="clear" w:color="auto" w:fill="FFFFFF"/>
          <w:lang w:val="zh-CN"/>
        </w:rPr>
        <w:t>收入情况</w:t>
      </w:r>
      <w:r>
        <w:rPr>
          <w:rFonts w:eastAsia="楷体_GB2312"/>
          <w:b/>
          <w:bCs/>
          <w:color w:val="000000"/>
          <w:kern w:val="0"/>
          <w:sz w:val="32"/>
          <w:szCs w:val="32"/>
          <w:shd w:val="clear" w:color="auto" w:fill="FFFFFF"/>
          <w:lang w:val="zh-CN"/>
        </w:rPr>
        <w:t>。</w:t>
      </w:r>
    </w:p>
    <w:p>
      <w:pPr>
        <w:adjustRightInd w:val="0"/>
        <w:snapToGrid w:val="0"/>
        <w:spacing w:line="580" w:lineRule="exact"/>
        <w:ind w:firstLineChars="200" w:firstLine="640"/>
        <w:rPr>
          <w:rFonts w:ascii="仿宋" w:eastAsia="仿宋" w:cs="仿宋"/>
          <w:color w:val="000000"/>
          <w:kern w:val="0"/>
          <w:szCs w:val="32"/>
          <w:shd w:val="clear" w:color="auto" w:fill="FFFFFF"/>
          <w:lang w:val="zh-CN"/>
        </w:rPr>
      </w:pPr>
      <w:r>
        <w:rPr>
          <w:rFonts w:ascii="仿宋" w:eastAsia="仿宋" w:cs="仿宋" w:hint="eastAsia"/>
          <w:sz w:val="32"/>
          <w:szCs w:val="32"/>
        </w:rPr>
        <w:t>2025年汶川县统计局收入合计为418.21万元，其中，财政拨款收入为415.21万元，非财政拨款3.00万元，年初结余0.00万元。</w:t>
      </w:r>
    </w:p>
    <w:p>
      <w:pPr>
        <w:widowControl/>
        <w:adjustRightInd w:val="0"/>
        <w:snapToGrid w:val="0"/>
        <w:spacing w:line="578" w:lineRule="exact"/>
        <w:ind w:firstLineChars="200" w:firstLine="640"/>
        <w:contextualSpacing/>
        <w:jc w:val="left"/>
        <w:rPr>
          <w:rFonts w:eastAsia="楷体_GB2312"/>
          <w:b/>
          <w:bCs/>
          <w:color w:val="000000"/>
          <w:kern w:val="0"/>
          <w:szCs w:val="32"/>
          <w:shd w:val="clear" w:color="auto" w:fill="FFFFFF"/>
          <w:lang w:val="zh-CN"/>
        </w:rPr>
      </w:pPr>
      <w:r>
        <w:rPr>
          <w:rFonts w:eastAsia="楷体_GB2312"/>
          <w:b/>
          <w:bCs/>
          <w:color w:val="000000"/>
          <w:kern w:val="0"/>
          <w:sz w:val="32"/>
          <w:szCs w:val="32"/>
          <w:shd w:val="clear" w:color="auto" w:fill="FFFFFF"/>
          <w:lang w:val="zh-CN"/>
        </w:rPr>
        <w:t>（</w:t>
      </w:r>
      <w:r>
        <w:rPr>
          <w:rFonts w:eastAsia="楷体_GB2312" w:hint="eastAsia"/>
          <w:b/>
          <w:bCs/>
          <w:color w:val="000000"/>
          <w:kern w:val="0"/>
          <w:sz w:val="32"/>
          <w:szCs w:val="32"/>
          <w:shd w:val="clear" w:color="auto" w:fill="FFFFFF"/>
          <w:lang w:val="zh-CN"/>
        </w:rPr>
        <w:t>二</w:t>
      </w:r>
      <w:r>
        <w:rPr>
          <w:rFonts w:eastAsia="楷体_GB2312"/>
          <w:b/>
          <w:bCs/>
          <w:color w:val="000000"/>
          <w:kern w:val="0"/>
          <w:sz w:val="32"/>
          <w:szCs w:val="32"/>
          <w:shd w:val="clear" w:color="auto" w:fill="FFFFFF"/>
          <w:lang w:val="zh-CN"/>
        </w:rPr>
        <w:t>）</w:t>
      </w:r>
      <w:r>
        <w:rPr>
          <w:rFonts w:eastAsia="楷体_GB2312" w:hint="eastAsia"/>
          <w:b/>
          <w:bCs/>
          <w:color w:val="000000"/>
          <w:kern w:val="0"/>
          <w:sz w:val="32"/>
          <w:szCs w:val="32"/>
          <w:shd w:val="clear" w:color="auto" w:fill="FFFFFF"/>
          <w:lang w:val="zh-CN"/>
        </w:rPr>
        <w:t>支出情况</w:t>
      </w:r>
      <w:r>
        <w:rPr>
          <w:rFonts w:eastAsia="楷体_GB2312"/>
          <w:b/>
          <w:bCs/>
          <w:color w:val="000000"/>
          <w:kern w:val="0"/>
          <w:sz w:val="32"/>
          <w:szCs w:val="32"/>
          <w:shd w:val="clear" w:color="auto" w:fill="FFFFFF"/>
          <w:lang w:val="zh-CN"/>
        </w:rPr>
        <w:t>。</w:t>
      </w:r>
    </w:p>
    <w:p>
      <w:pPr>
        <w:widowControl/>
        <w:adjustRightInd w:val="0"/>
        <w:snapToGrid w:val="0"/>
        <w:spacing w:line="580" w:lineRule="exact"/>
        <w:ind w:firstLineChars="200" w:firstLine="640"/>
        <w:jc w:val="left"/>
        <w:rPr>
          <w:rFonts w:ascii="仿宋_GB2312" w:eastAsia="仿宋_GB2312" w:cs="仿宋_GB2312"/>
          <w:sz w:val="32"/>
          <w:szCs w:val="32"/>
        </w:rPr>
      </w:pPr>
      <w:r>
        <w:rPr>
          <w:rFonts w:ascii="仿宋_GB2312" w:eastAsia="仿宋_GB2312" w:cs="仿宋_GB2312" w:hint="eastAsia"/>
          <w:sz w:val="32"/>
          <w:szCs w:val="32"/>
        </w:rPr>
        <w:t>统计局20</w:t>
      </w:r>
      <w:r>
        <w:rPr>
          <w:rFonts w:ascii="仿宋_GB2312" w:cs="仿宋_GB2312" w:hAnsi="仿宋_GB2312" w:hint="eastAsia"/>
          <w:sz w:val="32"/>
          <w:szCs w:val="32"/>
        </w:rPr>
        <w:t>25</w:t>
      </w:r>
      <w:r>
        <w:rPr>
          <w:rFonts w:ascii="仿宋_GB2312" w:eastAsia="仿宋_GB2312" w:cs="仿宋_GB2312" w:hint="eastAsia"/>
          <w:sz w:val="32"/>
          <w:szCs w:val="32"/>
        </w:rPr>
        <w:t>年财政支出</w:t>
      </w:r>
      <w:r>
        <w:rPr>
          <w:rFonts w:ascii="仿宋_GB2312" w:cs="仿宋_GB2312" w:hAnsi="仿宋_GB2312" w:hint="eastAsia"/>
          <w:sz w:val="32"/>
          <w:szCs w:val="32"/>
        </w:rPr>
        <w:t>418.21</w:t>
      </w:r>
      <w:r>
        <w:rPr>
          <w:rFonts w:ascii="仿宋_GB2312" w:eastAsia="仿宋_GB2312" w:cs="仿宋_GB2312" w:hint="eastAsia"/>
          <w:sz w:val="32"/>
          <w:szCs w:val="32"/>
        </w:rPr>
        <w:t>万元</w:t>
      </w:r>
      <w:r>
        <w:rPr>
          <w:rFonts w:ascii="仿宋_GB2312" w:eastAsia="仿宋_GB2312" w:cs="仿宋_GB2312" w:hint="eastAsia"/>
          <w:sz w:val="32"/>
          <w:szCs w:val="32"/>
          <w:shd w:val="clear" w:color="auto" w:fill="FFFFFF"/>
        </w:rPr>
        <w:t>。</w:t>
      </w:r>
      <w:r>
        <w:rPr>
          <w:rFonts w:ascii="仿宋_GB2312" w:eastAsia="仿宋_GB2312" w:cs="仿宋_GB2312" w:hint="eastAsia"/>
          <w:sz w:val="32"/>
          <w:szCs w:val="32"/>
        </w:rPr>
        <w:t>汶川县统计局预算安排支出主要用于保障该部门机构</w:t>
      </w:r>
      <w:r>
        <w:rPr>
          <w:rFonts w:ascii="仿宋_GB2312" w:eastAsia="仿宋_GB2312" w:cs="仿宋_GB2312" w:hint="eastAsia"/>
          <w:spacing w:val="-2"/>
          <w:sz w:val="32"/>
          <w:szCs w:val="32"/>
        </w:rPr>
        <w:t>正常运转、完成日常工作任务及承担统计事业发展相关工</w:t>
      </w:r>
      <w:r>
        <w:rPr>
          <w:rFonts w:ascii="仿宋_GB2312" w:eastAsia="仿宋_GB2312" w:cs="仿宋_GB2312" w:hint="eastAsia"/>
          <w:sz w:val="32"/>
          <w:szCs w:val="32"/>
        </w:rPr>
        <w:t>作。</w:t>
      </w:r>
    </w:p>
    <w:p>
      <w:pPr>
        <w:adjustRightInd w:val="0"/>
        <w:snapToGrid w:val="0"/>
        <w:spacing w:line="580" w:lineRule="exact"/>
        <w:ind w:firstLineChars="200" w:firstLine="640"/>
        <w:rPr>
          <w:rFonts w:ascii="仿宋_GB2312" w:eastAsia="仿宋_GB2312" w:cs="仿宋_GB2312"/>
          <w:sz w:val="32"/>
          <w:szCs w:val="32"/>
        </w:rPr>
      </w:pPr>
      <w:r>
        <w:rPr>
          <w:rFonts w:ascii="仿宋_GB2312" w:eastAsia="仿宋_GB2312" w:cs="仿宋_GB2312" w:hint="eastAsia"/>
          <w:b/>
          <w:bCs/>
          <w:sz w:val="32"/>
          <w:szCs w:val="32"/>
        </w:rPr>
        <w:t>1</w:t>
      </w:r>
      <w:r>
        <w:rPr>
          <w:rFonts w:ascii="仿宋_GB2312" w:cs="仿宋_GB2312" w:hAnsi="仿宋_GB2312" w:hint="eastAsia"/>
          <w:b/>
          <w:bCs/>
          <w:sz w:val="32"/>
          <w:szCs w:val="32"/>
        </w:rPr>
        <w:t>.</w:t>
      </w:r>
      <w:r>
        <w:rPr>
          <w:rFonts w:ascii="仿宋_GB2312" w:eastAsia="仿宋_GB2312" w:cs="仿宋_GB2312" w:hint="eastAsia"/>
          <w:b/>
          <w:bCs/>
          <w:sz w:val="32"/>
          <w:szCs w:val="32"/>
        </w:rPr>
        <w:t>基本支出：</w:t>
      </w:r>
      <w:r>
        <w:rPr>
          <w:rFonts w:ascii="仿宋_GB2312" w:cs="仿宋_GB2312" w:hAnsi="仿宋_GB2312" w:hint="eastAsia"/>
          <w:sz w:val="32"/>
          <w:szCs w:val="32"/>
        </w:rPr>
        <w:t>2025年</w:t>
      </w:r>
      <w:r>
        <w:rPr>
          <w:rFonts w:ascii="仿宋_GB2312" w:eastAsia="仿宋_GB2312" w:cs="仿宋_GB2312" w:hint="eastAsia"/>
          <w:sz w:val="32"/>
          <w:szCs w:val="32"/>
        </w:rPr>
        <w:t>用于保障统计局机关正常运转的日常支出共计</w:t>
      </w:r>
      <w:r>
        <w:rPr>
          <w:rFonts w:ascii="仿宋_GB2312" w:cs="仿宋_GB2312" w:hAnsi="仿宋_GB2312" w:hint="eastAsia"/>
          <w:sz w:val="32"/>
          <w:szCs w:val="32"/>
        </w:rPr>
        <w:t>334.40</w:t>
      </w:r>
      <w:r>
        <w:rPr>
          <w:rFonts w:ascii="仿宋_GB2312" w:eastAsia="仿宋_GB2312" w:cs="仿宋_GB2312" w:hint="eastAsia"/>
          <w:sz w:val="32"/>
          <w:szCs w:val="32"/>
        </w:rPr>
        <w:t>万元，包括基本工资、津贴补贴</w:t>
      </w:r>
      <w:r>
        <w:rPr>
          <w:rFonts w:ascii="仿宋_GB2312" w:cs="仿宋_GB2312" w:hAnsi="仿宋_GB2312" w:hint="eastAsia"/>
          <w:sz w:val="32"/>
          <w:szCs w:val="32"/>
        </w:rPr>
        <w:t>、奖金</w:t>
      </w:r>
      <w:r>
        <w:rPr>
          <w:rFonts w:ascii="仿宋_GB2312" w:eastAsia="仿宋_GB2312" w:cs="仿宋_GB2312" w:hint="eastAsia"/>
          <w:sz w:val="32"/>
          <w:szCs w:val="32"/>
        </w:rPr>
        <w:t>等人员经费以及办公费、印刷费、</w:t>
      </w:r>
      <w:r>
        <w:rPr>
          <w:rFonts w:ascii="仿宋_GB2312" w:cs="仿宋_GB2312" w:hAnsi="仿宋_GB2312" w:hint="eastAsia"/>
          <w:sz w:val="32"/>
          <w:szCs w:val="32"/>
        </w:rPr>
        <w:t>差旅费、邮电费</w:t>
      </w:r>
      <w:r>
        <w:rPr>
          <w:rFonts w:ascii="仿宋_GB2312" w:eastAsia="仿宋_GB2312" w:cs="仿宋_GB2312" w:hint="eastAsia"/>
          <w:sz w:val="32"/>
          <w:szCs w:val="32"/>
        </w:rPr>
        <w:t>等日常公用经费。</w:t>
      </w:r>
    </w:p>
    <w:p>
      <w:pPr>
        <w:widowControl/>
        <w:adjustRightInd w:val="0"/>
        <w:snapToGrid w:val="0"/>
        <w:spacing w:line="580" w:lineRule="exact"/>
        <w:ind w:firstLineChars="200" w:firstLine="640"/>
        <w:contextualSpacing/>
        <w:jc w:val="left"/>
        <w:rPr>
          <w:rFonts w:ascii="仿宋" w:eastAsia="仿宋" w:cs="仿宋"/>
          <w:b/>
          <w:bCs/>
          <w:color w:val="000000"/>
          <w:kern w:val="0"/>
          <w:szCs w:val="32"/>
          <w:shd w:val="clear" w:color="auto" w:fill="FFFFFF"/>
          <w:lang w:val="zh-CN"/>
        </w:rPr>
      </w:pPr>
      <w:r>
        <w:rPr>
          <w:rFonts w:ascii="仿宋_GB2312" w:eastAsia="仿宋_GB2312" w:cs="仿宋_GB2312" w:hint="eastAsia"/>
          <w:b/>
          <w:bCs/>
          <w:sz w:val="32"/>
          <w:szCs w:val="32"/>
        </w:rPr>
        <w:t>2</w:t>
      </w:r>
      <w:r>
        <w:rPr>
          <w:rFonts w:ascii="仿宋_GB2312" w:cs="仿宋_GB2312" w:hAnsi="仿宋_GB2312" w:hint="eastAsia"/>
          <w:b/>
          <w:bCs/>
          <w:sz w:val="32"/>
          <w:szCs w:val="32"/>
        </w:rPr>
        <w:t>.</w:t>
      </w:r>
      <w:r>
        <w:rPr>
          <w:rFonts w:ascii="仿宋_GB2312" w:eastAsia="仿宋_GB2312" w:cs="仿宋_GB2312" w:hint="eastAsia"/>
          <w:b/>
          <w:bCs/>
          <w:sz w:val="32"/>
          <w:szCs w:val="32"/>
        </w:rPr>
        <w:t>项目支出：</w:t>
      </w:r>
      <w:r>
        <w:rPr>
          <w:rFonts w:ascii="仿宋" w:eastAsia="仿宋" w:cs="仿宋" w:hint="eastAsia"/>
          <w:sz w:val="32"/>
          <w:szCs w:val="32"/>
        </w:rPr>
        <w:t>2025年用于行政事业类项目支出支出共计83.81万元，其中，财政拨款83.81万元。</w:t>
      </w:r>
    </w:p>
    <w:p>
      <w:pPr>
        <w:widowControl/>
        <w:adjustRightInd w:val="0"/>
        <w:snapToGrid w:val="0"/>
        <w:spacing w:line="578" w:lineRule="exact"/>
        <w:ind w:firstLineChars="200" w:firstLine="640"/>
        <w:contextualSpacing/>
        <w:jc w:val="left"/>
        <w:rPr>
          <w:rFonts w:ascii="仿宋" w:eastAsia="仿宋" w:cs="仿宋"/>
          <w:color w:val="000000"/>
          <w:kern w:val="0"/>
          <w:sz w:val="32"/>
          <w:szCs w:val="32"/>
          <w:shd w:val="clear" w:color="auto" w:fill="FFFFFF"/>
          <w:lang w:val="zh-CN"/>
        </w:rPr>
      </w:pPr>
      <w:r>
        <w:rPr>
          <w:rFonts w:eastAsia="楷体_GB2312"/>
          <w:b/>
          <w:bCs/>
          <w:color w:val="000000"/>
          <w:kern w:val="0"/>
          <w:sz w:val="32"/>
          <w:szCs w:val="32"/>
          <w:shd w:val="clear" w:color="auto" w:fill="FFFFFF"/>
          <w:lang w:val="zh-CN"/>
        </w:rPr>
        <w:t>（</w:t>
      </w:r>
      <w:r>
        <w:rPr>
          <w:rFonts w:eastAsia="楷体_GB2312" w:hint="eastAsia"/>
          <w:b/>
          <w:bCs/>
          <w:color w:val="000000"/>
          <w:kern w:val="0"/>
          <w:sz w:val="32"/>
          <w:szCs w:val="32"/>
          <w:shd w:val="clear" w:color="auto" w:fill="FFFFFF"/>
          <w:lang w:val="zh-CN"/>
        </w:rPr>
        <w:t>三</w:t>
      </w:r>
      <w:r>
        <w:rPr>
          <w:rFonts w:eastAsia="楷体_GB2312"/>
          <w:b/>
          <w:bCs/>
          <w:color w:val="000000"/>
          <w:kern w:val="0"/>
          <w:sz w:val="32"/>
          <w:szCs w:val="32"/>
          <w:shd w:val="clear" w:color="auto" w:fill="FFFFFF"/>
          <w:lang w:val="zh-CN"/>
        </w:rPr>
        <w:t>）</w:t>
      </w:r>
      <w:r>
        <w:rPr>
          <w:rFonts w:eastAsia="楷体_GB2312"/>
          <w:b/>
          <w:sz w:val="32"/>
          <w:szCs w:val="32"/>
        </w:rPr>
        <w:t>结余分配和结转结余情况</w:t>
      </w:r>
      <w:r>
        <w:rPr>
          <w:rFonts w:eastAsia="楷体_GB2312" w:hint="eastAsia"/>
          <w:b/>
          <w:sz w:val="32"/>
          <w:szCs w:val="32"/>
        </w:rPr>
        <w:t>。</w:t>
      </w:r>
      <w:r>
        <w:rPr>
          <w:rFonts w:ascii="仿宋" w:eastAsia="仿宋" w:cs="仿宋" w:hint="eastAsia"/>
          <w:bCs/>
          <w:sz w:val="32"/>
          <w:szCs w:val="32"/>
        </w:rPr>
        <w:t>我单位</w:t>
      </w:r>
      <w:r>
        <w:rPr>
          <w:rFonts w:ascii="仿宋" w:eastAsia="仿宋" w:cs="仿宋" w:hint="eastAsia"/>
          <w:sz w:val="32"/>
          <w:szCs w:val="32"/>
        </w:rPr>
        <w:t>2025年决算报表无</w:t>
      </w:r>
      <w:r>
        <w:rPr>
          <w:rFonts w:ascii="仿宋" w:eastAsia="仿宋" w:cs="仿宋" w:hint="eastAsia"/>
          <w:color w:val="000000"/>
          <w:kern w:val="0"/>
          <w:sz w:val="32"/>
          <w:szCs w:val="32"/>
          <w:shd w:val="clear" w:color="auto" w:fill="FFFFFF"/>
        </w:rPr>
        <w:t>结转结余。</w:t>
      </w:r>
    </w:p>
    <w:p>
      <w:pPr>
        <w:widowControl/>
        <w:adjustRightInd w:val="0"/>
        <w:snapToGrid w:val="0"/>
        <w:spacing w:line="578" w:lineRule="exact"/>
        <w:ind w:firstLineChars="200" w:firstLine="640"/>
        <w:contextualSpacing/>
        <w:jc w:val="left"/>
        <w:outlineLvl w:val="0"/>
        <w:rPr>
          <w:rFonts w:eastAsia="黑体"/>
          <w:color w:val="000000"/>
          <w:kern w:val="0"/>
          <w:sz w:val="32"/>
          <w:szCs w:val="32"/>
          <w:shd w:val="clear" w:color="auto" w:fill="FFFFFF"/>
        </w:rPr>
      </w:pPr>
      <w:r>
        <w:rPr>
          <w:rFonts w:eastAsia="黑体"/>
          <w:color w:val="000000"/>
          <w:kern w:val="0"/>
          <w:sz w:val="32"/>
          <w:szCs w:val="32"/>
          <w:shd w:val="clear" w:color="auto" w:fill="FFFFFF"/>
        </w:rPr>
        <w:t>三、部门预算绩效分析</w:t>
      </w:r>
    </w:p>
    <w:p>
      <w:pPr>
        <w:adjustRightInd w:val="0"/>
        <w:snapToGrid w:val="0"/>
        <w:spacing w:line="578" w:lineRule="exact"/>
        <w:ind w:firstLineChars="200" w:firstLine="640"/>
        <w:contextualSpacing/>
        <w:jc w:val="left"/>
        <w:outlineLvl w:val="1"/>
        <w:rPr>
          <w:rFonts w:ascii="仿宋" w:eastAsia="仿宋" w:cs="仿宋"/>
          <w:color w:val="000000"/>
          <w:kern w:val="0"/>
          <w:sz w:val="32"/>
          <w:szCs w:val="32"/>
          <w:shd w:val="clear" w:color="auto" w:fill="FFFFFF"/>
          <w:lang w:val="zh-CN"/>
        </w:rPr>
      </w:pPr>
      <w:r>
        <w:rPr>
          <w:rFonts w:eastAsia="楷体_GB2312"/>
          <w:b/>
          <w:bCs/>
          <w:color w:val="000000"/>
          <w:kern w:val="0"/>
          <w:sz w:val="32"/>
          <w:szCs w:val="32"/>
          <w:shd w:val="clear" w:color="auto" w:fill="FFFFFF"/>
          <w:lang w:val="zh-CN"/>
        </w:rPr>
        <w:t>（一）</w:t>
      </w:r>
      <w:r>
        <w:rPr>
          <w:rFonts w:eastAsia="楷体_GB2312" w:hint="eastAsia"/>
          <w:b/>
          <w:bCs/>
          <w:color w:val="000000"/>
          <w:kern w:val="0"/>
          <w:sz w:val="32"/>
          <w:szCs w:val="32"/>
          <w:shd w:val="clear" w:color="auto" w:fill="FFFFFF"/>
          <w:lang w:val="zh-CN"/>
        </w:rPr>
        <w:t>部门预算</w:t>
      </w:r>
      <w:r>
        <w:rPr>
          <w:rFonts w:eastAsia="楷体_GB2312"/>
          <w:b/>
          <w:bCs/>
          <w:color w:val="000000"/>
          <w:kern w:val="0"/>
          <w:sz w:val="32"/>
          <w:szCs w:val="32"/>
          <w:shd w:val="clear" w:color="auto" w:fill="FFFFFF"/>
          <w:lang w:val="zh-CN"/>
        </w:rPr>
        <w:t>总体绩效分析。</w:t>
      </w:r>
      <w:r>
        <w:rPr>
          <w:rFonts w:ascii="仿宋" w:eastAsia="仿宋" w:cs="仿宋" w:hint="eastAsia"/>
          <w:color w:val="000000"/>
          <w:kern w:val="0"/>
          <w:sz w:val="32"/>
          <w:szCs w:val="32"/>
          <w:shd w:val="clear" w:color="auto" w:fill="FFFFFF"/>
          <w:lang w:val="zh-CN"/>
        </w:rPr>
        <w:t>根据部门预算绩效评价指标体系“总体绩效”涉及二、三级指标进行逐项绩效分析并评分，依次包括履职效能、预算管理、财务管理、资产管理、采购管理等情况。</w:t>
      </w:r>
    </w:p>
    <w:p>
      <w:pPr>
        <w:adjustRightInd w:val="0"/>
        <w:snapToGrid w:val="0"/>
        <w:spacing w:line="578" w:lineRule="exact"/>
        <w:ind w:firstLineChars="200" w:firstLine="640"/>
        <w:contextualSpacing/>
        <w:jc w:val="left"/>
        <w:outlineLvl w:val="2"/>
        <w:rPr>
          <w:color w:val="000000"/>
          <w:kern w:val="0"/>
          <w:sz w:val="32"/>
          <w:szCs w:val="32"/>
          <w:shd w:val="clear" w:color="auto" w:fill="FFFFFF"/>
          <w:lang w:val="zh-CN"/>
        </w:rPr>
      </w:pPr>
      <w:r>
        <w:rPr>
          <w:rFonts w:ascii="楷体_GB2312" w:eastAsia="楷体_GB2312" w:cs="楷体_GB2312" w:hint="eastAsia"/>
          <w:color w:val="000000"/>
          <w:kern w:val="0"/>
          <w:sz w:val="32"/>
          <w:szCs w:val="32"/>
          <w:shd w:val="clear" w:color="auto" w:fill="FFFFFF"/>
        </w:rPr>
        <w:t>1.</w:t>
      </w:r>
      <w:r>
        <w:rPr>
          <w:rFonts w:ascii="楷体_GB2312" w:eastAsia="楷体_GB2312" w:cs="楷体_GB2312" w:hint="eastAsia"/>
          <w:color w:val="000000"/>
          <w:kern w:val="0"/>
          <w:sz w:val="32"/>
          <w:szCs w:val="32"/>
          <w:shd w:val="clear" w:color="auto" w:fill="FFFFFF"/>
          <w:lang w:val="zh-CN"/>
        </w:rPr>
        <w:t>履职效能。（</w:t>
      </w:r>
      <w:r>
        <w:rPr>
          <w:rFonts w:ascii="楷体_GB2312" w:eastAsia="楷体_GB2312" w:cs="楷体_GB2312" w:hint="eastAsia"/>
          <w:color w:val="000000"/>
          <w:kern w:val="0"/>
          <w:sz w:val="32"/>
          <w:szCs w:val="32"/>
          <w:shd w:val="clear" w:color="auto" w:fill="FFFFFF"/>
        </w:rPr>
        <w:t>15分）</w:t>
      </w:r>
      <w:r>
        <w:rPr>
          <w:rFonts w:ascii="仿宋" w:eastAsia="仿宋" w:cs="仿宋" w:hint="eastAsia"/>
          <w:color w:val="000000"/>
          <w:kern w:val="0"/>
          <w:sz w:val="32"/>
          <w:szCs w:val="32"/>
          <w:shd w:val="clear" w:color="auto" w:fill="FFFFFF"/>
          <w:lang w:val="zh-CN"/>
        </w:rPr>
        <w:t>部门整体绩效目标中选定3-5个核心职能目标，对职能目标完成效果情况绩效分析。</w:t>
      </w:r>
    </w:p>
    <w:p>
      <w:pPr>
        <w:pStyle w:val="16"/>
        <w:adjustRightInd w:val="0"/>
        <w:snapToGrid w:val="0"/>
        <w:spacing w:beforeLines="0" w:before="30" w:line="580" w:lineRule="exact"/>
        <w:ind w:firstLineChars="200" w:firstLine="640"/>
        <w:rPr>
          <w:rFonts w:cs="仿宋_GB2312"/>
          <w:sz w:val="32"/>
          <w:szCs w:val="32"/>
        </w:rPr>
      </w:pPr>
      <w:r>
        <w:rPr>
          <w:rFonts w:cs="仿宋_GB2312" w:hint="eastAsia"/>
          <w:sz w:val="32"/>
          <w:szCs w:val="32"/>
        </w:rPr>
        <w:t>一是切实加强统计工作的组织领导，不断提高统计数据质量，对全县的经济和社会发展情况进行统计调查，搜集、整理并提供统计基础资料，对国民经济社会发展情况进行统计分析、统计预测和统计监督。加强经济运行的预判以及对潜在风险的预警，促进了部门间的协作配合和信息共享。二是按照县人民政府号文件要求，全面完成汶川县全国第五次经普查资料开发，印制《汶川县全国第五次经普查资料汇编》120册</w:t>
      </w:r>
      <w:r>
        <w:rPr>
          <w:rFonts w:hint="eastAsia"/>
          <w:sz w:val="32"/>
          <w:szCs w:val="32"/>
        </w:rPr>
        <w:t>。三是完成《汶川统计年鉴（2025）》编纂印刷出版，该书共印刷出版220册，免费发放到全县机关事业单位、各镇。四是</w:t>
      </w:r>
      <w:r>
        <w:rPr>
          <w:rFonts w:cs="仿宋_GB2312" w:hint="eastAsia"/>
          <w:sz w:val="32"/>
          <w:szCs w:val="32"/>
        </w:rPr>
        <w:t>更新视频会议系统，视频会议和网络办公替代传统会议形式，减少碳排放，保障生态环境安全；加强网络安全建设，有效保障统计数据报送质量，企业网络直报得到加强。</w:t>
      </w:r>
    </w:p>
    <w:p>
      <w:pPr>
        <w:pStyle w:val="16"/>
        <w:adjustRightInd w:val="0"/>
        <w:snapToGrid w:val="0"/>
        <w:spacing w:beforeLines="0" w:before="30" w:line="580" w:lineRule="exact"/>
        <w:ind w:firstLineChars="200" w:firstLine="600"/>
        <w:rPr>
          <w:color w:val="000000"/>
          <w:szCs w:val="32"/>
          <w:shd w:val="clear" w:color="auto" w:fill="FFFFFF"/>
        </w:rPr>
      </w:pPr>
      <w:r>
        <w:rPr>
          <w:rFonts w:hint="eastAsia"/>
          <w:color w:val="000000"/>
          <w:szCs w:val="32"/>
          <w:shd w:val="clear" w:color="auto" w:fill="FFFFFF"/>
          <w:lang w:val="zh-CN"/>
        </w:rPr>
        <w:t>综上，根据评分标准，该项指标，得</w:t>
      </w:r>
      <w:r>
        <w:rPr>
          <w:rFonts w:hint="eastAsia"/>
          <w:color w:val="000000"/>
          <w:szCs w:val="32"/>
          <w:shd w:val="clear" w:color="auto" w:fill="FFFFFF"/>
        </w:rPr>
        <w:t>15</w:t>
      </w:r>
      <w:r>
        <w:rPr>
          <w:rFonts w:hint="eastAsia"/>
          <w:color w:val="000000"/>
          <w:szCs w:val="32"/>
          <w:shd w:val="clear" w:color="auto" w:fill="FFFFFF"/>
          <w:lang w:val="zh-CN"/>
        </w:rPr>
        <w:t>分。</w:t>
      </w:r>
    </w:p>
    <w:p>
      <w:pPr>
        <w:adjustRightInd w:val="0"/>
        <w:snapToGrid w:val="0"/>
        <w:spacing w:line="578" w:lineRule="exact"/>
        <w:ind w:firstLineChars="200" w:firstLine="640"/>
        <w:contextualSpacing/>
        <w:jc w:val="left"/>
        <w:outlineLvl w:val="2"/>
        <w:rPr>
          <w:rFonts w:ascii="仿宋" w:eastAsia="仿宋" w:cs="仿宋"/>
          <w:color w:val="000000"/>
          <w:kern w:val="0"/>
          <w:sz w:val="32"/>
          <w:szCs w:val="32"/>
          <w:shd w:val="clear" w:color="auto" w:fill="FFFFFF"/>
          <w:lang w:val="zh-CN"/>
        </w:rPr>
      </w:pPr>
      <w:r>
        <w:rPr>
          <w:rFonts w:ascii="楷体_GB2312" w:eastAsia="楷体_GB2312" w:cs="楷体_GB2312" w:hint="eastAsia"/>
          <w:color w:val="000000"/>
          <w:kern w:val="0"/>
          <w:sz w:val="32"/>
          <w:szCs w:val="32"/>
          <w:shd w:val="clear" w:color="auto" w:fill="FFFFFF"/>
          <w:lang w:val="zh-CN"/>
        </w:rPr>
        <w:t>2.</w:t>
      </w:r>
      <w:r>
        <w:rPr>
          <w:rFonts w:ascii="楷体_GB2312" w:eastAsia="楷体_GB2312" w:cs="楷体_GB2312"/>
          <w:color w:val="000000"/>
          <w:kern w:val="0"/>
          <w:sz w:val="32"/>
          <w:szCs w:val="32"/>
          <w:shd w:val="clear" w:color="auto" w:fill="FFFFFF"/>
          <w:lang w:val="zh-CN"/>
        </w:rPr>
        <w:t>预算管理</w:t>
      </w:r>
      <w:r>
        <w:rPr>
          <w:rFonts w:ascii="楷体_GB2312" w:eastAsia="楷体_GB2312" w:cs="楷体_GB2312" w:hint="eastAsia"/>
          <w:color w:val="000000"/>
          <w:kern w:val="0"/>
          <w:sz w:val="32"/>
          <w:szCs w:val="32"/>
          <w:shd w:val="clear" w:color="auto" w:fill="FFFFFF"/>
          <w:lang w:val="zh-CN"/>
        </w:rPr>
        <w:t>。（</w:t>
      </w:r>
      <w:r>
        <w:rPr>
          <w:rFonts w:ascii="楷体_GB2312" w:eastAsia="楷体_GB2312" w:cs="楷体_GB2312" w:hint="eastAsia"/>
          <w:color w:val="000000"/>
          <w:kern w:val="0"/>
          <w:sz w:val="32"/>
          <w:szCs w:val="32"/>
          <w:shd w:val="clear" w:color="auto" w:fill="FFFFFF"/>
        </w:rPr>
        <w:t>25分）</w:t>
      </w:r>
      <w:r>
        <w:rPr>
          <w:rFonts w:ascii="仿宋" w:eastAsia="仿宋" w:cs="仿宋" w:hint="eastAsia"/>
          <w:color w:val="000000"/>
          <w:kern w:val="0"/>
          <w:sz w:val="32"/>
          <w:szCs w:val="32"/>
          <w:shd w:val="clear" w:color="auto" w:fill="FFFFFF"/>
          <w:lang w:val="zh-CN"/>
        </w:rPr>
        <w:t>围绕预算编制质量、单位收入统筹、支出执行进度、预算年终结余、严控一般性支出进行绩效分析。</w:t>
      </w:r>
    </w:p>
    <w:p>
      <w:pPr>
        <w:pStyle w:val="16"/>
        <w:adjustRightInd w:val="0"/>
        <w:snapToGrid w:val="0"/>
        <w:spacing w:beforeLines="0" w:before="30" w:line="580" w:lineRule="exact"/>
        <w:ind w:firstLineChars="200" w:firstLine="640"/>
        <w:rPr>
          <w:rFonts w:cs="仿宋_GB2312"/>
          <w:sz w:val="32"/>
          <w:szCs w:val="32"/>
        </w:rPr>
      </w:pPr>
      <w:r>
        <w:rPr>
          <w:rFonts w:cs="仿宋_GB2312" w:hint="eastAsia"/>
          <w:sz w:val="32"/>
          <w:szCs w:val="32"/>
        </w:rPr>
        <w:t>在资金的使用和管理方面，能够按照规定程序，实行逐级审批后支付；加强制度适用性的分析和检查，确保制度与实际情况相符；“三公”经费支出在合理范围，符合管理制度的规定；严格按照预决算信息公开要求，通过汶川县政府信息公开网站及时将部门预算、决算信息予以公布，信息真实、完整；项目组织管理方面，针对各项目实际情况，建立项目管理规定和资金管理要求。</w:t>
      </w:r>
    </w:p>
    <w:p>
      <w:pPr>
        <w:pStyle w:val="24"/>
        <w:shd w:val="clear" w:color="auto" w:fill="FFFFFF"/>
        <w:adjustRightInd w:val="0"/>
        <w:snapToGrid w:val="0"/>
        <w:spacing w:before="0" w:beforeAutospacing="0" w:after="0" w:afterAutospacing="0" w:line="580" w:lineRule="exact"/>
        <w:ind w:firstLineChars="200" w:firstLine="640"/>
        <w:rPr>
          <w:rFonts w:ascii="仿宋_GB2312" w:hAnsi="仿宋_GB2312"/>
          <w:color w:val="000000"/>
          <w:szCs w:val="32"/>
          <w:shd w:val="clear" w:color="auto" w:fill="FFFFFF"/>
          <w:lang w:val="zh-CN"/>
        </w:rPr>
      </w:pPr>
      <w:r>
        <w:rPr>
          <w:rFonts w:ascii="仿宋_GB2312" w:cs="Times New Roman" w:hAnsi="仿宋_GB2312" w:hint="eastAsia"/>
          <w:b/>
          <w:bCs/>
          <w:kern w:val="2"/>
          <w:sz w:val="32"/>
          <w:szCs w:val="32"/>
        </w:rPr>
        <w:t>（1）</w:t>
      </w:r>
      <w:r>
        <w:rPr>
          <w:rFonts w:ascii="仿宋_GB2312" w:eastAsia="仿宋_GB2312" w:cs="Times New Roman" w:hint="eastAsia"/>
          <w:b/>
          <w:bCs/>
          <w:kern w:val="2"/>
          <w:sz w:val="32"/>
          <w:szCs w:val="32"/>
          <w:lang w:val="zh-CN"/>
        </w:rPr>
        <w:t>预算编制及调整。</w:t>
      </w:r>
      <w:r>
        <w:rPr>
          <w:rFonts w:ascii="仿宋" w:eastAsia="仿宋" w:cs="仿宋" w:hint="eastAsia"/>
          <w:kern w:val="2"/>
          <w:sz w:val="32"/>
          <w:szCs w:val="32"/>
        </w:rPr>
        <w:t>2025年初预算安排315.21万元，实际收入415.21万元，预算动态调整增加100.00万元，主要是增加2010507-专项普查活动（五经普经费）、“四上”企业（个体）及抽样调查企业（个体）统计人员奖补经费、2130506-社会发展（对统计人员的奖补资金、对口支援学习交流培训费）、2010501-行政运行和2010550事业运行目标奖、人员工资、退休人员生活补助；2080505-养老保险、2080506-职业年金、2101101医疗保险等原因。</w:t>
      </w:r>
    </w:p>
    <w:p>
      <w:pPr>
        <w:pStyle w:val="16"/>
        <w:adjustRightInd w:val="0"/>
        <w:snapToGrid w:val="0"/>
        <w:spacing w:beforeLines="0" w:before="30" w:line="580" w:lineRule="exact"/>
        <w:ind w:firstLineChars="200" w:firstLine="640"/>
        <w:rPr>
          <w:rFonts w:cs="宋体"/>
          <w:color w:val="000000"/>
          <w:szCs w:val="32"/>
          <w:shd w:val="clear" w:color="auto" w:fill="FFFFFF"/>
        </w:rPr>
      </w:pPr>
      <w:r>
        <w:rPr>
          <w:rFonts w:cs="宋体" w:hint="eastAsia"/>
          <w:b/>
          <w:bCs/>
          <w:color w:val="000000"/>
          <w:sz w:val="32"/>
          <w:szCs w:val="32"/>
          <w:shd w:val="clear" w:color="auto" w:fill="FFFFFF"/>
        </w:rPr>
        <w:t>（2）支出支出进度及控制情况。</w:t>
      </w:r>
      <w:r>
        <w:rPr>
          <w:rFonts w:cs="宋体" w:hint="eastAsia"/>
          <w:color w:val="000000"/>
          <w:sz w:val="32"/>
          <w:szCs w:val="32"/>
          <w:shd w:val="clear" w:color="auto" w:fill="FFFFFF"/>
        </w:rPr>
        <w:t>2025年1-6月支出进度为51.95%，未完成时间过半支出过半的要求；1-9月支出进度为83.04%，支付进度达到要求；1-11月支出进度为93.76%，支付进度达到要求。严格控制“三公”经</w:t>
      </w:r>
      <w:r>
        <w:rPr>
          <w:rFonts w:cs="宋体" w:hint="eastAsia"/>
          <w:color w:val="000000"/>
          <w:szCs w:val="32"/>
          <w:shd w:val="clear" w:color="auto" w:fill="FFFFFF"/>
        </w:rPr>
        <w:t>费使用，</w:t>
      </w:r>
      <w:r>
        <w:rPr>
          <w:rFonts w:cs="仿宋_GB2312" w:hint="eastAsia"/>
          <w:sz w:val="32"/>
          <w:szCs w:val="32"/>
        </w:rPr>
        <w:t>2025年度本单位“三公”经费支出8.66万元，相比上年度增加4.46万元，主要是2025年重点工作保障经费增加公务用车经费4.25万元。</w:t>
      </w:r>
    </w:p>
    <w:p>
      <w:pPr>
        <w:pStyle w:val="24"/>
        <w:shd w:val="clear" w:color="auto" w:fill="FFFFFF"/>
        <w:adjustRightInd w:val="0"/>
        <w:snapToGrid w:val="0"/>
        <w:spacing w:before="0" w:beforeAutospacing="0" w:after="0" w:afterAutospacing="0" w:line="580" w:lineRule="exact"/>
        <w:ind w:firstLineChars="200" w:firstLine="640"/>
        <w:rPr>
          <w:rFonts w:ascii="仿宋_GB2312" w:eastAsia="仿宋_GB2312"/>
          <w:color w:val="000000"/>
          <w:sz w:val="32"/>
          <w:szCs w:val="32"/>
          <w:shd w:val="clear" w:color="auto" w:fill="FFFFFF"/>
        </w:rPr>
      </w:pPr>
      <w:r>
        <w:rPr>
          <w:rFonts w:ascii="仿宋_GB2312" w:hAnsi="仿宋_GB2312" w:hint="eastAsia"/>
          <w:b/>
          <w:bCs/>
          <w:color w:val="000000"/>
          <w:sz w:val="32"/>
          <w:szCs w:val="32"/>
          <w:shd w:val="clear" w:color="auto" w:fill="FFFFFF"/>
        </w:rPr>
        <w:t>（3）</w:t>
      </w:r>
      <w:r>
        <w:rPr>
          <w:rFonts w:ascii="仿宋_GB2312" w:eastAsia="仿宋_GB2312" w:hint="eastAsia"/>
          <w:b/>
          <w:bCs/>
          <w:color w:val="000000"/>
          <w:sz w:val="32"/>
          <w:szCs w:val="32"/>
          <w:shd w:val="clear" w:color="auto" w:fill="FFFFFF"/>
        </w:rPr>
        <w:t>预算完成情况。</w:t>
      </w:r>
      <w:r>
        <w:rPr>
          <w:rFonts w:ascii="仿宋_GB2312" w:hAnsi="仿宋_GB2312" w:hint="eastAsia"/>
          <w:color w:val="000000"/>
          <w:sz w:val="32"/>
          <w:szCs w:val="32"/>
          <w:shd w:val="clear" w:color="auto" w:fill="FFFFFF"/>
        </w:rPr>
        <w:t>2025年</w:t>
      </w:r>
      <w:r>
        <w:rPr>
          <w:rFonts w:ascii="仿宋_GB2312" w:eastAsia="仿宋_GB2312" w:hint="eastAsia"/>
          <w:color w:val="000000"/>
          <w:sz w:val="32"/>
          <w:szCs w:val="32"/>
          <w:shd w:val="clear" w:color="auto" w:fill="FFFFFF"/>
        </w:rPr>
        <w:t>本单位财政拨款收入为</w:t>
      </w:r>
      <w:r>
        <w:rPr>
          <w:rFonts w:ascii="仿宋_GB2312" w:hAnsi="仿宋_GB2312" w:hint="eastAsia"/>
          <w:color w:val="000000"/>
          <w:sz w:val="32"/>
          <w:szCs w:val="32"/>
          <w:shd w:val="clear" w:color="auto" w:fill="FFFFFF"/>
        </w:rPr>
        <w:t>415.21</w:t>
      </w:r>
      <w:r>
        <w:rPr>
          <w:rFonts w:ascii="仿宋_GB2312" w:eastAsia="仿宋_GB2312" w:hint="eastAsia"/>
          <w:color w:val="000000"/>
          <w:sz w:val="32"/>
          <w:szCs w:val="32"/>
          <w:shd w:val="clear" w:color="auto" w:fill="FFFFFF"/>
        </w:rPr>
        <w:t>万元，财政拨款支出为</w:t>
      </w:r>
      <w:r>
        <w:rPr>
          <w:rFonts w:ascii="仿宋_GB2312" w:hAnsi="仿宋_GB2312" w:hint="eastAsia"/>
          <w:color w:val="000000"/>
          <w:sz w:val="32"/>
          <w:szCs w:val="32"/>
          <w:shd w:val="clear" w:color="auto" w:fill="FFFFFF"/>
        </w:rPr>
        <w:t>415.21</w:t>
      </w:r>
      <w:r>
        <w:rPr>
          <w:rFonts w:ascii="仿宋_GB2312" w:eastAsia="仿宋_GB2312" w:hint="eastAsia"/>
          <w:color w:val="000000"/>
          <w:sz w:val="32"/>
          <w:szCs w:val="32"/>
          <w:shd w:val="clear" w:color="auto" w:fill="FFFFFF"/>
        </w:rPr>
        <w:t>万元，</w:t>
      </w:r>
      <w:r>
        <w:rPr>
          <w:rFonts w:ascii="仿宋" w:eastAsia="仿宋" w:cs="仿宋" w:hint="eastAsia"/>
          <w:color w:val="000000"/>
          <w:sz w:val="32"/>
          <w:szCs w:val="32"/>
          <w:shd w:val="clear" w:color="auto" w:fill="FFFFFF"/>
        </w:rPr>
        <w:t>完成全年预算数的100%，年末无结转结余。</w:t>
      </w:r>
      <w:r>
        <w:rPr>
          <w:rFonts w:ascii="仿宋_GB2312" w:eastAsia="仿宋_GB2312" w:hint="eastAsia"/>
          <w:color w:val="000000"/>
          <w:sz w:val="32"/>
          <w:szCs w:val="32"/>
          <w:shd w:val="clear" w:color="auto" w:fill="FFFFFF"/>
        </w:rPr>
        <w:t>基本支出中人员经费支出为</w:t>
      </w:r>
      <w:r>
        <w:rPr>
          <w:rFonts w:ascii="仿宋_GB2312" w:hAnsi="仿宋_GB2312" w:hint="eastAsia"/>
          <w:color w:val="000000"/>
          <w:sz w:val="32"/>
          <w:szCs w:val="32"/>
          <w:shd w:val="clear" w:color="auto" w:fill="FFFFFF"/>
        </w:rPr>
        <w:t>296.45</w:t>
      </w:r>
      <w:r>
        <w:rPr>
          <w:rFonts w:ascii="仿宋_GB2312" w:eastAsia="仿宋_GB2312" w:hint="eastAsia"/>
          <w:color w:val="000000"/>
          <w:sz w:val="32"/>
          <w:szCs w:val="32"/>
          <w:shd w:val="clear" w:color="auto" w:fill="FFFFFF"/>
        </w:rPr>
        <w:t>万元，公用经费支出为</w:t>
      </w:r>
      <w:r>
        <w:rPr>
          <w:rFonts w:ascii="仿宋_GB2312" w:hAnsi="仿宋_GB2312" w:hint="eastAsia"/>
          <w:color w:val="000000"/>
          <w:sz w:val="32"/>
          <w:szCs w:val="32"/>
          <w:shd w:val="clear" w:color="auto" w:fill="FFFFFF"/>
        </w:rPr>
        <w:t>37.96</w:t>
      </w:r>
      <w:r>
        <w:rPr>
          <w:rFonts w:ascii="仿宋_GB2312" w:eastAsia="仿宋_GB2312" w:hint="eastAsia"/>
          <w:color w:val="000000"/>
          <w:sz w:val="32"/>
          <w:szCs w:val="32"/>
          <w:shd w:val="clear" w:color="auto" w:fill="FFFFFF"/>
        </w:rPr>
        <w:t>万元。基本支出</w:t>
      </w:r>
      <w:r>
        <w:rPr>
          <w:rFonts w:ascii="仿宋_GB2312" w:hAnsi="仿宋_GB2312" w:hint="eastAsia"/>
          <w:color w:val="000000"/>
          <w:sz w:val="32"/>
          <w:szCs w:val="32"/>
          <w:shd w:val="clear" w:color="auto" w:fill="FFFFFF"/>
        </w:rPr>
        <w:t>334.41</w:t>
      </w:r>
      <w:r>
        <w:rPr>
          <w:rFonts w:ascii="仿宋" w:eastAsia="仿宋" w:cs="仿宋" w:hint="eastAsia"/>
          <w:color w:val="000000"/>
          <w:sz w:val="32"/>
          <w:szCs w:val="32"/>
          <w:shd w:val="clear" w:color="auto" w:fill="FFFFFF"/>
        </w:rPr>
        <w:t>万元，</w:t>
      </w:r>
      <w:r>
        <w:rPr>
          <w:rFonts w:ascii="仿宋_GB2312" w:eastAsia="仿宋_GB2312" w:hint="eastAsia"/>
          <w:color w:val="000000"/>
          <w:sz w:val="32"/>
          <w:szCs w:val="32"/>
          <w:shd w:val="clear" w:color="auto" w:fill="FFFFFF"/>
        </w:rPr>
        <w:t>项目支出</w:t>
      </w:r>
      <w:r>
        <w:rPr>
          <w:rFonts w:ascii="仿宋_GB2312" w:hAnsi="仿宋_GB2312" w:hint="eastAsia"/>
          <w:color w:val="000000"/>
          <w:sz w:val="32"/>
          <w:szCs w:val="32"/>
          <w:shd w:val="clear" w:color="auto" w:fill="FFFFFF"/>
        </w:rPr>
        <w:t>83.81万元，</w:t>
      </w:r>
      <w:r>
        <w:rPr>
          <w:rFonts w:ascii="仿宋_GB2312" w:eastAsia="仿宋_GB2312" w:hint="eastAsia"/>
          <w:color w:val="000000"/>
          <w:sz w:val="32"/>
          <w:szCs w:val="32"/>
          <w:shd w:val="clear" w:color="auto" w:fill="FFFFFF"/>
        </w:rPr>
        <w:t>项目支出中基本建设类项目支出为0.00万元。</w:t>
      </w:r>
    </w:p>
    <w:p>
      <w:pPr>
        <w:pStyle w:val="24"/>
        <w:shd w:val="clear" w:color="auto" w:fill="FFFFFF"/>
        <w:adjustRightInd w:val="0"/>
        <w:snapToGrid w:val="0"/>
        <w:spacing w:before="0" w:beforeAutospacing="0" w:after="0" w:afterAutospacing="0" w:line="580" w:lineRule="exact"/>
        <w:ind w:firstLineChars="200" w:firstLine="640"/>
        <w:rPr>
          <w:rFonts w:ascii="仿宋" w:eastAsia="仿宋" w:cs="仿宋"/>
          <w:color w:val="000000"/>
          <w:sz w:val="32"/>
          <w:szCs w:val="32"/>
          <w:shd w:val="clear" w:color="auto" w:fill="FFFFFF"/>
        </w:rPr>
      </w:pPr>
      <w:r>
        <w:rPr>
          <w:rFonts w:ascii="仿宋" w:eastAsia="仿宋" w:cs="仿宋" w:hint="eastAsia"/>
          <w:color w:val="000000"/>
          <w:sz w:val="32"/>
          <w:szCs w:val="32"/>
          <w:shd w:val="clear" w:color="auto" w:fill="FFFFFF"/>
          <w:lang w:val="zh-CN"/>
        </w:rPr>
        <w:t>综上，根据评分标准，该项指标，得</w:t>
      </w:r>
      <w:r>
        <w:rPr>
          <w:rFonts w:ascii="仿宋" w:eastAsia="仿宋" w:cs="仿宋" w:hint="eastAsia"/>
          <w:color w:val="000000"/>
          <w:sz w:val="32"/>
          <w:szCs w:val="32"/>
          <w:shd w:val="clear" w:color="auto" w:fill="FFFFFF"/>
        </w:rPr>
        <w:t>23</w:t>
      </w:r>
      <w:r>
        <w:rPr>
          <w:rFonts w:ascii="仿宋" w:eastAsia="仿宋" w:cs="仿宋" w:hint="eastAsia"/>
          <w:color w:val="000000"/>
          <w:sz w:val="32"/>
          <w:szCs w:val="32"/>
          <w:shd w:val="clear" w:color="auto" w:fill="FFFFFF"/>
          <w:lang w:val="zh-CN"/>
        </w:rPr>
        <w:t>分。</w:t>
      </w:r>
    </w:p>
    <w:p>
      <w:pPr>
        <w:adjustRightInd w:val="0"/>
        <w:snapToGrid w:val="0"/>
        <w:spacing w:line="578" w:lineRule="exact"/>
        <w:ind w:firstLineChars="200" w:firstLine="640"/>
        <w:contextualSpacing/>
        <w:jc w:val="left"/>
        <w:outlineLvl w:val="2"/>
        <w:rPr>
          <w:rFonts w:ascii="仿宋" w:eastAsia="仿宋" w:cs="仿宋"/>
          <w:color w:val="000000"/>
          <w:kern w:val="0"/>
          <w:sz w:val="32"/>
          <w:szCs w:val="32"/>
          <w:shd w:val="clear" w:color="auto" w:fill="FFFFFF"/>
          <w:lang w:val="zh-CN"/>
        </w:rPr>
      </w:pPr>
      <w:r>
        <w:rPr>
          <w:rFonts w:ascii="楷体_GB2312" w:eastAsia="楷体_GB2312" w:cs="楷体_GB2312" w:hint="eastAsia"/>
          <w:color w:val="000000"/>
          <w:kern w:val="0"/>
          <w:sz w:val="32"/>
          <w:szCs w:val="32"/>
          <w:shd w:val="clear" w:color="auto" w:fill="FFFFFF"/>
        </w:rPr>
        <w:t>3.</w:t>
      </w:r>
      <w:r>
        <w:rPr>
          <w:rFonts w:ascii="楷体_GB2312" w:eastAsia="楷体_GB2312" w:cs="楷体_GB2312"/>
          <w:color w:val="000000"/>
          <w:kern w:val="0"/>
          <w:sz w:val="32"/>
          <w:szCs w:val="32"/>
          <w:shd w:val="clear" w:color="auto" w:fill="FFFFFF"/>
          <w:lang w:val="zh-CN"/>
        </w:rPr>
        <w:t>财务管理</w:t>
      </w:r>
      <w:r>
        <w:rPr>
          <w:rFonts w:ascii="楷体_GB2312" w:eastAsia="楷体_GB2312" w:cs="楷体_GB2312" w:hint="eastAsia"/>
          <w:color w:val="000000"/>
          <w:kern w:val="0"/>
          <w:sz w:val="32"/>
          <w:szCs w:val="32"/>
          <w:shd w:val="clear" w:color="auto" w:fill="FFFFFF"/>
          <w:lang w:val="zh-CN"/>
        </w:rPr>
        <w:t>。（</w:t>
      </w:r>
      <w:r>
        <w:rPr>
          <w:rFonts w:ascii="楷体_GB2312" w:eastAsia="楷体_GB2312" w:cs="楷体_GB2312" w:hint="eastAsia"/>
          <w:color w:val="000000"/>
          <w:kern w:val="0"/>
          <w:sz w:val="32"/>
          <w:szCs w:val="32"/>
          <w:shd w:val="clear" w:color="auto" w:fill="FFFFFF"/>
        </w:rPr>
        <w:t>10分）</w:t>
      </w:r>
      <w:r>
        <w:rPr>
          <w:rFonts w:ascii="仿宋" w:eastAsia="仿宋" w:cs="仿宋" w:hint="eastAsia"/>
          <w:color w:val="000000"/>
          <w:kern w:val="0"/>
          <w:sz w:val="32"/>
          <w:szCs w:val="32"/>
          <w:shd w:val="clear" w:color="auto" w:fill="FFFFFF"/>
          <w:lang w:val="zh-CN"/>
        </w:rPr>
        <w:t>围绕财务管理制度、财务岗位设置、资金使用规范进行绩效分析。</w:t>
      </w:r>
    </w:p>
    <w:p>
      <w:pPr>
        <w:adjustRightInd w:val="0"/>
        <w:snapToGrid w:val="0"/>
        <w:spacing w:line="578" w:lineRule="exact"/>
        <w:ind w:firstLineChars="200" w:firstLine="640"/>
        <w:contextualSpacing/>
        <w:jc w:val="left"/>
        <w:outlineLvl w:val="2"/>
        <w:rPr>
          <w:rFonts w:ascii="仿宋" w:eastAsia="仿宋" w:cs="仿宋"/>
          <w:color w:val="000000"/>
          <w:kern w:val="0"/>
          <w:sz w:val="32"/>
          <w:szCs w:val="32"/>
          <w:shd w:val="clear" w:color="auto" w:fill="FFFFFF"/>
          <w:lang w:val="zh-CN"/>
        </w:rPr>
      </w:pPr>
      <w:r>
        <w:rPr>
          <w:rFonts w:ascii="仿宋" w:eastAsia="仿宋" w:cs="仿宋" w:hint="eastAsia"/>
          <w:color w:val="000000"/>
          <w:kern w:val="0"/>
          <w:sz w:val="32"/>
          <w:szCs w:val="32"/>
          <w:shd w:val="clear" w:color="auto" w:fill="FFFFFF"/>
          <w:lang w:val="zh-CN"/>
        </w:rPr>
        <w:t>我单位严格按照财务管理制度，设置财务分管领导、会计和出纳岗位，严格执行单位一把手“三个不直接分管“的要求，所有支出先由出纳审核原始票据的合法性合理性和完整性，再由会计进行复审，单位财务分管领导审核签字，主要领导阅知签字后给予报销，凡是资料不齐、不规范、不完整等不符合财务要求的一律不给予报销。严格实行收支一条线、专款专用，单位除财政预算安排的资金，其他收入资金都按财政要求，进入财政代管资金专户进行收支管理，不得在单位基本户中进行支付。</w:t>
      </w:r>
    </w:p>
    <w:p>
      <w:pPr>
        <w:adjustRightInd w:val="0"/>
        <w:snapToGrid w:val="0"/>
        <w:spacing w:line="578" w:lineRule="exact"/>
        <w:ind w:firstLineChars="200" w:firstLine="640"/>
        <w:contextualSpacing/>
        <w:jc w:val="left"/>
        <w:outlineLvl w:val="2"/>
        <w:rPr>
          <w:rFonts w:ascii="仿宋" w:eastAsia="仿宋" w:cs="仿宋"/>
          <w:color w:val="000000"/>
          <w:kern w:val="0"/>
          <w:sz w:val="32"/>
          <w:szCs w:val="32"/>
          <w:shd w:val="clear" w:color="auto" w:fill="FFFFFF"/>
        </w:rPr>
      </w:pPr>
      <w:r>
        <w:rPr>
          <w:rFonts w:ascii="仿宋" w:eastAsia="仿宋" w:cs="仿宋" w:hint="eastAsia"/>
          <w:color w:val="000000"/>
          <w:kern w:val="0"/>
          <w:sz w:val="32"/>
          <w:szCs w:val="32"/>
          <w:shd w:val="clear" w:color="auto" w:fill="FFFFFF"/>
          <w:lang w:val="zh-CN"/>
        </w:rPr>
        <w:t>综上，根据评分标准，该项指标，得</w:t>
      </w:r>
      <w:r>
        <w:rPr>
          <w:rFonts w:ascii="仿宋" w:eastAsia="仿宋" w:cs="仿宋" w:hint="eastAsia"/>
          <w:color w:val="000000"/>
          <w:kern w:val="0"/>
          <w:sz w:val="32"/>
          <w:szCs w:val="32"/>
          <w:shd w:val="clear" w:color="auto" w:fill="FFFFFF"/>
        </w:rPr>
        <w:t>10</w:t>
      </w:r>
      <w:r>
        <w:rPr>
          <w:rFonts w:ascii="仿宋" w:eastAsia="仿宋" w:cs="仿宋" w:hint="eastAsia"/>
          <w:color w:val="000000"/>
          <w:kern w:val="0"/>
          <w:sz w:val="32"/>
          <w:szCs w:val="32"/>
          <w:shd w:val="clear" w:color="auto" w:fill="FFFFFF"/>
          <w:lang w:val="zh-CN"/>
        </w:rPr>
        <w:t>分。</w:t>
      </w:r>
    </w:p>
    <w:p>
      <w:pPr>
        <w:adjustRightInd w:val="0"/>
        <w:snapToGrid w:val="0"/>
        <w:spacing w:line="578" w:lineRule="exact"/>
        <w:ind w:firstLineChars="200" w:firstLine="640"/>
        <w:contextualSpacing/>
        <w:jc w:val="left"/>
        <w:outlineLvl w:val="2"/>
        <w:rPr>
          <w:rFonts w:ascii="仿宋" w:eastAsia="仿宋" w:cs="仿宋"/>
          <w:color w:val="000000"/>
          <w:kern w:val="0"/>
          <w:sz w:val="32"/>
          <w:szCs w:val="32"/>
          <w:shd w:val="clear" w:color="auto" w:fill="FFFFFF"/>
          <w:lang w:val="zh-CN"/>
        </w:rPr>
      </w:pPr>
      <w:r>
        <w:rPr>
          <w:rFonts w:ascii="楷体_GB2312" w:eastAsia="楷体_GB2312" w:cs="楷体_GB2312" w:hint="eastAsia"/>
          <w:color w:val="000000"/>
          <w:kern w:val="0"/>
          <w:sz w:val="32"/>
          <w:szCs w:val="32"/>
          <w:shd w:val="clear" w:color="auto" w:fill="FFFFFF"/>
        </w:rPr>
        <w:t>4.</w:t>
      </w:r>
      <w:r>
        <w:rPr>
          <w:rFonts w:ascii="楷体_GB2312" w:eastAsia="楷体_GB2312" w:cs="楷体_GB2312"/>
          <w:color w:val="000000"/>
          <w:kern w:val="0"/>
          <w:sz w:val="32"/>
          <w:szCs w:val="32"/>
          <w:shd w:val="clear" w:color="auto" w:fill="FFFFFF"/>
          <w:lang w:val="zh-CN"/>
        </w:rPr>
        <w:t>资产管理</w:t>
      </w:r>
      <w:r>
        <w:rPr>
          <w:rFonts w:ascii="楷体_GB2312" w:eastAsia="楷体_GB2312" w:cs="楷体_GB2312" w:hint="eastAsia"/>
          <w:color w:val="000000"/>
          <w:kern w:val="0"/>
          <w:sz w:val="32"/>
          <w:szCs w:val="32"/>
          <w:shd w:val="clear" w:color="auto" w:fill="FFFFFF"/>
          <w:lang w:val="zh-CN"/>
        </w:rPr>
        <w:t>。（</w:t>
      </w:r>
      <w:r>
        <w:rPr>
          <w:rFonts w:ascii="楷体_GB2312" w:eastAsia="楷体_GB2312" w:cs="楷体_GB2312" w:hint="eastAsia"/>
          <w:color w:val="000000"/>
          <w:kern w:val="0"/>
          <w:sz w:val="32"/>
          <w:szCs w:val="32"/>
          <w:shd w:val="clear" w:color="auto" w:fill="FFFFFF"/>
        </w:rPr>
        <w:t>9分）</w:t>
      </w:r>
      <w:r>
        <w:rPr>
          <w:rFonts w:ascii="仿宋" w:eastAsia="仿宋" w:cs="仿宋" w:hint="eastAsia"/>
          <w:color w:val="000000"/>
          <w:kern w:val="0"/>
          <w:sz w:val="32"/>
          <w:szCs w:val="32"/>
          <w:shd w:val="clear" w:color="auto" w:fill="FFFFFF"/>
          <w:lang w:val="zh-CN"/>
        </w:rPr>
        <w:t>围绕人均资产变化率、资产利用率、资产盘活率进行绩效分析。</w:t>
      </w:r>
    </w:p>
    <w:p>
      <w:pPr>
        <w:adjustRightInd w:val="0"/>
        <w:snapToGrid w:val="0"/>
        <w:spacing w:line="578" w:lineRule="exact"/>
        <w:ind w:firstLineChars="200" w:firstLine="640"/>
        <w:contextualSpacing/>
        <w:jc w:val="left"/>
        <w:outlineLvl w:val="2"/>
        <w:rPr>
          <w:rFonts w:ascii="仿宋" w:eastAsia="仿宋" w:cs="仿宋"/>
          <w:kern w:val="0"/>
          <w:sz w:val="32"/>
          <w:szCs w:val="32"/>
          <w:shd w:val="clear" w:color="auto" w:fill="FFFFFF"/>
        </w:rPr>
      </w:pPr>
      <w:r>
        <w:rPr>
          <w:rFonts w:ascii="仿宋" w:eastAsia="仿宋" w:cs="仿宋" w:hint="eastAsia"/>
          <w:color w:val="000000"/>
          <w:kern w:val="0"/>
          <w:sz w:val="32"/>
          <w:szCs w:val="32"/>
          <w:shd w:val="clear" w:color="auto" w:fill="FFFFFF"/>
          <w:lang w:val="zh-CN"/>
        </w:rPr>
        <w:t>我单位专人进行资产管理，新购置资产由室提出购置要求，经局党组会研究通过实施采购；资产报废处理，每年由资产专管员进行资产清查，对达到报废处置且无法正常使用的资产进行清理，报请局党组研究处置意见，最后报请机关事务管理局审批处置批复。</w:t>
      </w:r>
      <w:r>
        <w:rPr>
          <w:rFonts w:ascii="仿宋" w:eastAsia="仿宋" w:cs="仿宋" w:hint="eastAsia"/>
          <w:kern w:val="0"/>
          <w:sz w:val="32"/>
          <w:szCs w:val="32"/>
          <w:shd w:val="clear" w:color="auto" w:fill="FFFFFF"/>
        </w:rPr>
        <w:t>202</w:t>
      </w:r>
      <w:r>
        <w:rPr>
          <w:rFonts w:ascii="仿宋" w:eastAsia="仿宋" w:cs="仿宋" w:hint="eastAsia"/>
          <w:kern w:val="0"/>
          <w:sz w:val="32"/>
          <w:szCs w:val="32"/>
          <w:shd w:val="clear" w:color="auto" w:fill="FFFFFF"/>
          <w:lang w:val="en-US" w:eastAsia="zh-CN"/>
        </w:rPr>
        <w:t>4</w:t>
      </w:r>
      <w:r>
        <w:rPr>
          <w:rFonts w:ascii="仿宋" w:eastAsia="仿宋" w:cs="仿宋" w:hint="eastAsia"/>
          <w:kern w:val="0"/>
          <w:sz w:val="32"/>
          <w:szCs w:val="32"/>
          <w:shd w:val="clear" w:color="auto" w:fill="FFFFFF"/>
        </w:rPr>
        <w:t>年末我单位有资产原值128.37万元，资产净值40.82万元，人均占有资产2.92万元；2025年末资产原值103.42万元，资产净值28.35万元，人均占有资产1.77万元；资产原值总额与上年相比减少24.95，主要是2025年有报废资产处置24.95万元。</w:t>
      </w:r>
    </w:p>
    <w:p>
      <w:pPr>
        <w:adjustRightInd w:val="0"/>
        <w:snapToGrid w:val="0"/>
        <w:spacing w:line="578" w:lineRule="exact"/>
        <w:ind w:firstLineChars="200" w:firstLine="640"/>
        <w:contextualSpacing/>
        <w:jc w:val="left"/>
        <w:outlineLvl w:val="2"/>
        <w:rPr>
          <w:rFonts w:ascii="仿宋" w:eastAsia="仿宋" w:cs="仿宋"/>
          <w:color w:val="000000"/>
          <w:kern w:val="0"/>
          <w:sz w:val="32"/>
          <w:szCs w:val="32"/>
          <w:shd w:val="clear" w:color="auto" w:fill="FFFFFF"/>
        </w:rPr>
      </w:pPr>
      <w:r>
        <w:rPr>
          <w:rFonts w:ascii="仿宋" w:eastAsia="仿宋" w:cs="仿宋" w:hint="eastAsia"/>
          <w:color w:val="000000"/>
          <w:kern w:val="0"/>
          <w:sz w:val="32"/>
          <w:szCs w:val="32"/>
          <w:shd w:val="clear" w:color="auto" w:fill="FFFFFF"/>
          <w:lang w:val="zh-CN"/>
        </w:rPr>
        <w:t>综上，根据评分标准，该项指标，得</w:t>
      </w:r>
      <w:r>
        <w:rPr>
          <w:rFonts w:ascii="仿宋" w:eastAsia="仿宋" w:cs="仿宋" w:hint="eastAsia"/>
          <w:color w:val="000000"/>
          <w:kern w:val="0"/>
          <w:sz w:val="32"/>
          <w:szCs w:val="32"/>
          <w:shd w:val="clear" w:color="auto" w:fill="FFFFFF"/>
        </w:rPr>
        <w:t>6</w:t>
      </w:r>
      <w:r>
        <w:rPr>
          <w:rFonts w:ascii="仿宋" w:eastAsia="仿宋" w:cs="仿宋" w:hint="eastAsia"/>
          <w:color w:val="000000"/>
          <w:kern w:val="0"/>
          <w:sz w:val="32"/>
          <w:szCs w:val="32"/>
          <w:shd w:val="clear" w:color="auto" w:fill="FFFFFF"/>
          <w:lang w:val="zh-CN"/>
        </w:rPr>
        <w:t>分。</w:t>
      </w:r>
    </w:p>
    <w:p>
      <w:pPr>
        <w:adjustRightInd w:val="0"/>
        <w:snapToGrid w:val="0"/>
        <w:spacing w:line="578" w:lineRule="exact"/>
        <w:ind w:firstLineChars="200" w:firstLine="640"/>
        <w:contextualSpacing/>
        <w:jc w:val="left"/>
        <w:outlineLvl w:val="2"/>
        <w:rPr>
          <w:rFonts w:ascii="仿宋" w:eastAsia="仿宋" w:cs="仿宋"/>
          <w:color w:val="000000"/>
          <w:kern w:val="0"/>
          <w:sz w:val="32"/>
          <w:szCs w:val="32"/>
          <w:shd w:val="clear" w:color="auto" w:fill="FFFFFF"/>
          <w:lang w:val="zh-CN"/>
        </w:rPr>
      </w:pPr>
      <w:r>
        <w:rPr>
          <w:rFonts w:ascii="楷体_GB2312" w:eastAsia="楷体_GB2312" w:cs="楷体_GB2312" w:hint="eastAsia"/>
          <w:color w:val="000000"/>
          <w:kern w:val="0"/>
          <w:sz w:val="32"/>
          <w:szCs w:val="32"/>
          <w:shd w:val="clear" w:color="auto" w:fill="FFFFFF"/>
        </w:rPr>
        <w:t>5.</w:t>
      </w:r>
      <w:r>
        <w:rPr>
          <w:rFonts w:ascii="楷体_GB2312" w:eastAsia="楷体_GB2312" w:cs="楷体_GB2312"/>
          <w:color w:val="000000"/>
          <w:kern w:val="0"/>
          <w:sz w:val="32"/>
          <w:szCs w:val="32"/>
          <w:shd w:val="clear" w:color="auto" w:fill="FFFFFF"/>
          <w:lang w:val="zh-CN"/>
        </w:rPr>
        <w:t>采购管理</w:t>
      </w:r>
      <w:r>
        <w:rPr>
          <w:rFonts w:ascii="楷体_GB2312" w:eastAsia="楷体_GB2312" w:cs="楷体_GB2312" w:hint="eastAsia"/>
          <w:color w:val="000000"/>
          <w:kern w:val="0"/>
          <w:sz w:val="32"/>
          <w:szCs w:val="32"/>
          <w:shd w:val="clear" w:color="auto" w:fill="FFFFFF"/>
          <w:lang w:val="zh-CN"/>
        </w:rPr>
        <w:t>。（</w:t>
      </w:r>
      <w:r>
        <w:rPr>
          <w:rFonts w:ascii="楷体_GB2312" w:eastAsia="楷体_GB2312" w:cs="楷体_GB2312" w:hint="eastAsia"/>
          <w:color w:val="000000"/>
          <w:kern w:val="0"/>
          <w:sz w:val="32"/>
          <w:szCs w:val="32"/>
          <w:shd w:val="clear" w:color="auto" w:fill="FFFFFF"/>
        </w:rPr>
        <w:t>6分）</w:t>
      </w:r>
      <w:r>
        <w:rPr>
          <w:rFonts w:ascii="仿宋" w:eastAsia="仿宋" w:cs="仿宋" w:hint="eastAsia"/>
          <w:color w:val="000000"/>
          <w:kern w:val="0"/>
          <w:sz w:val="32"/>
          <w:szCs w:val="32"/>
          <w:shd w:val="clear" w:color="auto" w:fill="FFFFFF"/>
          <w:lang w:val="zh-CN"/>
        </w:rPr>
        <w:t>围绕支持中小企业发展、采购执行率进行绩效分析。</w:t>
      </w:r>
    </w:p>
    <w:p>
      <w:pPr>
        <w:adjustRightInd w:val="0"/>
        <w:snapToGrid w:val="0"/>
        <w:spacing w:line="578" w:lineRule="exact"/>
        <w:ind w:firstLine="640"/>
        <w:jc w:val="left"/>
        <w:rPr>
          <w:rFonts w:ascii="仿宋" w:eastAsia="仿宋" w:cs="仿宋"/>
          <w:sz w:val="32"/>
          <w:szCs w:val="32"/>
        </w:rPr>
      </w:pPr>
      <w:r>
        <w:rPr>
          <w:rFonts w:ascii="仿宋" w:eastAsia="仿宋" w:cs="仿宋" w:hint="eastAsia"/>
          <w:sz w:val="32"/>
          <w:szCs w:val="32"/>
        </w:rPr>
        <w:t>2025年度我单位无政府采购项目。</w:t>
      </w:r>
    </w:p>
    <w:p>
      <w:pPr>
        <w:adjustRightInd w:val="0"/>
        <w:snapToGrid w:val="0"/>
        <w:spacing w:line="578" w:lineRule="exact"/>
        <w:ind w:firstLine="640"/>
        <w:jc w:val="left"/>
        <w:rPr>
          <w:rFonts w:ascii="仿宋" w:eastAsia="仿宋" w:cs="仿宋"/>
          <w:sz w:val="32"/>
          <w:szCs w:val="32"/>
        </w:rPr>
      </w:pPr>
      <w:r>
        <w:rPr>
          <w:rFonts w:ascii="仿宋" w:eastAsia="仿宋" w:cs="仿宋" w:hint="eastAsia"/>
          <w:color w:val="000000"/>
          <w:kern w:val="0"/>
          <w:sz w:val="32"/>
          <w:szCs w:val="32"/>
          <w:shd w:val="clear" w:color="auto" w:fill="FFFFFF"/>
          <w:lang w:val="zh-CN"/>
        </w:rPr>
        <w:t>综上，根据评分标准，该项指标，得</w:t>
      </w:r>
      <w:r>
        <w:rPr>
          <w:rFonts w:ascii="仿宋" w:eastAsia="仿宋" w:cs="仿宋" w:hint="eastAsia"/>
          <w:color w:val="000000"/>
          <w:kern w:val="0"/>
          <w:sz w:val="32"/>
          <w:szCs w:val="32"/>
          <w:shd w:val="clear" w:color="auto" w:fill="FFFFFF"/>
        </w:rPr>
        <w:t>6</w:t>
      </w:r>
      <w:r>
        <w:rPr>
          <w:rFonts w:ascii="仿宋" w:eastAsia="仿宋" w:cs="仿宋" w:hint="eastAsia"/>
          <w:color w:val="000000"/>
          <w:kern w:val="0"/>
          <w:sz w:val="32"/>
          <w:szCs w:val="32"/>
          <w:shd w:val="clear" w:color="auto" w:fill="FFFFFF"/>
          <w:lang w:val="zh-CN"/>
        </w:rPr>
        <w:t>分。</w:t>
      </w:r>
    </w:p>
    <w:p>
      <w:pPr>
        <w:widowControl/>
        <w:adjustRightInd w:val="0"/>
        <w:snapToGrid w:val="0"/>
        <w:spacing w:line="578" w:lineRule="exact"/>
        <w:ind w:firstLineChars="200" w:firstLine="640"/>
        <w:contextualSpacing/>
        <w:jc w:val="left"/>
        <w:outlineLvl w:val="1"/>
        <w:rPr>
          <w:rFonts w:ascii="仿宋" w:eastAsia="仿宋" w:cs="仿宋"/>
          <w:color w:val="000000"/>
          <w:kern w:val="0"/>
          <w:sz w:val="32"/>
          <w:szCs w:val="32"/>
          <w:shd w:val="clear" w:color="auto" w:fill="FFFFFF"/>
        </w:rPr>
      </w:pPr>
      <w:r>
        <w:rPr>
          <w:rFonts w:eastAsia="楷体_GB2312"/>
          <w:b/>
          <w:bCs/>
          <w:color w:val="000000"/>
          <w:kern w:val="0"/>
          <w:sz w:val="32"/>
          <w:szCs w:val="32"/>
          <w:shd w:val="clear" w:color="auto" w:fill="FFFFFF"/>
          <w:lang w:val="zh-CN"/>
        </w:rPr>
        <w:t>（二）部门预算项目绩效分析。</w:t>
      </w:r>
      <w:r>
        <w:rPr>
          <w:rFonts w:ascii="仿宋" w:eastAsia="仿宋" w:cs="仿宋" w:hint="eastAsia"/>
          <w:color w:val="000000"/>
          <w:kern w:val="0"/>
          <w:sz w:val="32"/>
          <w:szCs w:val="32"/>
          <w:shd w:val="clear" w:color="auto" w:fill="FFFFFF"/>
          <w:lang w:val="zh-CN"/>
        </w:rPr>
        <w:t>填报以下数据，并根据部门预算绩效评价指标体系“项目绩效”涉及二、三级指标进行逐项绩效分析并评分，依次包括项目</w:t>
      </w:r>
      <w:r>
        <w:rPr>
          <w:rFonts w:ascii="仿宋" w:eastAsia="仿宋" w:cs="仿宋" w:hint="eastAsia"/>
          <w:color w:val="000000"/>
          <w:kern w:val="0"/>
          <w:sz w:val="32"/>
          <w:szCs w:val="32"/>
          <w:shd w:val="clear" w:color="auto" w:fill="FFFFFF"/>
        </w:rPr>
        <w:t>决策、项目执行、目标实现等情况。</w:t>
      </w:r>
    </w:p>
    <w:p>
      <w:pPr>
        <w:adjustRightInd w:val="0"/>
        <w:snapToGrid w:val="0"/>
        <w:spacing w:line="578" w:lineRule="exact"/>
        <w:ind w:firstLineChars="200" w:firstLine="640"/>
        <w:contextualSpacing/>
        <w:jc w:val="left"/>
        <w:rPr>
          <w:rFonts w:ascii="仿宋" w:eastAsia="仿宋" w:cs="仿宋"/>
          <w:color w:val="000000"/>
          <w:kern w:val="0"/>
          <w:sz w:val="32"/>
          <w:szCs w:val="32"/>
          <w:shd w:val="clear" w:color="auto" w:fill="FFFFFF"/>
          <w:lang w:val="zh-CN"/>
        </w:rPr>
      </w:pPr>
      <w:r>
        <w:rPr>
          <w:rFonts w:ascii="仿宋" w:eastAsia="仿宋" w:cs="仿宋" w:hint="eastAsia"/>
          <w:color w:val="000000"/>
          <w:kern w:val="0"/>
          <w:sz w:val="32"/>
          <w:szCs w:val="32"/>
          <w:shd w:val="clear" w:color="auto" w:fill="FFFFFF"/>
        </w:rPr>
        <w:t>常年项目绩效分析。</w:t>
      </w:r>
      <w:r>
        <w:rPr>
          <w:rFonts w:ascii="仿宋" w:eastAsia="仿宋" w:cs="仿宋" w:hint="eastAsia"/>
          <w:color w:val="000000"/>
          <w:kern w:val="0"/>
          <w:sz w:val="32"/>
          <w:szCs w:val="32"/>
          <w:shd w:val="clear" w:color="auto" w:fill="FFFFFF"/>
          <w:lang w:val="zh-CN"/>
        </w:rPr>
        <w:t>该类项目总数</w:t>
      </w:r>
      <w:r>
        <w:rPr>
          <w:rFonts w:ascii="仿宋" w:eastAsia="仿宋" w:cs="仿宋" w:hint="eastAsia"/>
          <w:color w:val="000000"/>
          <w:kern w:val="0"/>
          <w:sz w:val="32"/>
          <w:szCs w:val="32"/>
          <w:shd w:val="clear" w:color="auto" w:fill="FFFFFF"/>
        </w:rPr>
        <w:t>5</w:t>
      </w:r>
      <w:r>
        <w:rPr>
          <w:rFonts w:ascii="仿宋" w:eastAsia="仿宋" w:cs="仿宋" w:hint="eastAsia"/>
          <w:color w:val="000000"/>
          <w:kern w:val="0"/>
          <w:sz w:val="32"/>
          <w:szCs w:val="32"/>
          <w:shd w:val="clear" w:color="auto" w:fill="FFFFFF"/>
          <w:lang w:val="zh-CN"/>
        </w:rPr>
        <w:t>个，涉及预算总金额</w:t>
      </w:r>
      <w:r>
        <w:rPr>
          <w:rFonts w:ascii="仿宋" w:eastAsia="仿宋" w:cs="仿宋" w:hint="eastAsia"/>
          <w:color w:val="000000"/>
          <w:kern w:val="0"/>
          <w:sz w:val="32"/>
          <w:szCs w:val="32"/>
          <w:shd w:val="clear" w:color="auto" w:fill="FFFFFF"/>
        </w:rPr>
        <w:t xml:space="preserve">   47.50</w:t>
      </w:r>
      <w:r>
        <w:rPr>
          <w:rFonts w:ascii="仿宋" w:eastAsia="仿宋" w:cs="仿宋" w:hint="eastAsia"/>
          <w:color w:val="000000"/>
          <w:kern w:val="0"/>
          <w:sz w:val="32"/>
          <w:szCs w:val="32"/>
          <w:shd w:val="clear" w:color="auto" w:fill="FFFFFF"/>
          <w:lang w:val="zh-CN"/>
        </w:rPr>
        <w:t>万元，1—1</w:t>
      </w:r>
      <w:r>
        <w:rPr>
          <w:rFonts w:ascii="仿宋" w:eastAsia="仿宋" w:cs="仿宋" w:hint="eastAsia"/>
          <w:color w:val="000000"/>
          <w:kern w:val="0"/>
          <w:sz w:val="32"/>
          <w:szCs w:val="32"/>
          <w:shd w:val="clear" w:color="auto" w:fill="FFFFFF"/>
        </w:rPr>
        <w:t>2</w:t>
      </w:r>
      <w:r>
        <w:rPr>
          <w:rFonts w:ascii="仿宋" w:eastAsia="仿宋" w:cs="仿宋" w:hint="eastAsia"/>
          <w:color w:val="000000"/>
          <w:kern w:val="0"/>
          <w:sz w:val="32"/>
          <w:szCs w:val="32"/>
          <w:shd w:val="clear" w:color="auto" w:fill="FFFFFF"/>
          <w:lang w:val="zh-CN"/>
        </w:rPr>
        <w:t>月预算执行总体进度为</w:t>
      </w:r>
      <w:r>
        <w:rPr>
          <w:rFonts w:ascii="仿宋" w:eastAsia="仿宋" w:cs="仿宋" w:hint="eastAsia"/>
          <w:color w:val="000000"/>
          <w:kern w:val="0"/>
          <w:sz w:val="32"/>
          <w:szCs w:val="32"/>
          <w:shd w:val="clear" w:color="auto" w:fill="FFFFFF"/>
        </w:rPr>
        <w:t>100</w:t>
      </w:r>
      <w:r>
        <w:rPr>
          <w:rFonts w:ascii="仿宋" w:eastAsia="仿宋" w:cs="仿宋" w:hint="eastAsia"/>
          <w:color w:val="000000"/>
          <w:kern w:val="0"/>
          <w:sz w:val="32"/>
          <w:szCs w:val="32"/>
          <w:shd w:val="clear" w:color="auto" w:fill="FFFFFF"/>
          <w:lang w:val="zh-CN"/>
        </w:rPr>
        <w:t>%，其中：预算结余率大于</w:t>
      </w:r>
      <w:r>
        <w:rPr>
          <w:rFonts w:ascii="仿宋" w:eastAsia="仿宋" w:cs="仿宋" w:hint="eastAsia"/>
          <w:color w:val="000000"/>
          <w:kern w:val="0"/>
          <w:sz w:val="32"/>
          <w:szCs w:val="32"/>
          <w:shd w:val="clear" w:color="auto" w:fill="FFFFFF"/>
        </w:rPr>
        <w:t>10%</w:t>
      </w:r>
      <w:r>
        <w:rPr>
          <w:rFonts w:ascii="仿宋" w:eastAsia="仿宋" w:cs="仿宋" w:hint="eastAsia"/>
          <w:color w:val="000000"/>
          <w:kern w:val="0"/>
          <w:sz w:val="32"/>
          <w:szCs w:val="32"/>
          <w:shd w:val="clear" w:color="auto" w:fill="FFFFFF"/>
          <w:lang w:val="zh-CN"/>
        </w:rPr>
        <w:t>的项目共计</w:t>
      </w:r>
      <w:r>
        <w:rPr>
          <w:rFonts w:ascii="仿宋" w:eastAsia="仿宋" w:cs="仿宋" w:hint="eastAsia"/>
          <w:color w:val="000000"/>
          <w:kern w:val="0"/>
          <w:sz w:val="32"/>
          <w:szCs w:val="32"/>
          <w:shd w:val="clear" w:color="auto" w:fill="FFFFFF"/>
        </w:rPr>
        <w:t>0</w:t>
      </w:r>
      <w:r>
        <w:rPr>
          <w:rFonts w:ascii="仿宋" w:eastAsia="仿宋" w:cs="仿宋" w:hint="eastAsia"/>
          <w:color w:val="000000"/>
          <w:kern w:val="0"/>
          <w:sz w:val="32"/>
          <w:szCs w:val="32"/>
          <w:shd w:val="clear" w:color="auto" w:fill="FFFFFF"/>
          <w:lang w:val="zh-CN"/>
        </w:rPr>
        <w:t>个。</w:t>
      </w:r>
    </w:p>
    <w:p>
      <w:pPr>
        <w:adjustRightInd w:val="0"/>
        <w:snapToGrid w:val="0"/>
        <w:spacing w:line="578" w:lineRule="exact"/>
        <w:ind w:firstLineChars="200" w:firstLine="640"/>
        <w:contextualSpacing/>
        <w:jc w:val="left"/>
        <w:rPr>
          <w:color w:val="000000"/>
          <w:kern w:val="0"/>
          <w:sz w:val="32"/>
          <w:szCs w:val="32"/>
          <w:shd w:val="clear" w:color="auto" w:fill="FFFFFF"/>
          <w:lang w:val="zh-CN"/>
        </w:rPr>
      </w:pPr>
      <w:r>
        <w:rPr>
          <w:rFonts w:ascii="仿宋" w:eastAsia="仿宋" w:cs="仿宋" w:hint="eastAsia"/>
          <w:color w:val="000000"/>
          <w:kern w:val="0"/>
          <w:sz w:val="32"/>
          <w:szCs w:val="32"/>
          <w:shd w:val="clear" w:color="auto" w:fill="FFFFFF"/>
        </w:rPr>
        <w:t>阶段（一次性）项目绩效分析。</w:t>
      </w:r>
      <w:r>
        <w:rPr>
          <w:rFonts w:ascii="仿宋" w:eastAsia="仿宋" w:cs="仿宋" w:hint="eastAsia"/>
          <w:color w:val="000000"/>
          <w:kern w:val="0"/>
          <w:sz w:val="32"/>
          <w:szCs w:val="32"/>
          <w:shd w:val="clear" w:color="auto" w:fill="FFFFFF"/>
          <w:lang w:val="zh-CN"/>
        </w:rPr>
        <w:t>该类项目总数</w:t>
      </w:r>
      <w:r>
        <w:rPr>
          <w:rFonts w:ascii="仿宋" w:eastAsia="仿宋" w:cs="仿宋" w:hint="eastAsia"/>
          <w:color w:val="000000"/>
          <w:kern w:val="0"/>
          <w:sz w:val="32"/>
          <w:szCs w:val="32"/>
          <w:shd w:val="clear" w:color="auto" w:fill="FFFFFF"/>
        </w:rPr>
        <w:t>4</w:t>
      </w:r>
      <w:r>
        <w:rPr>
          <w:rFonts w:ascii="仿宋" w:eastAsia="仿宋" w:cs="仿宋" w:hint="eastAsia"/>
          <w:color w:val="000000"/>
          <w:kern w:val="0"/>
          <w:sz w:val="32"/>
          <w:szCs w:val="32"/>
          <w:shd w:val="clear" w:color="auto" w:fill="FFFFFF"/>
          <w:lang w:val="zh-CN"/>
        </w:rPr>
        <w:t>个，涉及预算总金额</w:t>
      </w:r>
      <w:r>
        <w:rPr>
          <w:rFonts w:ascii="仿宋" w:eastAsia="仿宋" w:cs="仿宋" w:hint="eastAsia"/>
          <w:kern w:val="0"/>
          <w:sz w:val="32"/>
          <w:szCs w:val="32"/>
          <w:shd w:val="clear" w:color="auto" w:fill="FFFFFF"/>
        </w:rPr>
        <w:t>43.76</w:t>
      </w:r>
      <w:r>
        <w:rPr>
          <w:rFonts w:ascii="仿宋" w:eastAsia="仿宋" w:cs="仿宋" w:hint="eastAsia"/>
          <w:color w:val="000000"/>
          <w:kern w:val="0"/>
          <w:sz w:val="32"/>
          <w:szCs w:val="32"/>
          <w:shd w:val="clear" w:color="auto" w:fill="FFFFFF"/>
          <w:lang w:val="zh-CN"/>
        </w:rPr>
        <w:t>万元，1—1</w:t>
      </w:r>
      <w:r>
        <w:rPr>
          <w:rFonts w:ascii="仿宋" w:eastAsia="仿宋" w:cs="仿宋" w:hint="eastAsia"/>
          <w:color w:val="000000"/>
          <w:kern w:val="0"/>
          <w:sz w:val="32"/>
          <w:szCs w:val="32"/>
          <w:shd w:val="clear" w:color="auto" w:fill="FFFFFF"/>
        </w:rPr>
        <w:t>2</w:t>
      </w:r>
      <w:r>
        <w:rPr>
          <w:rFonts w:ascii="仿宋" w:eastAsia="仿宋" w:cs="仿宋" w:hint="eastAsia"/>
          <w:color w:val="000000"/>
          <w:kern w:val="0"/>
          <w:sz w:val="32"/>
          <w:szCs w:val="32"/>
          <w:shd w:val="clear" w:color="auto" w:fill="FFFFFF"/>
          <w:lang w:val="zh-CN"/>
        </w:rPr>
        <w:t>月预算执行总体进度为</w:t>
      </w:r>
      <w:r>
        <w:rPr>
          <w:rFonts w:ascii="仿宋" w:eastAsia="仿宋" w:cs="仿宋" w:hint="eastAsia"/>
          <w:color w:val="000000"/>
          <w:kern w:val="0"/>
          <w:sz w:val="32"/>
          <w:szCs w:val="32"/>
          <w:shd w:val="clear" w:color="auto" w:fill="FFFFFF"/>
        </w:rPr>
        <w:t>100</w:t>
      </w:r>
      <w:r>
        <w:rPr>
          <w:rFonts w:ascii="仿宋" w:eastAsia="仿宋" w:cs="仿宋" w:hint="eastAsia"/>
          <w:color w:val="000000"/>
          <w:kern w:val="0"/>
          <w:sz w:val="32"/>
          <w:szCs w:val="32"/>
          <w:shd w:val="clear" w:color="auto" w:fill="FFFFFF"/>
          <w:lang w:val="zh-CN"/>
        </w:rPr>
        <w:t>%，其中：预算结余率大于</w:t>
      </w:r>
      <w:r>
        <w:rPr>
          <w:rFonts w:ascii="仿宋" w:eastAsia="仿宋" w:cs="仿宋" w:hint="eastAsia"/>
          <w:color w:val="000000"/>
          <w:kern w:val="0"/>
          <w:sz w:val="32"/>
          <w:szCs w:val="32"/>
          <w:shd w:val="clear" w:color="auto" w:fill="FFFFFF"/>
        </w:rPr>
        <w:t>10%</w:t>
      </w:r>
      <w:r>
        <w:rPr>
          <w:rFonts w:ascii="仿宋" w:eastAsia="仿宋" w:cs="仿宋" w:hint="eastAsia"/>
          <w:color w:val="000000"/>
          <w:kern w:val="0"/>
          <w:sz w:val="32"/>
          <w:szCs w:val="32"/>
          <w:shd w:val="clear" w:color="auto" w:fill="FFFFFF"/>
          <w:lang w:val="zh-CN"/>
        </w:rPr>
        <w:t>的项目共计</w:t>
      </w:r>
      <w:r>
        <w:rPr>
          <w:rFonts w:ascii="仿宋" w:eastAsia="仿宋" w:cs="仿宋" w:hint="eastAsia"/>
          <w:color w:val="000000"/>
          <w:kern w:val="0"/>
          <w:sz w:val="32"/>
          <w:szCs w:val="32"/>
          <w:shd w:val="clear" w:color="auto" w:fill="FFFFFF"/>
        </w:rPr>
        <w:t>0</w:t>
      </w:r>
      <w:r>
        <w:rPr>
          <w:rFonts w:ascii="仿宋" w:eastAsia="仿宋" w:cs="仿宋" w:hint="eastAsia"/>
          <w:color w:val="000000"/>
          <w:kern w:val="0"/>
          <w:sz w:val="32"/>
          <w:szCs w:val="32"/>
          <w:shd w:val="clear" w:color="auto" w:fill="FFFFFF"/>
          <w:lang w:val="zh-CN"/>
        </w:rPr>
        <w:t>个。</w:t>
      </w:r>
    </w:p>
    <w:p>
      <w:pPr>
        <w:adjustRightInd w:val="0"/>
        <w:snapToGrid w:val="0"/>
        <w:spacing w:line="578" w:lineRule="exact"/>
        <w:ind w:firstLineChars="200" w:firstLine="640"/>
        <w:contextualSpacing/>
        <w:jc w:val="left"/>
        <w:outlineLvl w:val="2"/>
        <w:rPr>
          <w:rFonts w:ascii="楷体_GB2312" w:eastAsia="楷体_GB2312" w:cs="楷体_GB2312"/>
          <w:color w:val="000000"/>
          <w:kern w:val="0"/>
          <w:sz w:val="32"/>
          <w:szCs w:val="32"/>
          <w:shd w:val="clear" w:color="auto" w:fill="FFFFFF"/>
          <w:lang w:val="zh-CN"/>
        </w:rPr>
      </w:pPr>
      <w:r>
        <w:rPr>
          <w:rFonts w:ascii="楷体_GB2312" w:eastAsia="楷体_GB2312" w:cs="楷体_GB2312" w:hint="eastAsia"/>
          <w:color w:val="000000"/>
          <w:kern w:val="0"/>
          <w:sz w:val="32"/>
          <w:szCs w:val="32"/>
          <w:shd w:val="clear" w:color="auto" w:fill="FFFFFF"/>
        </w:rPr>
        <w:t>1.</w:t>
      </w:r>
      <w:r>
        <w:rPr>
          <w:rFonts w:ascii="楷体_GB2312" w:eastAsia="楷体_GB2312" w:cs="楷体_GB2312" w:hint="eastAsia"/>
          <w:color w:val="000000"/>
          <w:kern w:val="0"/>
          <w:sz w:val="32"/>
          <w:szCs w:val="32"/>
          <w:shd w:val="clear" w:color="auto" w:fill="FFFFFF"/>
          <w:lang w:val="zh-CN"/>
        </w:rPr>
        <w:t>项目决策。（</w:t>
      </w:r>
      <w:r>
        <w:rPr>
          <w:rFonts w:ascii="楷体_GB2312" w:eastAsia="楷体_GB2312" w:cs="楷体_GB2312" w:hint="eastAsia"/>
          <w:color w:val="000000"/>
          <w:kern w:val="0"/>
          <w:sz w:val="32"/>
          <w:szCs w:val="32"/>
          <w:shd w:val="clear" w:color="auto" w:fill="FFFFFF"/>
        </w:rPr>
        <w:t>12分</w:t>
      </w:r>
      <w:r>
        <w:rPr>
          <w:rFonts w:ascii="楷体_GB2312" w:eastAsia="楷体_GB2312" w:cs="楷体_GB2312" w:hint="eastAsia"/>
          <w:color w:val="000000"/>
          <w:kern w:val="0"/>
          <w:sz w:val="32"/>
          <w:szCs w:val="32"/>
          <w:shd w:val="clear" w:color="auto" w:fill="FFFFFF"/>
          <w:lang w:val="zh-CN"/>
        </w:rPr>
        <w:t>）</w:t>
      </w:r>
    </w:p>
    <w:p>
      <w:pPr>
        <w:adjustRightInd w:val="0"/>
        <w:snapToGrid w:val="0"/>
        <w:spacing w:line="578" w:lineRule="exact"/>
        <w:ind w:firstLineChars="200" w:firstLine="640"/>
        <w:contextualSpacing/>
        <w:jc w:val="left"/>
        <w:rPr>
          <w:rFonts w:ascii="仿宋" w:eastAsia="仿宋" w:cs="仿宋"/>
          <w:color w:val="000000"/>
          <w:kern w:val="0"/>
          <w:sz w:val="32"/>
          <w:szCs w:val="32"/>
          <w:shd w:val="clear" w:color="auto" w:fill="FFFFFF"/>
          <w:lang w:val="zh-CN"/>
        </w:rPr>
      </w:pPr>
      <w:r>
        <w:rPr>
          <w:rFonts w:ascii="仿宋" w:eastAsia="仿宋" w:cs="仿宋" w:hint="eastAsia"/>
          <w:color w:val="000000"/>
          <w:kern w:val="0"/>
          <w:sz w:val="32"/>
          <w:szCs w:val="32"/>
          <w:shd w:val="clear" w:color="auto" w:fill="FFFFFF"/>
          <w:lang w:val="zh-CN"/>
        </w:rPr>
        <w:t>围绕决策程序、目标设置、项目入库进行绩效分析。</w:t>
      </w:r>
    </w:p>
    <w:p>
      <w:pPr>
        <w:adjustRightInd w:val="0"/>
        <w:snapToGrid w:val="0"/>
        <w:spacing w:line="578" w:lineRule="exact"/>
        <w:ind w:firstLineChars="200" w:firstLine="640"/>
        <w:contextualSpacing/>
        <w:jc w:val="left"/>
        <w:rPr>
          <w:rFonts w:ascii="仿宋" w:eastAsia="仿宋" w:cs="仿宋"/>
          <w:color w:val="000000"/>
          <w:kern w:val="0"/>
          <w:sz w:val="32"/>
          <w:szCs w:val="32"/>
          <w:shd w:val="clear" w:color="auto" w:fill="FFFFFF"/>
        </w:rPr>
      </w:pPr>
      <w:r>
        <w:rPr>
          <w:rFonts w:ascii="仿宋" w:eastAsia="仿宋" w:cs="仿宋" w:hint="eastAsia"/>
          <w:color w:val="000000"/>
          <w:kern w:val="0"/>
          <w:sz w:val="32"/>
          <w:szCs w:val="32"/>
          <w:shd w:val="clear" w:color="auto" w:fill="FFFFFF"/>
        </w:rPr>
        <w:t>2025年纳入年度预算的项目5个，本级新增预算项目4个。本级预算项目资金是根据上级统计专业要求和单位实际进行预算编制，所有项目都经过领导班子集体研究决定，请示县人民政府同意后纳入财政预算。根据各项目年度要完成的工作任务设置绩效目标和项目事前绩效评估，单位进行项目登记、项目入库申请，财政对口股室审核、财政预算股审核确定项目入库。</w:t>
      </w:r>
    </w:p>
    <w:p>
      <w:pPr>
        <w:adjustRightInd w:val="0"/>
        <w:snapToGrid w:val="0"/>
        <w:spacing w:line="578" w:lineRule="exact"/>
        <w:ind w:firstLineChars="200" w:firstLine="640"/>
        <w:contextualSpacing/>
        <w:jc w:val="left"/>
        <w:rPr>
          <w:rFonts w:ascii="仿宋" w:eastAsia="仿宋" w:cs="仿宋"/>
          <w:color w:val="000000"/>
          <w:kern w:val="0"/>
          <w:sz w:val="32"/>
          <w:szCs w:val="32"/>
          <w:shd w:val="clear" w:color="auto" w:fill="FFFFFF"/>
          <w:lang w:val="zh-CN"/>
        </w:rPr>
      </w:pPr>
      <w:r>
        <w:rPr>
          <w:rFonts w:ascii="仿宋" w:eastAsia="仿宋" w:cs="仿宋" w:hint="eastAsia"/>
          <w:color w:val="000000"/>
          <w:kern w:val="0"/>
          <w:sz w:val="32"/>
          <w:szCs w:val="32"/>
          <w:shd w:val="clear" w:color="auto" w:fill="FFFFFF"/>
          <w:lang w:val="zh-CN"/>
        </w:rPr>
        <w:t>综上，根据评分标准，该项指标，得</w:t>
      </w:r>
      <w:r>
        <w:rPr>
          <w:rFonts w:ascii="仿宋" w:eastAsia="仿宋" w:cs="仿宋" w:hint="eastAsia"/>
          <w:color w:val="000000"/>
          <w:kern w:val="0"/>
          <w:sz w:val="32"/>
          <w:szCs w:val="32"/>
          <w:shd w:val="clear" w:color="auto" w:fill="FFFFFF"/>
        </w:rPr>
        <w:t>12</w:t>
      </w:r>
      <w:r>
        <w:rPr>
          <w:rFonts w:ascii="仿宋" w:eastAsia="仿宋" w:cs="仿宋" w:hint="eastAsia"/>
          <w:color w:val="000000"/>
          <w:kern w:val="0"/>
          <w:sz w:val="32"/>
          <w:szCs w:val="32"/>
          <w:shd w:val="clear" w:color="auto" w:fill="FFFFFF"/>
          <w:lang w:val="zh-CN"/>
        </w:rPr>
        <w:t>分。</w:t>
      </w:r>
    </w:p>
    <w:p>
      <w:pPr>
        <w:adjustRightInd w:val="0"/>
        <w:snapToGrid w:val="0"/>
        <w:spacing w:line="578" w:lineRule="exact"/>
        <w:ind w:firstLineChars="200" w:firstLine="640"/>
        <w:contextualSpacing/>
        <w:jc w:val="left"/>
        <w:outlineLvl w:val="2"/>
        <w:rPr>
          <w:rFonts w:ascii="仿宋" w:eastAsia="仿宋" w:cs="仿宋"/>
          <w:color w:val="000000"/>
          <w:kern w:val="0"/>
          <w:sz w:val="32"/>
          <w:szCs w:val="32"/>
          <w:shd w:val="clear" w:color="auto" w:fill="FFFFFF"/>
          <w:lang w:val="zh-CN"/>
        </w:rPr>
      </w:pPr>
      <w:r>
        <w:rPr>
          <w:rFonts w:ascii="楷体_GB2312" w:eastAsia="楷体_GB2312" w:cs="楷体_GB2312" w:hint="eastAsia"/>
          <w:color w:val="000000"/>
          <w:kern w:val="0"/>
          <w:sz w:val="32"/>
          <w:szCs w:val="32"/>
          <w:shd w:val="clear" w:color="auto" w:fill="FFFFFF"/>
        </w:rPr>
        <w:t>2.项目执行</w:t>
      </w:r>
      <w:r>
        <w:rPr>
          <w:rFonts w:ascii="楷体_GB2312" w:eastAsia="楷体_GB2312" w:cs="楷体_GB2312" w:hint="eastAsia"/>
          <w:color w:val="000000"/>
          <w:kern w:val="0"/>
          <w:sz w:val="32"/>
          <w:szCs w:val="32"/>
          <w:shd w:val="clear" w:color="auto" w:fill="FFFFFF"/>
          <w:lang w:val="zh-CN"/>
        </w:rPr>
        <w:t>。（</w:t>
      </w:r>
      <w:r>
        <w:rPr>
          <w:rFonts w:ascii="楷体_GB2312" w:eastAsia="楷体_GB2312" w:cs="楷体_GB2312" w:hint="eastAsia"/>
          <w:color w:val="000000"/>
          <w:kern w:val="0"/>
          <w:sz w:val="32"/>
          <w:szCs w:val="32"/>
          <w:shd w:val="clear" w:color="auto" w:fill="FFFFFF"/>
        </w:rPr>
        <w:t>12分</w:t>
      </w:r>
      <w:r>
        <w:rPr>
          <w:rFonts w:ascii="楷体_GB2312" w:eastAsia="楷体_GB2312" w:cs="楷体_GB2312" w:hint="eastAsia"/>
          <w:color w:val="000000"/>
          <w:kern w:val="0"/>
          <w:sz w:val="32"/>
          <w:szCs w:val="32"/>
          <w:shd w:val="clear" w:color="auto" w:fill="FFFFFF"/>
          <w:lang w:val="zh-CN"/>
        </w:rPr>
        <w:t>）</w:t>
      </w:r>
      <w:r>
        <w:rPr>
          <w:rFonts w:ascii="仿宋" w:eastAsia="仿宋" w:cs="仿宋" w:hint="eastAsia"/>
          <w:color w:val="000000"/>
          <w:kern w:val="0"/>
          <w:sz w:val="32"/>
          <w:szCs w:val="32"/>
          <w:shd w:val="clear" w:color="auto" w:fill="FFFFFF"/>
          <w:lang w:val="zh-CN"/>
        </w:rPr>
        <w:t>围绕资金执行同向、项目调整、执行结果进行绩效分析。</w:t>
      </w:r>
    </w:p>
    <w:p>
      <w:pPr>
        <w:adjustRightInd w:val="0"/>
        <w:snapToGrid w:val="0"/>
        <w:spacing w:line="578" w:lineRule="exact"/>
        <w:ind w:firstLineChars="200" w:firstLine="640"/>
        <w:contextualSpacing/>
        <w:jc w:val="left"/>
        <w:outlineLvl w:val="2"/>
        <w:rPr>
          <w:rFonts w:ascii="仿宋" w:eastAsia="仿宋" w:cs="仿宋"/>
          <w:color w:val="000000"/>
          <w:kern w:val="0"/>
          <w:sz w:val="32"/>
          <w:szCs w:val="32"/>
          <w:shd w:val="clear" w:color="auto" w:fill="FFFFFF"/>
        </w:rPr>
      </w:pPr>
      <w:r>
        <w:rPr>
          <w:rFonts w:ascii="仿宋" w:eastAsia="仿宋" w:cs="仿宋" w:hint="eastAsia"/>
          <w:color w:val="000000"/>
          <w:kern w:val="0"/>
          <w:sz w:val="32"/>
          <w:szCs w:val="32"/>
          <w:shd w:val="clear" w:color="auto" w:fill="FFFFFF"/>
          <w:lang w:val="zh-CN"/>
        </w:rPr>
        <w:t>常年预算项目</w:t>
      </w:r>
      <w:r>
        <w:rPr>
          <w:rFonts w:ascii="仿宋" w:eastAsia="仿宋" w:cs="仿宋" w:hint="eastAsia"/>
          <w:color w:val="000000"/>
          <w:kern w:val="0"/>
          <w:sz w:val="32"/>
          <w:szCs w:val="32"/>
          <w:shd w:val="clear" w:color="auto" w:fill="FFFFFF"/>
        </w:rPr>
        <w:t>5个。一是《重点工作保障经费》预算项目40万元，该项目资金主要用于保障统计报表联网直报系统正常运行，开展统计业务工作所需的差旅费、办公费、印刷费、交通费等，截至年底，该项目经费全部使用完毕。二是《手册印刷》项目预算1.50万元，该项目经费主要用于每年《汶川统计年鉴》印刷出版，截至年末，该项目经费全部使用完毕；三是《文化产业统计工作》项目预算1万元，该项目经费主要用于开展文化产业的相关统计业务工作产生的差旅费、办公费等，截至年底，该项目经费全部使用完毕；四是《名录库建设》项目预算1万元，该项目经费主要用于名录库新增单位信息收集核实录入、已有单位信息变更核实录入等工作，截至年底，该项目经费全部使用完毕；五是《乡镇工作经费》项目预算4万元，该项目经费主要用于各镇开展统计工作产生的差旅费、办公费等，截至年底，该项目经费全部使用完毕。</w:t>
      </w:r>
    </w:p>
    <w:p>
      <w:pPr>
        <w:adjustRightInd w:val="0"/>
        <w:snapToGrid w:val="0"/>
        <w:spacing w:line="578" w:lineRule="exact"/>
        <w:ind w:firstLineChars="200" w:firstLine="640"/>
        <w:contextualSpacing/>
        <w:jc w:val="left"/>
        <w:outlineLvl w:val="2"/>
        <w:rPr>
          <w:rFonts w:ascii="仿宋" w:eastAsia="仿宋" w:cs="仿宋"/>
          <w:color w:val="000000"/>
          <w:kern w:val="0"/>
          <w:sz w:val="32"/>
          <w:szCs w:val="32"/>
          <w:shd w:val="clear" w:color="auto" w:fill="FFFFFF"/>
        </w:rPr>
      </w:pPr>
      <w:r>
        <w:rPr>
          <w:rFonts w:ascii="仿宋" w:eastAsia="仿宋" w:cs="仿宋" w:hint="eastAsia"/>
          <w:color w:val="000000"/>
          <w:kern w:val="0"/>
          <w:sz w:val="32"/>
          <w:szCs w:val="32"/>
          <w:shd w:val="clear" w:color="auto" w:fill="FFFFFF"/>
        </w:rPr>
        <w:t>阶段（一次性）项目4个。一是</w:t>
      </w:r>
      <w:bookmarkStart w:id="57" w:name="OLE_LINK1"/>
      <w:r>
        <w:rPr>
          <w:rFonts w:ascii="仿宋" w:eastAsia="仿宋" w:cs="仿宋" w:hint="eastAsia"/>
          <w:color w:val="000000"/>
          <w:kern w:val="0"/>
          <w:sz w:val="32"/>
          <w:szCs w:val="32"/>
          <w:shd w:val="clear" w:color="auto" w:fill="FFFFFF"/>
        </w:rPr>
        <w:t>《汶川县第五次全国</w:t>
      </w:r>
      <w:r>
        <w:rPr>
          <w:rFonts w:ascii="仿宋" w:eastAsia="仿宋" w:cs="仿宋"/>
          <w:color w:val="000000"/>
          <w:kern w:val="0"/>
          <w:sz w:val="32"/>
          <w:szCs w:val="32"/>
          <w:shd w:val="clear" w:color="auto" w:fill="FFFFFF"/>
        </w:rPr>
        <w:t>经</w:t>
      </w:r>
      <w:r>
        <w:rPr>
          <w:rFonts w:ascii="仿宋" w:eastAsia="仿宋" w:cs="仿宋" w:hint="eastAsia"/>
          <w:color w:val="000000"/>
          <w:kern w:val="0"/>
          <w:sz w:val="32"/>
          <w:szCs w:val="32"/>
          <w:shd w:val="clear" w:color="auto" w:fill="FFFFFF"/>
        </w:rPr>
        <w:t>济普查工作经费(2025)》项目经费4.20万元，</w:t>
      </w:r>
      <w:bookmarkEnd w:id="57"/>
      <w:r>
        <w:rPr>
          <w:rFonts w:ascii="仿宋" w:eastAsia="仿宋" w:cs="仿宋" w:hint="eastAsia"/>
          <w:color w:val="000000"/>
          <w:kern w:val="0"/>
          <w:sz w:val="32"/>
          <w:szCs w:val="32"/>
          <w:shd w:val="clear" w:color="auto" w:fill="FFFFFF"/>
        </w:rPr>
        <w:t>该项目经费主要用于开展“五经普”资料开发相关的培训费、会议费、印出费、差旅费和交通费等；二是《“四上”企业（个体）及抽样调查企业（个体）统计人员奖补经费》项目经费23.56万元，该项目经费主要用于对“四上”企业（个体）及抽样调查企业（个体）统计人员奖补，于上半年全部发放给相关统计人员；三是《汶川县交流交往项目-党政干部交流学习（2025年浙江对口支援）》项目经费6万元，</w:t>
      </w:r>
      <w:bookmarkStart w:id="58" w:name="OLE_LINK2"/>
      <w:r>
        <w:rPr>
          <w:rFonts w:ascii="仿宋" w:eastAsia="仿宋" w:cs="仿宋" w:hint="eastAsia"/>
          <w:color w:val="000000"/>
          <w:kern w:val="0"/>
          <w:sz w:val="32"/>
          <w:szCs w:val="32"/>
          <w:shd w:val="clear" w:color="auto" w:fill="FFFFFF"/>
        </w:rPr>
        <w:t>该项目经费主要用于开展统计业务人员到浙江等沿海地区交流学习产生的费用，截至年末，该项目经费已全部使用完毕</w:t>
      </w:r>
      <w:bookmarkEnd w:id="58"/>
      <w:r>
        <w:rPr>
          <w:rFonts w:ascii="仿宋" w:eastAsia="仿宋" w:cs="仿宋" w:hint="eastAsia"/>
          <w:color w:val="000000"/>
          <w:kern w:val="0"/>
          <w:sz w:val="32"/>
          <w:szCs w:val="32"/>
          <w:shd w:val="clear" w:color="auto" w:fill="FFFFFF"/>
        </w:rPr>
        <w:t>。四是目标考核一等奖激励工作经费10万元，该项目经费主要用于开展统计业务日常工作，完成年初下达的目标任务，截至年末，该项目经费已全部使用完毕。</w:t>
      </w:r>
    </w:p>
    <w:p>
      <w:pPr>
        <w:adjustRightInd w:val="0"/>
        <w:snapToGrid w:val="0"/>
        <w:spacing w:line="578" w:lineRule="exact"/>
        <w:ind w:firstLineChars="200" w:firstLine="640"/>
        <w:contextualSpacing/>
        <w:jc w:val="left"/>
        <w:outlineLvl w:val="2"/>
        <w:rPr>
          <w:rFonts w:ascii="仿宋" w:eastAsia="仿宋" w:cs="仿宋"/>
          <w:color w:val="000000"/>
          <w:kern w:val="0"/>
          <w:sz w:val="32"/>
          <w:szCs w:val="32"/>
          <w:shd w:val="clear" w:color="auto" w:fill="FFFFFF"/>
          <w:lang w:val="zh-CN"/>
        </w:rPr>
      </w:pPr>
      <w:r>
        <w:rPr>
          <w:rFonts w:ascii="仿宋" w:eastAsia="仿宋" w:cs="仿宋" w:hint="eastAsia"/>
          <w:color w:val="000000"/>
          <w:kern w:val="0"/>
          <w:sz w:val="32"/>
          <w:szCs w:val="32"/>
          <w:shd w:val="clear" w:color="auto" w:fill="FFFFFF"/>
          <w:lang w:val="zh-CN"/>
        </w:rPr>
        <w:t>综上，根据评分标准，该项指标，得</w:t>
      </w:r>
      <w:r>
        <w:rPr>
          <w:rFonts w:ascii="仿宋" w:eastAsia="仿宋" w:cs="仿宋" w:hint="eastAsia"/>
          <w:color w:val="000000"/>
          <w:kern w:val="0"/>
          <w:sz w:val="32"/>
          <w:szCs w:val="32"/>
          <w:shd w:val="clear" w:color="auto" w:fill="FFFFFF"/>
        </w:rPr>
        <w:t>12</w:t>
      </w:r>
      <w:r>
        <w:rPr>
          <w:rFonts w:ascii="仿宋" w:eastAsia="仿宋" w:cs="仿宋" w:hint="eastAsia"/>
          <w:color w:val="000000"/>
          <w:kern w:val="0"/>
          <w:sz w:val="32"/>
          <w:szCs w:val="32"/>
          <w:shd w:val="clear" w:color="auto" w:fill="FFFFFF"/>
          <w:lang w:val="zh-CN"/>
        </w:rPr>
        <w:t>分。</w:t>
      </w:r>
    </w:p>
    <w:p>
      <w:pPr>
        <w:adjustRightInd w:val="0"/>
        <w:snapToGrid w:val="0"/>
        <w:spacing w:line="578" w:lineRule="exact"/>
        <w:ind w:firstLineChars="200" w:firstLine="640"/>
        <w:contextualSpacing/>
        <w:jc w:val="left"/>
        <w:outlineLvl w:val="2"/>
        <w:rPr>
          <w:rFonts w:ascii="仿宋" w:eastAsia="仿宋" w:cs="仿宋"/>
          <w:color w:val="000000"/>
          <w:kern w:val="0"/>
          <w:sz w:val="32"/>
          <w:szCs w:val="32"/>
          <w:shd w:val="clear" w:color="auto" w:fill="FFFFFF"/>
        </w:rPr>
      </w:pPr>
      <w:r>
        <w:rPr>
          <w:rFonts w:ascii="楷体_GB2312" w:eastAsia="楷体_GB2312" w:cs="楷体_GB2312" w:hint="eastAsia"/>
          <w:color w:val="000000"/>
          <w:kern w:val="0"/>
          <w:sz w:val="32"/>
          <w:szCs w:val="32"/>
          <w:shd w:val="clear" w:color="auto" w:fill="FFFFFF"/>
        </w:rPr>
        <w:t>3.</w:t>
      </w:r>
      <w:r>
        <w:rPr>
          <w:rFonts w:ascii="楷体_GB2312" w:eastAsia="楷体_GB2312" w:cs="楷体_GB2312" w:hint="eastAsia"/>
          <w:color w:val="000000"/>
          <w:kern w:val="0"/>
          <w:sz w:val="32"/>
          <w:szCs w:val="32"/>
          <w:shd w:val="clear" w:color="auto" w:fill="FFFFFF"/>
          <w:lang w:val="zh-CN"/>
        </w:rPr>
        <w:t>目标实现。（</w:t>
      </w:r>
      <w:r>
        <w:rPr>
          <w:rFonts w:ascii="楷体_GB2312" w:eastAsia="楷体_GB2312" w:cs="楷体_GB2312" w:hint="eastAsia"/>
          <w:color w:val="000000"/>
          <w:kern w:val="0"/>
          <w:sz w:val="32"/>
          <w:szCs w:val="32"/>
          <w:shd w:val="clear" w:color="auto" w:fill="FFFFFF"/>
        </w:rPr>
        <w:t>11分</w:t>
      </w:r>
      <w:r>
        <w:rPr>
          <w:rFonts w:ascii="楷体_GB2312" w:eastAsia="楷体_GB2312" w:cs="楷体_GB2312" w:hint="eastAsia"/>
          <w:color w:val="000000"/>
          <w:kern w:val="0"/>
          <w:sz w:val="32"/>
          <w:szCs w:val="32"/>
          <w:shd w:val="clear" w:color="auto" w:fill="FFFFFF"/>
          <w:lang w:val="zh-CN"/>
        </w:rPr>
        <w:t>）</w:t>
      </w:r>
      <w:r>
        <w:rPr>
          <w:rFonts w:ascii="仿宋" w:eastAsia="仿宋" w:cs="仿宋" w:hint="eastAsia"/>
          <w:color w:val="000000"/>
          <w:kern w:val="0"/>
          <w:sz w:val="32"/>
          <w:szCs w:val="32"/>
          <w:shd w:val="clear" w:color="auto" w:fill="FFFFFF"/>
          <w:lang w:val="zh-CN"/>
        </w:rPr>
        <w:t>围绕目标完成、目标偏离、实现效果进行绩效分析。</w:t>
      </w:r>
    </w:p>
    <w:p>
      <w:pPr>
        <w:spacing w:line="578" w:lineRule="exact"/>
        <w:ind w:firstLineChars="200" w:firstLine="640"/>
        <w:rPr>
          <w:color w:val="000000"/>
          <w:kern w:val="0"/>
          <w:szCs w:val="32"/>
          <w:shd w:val="clear" w:color="auto" w:fill="FFFFFF"/>
          <w:lang w:val="zh-CN"/>
        </w:rPr>
      </w:pPr>
      <w:r>
        <w:rPr>
          <w:rFonts w:hint="eastAsia"/>
          <w:sz w:val="32"/>
          <w:szCs w:val="32"/>
        </w:rPr>
        <w:t>州</w:t>
      </w:r>
      <w:r>
        <w:rPr>
          <w:rFonts w:eastAsia="仿宋_GB2312"/>
          <w:sz w:val="32"/>
          <w:szCs w:val="32"/>
        </w:rPr>
        <w:t>级部门</w:t>
      </w:r>
      <w:r>
        <w:rPr>
          <w:rFonts w:eastAsia="仿宋_GB2312" w:hint="eastAsia"/>
          <w:sz w:val="32"/>
          <w:szCs w:val="32"/>
        </w:rPr>
        <w:t>202</w:t>
      </w:r>
      <w:r>
        <w:rPr>
          <w:rFonts w:hint="eastAsia"/>
          <w:sz w:val="32"/>
          <w:szCs w:val="32"/>
        </w:rPr>
        <w:t>5</w:t>
      </w:r>
      <w:r>
        <w:rPr>
          <w:rFonts w:eastAsia="仿宋_GB2312" w:hint="eastAsia"/>
          <w:sz w:val="32"/>
          <w:szCs w:val="32"/>
        </w:rPr>
        <w:t>年度</w:t>
      </w:r>
      <w:r>
        <w:rPr>
          <w:rFonts w:eastAsia="仿宋_GB2312"/>
          <w:sz w:val="32"/>
          <w:szCs w:val="32"/>
        </w:rPr>
        <w:t>若涉及国有资本经营预算、社会保险基金预算的，应在部门预算绩效自评报告中对完成情况进行梳理阐述。国有资本经营预算绩效自评</w:t>
      </w:r>
      <w:r>
        <w:rPr>
          <w:rFonts w:hint="eastAsia"/>
          <w:sz w:val="32"/>
          <w:szCs w:val="32"/>
        </w:rPr>
        <w:t>重点</w:t>
      </w:r>
      <w:r>
        <w:rPr>
          <w:rFonts w:eastAsia="仿宋_GB2312"/>
          <w:sz w:val="32"/>
          <w:szCs w:val="32"/>
        </w:rPr>
        <w:t>关注企业的运营质量、行业水平等情况；社会保险基金预算绩效自评重点关注基金可持续性、区域安全性等情况。</w:t>
      </w:r>
    </w:p>
    <w:p>
      <w:pPr>
        <w:widowControl/>
        <w:autoSpaceDE w:val="0"/>
        <w:adjustRightInd w:val="0"/>
        <w:snapToGrid w:val="0"/>
        <w:spacing w:line="560" w:lineRule="exact"/>
        <w:ind w:firstLineChars="200" w:firstLine="640"/>
        <w:jc w:val="left"/>
        <w:rPr>
          <w:rFonts w:ascii="仿宋" w:eastAsia="仿宋" w:cs="仿宋"/>
          <w:kern w:val="0"/>
          <w:sz w:val="32"/>
          <w:szCs w:val="32"/>
        </w:rPr>
      </w:pPr>
      <w:r>
        <w:rPr>
          <w:rFonts w:ascii="仿宋" w:eastAsia="仿宋" w:cs="仿宋" w:hint="eastAsia"/>
          <w:kern w:val="0"/>
          <w:sz w:val="32"/>
          <w:szCs w:val="32"/>
        </w:rPr>
        <w:t>（1）全面完成各类统计报表任务。2025年我局全面完成了2024年年报和2025年各类定期统计报表任务。各专业考核评比在全州统计系统名列前茅。</w:t>
        <w:br/>
        <w:t xml:space="preserve">    （2）完成《汶川统计年鉴（2025）》印刷出版220册，并发放到全县行政事业单位及各镇，受到了各单位的一致好评。</w:t>
      </w:r>
    </w:p>
    <w:p>
      <w:pPr>
        <w:widowControl/>
        <w:autoSpaceDE w:val="0"/>
        <w:adjustRightInd w:val="0"/>
        <w:snapToGrid w:val="0"/>
        <w:spacing w:line="560" w:lineRule="exact"/>
        <w:ind w:firstLineChars="200" w:firstLine="640"/>
        <w:jc w:val="left"/>
        <w:rPr>
          <w:rFonts w:ascii="仿宋" w:eastAsia="仿宋" w:cs="仿宋"/>
          <w:kern w:val="0"/>
          <w:sz w:val="32"/>
          <w:szCs w:val="32"/>
        </w:rPr>
      </w:pPr>
      <w:r>
        <w:rPr>
          <w:rFonts w:ascii="仿宋" w:eastAsia="仿宋" w:cs="仿宋" w:hint="eastAsia"/>
          <w:kern w:val="0"/>
          <w:sz w:val="32"/>
          <w:szCs w:val="32"/>
        </w:rPr>
        <w:t>（3）全面完成汶川县第五次全国经济普查正资料开发工作。该项工作受到省、州局高度评价，各镇“五经普”指导员和普查员对发放的”两员“补助非常满意。</w:t>
      </w:r>
    </w:p>
    <w:p>
      <w:pPr>
        <w:widowControl/>
        <w:autoSpaceDE w:val="0"/>
        <w:adjustRightInd w:val="0"/>
        <w:snapToGrid w:val="0"/>
        <w:spacing w:line="560" w:lineRule="exact"/>
        <w:ind w:firstLineChars="200" w:firstLine="640"/>
        <w:jc w:val="left"/>
        <w:rPr>
          <w:rFonts w:ascii="仿宋" w:eastAsia="仿宋" w:cs="仿宋"/>
          <w:kern w:val="0"/>
          <w:sz w:val="32"/>
          <w:szCs w:val="32"/>
        </w:rPr>
      </w:pPr>
      <w:r>
        <w:rPr>
          <w:rFonts w:ascii="仿宋" w:eastAsia="仿宋" w:cs="仿宋" w:hint="eastAsia"/>
          <w:kern w:val="0"/>
          <w:sz w:val="32"/>
          <w:szCs w:val="32"/>
        </w:rPr>
        <w:t>（4）扎实开展统计执法和统计造假专项整治工作。全年开展统计执法1次，统计造假专项检查10余次，通过执法检查提高了企事业及个体单位统计人员业务素质和统计数据的质量。</w:t>
      </w:r>
    </w:p>
    <w:p>
      <w:pPr>
        <w:widowControl/>
        <w:autoSpaceDE w:val="0"/>
        <w:adjustRightInd w:val="0"/>
        <w:snapToGrid w:val="0"/>
        <w:spacing w:line="560" w:lineRule="exact"/>
        <w:ind w:firstLineChars="200" w:firstLine="640"/>
        <w:jc w:val="left"/>
        <w:rPr>
          <w:rFonts w:ascii="仿宋" w:eastAsia="仿宋" w:cs="仿宋"/>
          <w:kern w:val="0"/>
          <w:sz w:val="32"/>
          <w:szCs w:val="32"/>
        </w:rPr>
      </w:pPr>
      <w:r>
        <w:rPr>
          <w:rFonts w:ascii="仿宋" w:eastAsia="仿宋" w:cs="仿宋" w:hint="eastAsia"/>
          <w:kern w:val="0"/>
          <w:sz w:val="32"/>
          <w:szCs w:val="32"/>
        </w:rPr>
        <w:t>（5）及时完成名录库新增单位信息录入和相关单位（个体）信息资料更新，为下一步“五经普”正式普查奠定了坚实的基础。</w:t>
      </w:r>
    </w:p>
    <w:p>
      <w:pPr>
        <w:adjustRightInd w:val="0"/>
        <w:snapToGrid w:val="0"/>
        <w:spacing w:line="578" w:lineRule="exact"/>
        <w:ind w:firstLineChars="200" w:firstLine="640"/>
        <w:contextualSpacing/>
        <w:jc w:val="left"/>
        <w:outlineLvl w:val="2"/>
        <w:rPr>
          <w:rFonts w:ascii="仿宋" w:eastAsia="仿宋" w:cs="仿宋"/>
          <w:color w:val="000000"/>
          <w:kern w:val="0"/>
          <w:sz w:val="32"/>
          <w:szCs w:val="32"/>
          <w:shd w:val="clear" w:color="auto" w:fill="FFFFFF"/>
          <w:lang w:val="zh-CN"/>
        </w:rPr>
      </w:pPr>
      <w:r>
        <w:rPr>
          <w:rFonts w:ascii="仿宋" w:eastAsia="仿宋" w:cs="仿宋" w:hint="eastAsia"/>
          <w:color w:val="000000"/>
          <w:kern w:val="0"/>
          <w:sz w:val="32"/>
          <w:szCs w:val="32"/>
          <w:shd w:val="clear" w:color="auto" w:fill="FFFFFF"/>
          <w:lang w:val="zh-CN"/>
        </w:rPr>
        <w:t>综上，根据评分标准，该项指标，得</w:t>
      </w:r>
      <w:r>
        <w:rPr>
          <w:rFonts w:ascii="仿宋" w:eastAsia="仿宋" w:cs="仿宋" w:hint="eastAsia"/>
          <w:color w:val="000000"/>
          <w:kern w:val="0"/>
          <w:sz w:val="32"/>
          <w:szCs w:val="32"/>
          <w:shd w:val="clear" w:color="auto" w:fill="FFFFFF"/>
        </w:rPr>
        <w:t>11</w:t>
      </w:r>
      <w:r>
        <w:rPr>
          <w:rFonts w:ascii="仿宋" w:eastAsia="仿宋" w:cs="仿宋" w:hint="eastAsia"/>
          <w:color w:val="000000"/>
          <w:kern w:val="0"/>
          <w:sz w:val="32"/>
          <w:szCs w:val="32"/>
          <w:shd w:val="clear" w:color="auto" w:fill="FFFFFF"/>
          <w:lang w:val="zh-CN"/>
        </w:rPr>
        <w:t>分。</w:t>
      </w:r>
    </w:p>
    <w:p>
      <w:pPr>
        <w:widowControl/>
        <w:adjustRightInd w:val="0"/>
        <w:snapToGrid w:val="0"/>
        <w:spacing w:line="578" w:lineRule="exact"/>
        <w:ind w:firstLineChars="200" w:firstLine="640"/>
        <w:contextualSpacing/>
        <w:jc w:val="left"/>
        <w:rPr>
          <w:sz w:val="32"/>
          <w:szCs w:val="32"/>
        </w:rPr>
      </w:pPr>
      <w:r>
        <w:rPr>
          <w:rFonts w:eastAsia="楷体_GB2312"/>
          <w:b/>
          <w:bCs/>
          <w:color w:val="000000"/>
          <w:kern w:val="0"/>
          <w:sz w:val="32"/>
          <w:szCs w:val="32"/>
          <w:shd w:val="clear" w:color="auto" w:fill="FFFFFF"/>
          <w:lang w:val="zh-CN"/>
        </w:rPr>
        <w:t>（</w:t>
      </w:r>
      <w:r>
        <w:rPr>
          <w:rFonts w:eastAsia="楷体_GB2312" w:hint="eastAsia"/>
          <w:b/>
          <w:bCs/>
          <w:color w:val="000000"/>
          <w:kern w:val="0"/>
          <w:sz w:val="32"/>
          <w:szCs w:val="32"/>
          <w:shd w:val="clear" w:color="auto" w:fill="FFFFFF"/>
          <w:lang w:val="zh-CN"/>
        </w:rPr>
        <w:t>三</w:t>
      </w:r>
      <w:r>
        <w:rPr>
          <w:rFonts w:eastAsia="楷体_GB2312"/>
          <w:b/>
          <w:bCs/>
          <w:color w:val="000000"/>
          <w:kern w:val="0"/>
          <w:sz w:val="32"/>
          <w:szCs w:val="32"/>
          <w:shd w:val="clear" w:color="auto" w:fill="FFFFFF"/>
          <w:lang w:val="zh-CN"/>
        </w:rPr>
        <w:t>）重点领域绩效分析。</w:t>
      </w:r>
      <w:r>
        <w:rPr>
          <w:rFonts w:hint="eastAsia"/>
          <w:sz w:val="32"/>
          <w:szCs w:val="32"/>
        </w:rPr>
        <w:t>州</w:t>
      </w:r>
      <w:r>
        <w:rPr>
          <w:rFonts w:eastAsia="仿宋_GB2312"/>
          <w:sz w:val="32"/>
          <w:szCs w:val="32"/>
        </w:rPr>
        <w:t>级部门</w:t>
      </w:r>
      <w:r>
        <w:rPr>
          <w:rFonts w:eastAsia="仿宋_GB2312" w:hint="eastAsia"/>
          <w:sz w:val="32"/>
          <w:szCs w:val="32"/>
        </w:rPr>
        <w:t>202</w:t>
      </w:r>
      <w:r>
        <w:rPr>
          <w:rFonts w:hint="eastAsia"/>
          <w:sz w:val="32"/>
          <w:szCs w:val="32"/>
        </w:rPr>
        <w:t>5</w:t>
      </w:r>
      <w:r>
        <w:rPr>
          <w:rFonts w:eastAsia="仿宋_GB2312" w:hint="eastAsia"/>
          <w:sz w:val="32"/>
          <w:szCs w:val="32"/>
        </w:rPr>
        <w:t>年度</w:t>
      </w:r>
      <w:r>
        <w:rPr>
          <w:rFonts w:eastAsia="仿宋_GB2312"/>
          <w:sz w:val="32"/>
          <w:szCs w:val="32"/>
        </w:rPr>
        <w:t>若涉及国有资本、行政事业性国有资产、债券资金、政府采购和政府购买服务等重点领域的，应在部门预算绩效自评报告中对完成情况进行梳理阐述</w:t>
      </w:r>
      <w:r>
        <w:rPr>
          <w:rFonts w:hint="eastAsia"/>
          <w:sz w:val="32"/>
          <w:szCs w:val="32"/>
        </w:rPr>
        <w:t>。</w:t>
      </w:r>
    </w:p>
    <w:p>
      <w:pPr>
        <w:widowControl/>
        <w:adjustRightInd w:val="0"/>
        <w:snapToGrid w:val="0"/>
        <w:spacing w:line="580" w:lineRule="exact"/>
        <w:ind w:firstLineChars="200" w:firstLine="640"/>
        <w:jc w:val="left"/>
        <w:rPr>
          <w:rFonts w:ascii="仿宋" w:eastAsia="仿宋" w:cs="仿宋"/>
          <w:sz w:val="32"/>
          <w:szCs w:val="32"/>
        </w:rPr>
      </w:pPr>
      <w:r>
        <w:rPr>
          <w:rFonts w:ascii="仿宋" w:eastAsia="仿宋" w:cs="仿宋" w:hint="eastAsia"/>
          <w:sz w:val="32"/>
          <w:szCs w:val="32"/>
        </w:rPr>
        <w:t>无</w:t>
      </w:r>
    </w:p>
    <w:p>
      <w:pPr>
        <w:widowControl/>
        <w:adjustRightInd w:val="0"/>
        <w:snapToGrid w:val="0"/>
        <w:spacing w:line="580" w:lineRule="exact"/>
        <w:ind w:firstLineChars="200" w:firstLine="640"/>
        <w:jc w:val="left"/>
        <w:rPr>
          <w:rFonts w:eastAsia="楷体_GB2312"/>
          <w:b/>
          <w:bCs/>
          <w:sz w:val="32"/>
          <w:szCs w:val="32"/>
          <w:lang w:val="zh-CN"/>
        </w:rPr>
      </w:pPr>
      <w:r>
        <w:rPr>
          <w:rFonts w:eastAsia="楷体_GB2312"/>
          <w:b/>
          <w:bCs/>
          <w:sz w:val="32"/>
          <w:szCs w:val="32"/>
          <w:lang w:val="zh-CN"/>
        </w:rPr>
        <w:t>（四）绩效结果应用情况</w:t>
      </w:r>
    </w:p>
    <w:p>
      <w:pPr>
        <w:widowControl/>
        <w:adjustRightInd w:val="0"/>
        <w:snapToGrid w:val="0"/>
        <w:spacing w:line="580" w:lineRule="exact"/>
        <w:ind w:firstLineChars="200" w:firstLine="640"/>
        <w:jc w:val="left"/>
        <w:rPr>
          <w:rFonts w:ascii="楷体" w:eastAsia="楷体" w:cs="宋体"/>
          <w:kern w:val="0"/>
          <w:lang w:val="zh-CN"/>
        </w:rPr>
      </w:pPr>
      <w:r>
        <w:rPr>
          <w:rFonts w:ascii="仿宋" w:eastAsia="仿宋" w:cs="仿宋" w:hint="eastAsia"/>
          <w:bCs/>
          <w:kern w:val="0"/>
          <w:sz w:val="32"/>
          <w:szCs w:val="32"/>
        </w:rPr>
        <w:t>按照《</w:t>
      </w:r>
      <w:r>
        <w:rPr>
          <w:rFonts w:ascii="仿宋" w:eastAsia="仿宋" w:cs="仿宋"/>
          <w:bCs/>
          <w:kern w:val="0"/>
          <w:sz w:val="32"/>
          <w:szCs w:val="32"/>
        </w:rPr>
        <w:t>中</w:t>
      </w:r>
      <w:r>
        <w:rPr>
          <w:rFonts w:ascii="仿宋" w:eastAsia="仿宋" w:cs="仿宋" w:hint="eastAsia"/>
          <w:bCs/>
          <w:kern w:val="0"/>
          <w:sz w:val="32"/>
          <w:szCs w:val="32"/>
        </w:rPr>
        <w:t>华人民共和国预算法》按</w:t>
      </w:r>
      <w:r>
        <w:rPr>
          <w:rFonts w:ascii="仿宋_GB2312" w:eastAsia="仿宋_GB2312" w:cs="仿宋_GB2312" w:hint="eastAsia"/>
          <w:bCs/>
          <w:kern w:val="0"/>
          <w:sz w:val="32"/>
          <w:szCs w:val="32"/>
        </w:rPr>
        <w:t>时完成预决算编制，在执行过程中有计划进行资金申报、使用，完善资金管理及内部控制制度，确保资金安全，做到账款、账账、账实相符，为全局事业发展提供有效资金保障</w:t>
      </w:r>
      <w:r>
        <w:rPr>
          <w:rFonts w:ascii="仿宋_GB2312" w:cs="仿宋_GB2312" w:hAnsi="仿宋_GB2312" w:hint="eastAsia"/>
          <w:bCs/>
          <w:kern w:val="0"/>
          <w:sz w:val="32"/>
          <w:szCs w:val="32"/>
        </w:rPr>
        <w:t>；</w:t>
      </w:r>
      <w:r>
        <w:rPr>
          <w:rFonts w:ascii="仿宋_GB2312" w:eastAsia="仿宋_GB2312" w:cs="仿宋_GB2312" w:hint="eastAsia"/>
          <w:bCs/>
          <w:kern w:val="0"/>
          <w:sz w:val="32"/>
          <w:szCs w:val="32"/>
        </w:rPr>
        <w:t>我们对财政资金整体支出绩效进行了认真自评，总体自我评价是：财政资金预算配置合理合规，预算执行严格有序，预算管理规范可控，资金效益合乎预期。</w:t>
      </w:r>
    </w:p>
    <w:p>
      <w:pPr>
        <w:widowControl/>
        <w:adjustRightInd w:val="0"/>
        <w:snapToGrid w:val="0"/>
        <w:spacing w:line="580" w:lineRule="exact"/>
        <w:ind w:firstLineChars="200" w:firstLine="640"/>
        <w:contextualSpacing/>
        <w:jc w:val="left"/>
        <w:rPr>
          <w:rFonts w:ascii="仿宋" w:eastAsia="仿宋" w:cs="仿宋"/>
          <w:b/>
          <w:szCs w:val="32"/>
        </w:rPr>
      </w:pPr>
      <w:r>
        <w:rPr>
          <w:rFonts w:ascii="仿宋" w:eastAsia="仿宋" w:cs="仿宋" w:hint="eastAsia"/>
          <w:bCs/>
          <w:kern w:val="0"/>
          <w:sz w:val="32"/>
          <w:szCs w:val="32"/>
        </w:rPr>
        <w:t>汶川县统计局本次绩效自评的结果及时在单位公开栏进行公开，自评结果应用于全过程指标的预算执行方面，预算支出管理有待提升将进行改进及落实，主要是上级划拨的代管资金和部分项目资金支付进度较慢。</w:t>
      </w:r>
    </w:p>
    <w:p>
      <w:pPr>
        <w:widowControl/>
        <w:adjustRightInd w:val="0"/>
        <w:snapToGrid w:val="0"/>
        <w:spacing w:line="578" w:lineRule="exact"/>
        <w:ind w:firstLineChars="200" w:firstLine="640"/>
        <w:contextualSpacing/>
        <w:jc w:val="left"/>
        <w:outlineLvl w:val="0"/>
        <w:rPr>
          <w:rFonts w:eastAsia="黑体"/>
          <w:color w:val="000000"/>
          <w:kern w:val="0"/>
          <w:sz w:val="32"/>
          <w:szCs w:val="32"/>
          <w:shd w:val="clear" w:color="auto" w:fill="FFFFFF"/>
        </w:rPr>
      </w:pPr>
      <w:r>
        <w:rPr>
          <w:rFonts w:eastAsia="黑体"/>
          <w:color w:val="000000"/>
          <w:kern w:val="0"/>
          <w:sz w:val="32"/>
          <w:szCs w:val="32"/>
          <w:shd w:val="clear" w:color="auto" w:fill="FFFFFF"/>
        </w:rPr>
        <w:t>四、评价结论及建议</w:t>
      </w:r>
    </w:p>
    <w:p>
      <w:pPr>
        <w:widowControl/>
        <w:adjustRightInd w:val="0"/>
        <w:snapToGrid w:val="0"/>
        <w:spacing w:line="580" w:lineRule="exact"/>
        <w:ind w:firstLineChars="200" w:firstLine="640"/>
        <w:contextualSpacing/>
        <w:jc w:val="left"/>
        <w:rPr>
          <w:rFonts w:ascii="仿宋_GB2312" w:cs="宋体" w:hAnsi="仿宋_GB2312"/>
          <w:color w:val="000000"/>
          <w:kern w:val="0"/>
          <w:szCs w:val="32"/>
          <w:shd w:val="clear" w:color="auto" w:fill="FFFFFF"/>
          <w:lang w:val="zh-CN"/>
        </w:rPr>
      </w:pPr>
      <w:r>
        <w:rPr>
          <w:rFonts w:ascii="楷体" w:eastAsia="楷体" w:cs="楷体" w:hint="eastAsia"/>
          <w:b/>
          <w:bCs/>
          <w:color w:val="000000"/>
          <w:kern w:val="0"/>
          <w:sz w:val="32"/>
          <w:szCs w:val="32"/>
          <w:shd w:val="clear" w:color="auto" w:fill="FFFFFF"/>
          <w:lang w:val="zh-CN"/>
        </w:rPr>
        <w:t>（一）评价结论。</w:t>
      </w:r>
      <w:r>
        <w:rPr>
          <w:rFonts w:ascii="仿宋_GB2312" w:eastAsia="仿宋_GB2312" w:cs="仿宋_GB2312" w:hint="eastAsia"/>
          <w:sz w:val="32"/>
          <w:szCs w:val="32"/>
          <w:shd w:val="clear" w:color="auto" w:fill="FFFFFF"/>
        </w:rPr>
        <w:t>汶川县统计局</w:t>
      </w:r>
      <w:r>
        <w:rPr>
          <w:rFonts w:ascii="仿宋_GB2312" w:eastAsia="仿宋_GB2312" w:cs="仿宋_GB2312" w:hint="eastAsia"/>
          <w:bCs/>
          <w:kern w:val="0"/>
          <w:sz w:val="32"/>
          <w:szCs w:val="32"/>
        </w:rPr>
        <w:t>绩效管理严格按照上级部门要求，开展自评工作，对评价结果及时总结上报，</w:t>
      </w:r>
      <w:r>
        <w:rPr>
          <w:rFonts w:ascii="仿宋_GB2312" w:eastAsia="仿宋_GB2312" w:cs="仿宋_GB2312" w:hint="eastAsia"/>
          <w:sz w:val="32"/>
          <w:szCs w:val="32"/>
          <w:shd w:val="clear" w:color="auto" w:fill="FFFFFF"/>
        </w:rPr>
        <w:t>部门预算执行情况良好，无违规违纪行为，</w:t>
      </w:r>
      <w:r>
        <w:rPr>
          <w:rFonts w:ascii="仿宋" w:eastAsia="仿宋" w:cs="仿宋" w:hint="eastAsia"/>
          <w:sz w:val="32"/>
          <w:szCs w:val="32"/>
          <w:shd w:val="clear" w:color="auto" w:fill="FFFFFF"/>
        </w:rPr>
        <w:t>预算支出和决算支出情况相符，自评得分95分，评价结果为优秀。</w:t>
      </w:r>
    </w:p>
    <w:p>
      <w:pPr>
        <w:widowControl/>
        <w:adjustRightInd w:val="0"/>
        <w:snapToGrid w:val="0"/>
        <w:spacing w:line="580" w:lineRule="exact"/>
        <w:ind w:firstLineChars="200" w:firstLine="640"/>
        <w:contextualSpacing/>
        <w:jc w:val="left"/>
        <w:rPr>
          <w:rFonts w:ascii="仿宋" w:eastAsia="仿宋" w:cs="仿宋"/>
          <w:color w:val="000000"/>
          <w:kern w:val="0"/>
          <w:sz w:val="32"/>
          <w:szCs w:val="32"/>
          <w:shd w:val="clear" w:color="auto" w:fill="FFFFFF"/>
          <w:lang w:val="zh-CN"/>
        </w:rPr>
      </w:pPr>
      <w:r>
        <w:rPr>
          <w:rFonts w:ascii="楷体" w:eastAsia="楷体" w:cs="楷体" w:hint="eastAsia"/>
          <w:b/>
          <w:bCs/>
          <w:color w:val="000000"/>
          <w:kern w:val="0"/>
          <w:sz w:val="32"/>
          <w:szCs w:val="32"/>
          <w:shd w:val="clear" w:color="auto" w:fill="FFFFFF"/>
          <w:lang w:val="zh-CN"/>
        </w:rPr>
        <w:t>（二）存在问题。</w:t>
      </w:r>
      <w:r>
        <w:rPr>
          <w:rFonts w:ascii="仿宋" w:eastAsia="仿宋" w:cs="仿宋" w:hint="eastAsia"/>
          <w:b/>
          <w:bCs/>
          <w:color w:val="000000"/>
          <w:kern w:val="0"/>
          <w:sz w:val="32"/>
          <w:szCs w:val="32"/>
          <w:shd w:val="clear" w:color="auto" w:fill="FFFFFF"/>
          <w:lang w:val="zh-CN"/>
        </w:rPr>
        <w:t>一</w:t>
      </w:r>
      <w:r>
        <w:rPr>
          <w:rFonts w:ascii="仿宋" w:eastAsia="仿宋" w:cs="仿宋" w:hint="eastAsia"/>
          <w:b/>
          <w:bCs/>
          <w:color w:val="000000"/>
          <w:kern w:val="0"/>
          <w:sz w:val="32"/>
          <w:szCs w:val="32"/>
          <w:shd w:val="clear" w:color="auto" w:fill="FFFFFF"/>
        </w:rPr>
        <w:t>是</w:t>
      </w:r>
      <w:r>
        <w:rPr>
          <w:rFonts w:ascii="仿宋" w:eastAsia="仿宋" w:cs="仿宋" w:hint="eastAsia"/>
          <w:color w:val="000000"/>
          <w:kern w:val="0"/>
          <w:sz w:val="32"/>
          <w:szCs w:val="32"/>
          <w:shd w:val="clear" w:color="auto" w:fill="FFFFFF"/>
          <w:lang w:val="zh-CN"/>
        </w:rPr>
        <w:t>上级划拨的资金（代管资金），上年底未完成支付，只能结转本年使用，在上级专项检查时提出了资金使用进度较慢。</w:t>
      </w:r>
      <w:r>
        <w:rPr>
          <w:rFonts w:ascii="仿宋" w:eastAsia="仿宋" w:cs="仿宋" w:hint="eastAsia"/>
          <w:b/>
          <w:bCs/>
          <w:color w:val="000000"/>
          <w:kern w:val="0"/>
          <w:sz w:val="32"/>
          <w:szCs w:val="32"/>
          <w:shd w:val="clear" w:color="auto" w:fill="FFFFFF"/>
          <w:lang w:val="zh-CN"/>
        </w:rPr>
        <w:t>二是</w:t>
      </w:r>
      <w:r>
        <w:rPr>
          <w:rFonts w:ascii="仿宋" w:eastAsia="仿宋" w:cs="仿宋" w:hint="eastAsia"/>
          <w:color w:val="000000"/>
          <w:kern w:val="0"/>
          <w:sz w:val="32"/>
          <w:szCs w:val="32"/>
          <w:shd w:val="clear" w:color="auto" w:fill="FFFFFF"/>
          <w:lang w:val="zh-CN"/>
        </w:rPr>
        <w:t>部分项目资金支付进度较慢，存在年末集中支付情况。</w:t>
      </w:r>
    </w:p>
    <w:p>
      <w:pPr>
        <w:widowControl/>
        <w:adjustRightInd w:val="0"/>
        <w:snapToGrid w:val="0"/>
        <w:spacing w:line="578" w:lineRule="exact"/>
        <w:ind w:firstLineChars="200" w:firstLine="640"/>
        <w:contextualSpacing/>
        <w:jc w:val="left"/>
        <w:rPr>
          <w:rFonts w:ascii="仿宋" w:eastAsia="仿宋" w:cs="仿宋"/>
          <w:szCs w:val="32"/>
        </w:rPr>
      </w:pPr>
      <w:r>
        <w:rPr>
          <w:rFonts w:ascii="楷体" w:eastAsia="楷体" w:cs="楷体" w:hint="eastAsia"/>
          <w:b/>
          <w:bCs/>
          <w:color w:val="000000"/>
          <w:kern w:val="0"/>
          <w:sz w:val="32"/>
          <w:szCs w:val="32"/>
          <w:shd w:val="clear" w:color="auto" w:fill="FFFFFF"/>
          <w:lang w:val="zh-CN"/>
        </w:rPr>
        <w:t>（三）改进建议。</w:t>
      </w:r>
      <w:r>
        <w:rPr>
          <w:rFonts w:ascii="仿宋" w:eastAsia="仿宋" w:cs="仿宋" w:hint="eastAsia"/>
          <w:bCs/>
          <w:kern w:val="0"/>
          <w:sz w:val="32"/>
          <w:szCs w:val="32"/>
        </w:rPr>
        <w:t>一是科学合理编制预算，严格执行预算。要按照《中华人民共和国预算法》及其实施条例的相关规定，参考年度的收支预测科学编制预算，避免年中大幅追加以及超预算。同时严格预算执行，提高资金使用效率，制定合理的年度工作计划和年度经费支出预算，确保全年经费支出均衡，做好事前绩效评估，保证资金的可控性、安全性；二是加强单位内控制度建设，完善相关内部管理制度，形成系统的内部财务管理制度，切实发挥资金效益。三是进一步完善各项资金管理制度，加强财政资金管理，切实提高资金使用效率。</w:t>
      </w:r>
    </w:p>
    <w:p>
      <w:pPr>
        <w:spacing w:line="578" w:lineRule="exact"/>
        <w:ind w:firstLineChars="200" w:firstLine="420"/>
        <w:rPr>
          <w:color w:val="000000"/>
          <w:kern w:val="0"/>
          <w:szCs w:val="32"/>
          <w:shd w:val="clear" w:color="auto" w:fill="FFFFFF"/>
        </w:rPr>
      </w:pPr>
    </w:p>
    <w:p>
      <w:pPr>
        <w:pStyle w:val="15"/>
        <w:rPr>
          <w:rFonts w:ascii="Times New Roman" w:hAnsi="Times New Roman"/>
          <w:color w:val="000000"/>
          <w:kern w:val="0"/>
          <w:szCs w:val="32"/>
          <w:shd w:val="clear" w:color="auto" w:fill="FFFFFF"/>
        </w:rPr>
      </w:pPr>
    </w:p>
    <w:p>
      <w:pPr>
        <w:rPr>
          <w:color w:val="000000"/>
          <w:kern w:val="0"/>
          <w:szCs w:val="32"/>
          <w:shd w:val="clear" w:color="auto" w:fill="FFFFFF"/>
        </w:rPr>
      </w:pPr>
    </w:p>
    <w:p>
      <w:pPr>
        <w:pStyle w:val="15"/>
        <w:rPr>
          <w:rFonts w:ascii="Times New Roman" w:hAnsi="Times New Roman"/>
          <w:color w:val="000000"/>
          <w:kern w:val="0"/>
          <w:szCs w:val="32"/>
          <w:shd w:val="clear" w:color="auto" w:fill="FFFFFF"/>
        </w:rPr>
      </w:pPr>
    </w:p>
    <w:p>
      <w:pPr>
        <w:rPr>
          <w:color w:val="000000"/>
          <w:kern w:val="0"/>
          <w:szCs w:val="32"/>
          <w:shd w:val="clear" w:color="auto" w:fill="FFFFFF"/>
        </w:rPr>
      </w:pPr>
    </w:p>
    <w:p>
      <w:pPr>
        <w:pStyle w:val="15"/>
        <w:rPr>
          <w:rFonts w:ascii="Times New Roman" w:hAnsi="Times New Roman"/>
          <w:color w:val="000000"/>
          <w:kern w:val="0"/>
          <w:szCs w:val="32"/>
          <w:shd w:val="clear" w:color="auto" w:fill="FFFFFF"/>
        </w:rPr>
      </w:pPr>
    </w:p>
    <w:p>
      <w:pPr>
        <w:rPr>
          <w:color w:val="000000"/>
          <w:kern w:val="0"/>
          <w:szCs w:val="32"/>
          <w:shd w:val="clear" w:color="auto" w:fill="FFFFFF"/>
        </w:rPr>
      </w:pPr>
    </w:p>
    <w:p>
      <w:pPr>
        <w:pStyle w:val="15"/>
        <w:rPr>
          <w:rFonts w:ascii="Times New Roman" w:hAnsi="Times New Roman"/>
          <w:color w:val="000000"/>
          <w:kern w:val="0"/>
          <w:szCs w:val="32"/>
          <w:shd w:val="clear" w:color="auto" w:fill="FFFFFF"/>
        </w:rPr>
      </w:pPr>
    </w:p>
    <w:p>
      <w:pPr>
        <w:rPr>
          <w:color w:val="000000"/>
          <w:kern w:val="0"/>
          <w:szCs w:val="32"/>
          <w:shd w:val="clear" w:color="auto" w:fill="FFFFFF"/>
        </w:rPr>
      </w:pPr>
    </w:p>
    <w:p>
      <w:pPr>
        <w:pStyle w:val="15"/>
        <w:rPr>
          <w:rFonts w:ascii="Times New Roman" w:hAnsi="Times New Roman"/>
          <w:color w:val="000000"/>
          <w:kern w:val="0"/>
          <w:szCs w:val="32"/>
          <w:shd w:val="clear" w:color="auto" w:fill="FFFFFF"/>
        </w:rPr>
      </w:pPr>
    </w:p>
    <w:p>
      <w:pPr>
        <w:rPr>
          <w:color w:val="000000"/>
          <w:kern w:val="0"/>
          <w:szCs w:val="32"/>
          <w:shd w:val="clear" w:color="auto" w:fill="FFFFFF"/>
        </w:rPr>
      </w:pPr>
    </w:p>
    <w:p>
      <w:pPr>
        <w:pStyle w:val="15"/>
        <w:rPr>
          <w:rFonts w:ascii="Times New Roman" w:hAnsi="Times New Roman"/>
          <w:color w:val="000000"/>
          <w:kern w:val="0"/>
          <w:szCs w:val="32"/>
          <w:shd w:val="clear" w:color="auto" w:fill="FFFFFF"/>
        </w:rPr>
      </w:pPr>
    </w:p>
    <w:p>
      <w:pPr>
        <w:rPr>
          <w:color w:val="000000"/>
          <w:kern w:val="0"/>
          <w:szCs w:val="32"/>
          <w:shd w:val="clear" w:color="auto" w:fill="FFFFFF"/>
        </w:rPr>
      </w:pPr>
    </w:p>
    <w:p>
      <w:pPr>
        <w:pStyle w:val="15"/>
        <w:rPr>
          <w:rFonts w:ascii="Times New Roman" w:hAnsi="Times New Roman"/>
          <w:color w:val="000000"/>
          <w:kern w:val="0"/>
          <w:szCs w:val="32"/>
          <w:shd w:val="clear" w:color="auto" w:fill="FFFFFF"/>
        </w:rPr>
      </w:pPr>
    </w:p>
    <w:p>
      <w:pPr>
        <w:rPr>
          <w:color w:val="000000"/>
          <w:kern w:val="0"/>
          <w:szCs w:val="32"/>
          <w:shd w:val="clear" w:color="auto" w:fill="FFFFFF"/>
        </w:rPr>
      </w:pPr>
    </w:p>
    <w:p>
      <w:pPr>
        <w:pStyle w:val="15"/>
        <w:rPr>
          <w:rFonts w:ascii="Times New Roman" w:hAnsi="Times New Roman"/>
          <w:color w:val="000000"/>
          <w:kern w:val="0"/>
          <w:szCs w:val="32"/>
          <w:shd w:val="clear" w:color="auto" w:fill="FFFFFF"/>
        </w:rPr>
      </w:pPr>
    </w:p>
    <w:p>
      <w:pPr>
        <w:rPr>
          <w:color w:val="000000"/>
          <w:kern w:val="0"/>
          <w:szCs w:val="32"/>
          <w:shd w:val="clear" w:color="auto" w:fill="FFFFFF"/>
        </w:rPr>
      </w:pPr>
    </w:p>
    <w:p>
      <w:pPr>
        <w:pStyle w:val="15"/>
        <w:rPr>
          <w:rFonts w:ascii="Times New Roman" w:hAnsi="Times New Roman"/>
          <w:color w:val="000000"/>
          <w:kern w:val="0"/>
          <w:szCs w:val="32"/>
          <w:shd w:val="clear" w:color="auto" w:fill="FFFFFF"/>
        </w:rPr>
      </w:pPr>
    </w:p>
    <w:p>
      <w:pPr>
        <w:rPr>
          <w:color w:val="000000"/>
          <w:kern w:val="0"/>
          <w:szCs w:val="32"/>
          <w:shd w:val="clear" w:color="auto" w:fill="FFFFFF"/>
        </w:rPr>
      </w:pPr>
    </w:p>
    <w:p>
      <w:pPr>
        <w:pStyle w:val="15"/>
        <w:rPr>
          <w:rFonts w:ascii="Times New Roman" w:hAnsi="Times New Roman"/>
          <w:color w:val="000000"/>
          <w:kern w:val="0"/>
          <w:szCs w:val="32"/>
          <w:shd w:val="clear" w:color="auto" w:fill="FFFFFF"/>
        </w:rPr>
      </w:pPr>
    </w:p>
    <w:p>
      <w:pPr>
        <w:rPr>
          <w:color w:val="000000"/>
          <w:kern w:val="0"/>
          <w:szCs w:val="32"/>
          <w:shd w:val="clear" w:color="auto" w:fill="FFFFFF"/>
        </w:rPr>
      </w:pPr>
    </w:p>
    <w:p>
      <w:pPr>
        <w:pStyle w:val="15"/>
        <w:rPr>
          <w:rFonts w:ascii="Times New Roman" w:hAnsi="Times New Roman"/>
          <w:color w:val="000000"/>
          <w:kern w:val="0"/>
          <w:szCs w:val="32"/>
          <w:shd w:val="clear" w:color="auto" w:fill="FFFFFF"/>
        </w:rPr>
      </w:pPr>
    </w:p>
    <w:p>
      <w:pPr>
        <w:rPr>
          <w:color w:val="000000"/>
          <w:kern w:val="0"/>
          <w:szCs w:val="32"/>
          <w:shd w:val="clear" w:color="auto" w:fill="FFFFFF"/>
        </w:rPr>
      </w:pPr>
    </w:p>
    <w:p>
      <w:pPr>
        <w:pStyle w:val="15"/>
        <w:rPr>
          <w:rFonts w:ascii="Times New Roman" w:hAnsi="Times New Roman"/>
          <w:color w:val="000000"/>
          <w:kern w:val="0"/>
          <w:szCs w:val="32"/>
          <w:shd w:val="clear" w:color="auto" w:fill="FFFFFF"/>
        </w:rPr>
      </w:pPr>
    </w:p>
    <w:p>
      <w:pPr>
        <w:rPr>
          <w:color w:val="000000"/>
          <w:kern w:val="0"/>
          <w:szCs w:val="32"/>
          <w:shd w:val="clear" w:color="auto" w:fill="FFFFFF"/>
        </w:rPr>
      </w:pPr>
    </w:p>
    <w:p>
      <w:pPr>
        <w:pStyle w:val="15"/>
        <w:rPr>
          <w:rFonts w:ascii="Times New Roman" w:hAnsi="Times New Roman"/>
          <w:color w:val="000000"/>
          <w:kern w:val="0"/>
          <w:szCs w:val="32"/>
          <w:shd w:val="clear" w:color="auto" w:fill="FFFFFF"/>
        </w:rPr>
      </w:pPr>
    </w:p>
    <w:p/>
    <w:tbl>
      <w:tblPr>
        <w:jc w:val="left"/>
        <w:tblInd w:w="-816" w:type="dxa"/>
        <w:tblW w:w="10498" w:type="dxa"/>
        <w:tblBorders>
          <w:top w:val="none" w:sz="0" w:space="0" w:color="auto"/>
          <w:left w:val="none" w:sz="0" w:space="0" w:color="auto"/>
          <w:bottom w:val="none" w:sz="0" w:space="0" w:color="auto"/>
          <w:right w:val="none" w:sz="0" w:space="0" w:color="auto"/>
        </w:tblBorders>
        <w:tblLayout w:type="fixed"/>
        <w:tblCellMar>
          <w:top w:w="0" w:type="dxa"/>
          <w:left w:w="108" w:type="dxa"/>
          <w:bottom w:w="0" w:type="dxa"/>
          <w:right w:w="108" w:type="dxa"/>
        </w:tblCellMar>
      </w:tblPr>
      <w:tblGrid>
        <w:gridCol w:w="1080"/>
        <w:gridCol w:w="1125"/>
        <w:gridCol w:w="1335"/>
        <w:gridCol w:w="2565"/>
        <w:gridCol w:w="855"/>
        <w:gridCol w:w="810"/>
        <w:gridCol w:w="855"/>
        <w:gridCol w:w="855"/>
        <w:gridCol w:w="1018"/>
      </w:tblGrid>
      <w:tr>
        <w:trPr>
          <w:trHeight w:val="540"/>
        </w:trPr>
        <w:tc>
          <w:tcPr>
            <w:tcW w:w="9480" w:type="dxa"/>
            <w:gridSpan w:val="8"/>
            <w:tcBorders>
              <w:top w:val="nil"/>
              <w:left w:val="nil"/>
              <w:bottom w:val="nil"/>
              <w:right w:val="nil"/>
            </w:tcBorders>
            <w:shd w:val="clear" w:color="auto" w:fill="auto"/>
            <w:noWrap/>
            <w:vAlign w:val="center"/>
          </w:tcPr>
          <w:p>
            <w:pPr>
              <w:widowControl/>
              <w:jc w:val="center"/>
              <w:textAlignment w:val="center"/>
              <w:rPr>
                <w:rFonts w:ascii="黑体" w:eastAsia="黑体" w:cs="黑体"/>
                <w:color w:val="000000"/>
                <w:sz w:val="30"/>
                <w:szCs w:val="30"/>
              </w:rPr>
            </w:pPr>
            <w:r>
              <w:rPr>
                <w:rFonts w:ascii="黑体" w:eastAsia="黑体" w:cs="黑体" w:hint="eastAsia"/>
                <w:color w:val="000000"/>
                <w:kern w:val="0"/>
                <w:sz w:val="30"/>
                <w:szCs w:val="30"/>
              </w:rPr>
              <w:t>部门整体支出绩效目标完成情况自评表</w:t>
            </w:r>
          </w:p>
        </w:tc>
        <w:tc>
          <w:tcPr>
            <w:tcW w:w="1018" w:type="dxa"/>
            <w:tcBorders>
              <w:top w:val="nil"/>
              <w:left w:val="nil"/>
              <w:bottom w:val="nil"/>
              <w:right w:val="nil"/>
            </w:tcBorders>
            <w:shd w:val="clear" w:color="auto" w:fill="auto"/>
            <w:noWrap/>
            <w:vAlign w:val="center"/>
          </w:tcPr>
          <w:p>
            <w:pPr>
              <w:rPr>
                <w:rFonts w:ascii="宋体" w:cs="宋体"/>
                <w:color w:val="000000"/>
                <w:sz w:val="22"/>
                <w:szCs w:val="22"/>
              </w:rPr>
            </w:pPr>
          </w:p>
        </w:tc>
      </w:tr>
      <w:tr>
        <w:trPr>
          <w:trHeight w:val="285"/>
        </w:trPr>
        <w:tc>
          <w:tcPr>
            <w:tcW w:w="9480" w:type="dxa"/>
            <w:gridSpan w:val="8"/>
            <w:tcBorders>
              <w:top w:val="nil"/>
              <w:left w:val="nil"/>
              <w:bottom w:val="nil"/>
              <w:right w:val="nil"/>
            </w:tcBorders>
            <w:shd w:val="clear" w:color="auto" w:fill="auto"/>
            <w:noWrap/>
            <w:vAlign w:val="center"/>
          </w:tcPr>
          <w:p>
            <w:pPr>
              <w:widowControl/>
              <w:jc w:val="center"/>
              <w:textAlignment w:val="center"/>
              <w:rPr>
                <w:rFonts w:ascii="宋体" w:cs="宋体"/>
                <w:color w:val="000000"/>
                <w:sz w:val="18"/>
                <w:szCs w:val="18"/>
              </w:rPr>
            </w:pPr>
            <w:r>
              <w:rPr>
                <w:rFonts w:ascii="宋体" w:cs="宋体"/>
                <w:color w:val="000000"/>
                <w:kern w:val="0"/>
                <w:sz w:val="18"/>
                <w:szCs w:val="18"/>
              </w:rPr>
              <w:t>（202</w:t>
            </w:r>
            <w:r>
              <w:rPr>
                <w:rFonts w:ascii="宋体" w:cs="宋体" w:hint="eastAsia"/>
                <w:color w:val="000000"/>
                <w:kern w:val="0"/>
                <w:sz w:val="18"/>
                <w:szCs w:val="18"/>
              </w:rPr>
              <w:t>5</w:t>
            </w:r>
            <w:r>
              <w:rPr>
                <w:rFonts w:ascii="宋体" w:cs="宋体"/>
                <w:color w:val="000000"/>
                <w:kern w:val="0"/>
                <w:sz w:val="18"/>
                <w:szCs w:val="18"/>
              </w:rPr>
              <w:t>年度）</w:t>
            </w:r>
          </w:p>
        </w:tc>
        <w:tc>
          <w:tcPr>
            <w:tcW w:w="1018" w:type="dxa"/>
            <w:tcBorders>
              <w:top w:val="nil"/>
              <w:left w:val="nil"/>
              <w:bottom w:val="nil"/>
              <w:right w:val="nil"/>
            </w:tcBorders>
            <w:shd w:val="clear" w:color="auto" w:fill="auto"/>
            <w:noWrap/>
            <w:vAlign w:val="center"/>
          </w:tcPr>
          <w:p>
            <w:pPr>
              <w:rPr>
                <w:rFonts w:ascii="宋体" w:cs="宋体"/>
                <w:color w:val="000000"/>
                <w:sz w:val="22"/>
                <w:szCs w:val="22"/>
              </w:rPr>
            </w:pPr>
          </w:p>
        </w:tc>
      </w:tr>
      <w:tr>
        <w:trPr>
          <w:trHeight w:val="285"/>
        </w:trPr>
        <w:tc>
          <w:tcPr>
            <w:tcW w:w="9480" w:type="dxa"/>
            <w:gridSpan w:val="8"/>
            <w:tcBorders>
              <w:top w:val="nil"/>
              <w:left w:val="nil"/>
              <w:bottom w:val="single" w:sz="4" w:space="0" w:color="000000"/>
              <w:right w:val="nil"/>
            </w:tcBorders>
            <w:shd w:val="clear" w:color="auto" w:fill="auto"/>
            <w:noWrap/>
            <w:vAlign w:val="center"/>
          </w:tcPr>
          <w:p>
            <w:pPr>
              <w:widowControl/>
              <w:jc w:val="right"/>
              <w:textAlignment w:val="center"/>
              <w:rPr>
                <w:rFonts w:ascii="宋体" w:cs="宋体"/>
                <w:color w:val="000000"/>
                <w:sz w:val="18"/>
                <w:szCs w:val="18"/>
              </w:rPr>
            </w:pPr>
            <w:r>
              <w:rPr>
                <w:rFonts w:ascii="宋体" w:cs="宋体"/>
                <w:color w:val="000000"/>
                <w:kern w:val="0"/>
                <w:sz w:val="18"/>
                <w:szCs w:val="18"/>
              </w:rPr>
              <w:t>单位：万元</w:t>
            </w:r>
          </w:p>
        </w:tc>
        <w:tc>
          <w:tcPr>
            <w:tcW w:w="1018" w:type="dxa"/>
            <w:tcBorders>
              <w:top w:val="nil"/>
              <w:left w:val="nil"/>
              <w:bottom w:val="nil"/>
              <w:right w:val="nil"/>
            </w:tcBorders>
            <w:shd w:val="clear" w:color="auto" w:fill="auto"/>
            <w:noWrap/>
            <w:vAlign w:val="center"/>
          </w:tcPr>
          <w:p>
            <w:pPr>
              <w:rPr>
                <w:rFonts w:ascii="宋体" w:cs="宋体"/>
                <w:color w:val="000000"/>
                <w:sz w:val="22"/>
                <w:szCs w:val="22"/>
              </w:rPr>
            </w:pPr>
          </w:p>
        </w:tc>
      </w:tr>
      <w:tr>
        <w:trPr>
          <w:trHeight w:val="480"/>
        </w:trPr>
        <w:tc>
          <w:tcPr>
            <w:tcW w:w="3540" w:type="dxa"/>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jc w:val="center"/>
              <w:textAlignment w:val="center"/>
              <w:rPr>
                <w:rFonts w:ascii="宋体" w:cs="宋体"/>
                <w:color w:val="000000"/>
                <w:sz w:val="18"/>
                <w:szCs w:val="18"/>
              </w:rPr>
            </w:pPr>
            <w:r>
              <w:rPr>
                <w:rFonts w:ascii="宋体" w:cs="宋体"/>
                <w:color w:val="000000"/>
                <w:kern w:val="0"/>
                <w:sz w:val="18"/>
                <w:szCs w:val="18"/>
              </w:rPr>
              <w:t>部门名称</w:t>
            </w:r>
          </w:p>
        </w:tc>
        <w:tc>
          <w:tcPr>
            <w:tcW w:w="6958" w:type="dxa"/>
            <w:gridSpan w:val="6"/>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jc w:val="center"/>
              <w:textAlignment w:val="center"/>
              <w:rPr>
                <w:rFonts w:ascii="宋体" w:cs="宋体"/>
                <w:color w:val="000000"/>
                <w:sz w:val="18"/>
                <w:szCs w:val="18"/>
              </w:rPr>
            </w:pPr>
            <w:r>
              <w:rPr>
                <w:rFonts w:ascii="宋体" w:cs="宋体"/>
                <w:color w:val="000000"/>
                <w:kern w:val="0"/>
                <w:sz w:val="18"/>
                <w:szCs w:val="18"/>
              </w:rPr>
              <w:t>汶川县统计局本级</w:t>
            </w:r>
          </w:p>
        </w:tc>
      </w:tr>
      <w:tr>
        <w:trPr>
          <w:trHeight w:val="440"/>
        </w:trPr>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jc w:val="center"/>
              <w:textAlignment w:val="center"/>
              <w:rPr>
                <w:rFonts w:ascii="宋体" w:cs="宋体"/>
                <w:color w:val="000000"/>
                <w:sz w:val="18"/>
                <w:szCs w:val="18"/>
              </w:rPr>
            </w:pPr>
            <w:r>
              <w:rPr>
                <w:rFonts w:ascii="宋体" w:cs="宋体"/>
                <w:color w:val="000000"/>
                <w:kern w:val="0"/>
                <w:sz w:val="18"/>
                <w:szCs w:val="18"/>
              </w:rPr>
              <w:t>年度部门整体支出预算</w:t>
            </w:r>
          </w:p>
        </w:tc>
        <w:tc>
          <w:tcPr>
            <w:tcW w:w="2460"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jc w:val="center"/>
              <w:textAlignment w:val="center"/>
              <w:rPr>
                <w:rFonts w:ascii="宋体" w:cs="宋体"/>
                <w:color w:val="000000"/>
                <w:sz w:val="18"/>
                <w:szCs w:val="18"/>
              </w:rPr>
            </w:pPr>
            <w:r>
              <w:rPr>
                <w:rFonts w:ascii="宋体" w:cs="宋体"/>
                <w:color w:val="000000"/>
                <w:kern w:val="0"/>
                <w:sz w:val="18"/>
                <w:szCs w:val="18"/>
              </w:rPr>
              <w:t>资金总额</w:t>
            </w:r>
          </w:p>
        </w:tc>
        <w:tc>
          <w:tcPr>
            <w:tcW w:w="3420"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jc w:val="center"/>
              <w:textAlignment w:val="center"/>
              <w:rPr>
                <w:rFonts w:ascii="宋体" w:cs="宋体"/>
                <w:color w:val="000000"/>
                <w:sz w:val="18"/>
                <w:szCs w:val="18"/>
              </w:rPr>
            </w:pPr>
            <w:r>
              <w:rPr>
                <w:rFonts w:ascii="宋体" w:cs="宋体"/>
                <w:color w:val="000000"/>
                <w:kern w:val="0"/>
                <w:sz w:val="18"/>
                <w:szCs w:val="18"/>
              </w:rPr>
              <w:t>财政拨款</w:t>
            </w:r>
          </w:p>
        </w:tc>
        <w:tc>
          <w:tcPr>
            <w:tcW w:w="3538" w:type="dxa"/>
            <w:gridSpan w:val="4"/>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jc w:val="center"/>
              <w:textAlignment w:val="center"/>
              <w:rPr>
                <w:rFonts w:ascii="宋体" w:cs="宋体"/>
                <w:color w:val="000000"/>
                <w:sz w:val="18"/>
                <w:szCs w:val="18"/>
              </w:rPr>
            </w:pPr>
            <w:r>
              <w:rPr>
                <w:rFonts w:ascii="宋体" w:cs="宋体"/>
                <w:color w:val="000000"/>
                <w:kern w:val="0"/>
                <w:sz w:val="18"/>
                <w:szCs w:val="18"/>
              </w:rPr>
              <w:t>其他资金</w:t>
            </w:r>
          </w:p>
        </w:tc>
      </w:tr>
      <w:tr>
        <w:trPr>
          <w:trHeight w:val="440"/>
        </w:trPr>
        <w:tc>
          <w:tcPr>
            <w:tcW w:w="1080"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2460" w:type="dxa"/>
            <w:gridSpan w:val="2"/>
            <w:tcBorders>
              <w:top w:val="single" w:sz="4" w:space="0" w:color="000000"/>
              <w:left w:val="single" w:sz="4" w:space="0" w:color="000000"/>
              <w:bottom w:val="nil"/>
              <w:right w:val="single" w:sz="4" w:space="0" w:color="000000"/>
            </w:tcBorders>
            <w:shd w:val="clear" w:color="auto" w:fill="auto"/>
            <w:noWrap/>
            <w:vAlign w:val="center"/>
          </w:tcPr>
          <w:p>
            <w:pPr>
              <w:widowControl/>
              <w:jc w:val="center"/>
              <w:textAlignment w:val="center"/>
              <w:rPr>
                <w:rFonts w:ascii="宋体" w:cs="宋体"/>
                <w:color w:val="000000"/>
                <w:sz w:val="18"/>
                <w:szCs w:val="18"/>
              </w:rPr>
            </w:pPr>
            <w:r>
              <w:rPr>
                <w:rFonts w:ascii="宋体" w:cs="宋体" w:hint="eastAsia"/>
                <w:color w:val="000000"/>
                <w:kern w:val="0"/>
                <w:sz w:val="18"/>
                <w:szCs w:val="18"/>
                <w:lang w:val="en-US" w:eastAsia="zh-CN"/>
              </w:rPr>
              <w:t>3</w:t>
            </w:r>
            <w:r>
              <w:rPr>
                <w:rFonts w:ascii="宋体" w:cs="宋体" w:hint="eastAsia"/>
                <w:color w:val="000000"/>
                <w:kern w:val="0"/>
                <w:sz w:val="18"/>
                <w:szCs w:val="18"/>
              </w:rPr>
              <w:t>15.21</w:t>
            </w:r>
          </w:p>
        </w:tc>
        <w:tc>
          <w:tcPr>
            <w:tcW w:w="3420" w:type="dxa"/>
            <w:gridSpan w:val="2"/>
            <w:tcBorders>
              <w:top w:val="single" w:sz="4" w:space="0" w:color="000000"/>
              <w:left w:val="single" w:sz="4" w:space="0" w:color="000000"/>
              <w:bottom w:val="nil"/>
              <w:right w:val="single" w:sz="4" w:space="0" w:color="000000"/>
            </w:tcBorders>
            <w:shd w:val="clear" w:color="auto" w:fill="auto"/>
            <w:noWrap/>
            <w:vAlign w:val="center"/>
          </w:tcPr>
          <w:p>
            <w:pPr>
              <w:widowControl/>
              <w:jc w:val="center"/>
              <w:textAlignment w:val="center"/>
              <w:rPr>
                <w:rFonts w:ascii="宋体" w:cs="宋体"/>
                <w:color w:val="000000"/>
                <w:sz w:val="18"/>
                <w:szCs w:val="18"/>
              </w:rPr>
            </w:pPr>
            <w:r>
              <w:rPr>
                <w:rFonts w:ascii="宋体" w:cs="宋体" w:hint="eastAsia"/>
                <w:color w:val="000000"/>
                <w:kern w:val="0"/>
                <w:sz w:val="18"/>
                <w:szCs w:val="18"/>
                <w:lang w:val="en-US" w:eastAsia="zh-CN"/>
              </w:rPr>
              <w:t>3</w:t>
            </w:r>
            <w:r>
              <w:rPr>
                <w:rFonts w:ascii="宋体" w:cs="宋体" w:hint="eastAsia"/>
                <w:color w:val="000000"/>
                <w:kern w:val="0"/>
                <w:sz w:val="18"/>
                <w:szCs w:val="18"/>
              </w:rPr>
              <w:t>15.21</w:t>
            </w:r>
          </w:p>
        </w:tc>
        <w:tc>
          <w:tcPr>
            <w:tcW w:w="3538" w:type="dxa"/>
            <w:gridSpan w:val="4"/>
            <w:tcBorders>
              <w:top w:val="single" w:sz="4" w:space="0" w:color="000000"/>
              <w:left w:val="single" w:sz="4" w:space="0" w:color="000000"/>
              <w:bottom w:val="nil"/>
              <w:right w:val="single" w:sz="4" w:space="0" w:color="000000"/>
            </w:tcBorders>
            <w:shd w:val="clear" w:color="auto" w:fill="auto"/>
            <w:noWrap/>
            <w:vAlign w:val="center"/>
          </w:tcPr>
          <w:p>
            <w:pPr>
              <w:widowControl/>
              <w:jc w:val="center"/>
              <w:textAlignment w:val="center"/>
              <w:rPr>
                <w:rFonts w:ascii="宋体" w:cs="宋体"/>
                <w:color w:val="000000"/>
                <w:sz w:val="18"/>
                <w:szCs w:val="18"/>
              </w:rPr>
            </w:pPr>
            <w:r>
              <w:rPr>
                <w:rFonts w:ascii="宋体" w:cs="宋体" w:hint="eastAsia"/>
                <w:color w:val="000000"/>
                <w:kern w:val="0"/>
                <w:sz w:val="18"/>
                <w:szCs w:val="18"/>
              </w:rPr>
              <w:t>0.00</w:t>
            </w:r>
          </w:p>
        </w:tc>
      </w:tr>
      <w:tr>
        <w:trPr>
          <w:trHeight w:val="3540"/>
        </w:trPr>
        <w:tc>
          <w:tcPr>
            <w:tcW w:w="1080" w:type="dxa"/>
            <w:tcBorders>
              <w:top w:val="single" w:sz="4" w:space="0" w:color="000000"/>
              <w:left w:val="single" w:sz="4" w:space="0" w:color="000000"/>
              <w:bottom w:val="single" w:sz="4" w:space="0" w:color="000000"/>
              <w:right w:val="nil"/>
            </w:tcBorders>
            <w:shd w:val="clear" w:color="auto" w:fill="auto"/>
            <w:noWrap/>
            <w:vAlign w:val="center"/>
          </w:tcPr>
          <w:p>
            <w:pPr>
              <w:widowControl/>
              <w:jc w:val="center"/>
              <w:textAlignment w:val="center"/>
              <w:rPr>
                <w:rFonts w:ascii="宋体" w:cs="宋体"/>
                <w:color w:val="000000"/>
                <w:sz w:val="18"/>
                <w:szCs w:val="18"/>
              </w:rPr>
            </w:pPr>
            <w:r>
              <w:rPr>
                <w:rFonts w:ascii="宋体" w:cs="宋体"/>
                <w:color w:val="000000"/>
                <w:kern w:val="0"/>
                <w:sz w:val="18"/>
                <w:szCs w:val="18"/>
              </w:rPr>
              <w:t>年度总体目标</w:t>
            </w:r>
          </w:p>
        </w:tc>
        <w:tc>
          <w:tcPr>
            <w:tcW w:w="9418" w:type="dxa"/>
            <w:gridSpan w:val="8"/>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jc w:val="left"/>
              <w:textAlignment w:val="center"/>
              <w:rPr>
                <w:rFonts w:ascii="宋体" w:cs="宋体"/>
                <w:color w:val="000000"/>
                <w:sz w:val="18"/>
                <w:szCs w:val="18"/>
              </w:rPr>
            </w:pPr>
            <w:r>
              <w:rPr>
                <w:rFonts w:ascii="宋体" w:cs="宋体"/>
                <w:color w:val="000000"/>
                <w:kern w:val="0"/>
                <w:sz w:val="18"/>
                <w:szCs w:val="18"/>
              </w:rPr>
              <w:t>贯彻执行党和国家有关统计工作的方针政策、法律法规规章、规划以及全国基本统计制度和国家统计标准；依法拟定并组织实施本县统计工作的政策、制度以及发展规划、计划,指导全县统计工作。建立健全全县国民经济核算体系，根据国民经济核算制度，组织实施全县国民经济核算制度和全县投入产出调查，核算全县地区生产总值，汇编提供国民经济核算资料，监督管理全县国民经济核算工作。拟定重大县情县力普查计划、方案，组织实施全县人口、经济、农业等重大县情县力普查，汇总、整理和提供县情县力方面的统计数据。依法组织实施各有关行业的统计调查，收集、汇总、整理和提供有关调查的统计数据，综合整理和提供地质勘察、旅游、交通运输、邮政、电信、教育、卫生、社会保障、公用事业等全县性基本统计数据。;建立健全全县国民经济核算体系，根据国民经济核算制度，组织实施全县国民经济核算制度和全县投入产出调查，核算全县地区生产总值，汇编提供国民经济核算资料，监督管理全县国民经济核算工作。依法组织实施各有关行业的统计调查，收集、汇总、整理和提供有关调查的统计数据，综合整理和提供地质勘察、旅游、交通运输、邮政、电信、教育、卫生、社会保障、公用事业等全县性基本统计数据。组织实施能源、投资、消费、劳动工资、科技、人口、劳动力、社会发展基本情况、环境基本状况等统计调查，收集、汇总、整理和提供有关调查的统计数据，综合整理和提供价格、资源、房屋、对外贸易、对外经济、企业景气等全县性基本统计数据。</w:t>
            </w:r>
          </w:p>
        </w:tc>
      </w:tr>
      <w:tr>
        <w:trPr>
          <w:trHeight w:val="360"/>
        </w:trPr>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jc w:val="center"/>
              <w:textAlignment w:val="center"/>
              <w:rPr>
                <w:rFonts w:ascii="宋体" w:cs="宋体"/>
                <w:color w:val="000000"/>
                <w:sz w:val="18"/>
                <w:szCs w:val="18"/>
              </w:rPr>
            </w:pPr>
            <w:r>
              <w:rPr>
                <w:rFonts w:ascii="宋体" w:cs="宋体"/>
                <w:color w:val="000000"/>
                <w:kern w:val="0"/>
                <w:sz w:val="18"/>
                <w:szCs w:val="18"/>
              </w:rPr>
              <w:t>年度主要任务</w:t>
            </w:r>
          </w:p>
        </w:tc>
        <w:tc>
          <w:tcPr>
            <w:tcW w:w="2460" w:type="dxa"/>
            <w:gridSpan w:val="2"/>
            <w:tcBorders>
              <w:top w:val="nil"/>
              <w:left w:val="single" w:sz="4" w:space="0" w:color="000000"/>
              <w:bottom w:val="single" w:sz="4" w:space="0" w:color="000000"/>
              <w:right w:val="single" w:sz="4" w:space="0" w:color="000000"/>
            </w:tcBorders>
            <w:shd w:val="clear" w:color="auto" w:fill="auto"/>
            <w:noWrap/>
            <w:vAlign w:val="center"/>
          </w:tcPr>
          <w:p>
            <w:pPr>
              <w:widowControl/>
              <w:jc w:val="center"/>
              <w:textAlignment w:val="center"/>
              <w:rPr>
                <w:rFonts w:ascii="宋体" w:cs="宋体"/>
                <w:color w:val="000000"/>
                <w:sz w:val="18"/>
                <w:szCs w:val="18"/>
              </w:rPr>
            </w:pPr>
            <w:r>
              <w:rPr>
                <w:rFonts w:ascii="宋体" w:cs="宋体"/>
                <w:color w:val="000000"/>
                <w:kern w:val="0"/>
                <w:sz w:val="18"/>
                <w:szCs w:val="18"/>
              </w:rPr>
              <w:t>任务名称</w:t>
            </w:r>
          </w:p>
        </w:tc>
        <w:tc>
          <w:tcPr>
            <w:tcW w:w="6958" w:type="dxa"/>
            <w:gridSpan w:val="6"/>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jc w:val="center"/>
              <w:textAlignment w:val="center"/>
              <w:rPr>
                <w:rFonts w:ascii="宋体" w:cs="宋体"/>
                <w:color w:val="000000"/>
                <w:sz w:val="18"/>
                <w:szCs w:val="18"/>
              </w:rPr>
            </w:pPr>
            <w:r>
              <w:rPr>
                <w:rFonts w:ascii="宋体" w:cs="宋体"/>
                <w:color w:val="000000"/>
                <w:kern w:val="0"/>
                <w:sz w:val="18"/>
                <w:szCs w:val="18"/>
              </w:rPr>
              <w:t>主要内容</w:t>
            </w:r>
          </w:p>
        </w:tc>
      </w:tr>
      <w:tr>
        <w:trPr>
          <w:trHeight w:val="540"/>
        </w:trPr>
        <w:tc>
          <w:tcPr>
            <w:tcW w:w="1080"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2460"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jc w:val="left"/>
              <w:textAlignment w:val="center"/>
              <w:rPr>
                <w:rFonts w:ascii="宋体" w:cs="宋体"/>
                <w:color w:val="000000"/>
                <w:sz w:val="18"/>
                <w:szCs w:val="18"/>
              </w:rPr>
            </w:pPr>
            <w:r>
              <w:rPr>
                <w:rFonts w:ascii="宋体" w:cs="宋体"/>
                <w:color w:val="000000"/>
                <w:kern w:val="0"/>
                <w:sz w:val="18"/>
                <w:szCs w:val="18"/>
              </w:rPr>
              <w:t>全国第五次经济普查</w:t>
            </w:r>
          </w:p>
        </w:tc>
        <w:tc>
          <w:tcPr>
            <w:tcW w:w="6958" w:type="dxa"/>
            <w:gridSpan w:val="6"/>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jc w:val="left"/>
              <w:textAlignment w:val="center"/>
              <w:rPr>
                <w:rFonts w:ascii="宋体" w:cs="宋体"/>
                <w:color w:val="000000"/>
                <w:sz w:val="18"/>
                <w:szCs w:val="18"/>
              </w:rPr>
            </w:pPr>
            <w:r>
              <w:rPr>
                <w:rFonts w:ascii="宋体" w:cs="宋体"/>
                <w:color w:val="000000"/>
                <w:kern w:val="0"/>
                <w:sz w:val="18"/>
                <w:szCs w:val="18"/>
              </w:rPr>
              <w:t>开展</w:t>
            </w:r>
            <w:r>
              <w:rPr>
                <w:rFonts w:ascii="宋体" w:cs="宋体" w:hint="eastAsia"/>
                <w:color w:val="000000"/>
                <w:kern w:val="0"/>
                <w:sz w:val="18"/>
                <w:szCs w:val="18"/>
                <w:lang w:eastAsia="zh-CN"/>
              </w:rPr>
              <w:t>“五经普”资料开发工作</w:t>
            </w:r>
          </w:p>
        </w:tc>
      </w:tr>
      <w:tr>
        <w:trPr>
          <w:trHeight w:val="245"/>
        </w:trPr>
        <w:tc>
          <w:tcPr>
            <w:tcW w:w="1080"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2460"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jc w:val="left"/>
              <w:textAlignment w:val="center"/>
              <w:rPr>
                <w:rFonts w:ascii="宋体" w:cs="宋体"/>
                <w:color w:val="000000"/>
                <w:sz w:val="18"/>
                <w:szCs w:val="18"/>
              </w:rPr>
            </w:pPr>
            <w:r>
              <w:rPr>
                <w:rFonts w:ascii="宋体" w:cs="宋体"/>
                <w:color w:val="000000"/>
                <w:kern w:val="0"/>
                <w:sz w:val="18"/>
                <w:szCs w:val="18"/>
              </w:rPr>
              <w:t>文化产业统计</w:t>
            </w:r>
          </w:p>
        </w:tc>
        <w:tc>
          <w:tcPr>
            <w:tcW w:w="6958" w:type="dxa"/>
            <w:gridSpan w:val="6"/>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jc w:val="left"/>
              <w:textAlignment w:val="center"/>
              <w:rPr>
                <w:rFonts w:ascii="宋体" w:cs="宋体"/>
                <w:color w:val="000000"/>
                <w:sz w:val="18"/>
                <w:szCs w:val="18"/>
              </w:rPr>
            </w:pPr>
            <w:r>
              <w:rPr>
                <w:rFonts w:ascii="宋体" w:cs="宋体"/>
                <w:color w:val="000000"/>
                <w:kern w:val="0"/>
                <w:sz w:val="18"/>
                <w:szCs w:val="18"/>
              </w:rPr>
              <w:t>开展全县文化产业统计工作</w:t>
            </w:r>
          </w:p>
        </w:tc>
      </w:tr>
      <w:tr>
        <w:trPr>
          <w:trHeight w:val="280"/>
        </w:trPr>
        <w:tc>
          <w:tcPr>
            <w:tcW w:w="1080"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2460"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jc w:val="left"/>
              <w:textAlignment w:val="center"/>
              <w:rPr>
                <w:rFonts w:ascii="宋体" w:cs="宋体"/>
                <w:color w:val="000000"/>
                <w:sz w:val="18"/>
                <w:szCs w:val="18"/>
              </w:rPr>
            </w:pPr>
            <w:r>
              <w:rPr>
                <w:rFonts w:ascii="宋体" w:cs="宋体"/>
                <w:color w:val="000000"/>
                <w:kern w:val="0"/>
                <w:sz w:val="18"/>
                <w:szCs w:val="18"/>
              </w:rPr>
              <w:t>乡镇统计工作</w:t>
            </w:r>
          </w:p>
        </w:tc>
        <w:tc>
          <w:tcPr>
            <w:tcW w:w="6958" w:type="dxa"/>
            <w:gridSpan w:val="6"/>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jc w:val="left"/>
              <w:textAlignment w:val="center"/>
              <w:rPr>
                <w:rFonts w:ascii="宋体" w:cs="宋体"/>
                <w:color w:val="000000"/>
                <w:sz w:val="18"/>
                <w:szCs w:val="18"/>
              </w:rPr>
            </w:pPr>
            <w:r>
              <w:rPr>
                <w:rFonts w:ascii="宋体" w:cs="宋体"/>
                <w:color w:val="000000"/>
                <w:kern w:val="0"/>
                <w:sz w:val="18"/>
                <w:szCs w:val="18"/>
              </w:rPr>
              <w:t>开展乡镇统计站基层建设、人员业务指导培训等</w:t>
            </w:r>
          </w:p>
        </w:tc>
      </w:tr>
      <w:tr>
        <w:trPr>
          <w:trHeight w:val="440"/>
        </w:trPr>
        <w:tc>
          <w:tcPr>
            <w:tcW w:w="1080"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2460"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jc w:val="left"/>
              <w:textAlignment w:val="center"/>
              <w:rPr>
                <w:rFonts w:ascii="宋体" w:cs="宋体"/>
                <w:color w:val="000000"/>
                <w:sz w:val="18"/>
                <w:szCs w:val="18"/>
              </w:rPr>
            </w:pPr>
            <w:r>
              <w:rPr>
                <w:rFonts w:ascii="宋体" w:cs="宋体"/>
                <w:color w:val="000000"/>
                <w:kern w:val="0"/>
                <w:sz w:val="18"/>
                <w:szCs w:val="18"/>
              </w:rPr>
              <w:t>《汶川统计年鉴》（202</w:t>
            </w:r>
            <w:r>
              <w:rPr>
                <w:rFonts w:ascii="宋体" w:cs="宋体" w:hint="eastAsia"/>
                <w:color w:val="000000"/>
                <w:kern w:val="0"/>
                <w:sz w:val="18"/>
                <w:szCs w:val="18"/>
              </w:rPr>
              <w:t>5</w:t>
            </w:r>
            <w:r>
              <w:rPr>
                <w:rFonts w:ascii="宋体" w:cs="宋体"/>
                <w:color w:val="000000"/>
                <w:kern w:val="0"/>
                <w:sz w:val="18"/>
                <w:szCs w:val="18"/>
              </w:rPr>
              <w:t>）印刷出版</w:t>
            </w:r>
          </w:p>
        </w:tc>
        <w:tc>
          <w:tcPr>
            <w:tcW w:w="6958" w:type="dxa"/>
            <w:gridSpan w:val="6"/>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jc w:val="left"/>
              <w:textAlignment w:val="center"/>
              <w:rPr>
                <w:rFonts w:ascii="宋体" w:cs="宋体"/>
                <w:color w:val="000000"/>
                <w:sz w:val="18"/>
                <w:szCs w:val="18"/>
              </w:rPr>
            </w:pPr>
            <w:r>
              <w:rPr>
                <w:rFonts w:ascii="宋体" w:cs="宋体"/>
                <w:color w:val="000000"/>
                <w:kern w:val="0"/>
                <w:sz w:val="18"/>
                <w:szCs w:val="18"/>
              </w:rPr>
              <w:t>收集相关资料并编纂印刷出版</w:t>
            </w:r>
          </w:p>
        </w:tc>
      </w:tr>
      <w:tr>
        <w:trPr>
          <w:trHeight w:val="220"/>
        </w:trPr>
        <w:tc>
          <w:tcPr>
            <w:tcW w:w="1080"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2460"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jc w:val="left"/>
              <w:textAlignment w:val="center"/>
              <w:rPr>
                <w:rFonts w:ascii="宋体" w:cs="宋体"/>
                <w:color w:val="000000"/>
                <w:sz w:val="18"/>
                <w:szCs w:val="18"/>
              </w:rPr>
            </w:pPr>
            <w:r>
              <w:rPr>
                <w:rFonts w:ascii="宋体" w:cs="宋体"/>
                <w:color w:val="000000"/>
                <w:kern w:val="0"/>
                <w:sz w:val="18"/>
                <w:szCs w:val="18"/>
              </w:rPr>
              <w:t>名录库建设</w:t>
            </w:r>
          </w:p>
        </w:tc>
        <w:tc>
          <w:tcPr>
            <w:tcW w:w="6958" w:type="dxa"/>
            <w:gridSpan w:val="6"/>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jc w:val="left"/>
              <w:textAlignment w:val="center"/>
              <w:rPr>
                <w:rFonts w:ascii="宋体" w:cs="宋体"/>
                <w:color w:val="000000"/>
                <w:sz w:val="18"/>
                <w:szCs w:val="18"/>
              </w:rPr>
            </w:pPr>
            <w:r>
              <w:rPr>
                <w:rFonts w:ascii="宋体" w:cs="宋体"/>
                <w:color w:val="000000"/>
                <w:kern w:val="0"/>
                <w:sz w:val="18"/>
                <w:szCs w:val="18"/>
              </w:rPr>
              <w:t>开展辖区内行政事业、企业单位名录库资料补充完善</w:t>
            </w:r>
          </w:p>
        </w:tc>
      </w:tr>
      <w:tr>
        <w:trPr>
          <w:trHeight w:val="260"/>
        </w:trPr>
        <w:tc>
          <w:tcPr>
            <w:tcW w:w="1080"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2460"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jc w:val="left"/>
              <w:textAlignment w:val="center"/>
              <w:rPr>
                <w:rFonts w:ascii="宋体" w:cs="宋体"/>
                <w:color w:val="000000"/>
                <w:sz w:val="18"/>
                <w:szCs w:val="18"/>
              </w:rPr>
            </w:pPr>
            <w:r>
              <w:rPr>
                <w:rFonts w:ascii="宋体" w:cs="宋体"/>
                <w:color w:val="000000"/>
                <w:kern w:val="0"/>
                <w:sz w:val="18"/>
                <w:szCs w:val="18"/>
              </w:rPr>
              <w:t>各专业统计报表</w:t>
            </w:r>
          </w:p>
        </w:tc>
        <w:tc>
          <w:tcPr>
            <w:tcW w:w="6958" w:type="dxa"/>
            <w:gridSpan w:val="6"/>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jc w:val="left"/>
              <w:textAlignment w:val="center"/>
              <w:rPr>
                <w:rFonts w:ascii="宋体" w:cs="宋体"/>
                <w:color w:val="000000"/>
                <w:sz w:val="18"/>
                <w:szCs w:val="18"/>
              </w:rPr>
            </w:pPr>
            <w:r>
              <w:rPr>
                <w:rFonts w:ascii="宋体" w:cs="宋体"/>
                <w:color w:val="000000"/>
                <w:kern w:val="0"/>
                <w:sz w:val="18"/>
                <w:szCs w:val="18"/>
              </w:rPr>
              <w:t>各专业开展月报、季度、年报上报工作和撰写分析报告</w:t>
            </w:r>
          </w:p>
        </w:tc>
      </w:tr>
      <w:tr>
        <w:trPr>
          <w:trHeight w:val="570"/>
        </w:trPr>
        <w:tc>
          <w:tcPr>
            <w:tcW w:w="1080" w:type="dxa"/>
            <w:vMerge w:val="restart"/>
            <w:tcBorders>
              <w:top w:val="single" w:sz="4" w:space="0" w:color="000000"/>
              <w:left w:val="single" w:sz="4" w:space="0" w:color="000000"/>
              <w:right w:val="single" w:sz="4" w:space="0" w:color="000000"/>
            </w:tcBorders>
            <w:shd w:val="clear" w:color="auto" w:fill="auto"/>
            <w:noWrap/>
            <w:vAlign w:val="center"/>
          </w:tcPr>
          <w:p>
            <w:pPr>
              <w:widowControl/>
              <w:jc w:val="center"/>
              <w:textAlignment w:val="center"/>
              <w:rPr>
                <w:rFonts w:ascii="宋体" w:cs="宋体"/>
                <w:color w:val="000000"/>
                <w:sz w:val="18"/>
                <w:szCs w:val="18"/>
              </w:rPr>
            </w:pPr>
            <w:r>
              <w:rPr>
                <w:rFonts w:ascii="宋体" w:cs="宋体"/>
                <w:color w:val="000000"/>
                <w:kern w:val="0"/>
                <w:sz w:val="18"/>
                <w:szCs w:val="18"/>
              </w:rPr>
              <w:t>年度绩效指标</w:t>
            </w:r>
          </w:p>
        </w:tc>
        <w:tc>
          <w:tcPr>
            <w:tcW w:w="112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jc w:val="center"/>
              <w:textAlignment w:val="center"/>
              <w:rPr>
                <w:rFonts w:ascii="宋体" w:cs="宋体"/>
                <w:color w:val="000000"/>
                <w:sz w:val="18"/>
                <w:szCs w:val="18"/>
              </w:rPr>
            </w:pPr>
            <w:r>
              <w:rPr>
                <w:rFonts w:ascii="宋体" w:cs="宋体"/>
                <w:color w:val="000000"/>
                <w:kern w:val="0"/>
                <w:sz w:val="18"/>
                <w:szCs w:val="18"/>
              </w:rPr>
              <w:t>一级指标</w:t>
            </w:r>
          </w:p>
        </w:tc>
        <w:tc>
          <w:tcPr>
            <w:tcW w:w="133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jc w:val="center"/>
              <w:textAlignment w:val="center"/>
              <w:rPr>
                <w:rFonts w:ascii="宋体" w:cs="宋体"/>
                <w:color w:val="000000"/>
                <w:sz w:val="18"/>
                <w:szCs w:val="18"/>
              </w:rPr>
            </w:pPr>
            <w:r>
              <w:rPr>
                <w:rFonts w:ascii="宋体" w:cs="宋体"/>
                <w:color w:val="000000"/>
                <w:kern w:val="0"/>
                <w:sz w:val="18"/>
                <w:szCs w:val="18"/>
              </w:rPr>
              <w:t>二级指标</w:t>
            </w:r>
          </w:p>
        </w:tc>
        <w:tc>
          <w:tcPr>
            <w:tcW w:w="2565" w:type="dxa"/>
            <w:tcBorders>
              <w:top w:val="nil"/>
              <w:left w:val="single" w:sz="4" w:space="0" w:color="000000"/>
              <w:bottom w:val="single" w:sz="4" w:space="0" w:color="000000"/>
              <w:right w:val="single" w:sz="4" w:space="0" w:color="000000"/>
            </w:tcBorders>
            <w:shd w:val="clear" w:color="auto" w:fill="auto"/>
            <w:noWrap/>
            <w:vAlign w:val="center"/>
          </w:tcPr>
          <w:p>
            <w:pPr>
              <w:widowControl/>
              <w:jc w:val="center"/>
              <w:textAlignment w:val="center"/>
              <w:rPr>
                <w:rFonts w:ascii="宋体" w:cs="宋体"/>
                <w:color w:val="000000"/>
                <w:sz w:val="18"/>
                <w:szCs w:val="18"/>
              </w:rPr>
            </w:pPr>
            <w:r>
              <w:rPr>
                <w:rFonts w:ascii="宋体" w:cs="宋体"/>
                <w:color w:val="000000"/>
                <w:kern w:val="0"/>
                <w:sz w:val="18"/>
                <w:szCs w:val="18"/>
              </w:rPr>
              <w:t>三级指标</w:t>
            </w:r>
          </w:p>
        </w:tc>
        <w:tc>
          <w:tcPr>
            <w:tcW w:w="855" w:type="dxa"/>
            <w:tcBorders>
              <w:top w:val="nil"/>
              <w:left w:val="single" w:sz="4" w:space="0" w:color="000000"/>
              <w:bottom w:val="single" w:sz="4" w:space="0" w:color="000000"/>
              <w:right w:val="single" w:sz="4" w:space="0" w:color="000000"/>
            </w:tcBorders>
            <w:shd w:val="clear" w:color="auto" w:fill="auto"/>
            <w:noWrap/>
            <w:vAlign w:val="center"/>
          </w:tcPr>
          <w:p>
            <w:pPr>
              <w:widowControl/>
              <w:jc w:val="center"/>
              <w:textAlignment w:val="center"/>
              <w:rPr>
                <w:rFonts w:ascii="宋体" w:cs="宋体"/>
                <w:color w:val="000000"/>
                <w:sz w:val="18"/>
                <w:szCs w:val="18"/>
              </w:rPr>
            </w:pPr>
            <w:r>
              <w:rPr>
                <w:rFonts w:ascii="宋体" w:cs="宋体"/>
                <w:color w:val="000000"/>
                <w:kern w:val="0"/>
                <w:sz w:val="18"/>
                <w:szCs w:val="18"/>
              </w:rPr>
              <w:t>绩效指标性质</w:t>
            </w:r>
          </w:p>
        </w:tc>
        <w:tc>
          <w:tcPr>
            <w:tcW w:w="810" w:type="dxa"/>
            <w:tcBorders>
              <w:top w:val="nil"/>
              <w:left w:val="single" w:sz="4" w:space="0" w:color="000000"/>
              <w:bottom w:val="single" w:sz="4" w:space="0" w:color="000000"/>
              <w:right w:val="single" w:sz="4" w:space="0" w:color="000000"/>
            </w:tcBorders>
            <w:shd w:val="clear" w:color="auto" w:fill="auto"/>
            <w:noWrap/>
            <w:vAlign w:val="center"/>
          </w:tcPr>
          <w:p>
            <w:pPr>
              <w:widowControl/>
              <w:jc w:val="center"/>
              <w:textAlignment w:val="center"/>
              <w:rPr>
                <w:rFonts w:ascii="宋体" w:cs="宋体"/>
                <w:color w:val="000000"/>
                <w:sz w:val="18"/>
                <w:szCs w:val="18"/>
              </w:rPr>
            </w:pPr>
            <w:r>
              <w:rPr>
                <w:rFonts w:ascii="宋体" w:cs="宋体"/>
                <w:color w:val="000000"/>
                <w:kern w:val="0"/>
                <w:sz w:val="18"/>
                <w:szCs w:val="18"/>
              </w:rPr>
              <w:t>绩效指标值</w:t>
            </w:r>
          </w:p>
        </w:tc>
        <w:tc>
          <w:tcPr>
            <w:tcW w:w="855" w:type="dxa"/>
            <w:tcBorders>
              <w:top w:val="nil"/>
              <w:left w:val="single" w:sz="4" w:space="0" w:color="000000"/>
              <w:bottom w:val="single" w:sz="4" w:space="0" w:color="000000"/>
              <w:right w:val="single" w:sz="4" w:space="0" w:color="000000"/>
            </w:tcBorders>
            <w:shd w:val="clear" w:color="auto" w:fill="auto"/>
            <w:noWrap/>
            <w:vAlign w:val="center"/>
          </w:tcPr>
          <w:p>
            <w:pPr>
              <w:widowControl/>
              <w:jc w:val="center"/>
              <w:textAlignment w:val="center"/>
              <w:rPr>
                <w:rFonts w:ascii="宋体" w:cs="宋体"/>
                <w:color w:val="000000"/>
                <w:sz w:val="18"/>
                <w:szCs w:val="18"/>
              </w:rPr>
            </w:pPr>
            <w:r>
              <w:rPr>
                <w:rFonts w:ascii="宋体" w:cs="宋体"/>
                <w:color w:val="000000"/>
                <w:kern w:val="0"/>
                <w:sz w:val="18"/>
                <w:szCs w:val="18"/>
              </w:rPr>
              <w:t>绩效度量单位</w:t>
            </w:r>
          </w:p>
        </w:tc>
        <w:tc>
          <w:tcPr>
            <w:tcW w:w="855" w:type="dxa"/>
            <w:tcBorders>
              <w:top w:val="nil"/>
              <w:left w:val="single" w:sz="4" w:space="0" w:color="000000"/>
              <w:bottom w:val="single" w:sz="4" w:space="0" w:color="000000"/>
              <w:right w:val="nil"/>
            </w:tcBorders>
            <w:shd w:val="clear" w:color="auto" w:fill="auto"/>
            <w:noWrap/>
            <w:vAlign w:val="center"/>
          </w:tcPr>
          <w:p>
            <w:pPr>
              <w:widowControl/>
              <w:jc w:val="center"/>
              <w:textAlignment w:val="center"/>
              <w:rPr>
                <w:rFonts w:ascii="宋体" w:cs="宋体"/>
                <w:color w:val="000000"/>
                <w:sz w:val="18"/>
                <w:szCs w:val="18"/>
              </w:rPr>
            </w:pPr>
            <w:r>
              <w:rPr>
                <w:rFonts w:ascii="宋体" w:cs="宋体"/>
                <w:color w:val="000000"/>
                <w:kern w:val="0"/>
                <w:sz w:val="18"/>
                <w:szCs w:val="18"/>
              </w:rPr>
              <w:t>权重</w:t>
            </w:r>
          </w:p>
        </w:tc>
        <w:tc>
          <w:tcPr>
            <w:tcW w:w="1018" w:type="dxa"/>
            <w:tcBorders>
              <w:top w:val="nil"/>
              <w:left w:val="single" w:sz="4" w:space="0" w:color="000000"/>
              <w:bottom w:val="single" w:sz="4" w:space="0" w:color="000000"/>
              <w:right w:val="single" w:sz="4" w:space="0" w:color="000000"/>
            </w:tcBorders>
            <w:shd w:val="clear" w:color="auto" w:fill="auto"/>
            <w:noWrap/>
            <w:vAlign w:val="center"/>
          </w:tcPr>
          <w:p>
            <w:pPr>
              <w:widowControl/>
              <w:jc w:val="center"/>
              <w:textAlignment w:val="center"/>
              <w:rPr>
                <w:rFonts w:ascii="宋体" w:cs="宋体"/>
                <w:color w:val="000000"/>
                <w:sz w:val="18"/>
                <w:szCs w:val="18"/>
              </w:rPr>
            </w:pPr>
            <w:r>
              <w:rPr>
                <w:rFonts w:ascii="宋体" w:cs="宋体" w:hint="eastAsia"/>
                <w:color w:val="000000"/>
                <w:kern w:val="0"/>
                <w:sz w:val="18"/>
                <w:szCs w:val="18"/>
              </w:rPr>
              <w:t>实际完成指标傎</w:t>
            </w:r>
          </w:p>
        </w:tc>
      </w:tr>
      <w:tr>
        <w:trPr>
          <w:trHeight w:val="570"/>
        </w:trPr>
        <w:tc>
          <w:tcPr>
            <w:tcW w:w="1080" w:type="dxa"/>
            <w:vMerge/>
            <w:tcBorders>
              <w:left w:val="single" w:sz="4" w:space="0" w:color="000000"/>
              <w:right w:val="single" w:sz="4" w:space="0" w:color="000000"/>
            </w:tcBorders>
            <w:shd w:val="clear" w:color="auto" w:fill="auto"/>
            <w:noWrap/>
            <w:vAlign w:val="center"/>
          </w:tcPr>
          <w:p/>
        </w:tc>
        <w:tc>
          <w:tcPr>
            <w:tcW w:w="1125" w:type="dxa"/>
            <w:vMerge w:val="restart"/>
            <w:tcBorders>
              <w:top w:val="single" w:sz="4" w:space="0" w:color="000000"/>
              <w:left w:val="single" w:sz="4" w:space="0" w:color="000000"/>
              <w:right w:val="single" w:sz="4" w:space="0" w:color="000000"/>
            </w:tcBorders>
            <w:shd w:val="clear" w:color="auto" w:fill="auto"/>
            <w:noWrap/>
            <w:vAlign w:val="center"/>
          </w:tcPr>
          <w:p>
            <w:pPr>
              <w:widowControl/>
              <w:jc w:val="left"/>
              <w:textAlignment w:val="center"/>
              <w:rPr>
                <w:rFonts w:ascii="宋体" w:cs="宋体"/>
                <w:color w:val="000000"/>
                <w:sz w:val="18"/>
                <w:szCs w:val="18"/>
              </w:rPr>
            </w:pPr>
            <w:r>
              <w:rPr>
                <w:rFonts w:ascii="宋体" w:cs="宋体"/>
                <w:color w:val="000000"/>
                <w:kern w:val="0"/>
                <w:sz w:val="18"/>
                <w:szCs w:val="18"/>
              </w:rPr>
              <w:t>产出指标</w:t>
            </w:r>
          </w:p>
        </w:tc>
        <w:tc>
          <w:tcPr>
            <w:tcW w:w="133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jc w:val="center"/>
              <w:textAlignment w:val="center"/>
              <w:rPr>
                <w:rFonts w:ascii="宋体" w:cs="宋体"/>
                <w:color w:val="000000"/>
                <w:sz w:val="18"/>
                <w:szCs w:val="18"/>
              </w:rPr>
            </w:pPr>
            <w:r>
              <w:rPr>
                <w:rFonts w:ascii="宋体" w:cs="宋体"/>
                <w:color w:val="000000"/>
                <w:kern w:val="0"/>
                <w:sz w:val="18"/>
                <w:szCs w:val="18"/>
              </w:rPr>
              <w:t>数量指标</w:t>
            </w:r>
          </w:p>
        </w:tc>
        <w:tc>
          <w:tcPr>
            <w:tcW w:w="256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center"/>
              <w:rPr>
                <w:rFonts w:ascii="宋体" w:cs="宋体"/>
                <w:color w:val="000000"/>
                <w:sz w:val="18"/>
                <w:szCs w:val="18"/>
              </w:rPr>
            </w:pPr>
            <w:r>
              <w:rPr>
                <w:rFonts w:ascii="宋体" w:cs="宋体"/>
                <w:color w:val="000000"/>
                <w:kern w:val="0"/>
                <w:sz w:val="18"/>
                <w:szCs w:val="18"/>
              </w:rPr>
              <w:t>印刷《汶川统计年鉴》（202</w:t>
            </w:r>
            <w:r>
              <w:rPr>
                <w:rFonts w:ascii="宋体" w:cs="宋体" w:hint="eastAsia"/>
                <w:color w:val="000000"/>
                <w:kern w:val="0"/>
                <w:sz w:val="18"/>
                <w:szCs w:val="18"/>
              </w:rPr>
              <w:t>5</w:t>
            </w:r>
            <w:r>
              <w:rPr>
                <w:rFonts w:ascii="宋体" w:cs="宋体"/>
                <w:color w:val="000000"/>
                <w:kern w:val="0"/>
                <w:sz w:val="18"/>
                <w:szCs w:val="18"/>
              </w:rPr>
              <w:t>）220册</w:t>
            </w:r>
          </w:p>
        </w:tc>
        <w:tc>
          <w:tcPr>
            <w:tcW w:w="8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jc w:val="center"/>
              <w:textAlignment w:val="center"/>
              <w:rPr>
                <w:rFonts w:ascii="宋体" w:cs="宋体"/>
                <w:color w:val="000000"/>
                <w:sz w:val="18"/>
                <w:szCs w:val="18"/>
              </w:rPr>
            </w:pPr>
            <w:r>
              <w:rPr>
                <w:rFonts w:ascii="宋体" w:cs="宋体"/>
                <w:color w:val="000000"/>
                <w:kern w:val="0"/>
                <w:sz w:val="18"/>
                <w:szCs w:val="18"/>
              </w:rPr>
              <w:t>≥</w:t>
            </w:r>
          </w:p>
        </w:tc>
        <w:tc>
          <w:tcPr>
            <w:tcW w:w="8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jc w:val="center"/>
              <w:textAlignment w:val="center"/>
              <w:rPr>
                <w:rFonts w:ascii="宋体" w:cs="宋体"/>
                <w:color w:val="000000"/>
                <w:sz w:val="18"/>
                <w:szCs w:val="18"/>
              </w:rPr>
            </w:pPr>
            <w:r>
              <w:rPr>
                <w:rFonts w:ascii="宋体" w:cs="宋体"/>
                <w:color w:val="000000"/>
                <w:kern w:val="0"/>
                <w:sz w:val="18"/>
                <w:szCs w:val="18"/>
              </w:rPr>
              <w:t>220</w:t>
            </w:r>
          </w:p>
        </w:tc>
        <w:tc>
          <w:tcPr>
            <w:tcW w:w="8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jc w:val="center"/>
              <w:textAlignment w:val="center"/>
              <w:rPr>
                <w:rFonts w:ascii="宋体" w:cs="宋体"/>
                <w:color w:val="000000"/>
                <w:sz w:val="18"/>
                <w:szCs w:val="18"/>
              </w:rPr>
            </w:pPr>
            <w:r>
              <w:rPr>
                <w:rFonts w:ascii="宋体" w:cs="宋体"/>
                <w:color w:val="000000"/>
                <w:kern w:val="0"/>
                <w:sz w:val="18"/>
                <w:szCs w:val="18"/>
              </w:rPr>
              <w:t>册/期</w:t>
            </w:r>
          </w:p>
        </w:tc>
        <w:tc>
          <w:tcPr>
            <w:tcW w:w="855" w:type="dxa"/>
            <w:tcBorders>
              <w:top w:val="single" w:sz="4" w:space="0" w:color="000000"/>
              <w:left w:val="single" w:sz="4" w:space="0" w:color="000000"/>
              <w:bottom w:val="single" w:sz="4" w:space="0" w:color="000000"/>
              <w:right w:val="nil"/>
            </w:tcBorders>
            <w:shd w:val="clear" w:color="auto" w:fill="auto"/>
            <w:noWrap/>
            <w:vAlign w:val="center"/>
          </w:tcPr>
          <w:p>
            <w:pPr>
              <w:widowControl/>
              <w:jc w:val="center"/>
              <w:textAlignment w:val="center"/>
              <w:rPr>
                <w:rFonts w:ascii="宋体" w:cs="宋体"/>
                <w:color w:val="000000"/>
                <w:sz w:val="18"/>
                <w:szCs w:val="18"/>
              </w:rPr>
            </w:pPr>
            <w:r>
              <w:rPr>
                <w:rFonts w:ascii="宋体" w:cs="宋体" w:hint="eastAsia"/>
                <w:color w:val="000000"/>
                <w:kern w:val="0"/>
                <w:sz w:val="18"/>
                <w:szCs w:val="18"/>
              </w:rPr>
              <w:t>10</w:t>
            </w:r>
          </w:p>
        </w:tc>
        <w:tc>
          <w:tcPr>
            <w:tcW w:w="101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jc w:val="center"/>
              <w:textAlignment w:val="center"/>
              <w:rPr>
                <w:rFonts w:ascii="宋体" w:cs="宋体"/>
                <w:color w:val="000000"/>
                <w:sz w:val="18"/>
                <w:szCs w:val="18"/>
              </w:rPr>
            </w:pPr>
            <w:r>
              <w:rPr>
                <w:rFonts w:ascii="宋体" w:cs="宋体" w:hint="eastAsia"/>
                <w:color w:val="000000"/>
                <w:kern w:val="0"/>
                <w:sz w:val="18"/>
                <w:szCs w:val="18"/>
              </w:rPr>
              <w:t>220册</w:t>
            </w:r>
          </w:p>
        </w:tc>
      </w:tr>
      <w:tr>
        <w:trPr>
          <w:trHeight w:val="320"/>
        </w:trPr>
        <w:tc>
          <w:tcPr>
            <w:tcW w:w="1080" w:type="dxa"/>
            <w:vMerge/>
            <w:tcBorders>
              <w:left w:val="single" w:sz="4" w:space="0" w:color="000000"/>
              <w:right w:val="single" w:sz="4" w:space="0" w:color="000000"/>
            </w:tcBorders>
            <w:shd w:val="clear" w:color="auto" w:fill="auto"/>
            <w:noWrap/>
            <w:vAlign w:val="center"/>
          </w:tcPr>
          <w:p/>
        </w:tc>
        <w:tc>
          <w:tcPr>
            <w:tcW w:w="1125" w:type="dxa"/>
            <w:vMerge/>
            <w:tcBorders>
              <w:left w:val="single" w:sz="4" w:space="0" w:color="000000"/>
              <w:right w:val="single" w:sz="4" w:space="0" w:color="000000"/>
            </w:tcBorders>
            <w:shd w:val="clear" w:color="auto" w:fill="auto"/>
            <w:noWrap/>
            <w:vAlign w:val="center"/>
          </w:tcPr>
          <w:p/>
        </w:tc>
        <w:tc>
          <w:tcPr>
            <w:tcW w:w="133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jc w:val="center"/>
              <w:textAlignment w:val="center"/>
              <w:rPr>
                <w:rFonts w:ascii="宋体" w:cs="宋体"/>
                <w:color w:val="000000"/>
                <w:kern w:val="0"/>
                <w:sz w:val="18"/>
                <w:szCs w:val="18"/>
              </w:rPr>
            </w:pPr>
            <w:r>
              <w:rPr>
                <w:rFonts w:ascii="宋体" w:cs="宋体"/>
                <w:color w:val="000000"/>
                <w:kern w:val="0"/>
                <w:sz w:val="18"/>
                <w:szCs w:val="18"/>
              </w:rPr>
              <w:t>数量指标</w:t>
            </w:r>
          </w:p>
        </w:tc>
        <w:tc>
          <w:tcPr>
            <w:tcW w:w="256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jc w:val="left"/>
              <w:textAlignment w:val="center"/>
              <w:rPr>
                <w:rFonts w:ascii="宋体" w:cs="宋体"/>
                <w:color w:val="000000"/>
                <w:kern w:val="0"/>
                <w:sz w:val="18"/>
                <w:szCs w:val="18"/>
              </w:rPr>
            </w:pPr>
            <w:r>
              <w:rPr>
                <w:rFonts w:ascii="宋体" w:cs="宋体" w:hint="eastAsia"/>
                <w:color w:val="000000"/>
                <w:kern w:val="0"/>
                <w:sz w:val="18"/>
                <w:szCs w:val="18"/>
              </w:rPr>
              <w:t>印刷《五经普资料汇编》18册</w:t>
            </w:r>
          </w:p>
        </w:tc>
        <w:tc>
          <w:tcPr>
            <w:tcW w:w="8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jc w:val="center"/>
              <w:textAlignment w:val="center"/>
              <w:rPr>
                <w:rFonts w:ascii="宋体" w:cs="宋体"/>
                <w:color w:val="000000"/>
                <w:kern w:val="0"/>
                <w:sz w:val="18"/>
                <w:szCs w:val="18"/>
              </w:rPr>
            </w:pPr>
            <w:r>
              <w:rPr>
                <w:rFonts w:ascii="宋体" w:cs="宋体"/>
                <w:color w:val="000000"/>
                <w:kern w:val="0"/>
                <w:sz w:val="18"/>
                <w:szCs w:val="18"/>
              </w:rPr>
              <w:t>≥</w:t>
            </w:r>
          </w:p>
        </w:tc>
        <w:tc>
          <w:tcPr>
            <w:tcW w:w="8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jc w:val="center"/>
              <w:textAlignment w:val="center"/>
              <w:rPr>
                <w:rFonts w:ascii="宋体" w:cs="宋体"/>
                <w:color w:val="000000"/>
                <w:kern w:val="0"/>
                <w:sz w:val="18"/>
                <w:szCs w:val="18"/>
              </w:rPr>
            </w:pPr>
            <w:r>
              <w:rPr>
                <w:rFonts w:ascii="宋体" w:cs="宋体" w:hint="eastAsia"/>
                <w:color w:val="000000"/>
                <w:kern w:val="0"/>
                <w:sz w:val="18"/>
                <w:szCs w:val="18"/>
              </w:rPr>
              <w:t>180</w:t>
            </w:r>
          </w:p>
        </w:tc>
        <w:tc>
          <w:tcPr>
            <w:tcW w:w="8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jc w:val="center"/>
              <w:textAlignment w:val="center"/>
              <w:rPr>
                <w:rFonts w:ascii="宋体" w:cs="宋体"/>
                <w:color w:val="000000"/>
                <w:kern w:val="0"/>
                <w:sz w:val="18"/>
                <w:szCs w:val="18"/>
              </w:rPr>
            </w:pPr>
            <w:r>
              <w:rPr>
                <w:rFonts w:ascii="宋体" w:cs="宋体"/>
                <w:color w:val="000000"/>
                <w:kern w:val="0"/>
                <w:sz w:val="18"/>
                <w:szCs w:val="18"/>
              </w:rPr>
              <w:t>册/期</w:t>
            </w:r>
          </w:p>
        </w:tc>
        <w:tc>
          <w:tcPr>
            <w:tcW w:w="855" w:type="dxa"/>
            <w:tcBorders>
              <w:top w:val="single" w:sz="4" w:space="0" w:color="000000"/>
              <w:left w:val="single" w:sz="4" w:space="0" w:color="000000"/>
              <w:bottom w:val="single" w:sz="4" w:space="0" w:color="000000"/>
              <w:right w:val="nil"/>
            </w:tcBorders>
            <w:shd w:val="clear" w:color="auto" w:fill="auto"/>
            <w:noWrap/>
            <w:vAlign w:val="center"/>
          </w:tcPr>
          <w:p>
            <w:pPr>
              <w:widowControl/>
              <w:jc w:val="center"/>
              <w:textAlignment w:val="center"/>
              <w:rPr>
                <w:rFonts w:ascii="宋体" w:cs="宋体"/>
                <w:color w:val="000000"/>
                <w:kern w:val="0"/>
                <w:sz w:val="18"/>
                <w:szCs w:val="18"/>
              </w:rPr>
            </w:pPr>
            <w:r>
              <w:rPr>
                <w:rFonts w:ascii="宋体" w:cs="宋体" w:hint="eastAsia"/>
                <w:color w:val="000000"/>
                <w:kern w:val="0"/>
                <w:sz w:val="18"/>
                <w:szCs w:val="18"/>
              </w:rPr>
              <w:t>10</w:t>
            </w:r>
          </w:p>
        </w:tc>
        <w:tc>
          <w:tcPr>
            <w:tcW w:w="101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jc w:val="center"/>
              <w:textAlignment w:val="center"/>
              <w:rPr>
                <w:rFonts w:ascii="宋体" w:cs="宋体"/>
                <w:color w:val="000000"/>
                <w:kern w:val="0"/>
                <w:sz w:val="18"/>
                <w:szCs w:val="18"/>
              </w:rPr>
            </w:pPr>
            <w:r>
              <w:rPr>
                <w:rFonts w:ascii="宋体" w:cs="宋体" w:hint="eastAsia"/>
                <w:color w:val="000000"/>
                <w:kern w:val="0"/>
                <w:sz w:val="18"/>
                <w:szCs w:val="18"/>
              </w:rPr>
              <w:t>180册</w:t>
            </w:r>
          </w:p>
        </w:tc>
      </w:tr>
      <w:tr>
        <w:trPr>
          <w:trHeight w:val="245"/>
        </w:trPr>
        <w:tc>
          <w:tcPr>
            <w:tcW w:w="1080" w:type="dxa"/>
            <w:vMerge/>
            <w:tcBorders>
              <w:left w:val="single" w:sz="4" w:space="0" w:color="000000"/>
              <w:right w:val="single" w:sz="4" w:space="0" w:color="000000"/>
            </w:tcBorders>
            <w:shd w:val="clear" w:color="auto" w:fill="auto"/>
            <w:noWrap/>
            <w:vAlign w:val="center"/>
          </w:tcPr>
          <w:p/>
        </w:tc>
        <w:tc>
          <w:tcPr>
            <w:tcW w:w="1125" w:type="dxa"/>
            <w:vMerge/>
            <w:tcBorders>
              <w:left w:val="single" w:sz="4" w:space="0" w:color="000000"/>
              <w:right w:val="single" w:sz="4" w:space="0" w:color="000000"/>
            </w:tcBorders>
            <w:shd w:val="clear" w:color="auto" w:fill="auto"/>
            <w:noWrap/>
            <w:vAlign w:val="center"/>
          </w:tcPr>
          <w:p/>
        </w:tc>
        <w:tc>
          <w:tcPr>
            <w:tcW w:w="133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jc w:val="center"/>
              <w:textAlignment w:val="center"/>
              <w:rPr>
                <w:rFonts w:ascii="宋体" w:cs="宋体"/>
                <w:color w:val="000000"/>
                <w:sz w:val="18"/>
                <w:szCs w:val="18"/>
              </w:rPr>
            </w:pPr>
            <w:r>
              <w:rPr>
                <w:rFonts w:ascii="宋体" w:cs="宋体"/>
                <w:color w:val="000000"/>
                <w:kern w:val="0"/>
                <w:sz w:val="18"/>
                <w:szCs w:val="18"/>
              </w:rPr>
              <w:t>质量指标</w:t>
            </w:r>
          </w:p>
        </w:tc>
        <w:tc>
          <w:tcPr>
            <w:tcW w:w="256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jc w:val="left"/>
              <w:textAlignment w:val="center"/>
              <w:rPr>
                <w:rFonts w:ascii="宋体" w:cs="宋体"/>
                <w:color w:val="000000"/>
                <w:sz w:val="18"/>
                <w:szCs w:val="18"/>
              </w:rPr>
            </w:pPr>
            <w:r>
              <w:rPr>
                <w:rFonts w:ascii="宋体" w:cs="宋体"/>
                <w:color w:val="000000"/>
                <w:kern w:val="0"/>
                <w:sz w:val="18"/>
                <w:szCs w:val="18"/>
              </w:rPr>
              <w:t>相关单位报表质量</w:t>
            </w:r>
          </w:p>
        </w:tc>
        <w:tc>
          <w:tcPr>
            <w:tcW w:w="8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jc w:val="center"/>
              <w:textAlignment w:val="center"/>
              <w:rPr>
                <w:rFonts w:ascii="宋体" w:cs="宋体"/>
                <w:color w:val="000000"/>
                <w:sz w:val="18"/>
                <w:szCs w:val="18"/>
              </w:rPr>
            </w:pPr>
            <w:r>
              <w:rPr>
                <w:rFonts w:ascii="宋体" w:cs="宋体"/>
                <w:color w:val="000000"/>
                <w:kern w:val="0"/>
                <w:sz w:val="18"/>
                <w:szCs w:val="18"/>
              </w:rPr>
              <w:t>≥</w:t>
            </w:r>
          </w:p>
        </w:tc>
        <w:tc>
          <w:tcPr>
            <w:tcW w:w="8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jc w:val="center"/>
              <w:textAlignment w:val="center"/>
              <w:rPr>
                <w:rFonts w:ascii="宋体" w:cs="宋体"/>
                <w:color w:val="000000"/>
                <w:sz w:val="18"/>
                <w:szCs w:val="18"/>
              </w:rPr>
            </w:pPr>
            <w:r>
              <w:rPr>
                <w:rFonts w:ascii="宋体" w:cs="宋体"/>
                <w:color w:val="000000"/>
                <w:kern w:val="0"/>
                <w:sz w:val="18"/>
                <w:szCs w:val="18"/>
              </w:rPr>
              <w:t>99</w:t>
            </w:r>
          </w:p>
        </w:tc>
        <w:tc>
          <w:tcPr>
            <w:tcW w:w="8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jc w:val="center"/>
              <w:textAlignment w:val="center"/>
              <w:rPr>
                <w:rFonts w:ascii="宋体" w:cs="宋体"/>
                <w:color w:val="000000"/>
                <w:sz w:val="18"/>
                <w:szCs w:val="18"/>
              </w:rPr>
            </w:pPr>
            <w:r>
              <w:rPr>
                <w:rFonts w:ascii="宋体" w:cs="宋体"/>
                <w:color w:val="000000"/>
                <w:kern w:val="0"/>
                <w:sz w:val="18"/>
                <w:szCs w:val="18"/>
              </w:rPr>
              <w:t>%</w:t>
            </w:r>
          </w:p>
        </w:tc>
        <w:tc>
          <w:tcPr>
            <w:tcW w:w="855" w:type="dxa"/>
            <w:tcBorders>
              <w:top w:val="single" w:sz="4" w:space="0" w:color="000000"/>
              <w:left w:val="single" w:sz="4" w:space="0" w:color="000000"/>
              <w:bottom w:val="single" w:sz="4" w:space="0" w:color="000000"/>
              <w:right w:val="nil"/>
            </w:tcBorders>
            <w:shd w:val="clear" w:color="auto" w:fill="auto"/>
            <w:noWrap/>
            <w:vAlign w:val="center"/>
          </w:tcPr>
          <w:p>
            <w:pPr>
              <w:widowControl/>
              <w:jc w:val="center"/>
              <w:textAlignment w:val="center"/>
              <w:rPr>
                <w:rFonts w:ascii="宋体" w:eastAsia="宋体" w:cs="宋体"/>
                <w:color w:val="000000"/>
                <w:sz w:val="18"/>
                <w:szCs w:val="18"/>
                <w:lang w:val="en-US" w:eastAsia="zh-CN"/>
              </w:rPr>
            </w:pPr>
            <w:r>
              <w:rPr>
                <w:rFonts w:ascii="宋体" w:cs="宋体" w:hint="eastAsia"/>
                <w:color w:val="000000"/>
                <w:sz w:val="18"/>
                <w:szCs w:val="18"/>
                <w:lang w:val="en-US" w:eastAsia="zh-CN"/>
              </w:rPr>
              <w:t>20</w:t>
            </w:r>
          </w:p>
        </w:tc>
        <w:tc>
          <w:tcPr>
            <w:tcW w:w="101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jc w:val="center"/>
              <w:textAlignment w:val="center"/>
              <w:rPr>
                <w:rFonts w:ascii="宋体" w:cs="宋体"/>
                <w:color w:val="000000"/>
                <w:sz w:val="18"/>
                <w:szCs w:val="18"/>
              </w:rPr>
            </w:pPr>
            <w:r>
              <w:rPr>
                <w:rFonts w:ascii="宋体" w:cs="宋体" w:hint="eastAsia"/>
                <w:color w:val="000000"/>
                <w:kern w:val="0"/>
                <w:sz w:val="18"/>
                <w:szCs w:val="18"/>
              </w:rPr>
              <w:t>100</w:t>
            </w:r>
          </w:p>
        </w:tc>
      </w:tr>
      <w:tr>
        <w:trPr>
          <w:trHeight w:val="245"/>
        </w:trPr>
        <w:tc>
          <w:tcPr>
            <w:tcW w:w="1080" w:type="dxa"/>
            <w:vMerge/>
            <w:tcBorders>
              <w:left w:val="single" w:sz="4" w:space="0" w:color="000000"/>
              <w:right w:val="single" w:sz="4" w:space="0" w:color="000000"/>
            </w:tcBorders>
            <w:shd w:val="clear" w:color="auto" w:fill="auto"/>
            <w:noWrap/>
            <w:vAlign w:val="center"/>
          </w:tcPr>
          <w:p/>
        </w:tc>
        <w:tc>
          <w:tcPr>
            <w:tcW w:w="1125" w:type="dxa"/>
            <w:vMerge/>
            <w:tcBorders>
              <w:left w:val="single" w:sz="4" w:space="0" w:color="000000"/>
              <w:right w:val="single" w:sz="4" w:space="0" w:color="000000"/>
            </w:tcBorders>
            <w:shd w:val="clear" w:color="auto" w:fill="auto"/>
            <w:noWrap/>
            <w:vAlign w:val="center"/>
          </w:tcPr>
          <w:p/>
        </w:tc>
        <w:tc>
          <w:tcPr>
            <w:tcW w:w="133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jc w:val="center"/>
              <w:textAlignment w:val="center"/>
              <w:rPr>
                <w:rFonts w:ascii="宋体" w:eastAsia="宋体" w:cs="宋体" w:hint="eastAsia"/>
                <w:color w:val="000000"/>
                <w:kern w:val="0"/>
                <w:sz w:val="18"/>
                <w:szCs w:val="18"/>
                <w:lang w:eastAsia="zh-CN"/>
              </w:rPr>
            </w:pPr>
            <w:r>
              <w:rPr>
                <w:rFonts w:ascii="宋体" w:cs="宋体" w:hint="eastAsia"/>
                <w:color w:val="000000"/>
                <w:kern w:val="0"/>
                <w:sz w:val="18"/>
                <w:szCs w:val="18"/>
                <w:lang w:eastAsia="zh-CN"/>
              </w:rPr>
              <w:t>数量指标</w:t>
            </w:r>
          </w:p>
        </w:tc>
        <w:tc>
          <w:tcPr>
            <w:tcW w:w="256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jc w:val="left"/>
              <w:textAlignment w:val="center"/>
              <w:rPr>
                <w:rFonts w:ascii="宋体" w:eastAsia="宋体" w:cs="宋体" w:hint="eastAsia"/>
                <w:color w:val="000000"/>
                <w:kern w:val="0"/>
                <w:sz w:val="18"/>
                <w:szCs w:val="18"/>
                <w:lang w:eastAsia="zh-CN"/>
              </w:rPr>
            </w:pPr>
            <w:r>
              <w:rPr>
                <w:rFonts w:ascii="宋体" w:cs="宋体" w:hint="eastAsia"/>
                <w:color w:val="000000"/>
                <w:kern w:val="0"/>
                <w:sz w:val="18"/>
                <w:szCs w:val="18"/>
                <w:lang w:eastAsia="zh-CN"/>
              </w:rPr>
              <w:t>指导各镇业务次数</w:t>
            </w:r>
          </w:p>
        </w:tc>
        <w:tc>
          <w:tcPr>
            <w:tcW w:w="8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jc w:val="center"/>
              <w:textAlignment w:val="center"/>
              <w:rPr>
                <w:rFonts w:ascii="宋体" w:cs="宋体"/>
                <w:color w:val="000000"/>
                <w:kern w:val="0"/>
                <w:sz w:val="18"/>
                <w:szCs w:val="18"/>
              </w:rPr>
            </w:pPr>
            <w:r>
              <w:rPr>
                <w:rFonts w:ascii="宋体" w:cs="宋体"/>
                <w:color w:val="000000"/>
                <w:kern w:val="0"/>
                <w:sz w:val="18"/>
                <w:szCs w:val="18"/>
              </w:rPr>
              <w:t>≥</w:t>
            </w:r>
          </w:p>
        </w:tc>
        <w:tc>
          <w:tcPr>
            <w:tcW w:w="8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jc w:val="center"/>
              <w:textAlignment w:val="center"/>
              <w:rPr>
                <w:rFonts w:ascii="宋体" w:eastAsia="宋体" w:cs="宋体" w:hint="eastAsia"/>
                <w:color w:val="000000"/>
                <w:kern w:val="0"/>
                <w:sz w:val="18"/>
                <w:szCs w:val="18"/>
                <w:lang w:val="en-US" w:eastAsia="zh-CN"/>
              </w:rPr>
            </w:pPr>
            <w:r>
              <w:rPr>
                <w:rFonts w:ascii="宋体" w:cs="宋体" w:hint="eastAsia"/>
                <w:color w:val="000000"/>
                <w:kern w:val="0"/>
                <w:sz w:val="18"/>
                <w:szCs w:val="18"/>
                <w:lang w:val="en-US" w:eastAsia="zh-CN"/>
              </w:rPr>
              <w:t>9</w:t>
            </w:r>
          </w:p>
        </w:tc>
        <w:tc>
          <w:tcPr>
            <w:tcW w:w="8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jc w:val="center"/>
              <w:textAlignment w:val="center"/>
              <w:rPr>
                <w:rFonts w:ascii="宋体" w:eastAsia="宋体" w:cs="宋体" w:hint="eastAsia"/>
                <w:color w:val="000000"/>
                <w:kern w:val="0"/>
                <w:sz w:val="18"/>
                <w:szCs w:val="18"/>
                <w:lang w:eastAsia="zh-CN"/>
              </w:rPr>
            </w:pPr>
            <w:r>
              <w:rPr>
                <w:rFonts w:ascii="宋体" w:cs="宋体" w:hint="eastAsia"/>
                <w:color w:val="000000"/>
                <w:kern w:val="0"/>
                <w:sz w:val="18"/>
                <w:szCs w:val="18"/>
                <w:lang w:eastAsia="zh-CN"/>
              </w:rPr>
              <w:t>次</w:t>
            </w:r>
          </w:p>
        </w:tc>
        <w:tc>
          <w:tcPr>
            <w:tcW w:w="855" w:type="dxa"/>
            <w:tcBorders>
              <w:top w:val="single" w:sz="4" w:space="0" w:color="000000"/>
              <w:left w:val="single" w:sz="4" w:space="0" w:color="000000"/>
              <w:bottom w:val="single" w:sz="4" w:space="0" w:color="000000"/>
              <w:right w:val="nil"/>
            </w:tcBorders>
            <w:shd w:val="clear" w:color="auto" w:fill="auto"/>
            <w:noWrap/>
            <w:vAlign w:val="center"/>
          </w:tcPr>
          <w:p>
            <w:pPr>
              <w:widowControl/>
              <w:jc w:val="center"/>
              <w:textAlignment w:val="center"/>
              <w:rPr>
                <w:rFonts w:ascii="宋体" w:eastAsia="宋体" w:cs="宋体"/>
                <w:color w:val="000000"/>
                <w:kern w:val="0"/>
                <w:sz w:val="18"/>
                <w:szCs w:val="18"/>
                <w:lang w:val="en-US" w:eastAsia="zh-CN"/>
              </w:rPr>
            </w:pPr>
            <w:r>
              <w:rPr>
                <w:rFonts w:ascii="宋体" w:cs="宋体" w:hint="eastAsia"/>
                <w:color w:val="000000"/>
                <w:kern w:val="0"/>
                <w:sz w:val="18"/>
                <w:szCs w:val="18"/>
                <w:lang w:val="en-US" w:eastAsia="zh-CN"/>
              </w:rPr>
              <w:t>10</w:t>
            </w:r>
          </w:p>
        </w:tc>
        <w:tc>
          <w:tcPr>
            <w:tcW w:w="101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jc w:val="center"/>
              <w:textAlignment w:val="center"/>
              <w:rPr>
                <w:rFonts w:ascii="宋体" w:eastAsia="宋体" w:cs="宋体" w:hint="eastAsia"/>
                <w:color w:val="000000"/>
                <w:kern w:val="0"/>
                <w:sz w:val="18"/>
                <w:szCs w:val="18"/>
                <w:lang w:val="en-US" w:eastAsia="zh-CN"/>
              </w:rPr>
            </w:pPr>
            <w:r>
              <w:rPr>
                <w:rFonts w:ascii="宋体" w:cs="宋体" w:hint="eastAsia"/>
                <w:color w:val="000000"/>
                <w:kern w:val="0"/>
                <w:sz w:val="18"/>
                <w:szCs w:val="18"/>
                <w:lang w:val="en-US" w:eastAsia="zh-CN"/>
              </w:rPr>
              <w:t>9次</w:t>
            </w:r>
          </w:p>
        </w:tc>
      </w:tr>
      <w:tr>
        <w:trPr>
          <w:trHeight w:val="245"/>
        </w:trPr>
        <w:tc>
          <w:tcPr>
            <w:tcW w:w="1080" w:type="dxa"/>
            <w:vMerge/>
            <w:tcBorders>
              <w:left w:val="single" w:sz="4" w:space="0" w:color="000000"/>
              <w:right w:val="single" w:sz="4" w:space="0" w:color="000000"/>
            </w:tcBorders>
            <w:shd w:val="clear" w:color="auto" w:fill="auto"/>
            <w:noWrap/>
            <w:vAlign w:val="center"/>
          </w:tcPr>
          <w:p/>
        </w:tc>
        <w:tc>
          <w:tcPr>
            <w:tcW w:w="1125" w:type="dxa"/>
            <w:vMerge/>
            <w:tcBorders>
              <w:left w:val="single" w:sz="4" w:space="0" w:color="000000"/>
              <w:bottom w:val="single" w:sz="4" w:space="0" w:color="000000"/>
              <w:right w:val="single" w:sz="4" w:space="0" w:color="000000"/>
            </w:tcBorders>
            <w:shd w:val="clear" w:color="auto" w:fill="auto"/>
            <w:noWrap/>
            <w:vAlign w:val="center"/>
          </w:tcPr>
          <w:p/>
        </w:tc>
        <w:tc>
          <w:tcPr>
            <w:tcW w:w="133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jc w:val="center"/>
              <w:textAlignment w:val="center"/>
              <w:rPr>
                <w:rFonts w:ascii="宋体" w:eastAsia="宋体" w:cs="宋体" w:hint="eastAsia"/>
                <w:color w:val="000000"/>
                <w:kern w:val="0"/>
                <w:sz w:val="18"/>
                <w:szCs w:val="18"/>
                <w:lang w:eastAsia="zh-CN"/>
              </w:rPr>
            </w:pPr>
            <w:r>
              <w:rPr>
                <w:rFonts w:ascii="宋体" w:cs="宋体" w:hint="eastAsia"/>
                <w:color w:val="000000"/>
                <w:kern w:val="0"/>
                <w:sz w:val="18"/>
                <w:szCs w:val="18"/>
                <w:lang w:eastAsia="zh-CN"/>
              </w:rPr>
              <w:t>数量指标</w:t>
            </w:r>
          </w:p>
        </w:tc>
        <w:tc>
          <w:tcPr>
            <w:tcW w:w="256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jc w:val="left"/>
              <w:textAlignment w:val="center"/>
              <w:rPr>
                <w:rFonts w:ascii="宋体" w:eastAsia="宋体" w:cs="宋体" w:hint="eastAsia"/>
                <w:color w:val="000000"/>
                <w:kern w:val="0"/>
                <w:sz w:val="18"/>
                <w:szCs w:val="18"/>
                <w:lang w:eastAsia="zh-CN"/>
              </w:rPr>
            </w:pPr>
            <w:r>
              <w:rPr>
                <w:rFonts w:ascii="宋体" w:cs="宋体" w:hint="eastAsia"/>
                <w:color w:val="000000"/>
                <w:kern w:val="0"/>
                <w:sz w:val="18"/>
                <w:szCs w:val="18"/>
                <w:lang w:eastAsia="zh-CN"/>
              </w:rPr>
              <w:t>名录库新入库单位户数</w:t>
            </w:r>
          </w:p>
        </w:tc>
        <w:tc>
          <w:tcPr>
            <w:tcW w:w="8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jc w:val="center"/>
              <w:textAlignment w:val="center"/>
              <w:rPr>
                <w:rFonts w:ascii="宋体" w:cs="宋体"/>
                <w:color w:val="000000"/>
                <w:kern w:val="0"/>
                <w:sz w:val="18"/>
                <w:szCs w:val="18"/>
              </w:rPr>
            </w:pPr>
            <w:r>
              <w:rPr>
                <w:rFonts w:ascii="宋体" w:cs="宋体"/>
                <w:color w:val="000000"/>
                <w:kern w:val="0"/>
                <w:sz w:val="18"/>
                <w:szCs w:val="18"/>
              </w:rPr>
              <w:t>≥</w:t>
            </w:r>
          </w:p>
        </w:tc>
        <w:tc>
          <w:tcPr>
            <w:tcW w:w="8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jc w:val="center"/>
              <w:textAlignment w:val="center"/>
              <w:rPr>
                <w:rFonts w:ascii="宋体" w:eastAsia="宋体" w:cs="宋体" w:hint="eastAsia"/>
                <w:color w:val="000000"/>
                <w:kern w:val="0"/>
                <w:sz w:val="18"/>
                <w:szCs w:val="18"/>
                <w:lang w:val="en-US" w:eastAsia="zh-CN"/>
              </w:rPr>
            </w:pPr>
            <w:r>
              <w:rPr>
                <w:rFonts w:ascii="宋体" w:cs="宋体" w:hint="eastAsia"/>
                <w:color w:val="000000"/>
                <w:kern w:val="0"/>
                <w:sz w:val="18"/>
                <w:szCs w:val="18"/>
                <w:lang w:val="en-US" w:eastAsia="zh-CN"/>
              </w:rPr>
              <w:t>6</w:t>
            </w:r>
          </w:p>
        </w:tc>
        <w:tc>
          <w:tcPr>
            <w:tcW w:w="8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jc w:val="center"/>
              <w:textAlignment w:val="center"/>
              <w:rPr>
                <w:rFonts w:ascii="宋体" w:eastAsia="宋体" w:cs="宋体" w:hint="eastAsia"/>
                <w:color w:val="000000"/>
                <w:kern w:val="0"/>
                <w:sz w:val="18"/>
                <w:szCs w:val="18"/>
                <w:lang w:eastAsia="zh-CN"/>
              </w:rPr>
            </w:pPr>
            <w:r>
              <w:rPr>
                <w:rFonts w:ascii="宋体" w:cs="宋体" w:hint="eastAsia"/>
                <w:color w:val="000000"/>
                <w:kern w:val="0"/>
                <w:sz w:val="18"/>
                <w:szCs w:val="18"/>
                <w:lang w:eastAsia="zh-CN"/>
              </w:rPr>
              <w:t>户</w:t>
            </w:r>
          </w:p>
        </w:tc>
        <w:tc>
          <w:tcPr>
            <w:tcW w:w="855" w:type="dxa"/>
            <w:tcBorders>
              <w:top w:val="single" w:sz="4" w:space="0" w:color="000000"/>
              <w:left w:val="single" w:sz="4" w:space="0" w:color="000000"/>
              <w:bottom w:val="single" w:sz="4" w:space="0" w:color="000000"/>
              <w:right w:val="nil"/>
            </w:tcBorders>
            <w:shd w:val="clear" w:color="auto" w:fill="auto"/>
            <w:noWrap/>
            <w:vAlign w:val="center"/>
          </w:tcPr>
          <w:p>
            <w:pPr>
              <w:widowControl/>
              <w:jc w:val="center"/>
              <w:textAlignment w:val="center"/>
              <w:rPr>
                <w:rFonts w:ascii="宋体" w:eastAsia="宋体" w:cs="宋体"/>
                <w:color w:val="000000"/>
                <w:kern w:val="0"/>
                <w:sz w:val="18"/>
                <w:szCs w:val="18"/>
                <w:lang w:val="en-US" w:eastAsia="zh-CN"/>
              </w:rPr>
            </w:pPr>
            <w:r>
              <w:rPr>
                <w:rFonts w:ascii="宋体" w:cs="宋体" w:hint="eastAsia"/>
                <w:color w:val="000000"/>
                <w:kern w:val="0"/>
                <w:sz w:val="18"/>
                <w:szCs w:val="18"/>
                <w:lang w:val="en-US" w:eastAsia="zh-CN"/>
              </w:rPr>
              <w:t>10</w:t>
            </w:r>
          </w:p>
        </w:tc>
        <w:tc>
          <w:tcPr>
            <w:tcW w:w="101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jc w:val="center"/>
              <w:textAlignment w:val="center"/>
              <w:rPr>
                <w:rFonts w:ascii="宋体" w:eastAsia="宋体" w:cs="宋体" w:hint="eastAsia"/>
                <w:color w:val="000000"/>
                <w:kern w:val="0"/>
                <w:sz w:val="18"/>
                <w:szCs w:val="18"/>
                <w:lang w:val="en-US" w:eastAsia="zh-CN"/>
              </w:rPr>
            </w:pPr>
            <w:r>
              <w:rPr>
                <w:rFonts w:ascii="宋体" w:cs="宋体" w:hint="eastAsia"/>
                <w:color w:val="000000"/>
                <w:kern w:val="0"/>
                <w:sz w:val="18"/>
                <w:szCs w:val="18"/>
                <w:lang w:val="en-US" w:eastAsia="zh-CN"/>
              </w:rPr>
              <w:t>8户</w:t>
            </w:r>
          </w:p>
        </w:tc>
      </w:tr>
      <w:tr>
        <w:trPr>
          <w:trHeight w:val="570"/>
        </w:trPr>
        <w:tc>
          <w:tcPr>
            <w:tcW w:w="1080" w:type="dxa"/>
            <w:vMerge/>
            <w:tcBorders>
              <w:left w:val="single" w:sz="4" w:space="0" w:color="000000"/>
              <w:right w:val="single" w:sz="4" w:space="0" w:color="000000"/>
            </w:tcBorders>
            <w:shd w:val="clear" w:color="auto" w:fill="auto"/>
            <w:noWrap/>
            <w:vAlign w:val="center"/>
          </w:tcPr>
          <w:p/>
        </w:tc>
        <w:tc>
          <w:tcPr>
            <w:tcW w:w="112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jc w:val="left"/>
              <w:textAlignment w:val="center"/>
              <w:rPr>
                <w:rFonts w:ascii="宋体" w:cs="宋体"/>
                <w:color w:val="000000"/>
                <w:sz w:val="18"/>
                <w:szCs w:val="18"/>
              </w:rPr>
            </w:pPr>
            <w:r>
              <w:rPr>
                <w:rFonts w:ascii="宋体" w:cs="宋体"/>
                <w:color w:val="000000"/>
                <w:kern w:val="0"/>
                <w:sz w:val="18"/>
                <w:szCs w:val="18"/>
              </w:rPr>
              <w:t>效益指标</w:t>
            </w:r>
          </w:p>
        </w:tc>
        <w:tc>
          <w:tcPr>
            <w:tcW w:w="133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jc w:val="center"/>
              <w:textAlignment w:val="center"/>
              <w:rPr>
                <w:rFonts w:ascii="宋体" w:cs="宋体"/>
                <w:color w:val="000000"/>
                <w:sz w:val="18"/>
                <w:szCs w:val="18"/>
              </w:rPr>
            </w:pPr>
            <w:r>
              <w:rPr>
                <w:rFonts w:ascii="宋体" w:cs="宋体"/>
                <w:color w:val="000000"/>
                <w:kern w:val="0"/>
                <w:sz w:val="18"/>
                <w:szCs w:val="18"/>
              </w:rPr>
              <w:t>社会效益指标</w:t>
            </w:r>
          </w:p>
        </w:tc>
        <w:tc>
          <w:tcPr>
            <w:tcW w:w="256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center"/>
              <w:rPr>
                <w:rFonts w:ascii="宋体" w:cs="宋体"/>
                <w:color w:val="000000"/>
                <w:sz w:val="18"/>
                <w:szCs w:val="18"/>
              </w:rPr>
            </w:pPr>
            <w:r>
              <w:rPr>
                <w:rFonts w:ascii="宋体" w:cs="宋体"/>
                <w:color w:val="000000"/>
                <w:kern w:val="0"/>
                <w:sz w:val="18"/>
                <w:szCs w:val="18"/>
              </w:rPr>
              <w:t>对经济指标分析，为经济社会发展提供决策依据</w:t>
            </w:r>
          </w:p>
        </w:tc>
        <w:tc>
          <w:tcPr>
            <w:tcW w:w="8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jc w:val="center"/>
              <w:textAlignment w:val="center"/>
              <w:rPr>
                <w:rFonts w:ascii="宋体" w:cs="宋体"/>
                <w:color w:val="000000"/>
                <w:sz w:val="18"/>
                <w:szCs w:val="18"/>
              </w:rPr>
            </w:pPr>
            <w:r>
              <w:rPr>
                <w:rFonts w:ascii="宋体" w:cs="宋体"/>
                <w:color w:val="000000"/>
                <w:kern w:val="0"/>
                <w:sz w:val="18"/>
                <w:szCs w:val="18"/>
              </w:rPr>
              <w:t>≥</w:t>
            </w:r>
          </w:p>
        </w:tc>
        <w:tc>
          <w:tcPr>
            <w:tcW w:w="8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jc w:val="center"/>
              <w:textAlignment w:val="center"/>
              <w:rPr>
                <w:rFonts w:ascii="宋体" w:cs="宋体"/>
                <w:color w:val="000000"/>
                <w:sz w:val="18"/>
                <w:szCs w:val="18"/>
              </w:rPr>
            </w:pPr>
            <w:r>
              <w:rPr>
                <w:rFonts w:ascii="宋体" w:cs="宋体"/>
                <w:color w:val="000000"/>
                <w:kern w:val="0"/>
                <w:sz w:val="18"/>
                <w:szCs w:val="18"/>
              </w:rPr>
              <w:t>99</w:t>
            </w:r>
          </w:p>
        </w:tc>
        <w:tc>
          <w:tcPr>
            <w:tcW w:w="8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jc w:val="center"/>
              <w:textAlignment w:val="center"/>
              <w:rPr>
                <w:rFonts w:ascii="宋体" w:cs="宋体"/>
                <w:color w:val="000000"/>
                <w:sz w:val="18"/>
                <w:szCs w:val="18"/>
              </w:rPr>
            </w:pPr>
            <w:r>
              <w:rPr>
                <w:rFonts w:ascii="宋体" w:cs="宋体"/>
                <w:color w:val="000000"/>
                <w:kern w:val="0"/>
                <w:sz w:val="18"/>
                <w:szCs w:val="18"/>
              </w:rPr>
              <w:t>%</w:t>
            </w:r>
          </w:p>
        </w:tc>
        <w:tc>
          <w:tcPr>
            <w:tcW w:w="855" w:type="dxa"/>
            <w:tcBorders>
              <w:top w:val="single" w:sz="4" w:space="0" w:color="000000"/>
              <w:left w:val="single" w:sz="4" w:space="0" w:color="000000"/>
              <w:bottom w:val="single" w:sz="4" w:space="0" w:color="000000"/>
              <w:right w:val="nil"/>
            </w:tcBorders>
            <w:shd w:val="clear" w:color="auto" w:fill="auto"/>
            <w:noWrap/>
            <w:vAlign w:val="center"/>
          </w:tcPr>
          <w:p>
            <w:pPr>
              <w:widowControl/>
              <w:jc w:val="center"/>
              <w:textAlignment w:val="center"/>
              <w:rPr>
                <w:rFonts w:ascii="宋体" w:eastAsia="宋体" w:cs="宋体"/>
                <w:color w:val="000000"/>
                <w:sz w:val="18"/>
                <w:szCs w:val="18"/>
                <w:lang w:val="en-US" w:eastAsia="zh-CN"/>
              </w:rPr>
            </w:pPr>
            <w:r>
              <w:rPr>
                <w:rFonts w:ascii="宋体" w:cs="宋体" w:hint="eastAsia"/>
                <w:color w:val="000000"/>
                <w:kern w:val="0"/>
                <w:sz w:val="18"/>
                <w:szCs w:val="18"/>
                <w:lang w:val="en-US" w:eastAsia="zh-CN"/>
              </w:rPr>
              <w:t>20</w:t>
            </w:r>
          </w:p>
        </w:tc>
        <w:tc>
          <w:tcPr>
            <w:tcW w:w="101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jc w:val="center"/>
              <w:textAlignment w:val="center"/>
              <w:rPr>
                <w:rFonts w:ascii="宋体" w:eastAsia="宋体" w:cs="宋体" w:hint="eastAsia"/>
                <w:color w:val="000000"/>
                <w:sz w:val="18"/>
                <w:szCs w:val="18"/>
                <w:lang w:val="en-US" w:eastAsia="zh-CN"/>
              </w:rPr>
            </w:pPr>
            <w:r>
              <w:rPr>
                <w:rFonts w:ascii="宋体" w:cs="宋体" w:hint="eastAsia"/>
                <w:color w:val="000000"/>
                <w:kern w:val="0"/>
                <w:sz w:val="18"/>
                <w:szCs w:val="18"/>
              </w:rPr>
              <w:t>100</w:t>
            </w:r>
            <w:r>
              <w:rPr>
                <w:rFonts w:ascii="宋体" w:cs="宋体" w:hint="eastAsia"/>
                <w:color w:val="000000"/>
                <w:kern w:val="0"/>
                <w:sz w:val="18"/>
                <w:szCs w:val="18"/>
                <w:lang w:val="en-US" w:eastAsia="zh-CN"/>
              </w:rPr>
              <w:t>%</w:t>
            </w:r>
          </w:p>
        </w:tc>
      </w:tr>
      <w:tr>
        <w:trPr>
          <w:trHeight w:val="570"/>
        </w:trPr>
        <w:tc>
          <w:tcPr>
            <w:tcW w:w="1080" w:type="dxa"/>
            <w:vMerge/>
            <w:tcBorders>
              <w:left w:val="single" w:sz="4" w:space="0" w:color="000000"/>
              <w:bottom w:val="single" w:sz="4" w:space="0" w:color="auto"/>
              <w:right w:val="single" w:sz="4" w:space="0" w:color="000000"/>
            </w:tcBorders>
            <w:shd w:val="clear" w:color="auto" w:fill="auto"/>
            <w:noWrap/>
            <w:vAlign w:val="center"/>
          </w:tcPr>
          <w:p/>
        </w:tc>
        <w:tc>
          <w:tcPr>
            <w:tcW w:w="112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jc w:val="left"/>
              <w:textAlignment w:val="center"/>
              <w:rPr>
                <w:rFonts w:ascii="宋体" w:cs="宋体"/>
                <w:color w:val="000000"/>
                <w:sz w:val="18"/>
                <w:szCs w:val="18"/>
              </w:rPr>
            </w:pPr>
            <w:r>
              <w:rPr>
                <w:rFonts w:ascii="宋体" w:cs="宋体"/>
                <w:color w:val="000000"/>
                <w:kern w:val="0"/>
                <w:sz w:val="18"/>
                <w:szCs w:val="18"/>
              </w:rPr>
              <w:t>满意度指标</w:t>
            </w:r>
          </w:p>
        </w:tc>
        <w:tc>
          <w:tcPr>
            <w:tcW w:w="133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宋体" w:cs="宋体"/>
                <w:color w:val="000000"/>
                <w:sz w:val="18"/>
                <w:szCs w:val="18"/>
              </w:rPr>
            </w:pPr>
            <w:r>
              <w:rPr>
                <w:rFonts w:ascii="宋体" w:cs="宋体"/>
                <w:color w:val="000000"/>
                <w:kern w:val="0"/>
                <w:sz w:val="18"/>
                <w:szCs w:val="18"/>
              </w:rPr>
              <w:t>服务对象满意度指标</w:t>
            </w:r>
          </w:p>
        </w:tc>
        <w:tc>
          <w:tcPr>
            <w:tcW w:w="256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jc w:val="left"/>
              <w:textAlignment w:val="center"/>
              <w:rPr>
                <w:rFonts w:ascii="宋体" w:cs="宋体"/>
                <w:color w:val="000000"/>
                <w:sz w:val="18"/>
                <w:szCs w:val="18"/>
              </w:rPr>
            </w:pPr>
            <w:r>
              <w:rPr>
                <w:rFonts w:ascii="宋体" w:cs="宋体"/>
                <w:color w:val="000000"/>
                <w:kern w:val="0"/>
                <w:sz w:val="18"/>
                <w:szCs w:val="18"/>
              </w:rPr>
              <w:t>社会人员对统计局满意度</w:t>
            </w:r>
          </w:p>
        </w:tc>
        <w:tc>
          <w:tcPr>
            <w:tcW w:w="8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jc w:val="center"/>
              <w:textAlignment w:val="center"/>
              <w:rPr>
                <w:rFonts w:ascii="宋体" w:cs="宋体"/>
                <w:color w:val="000000"/>
                <w:sz w:val="18"/>
                <w:szCs w:val="18"/>
              </w:rPr>
            </w:pPr>
            <w:r>
              <w:rPr>
                <w:rFonts w:ascii="宋体" w:cs="宋体"/>
                <w:color w:val="000000"/>
                <w:kern w:val="0"/>
                <w:sz w:val="18"/>
                <w:szCs w:val="18"/>
              </w:rPr>
              <w:t>≥</w:t>
            </w:r>
          </w:p>
        </w:tc>
        <w:tc>
          <w:tcPr>
            <w:tcW w:w="8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jc w:val="center"/>
              <w:textAlignment w:val="center"/>
              <w:rPr>
                <w:rFonts w:ascii="宋体" w:cs="宋体"/>
                <w:color w:val="000000"/>
                <w:sz w:val="18"/>
                <w:szCs w:val="18"/>
              </w:rPr>
            </w:pPr>
            <w:r>
              <w:rPr>
                <w:rFonts w:ascii="宋体" w:cs="宋体"/>
                <w:color w:val="000000"/>
                <w:kern w:val="0"/>
                <w:sz w:val="18"/>
                <w:szCs w:val="18"/>
              </w:rPr>
              <w:t>98</w:t>
            </w:r>
          </w:p>
        </w:tc>
        <w:tc>
          <w:tcPr>
            <w:tcW w:w="8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jc w:val="center"/>
              <w:textAlignment w:val="center"/>
              <w:rPr>
                <w:rFonts w:ascii="宋体" w:cs="宋体"/>
                <w:color w:val="000000"/>
                <w:sz w:val="18"/>
                <w:szCs w:val="18"/>
              </w:rPr>
            </w:pPr>
            <w:r>
              <w:rPr>
                <w:rFonts w:ascii="宋体" w:cs="宋体"/>
                <w:color w:val="000000"/>
                <w:kern w:val="0"/>
                <w:sz w:val="18"/>
                <w:szCs w:val="18"/>
              </w:rPr>
              <w:t>%</w:t>
            </w:r>
          </w:p>
        </w:tc>
        <w:tc>
          <w:tcPr>
            <w:tcW w:w="855" w:type="dxa"/>
            <w:tcBorders>
              <w:top w:val="single" w:sz="4" w:space="0" w:color="000000"/>
              <w:left w:val="single" w:sz="4" w:space="0" w:color="000000"/>
              <w:bottom w:val="single" w:sz="4" w:space="0" w:color="000000"/>
              <w:right w:val="nil"/>
            </w:tcBorders>
            <w:shd w:val="clear" w:color="auto" w:fill="auto"/>
            <w:noWrap/>
            <w:vAlign w:val="center"/>
          </w:tcPr>
          <w:p>
            <w:pPr>
              <w:widowControl/>
              <w:jc w:val="center"/>
              <w:textAlignment w:val="center"/>
              <w:rPr>
                <w:rFonts w:ascii="宋体" w:cs="宋体"/>
                <w:color w:val="000000"/>
                <w:sz w:val="18"/>
                <w:szCs w:val="18"/>
              </w:rPr>
            </w:pPr>
            <w:r>
              <w:rPr>
                <w:rFonts w:ascii="宋体" w:cs="宋体"/>
                <w:color w:val="000000"/>
                <w:kern w:val="0"/>
                <w:sz w:val="18"/>
                <w:szCs w:val="18"/>
              </w:rPr>
              <w:t>10</w:t>
            </w:r>
          </w:p>
        </w:tc>
        <w:tc>
          <w:tcPr>
            <w:tcW w:w="101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jc w:val="center"/>
              <w:textAlignment w:val="center"/>
              <w:rPr>
                <w:rFonts w:ascii="宋体" w:eastAsia="宋体" w:cs="宋体" w:hint="eastAsia"/>
                <w:color w:val="000000"/>
                <w:sz w:val="18"/>
                <w:szCs w:val="18"/>
                <w:lang w:val="en-US" w:eastAsia="zh-CN"/>
              </w:rPr>
            </w:pPr>
            <w:r>
              <w:rPr>
                <w:rFonts w:ascii="宋体" w:cs="宋体" w:hint="eastAsia"/>
                <w:color w:val="000000"/>
                <w:kern w:val="0"/>
                <w:sz w:val="18"/>
                <w:szCs w:val="18"/>
              </w:rPr>
              <w:t>100</w:t>
            </w:r>
            <w:r>
              <w:rPr>
                <w:rFonts w:ascii="宋体" w:cs="宋体" w:hint="eastAsia"/>
                <w:color w:val="000000"/>
                <w:kern w:val="0"/>
                <w:sz w:val="18"/>
                <w:szCs w:val="18"/>
                <w:lang w:val="en-US" w:eastAsia="zh-CN"/>
              </w:rPr>
              <w:t>%</w:t>
            </w:r>
          </w:p>
        </w:tc>
      </w:tr>
    </w:tbl>
    <w:p>
      <w:pPr>
        <w:pStyle w:val="24"/>
        <w:shd w:val="clear" w:color="auto" w:fill="FFFFFF"/>
        <w:spacing w:line="560" w:lineRule="exact"/>
        <w:ind w:left="960" w:hangingChars="300" w:hanging="960"/>
        <w:jc w:val="both"/>
        <w:rPr>
          <w:rFonts w:ascii="黑体" w:eastAsia="黑体"/>
          <w:sz w:val="32"/>
          <w:szCs w:val="32"/>
        </w:rPr>
      </w:pPr>
      <w:r>
        <w:rPr>
          <w:rFonts w:ascii="Times New Roman" w:eastAsia="黑体" w:cs="Times New Roman" w:hAnsi="Times New Roman"/>
          <w:kern w:val="2"/>
          <w:sz w:val="32"/>
        </w:rPr>
        <w:t>附</w:t>
      </w:r>
      <w:r>
        <w:rPr>
          <w:rFonts w:ascii="Times New Roman" w:eastAsia="黑体" w:cs="Times New Roman" w:hAnsi="Times New Roman" w:hint="eastAsia"/>
          <w:kern w:val="2"/>
          <w:sz w:val="32"/>
        </w:rPr>
        <w:t>件</w:t>
      </w:r>
      <w:r>
        <w:rPr>
          <w:rFonts w:ascii="Times New Roman" w:eastAsia="黑体" w:cs="Times New Roman" w:hAnsi="Times New Roman"/>
          <w:kern w:val="2"/>
          <w:sz w:val="32"/>
        </w:rPr>
        <w:t>2</w:t>
      </w:r>
    </w:p>
    <w:p>
      <w:pPr>
        <w:jc w:val="center"/>
        <w:rPr>
          <w:b/>
          <w:bCs/>
          <w:sz w:val="44"/>
          <w:szCs w:val="44"/>
        </w:rPr>
      </w:pPr>
      <w:r>
        <w:rPr>
          <w:rFonts w:hint="eastAsia"/>
          <w:b/>
          <w:bCs/>
          <w:sz w:val="44"/>
          <w:szCs w:val="44"/>
        </w:rPr>
        <w:t>2025年汶川县统计局重点工作保障经费</w:t>
      </w:r>
    </w:p>
    <w:p>
      <w:pPr>
        <w:jc w:val="center"/>
        <w:rPr>
          <w:b/>
          <w:bCs/>
          <w:sz w:val="44"/>
          <w:szCs w:val="44"/>
        </w:rPr>
      </w:pPr>
      <w:r>
        <w:rPr>
          <w:rFonts w:hint="eastAsia"/>
          <w:b/>
          <w:bCs/>
          <w:sz w:val="44"/>
          <w:szCs w:val="44"/>
        </w:rPr>
        <w:t>项目支出绩效评价报告</w:t>
      </w:r>
    </w:p>
    <w:p>
      <w:pPr>
        <w:adjustRightInd w:val="0"/>
        <w:snapToGrid w:val="0"/>
        <w:spacing w:line="578" w:lineRule="exact"/>
        <w:ind w:firstLineChars="200" w:firstLine="640"/>
        <w:rPr>
          <w:rFonts w:ascii="黑体" w:eastAsia="黑体"/>
          <w:sz w:val="32"/>
          <w:szCs w:val="32"/>
          <w:lang w:val="zh-CN"/>
        </w:rPr>
      </w:pPr>
      <w:r>
        <w:rPr>
          <w:rFonts w:ascii="黑体" w:eastAsia="黑体" w:hint="eastAsia"/>
          <w:sz w:val="32"/>
          <w:szCs w:val="32"/>
        </w:rPr>
        <w:t>一、</w:t>
      </w:r>
      <w:r>
        <w:rPr>
          <w:rFonts w:ascii="黑体" w:eastAsia="黑体" w:hint="eastAsia"/>
          <w:sz w:val="32"/>
          <w:szCs w:val="32"/>
          <w:lang w:val="zh-CN"/>
        </w:rPr>
        <w:t>项目概况</w:t>
      </w:r>
    </w:p>
    <w:p>
      <w:pPr>
        <w:ind w:firstLineChars="200" w:firstLine="640"/>
        <w:rPr>
          <w:rFonts w:ascii="楷体_GB2312" w:eastAsia="楷体_GB2312"/>
          <w:b/>
          <w:sz w:val="32"/>
          <w:szCs w:val="32"/>
          <w:lang w:val="zh-CN"/>
        </w:rPr>
      </w:pPr>
      <w:r>
        <w:rPr>
          <w:rFonts w:ascii="楷体_GB2312" w:eastAsia="楷体_GB2312" w:hint="eastAsia"/>
          <w:b/>
          <w:sz w:val="32"/>
          <w:szCs w:val="32"/>
          <w:lang w:val="zh-CN"/>
        </w:rPr>
        <w:t>（一）设立背景及基本情况</w:t>
      </w:r>
    </w:p>
    <w:p>
      <w:pPr>
        <w:ind w:firstLineChars="200" w:firstLine="672"/>
        <w:rPr>
          <w:rFonts w:ascii="仿宋_GB2312" w:eastAsia="仿宋_GB2312" w:cs="仿宋_GB2312"/>
          <w:kern w:val="0"/>
          <w:sz w:val="32"/>
          <w:szCs w:val="32"/>
          <w:shd w:val="clear" w:color="auto" w:fill="FFFFFF"/>
          <w:lang w:val="zh-CN"/>
        </w:rPr>
      </w:pPr>
      <w:r>
        <w:rPr>
          <w:rFonts w:ascii="仿宋_GB2312" w:eastAsia="仿宋_GB2312" w:cs="仿宋_GB2312" w:hint="eastAsia"/>
          <w:spacing w:val="8"/>
          <w:sz w:val="32"/>
          <w:szCs w:val="32"/>
          <w:shd w:val="clear" w:color="auto" w:fill="FFFFFF"/>
        </w:rPr>
        <w:t>搞好统计工作，人员是基础，网络是关键。制定标准，严格管理，规范统计工作行为，进一步健全各级各类抽样调查网点，完善抽样</w:t>
      </w:r>
      <w:r>
        <w:rPr>
          <w:rFonts w:ascii="仿宋_GB2312" w:eastAsia="仿宋_GB2312" w:cs="仿宋_GB2312" w:hint="eastAsia"/>
          <w:color w:val="333333"/>
          <w:spacing w:val="8"/>
          <w:sz w:val="32"/>
          <w:szCs w:val="32"/>
          <w:shd w:val="clear" w:color="auto" w:fill="FFFFFF"/>
        </w:rPr>
        <w:t>调查制度，规范调查流程，加强基层辅助调查员的业务培训和网点基础工作指导定期到企业开展调研，了解企业情况，抽样调查工作质量得到全面提高，统计工作水平得到全面提高。</w:t>
      </w:r>
    </w:p>
    <w:p>
      <w:pPr>
        <w:adjustRightInd w:val="0"/>
        <w:snapToGrid w:val="0"/>
        <w:spacing w:line="578" w:lineRule="exact"/>
        <w:ind w:firstLineChars="200" w:firstLine="640"/>
        <w:rPr>
          <w:rFonts w:ascii="仿宋_GB2312" w:eastAsia="仿宋_GB2312" w:cs="仿宋_GB2312"/>
          <w:kern w:val="0"/>
          <w:sz w:val="32"/>
          <w:szCs w:val="32"/>
          <w:shd w:val="clear" w:color="auto" w:fill="FFFFFF"/>
          <w:lang w:val="zh-CN"/>
        </w:rPr>
      </w:pPr>
      <w:r>
        <w:rPr>
          <w:rFonts w:ascii="楷体_GB2312" w:eastAsia="楷体_GB2312" w:hint="eastAsia"/>
          <w:b/>
          <w:sz w:val="32"/>
          <w:szCs w:val="32"/>
          <w:lang w:val="zh-CN"/>
        </w:rPr>
        <w:t>（二）</w:t>
      </w:r>
      <w:r>
        <w:rPr>
          <w:rFonts w:ascii="楷体_GB2312" w:eastAsia="楷体_GB2312"/>
          <w:b/>
          <w:sz w:val="32"/>
          <w:szCs w:val="32"/>
        </w:rPr>
        <w:t>实施目的及支持方向</w:t>
      </w:r>
      <w:r>
        <w:rPr>
          <w:rFonts w:ascii="楷体_GB2312" w:eastAsia="楷体_GB2312" w:hint="eastAsia"/>
          <w:b/>
          <w:sz w:val="32"/>
          <w:szCs w:val="32"/>
        </w:rPr>
        <w:t>。</w:t>
      </w:r>
    </w:p>
    <w:p>
      <w:pPr>
        <w:adjustRightInd w:val="0"/>
        <w:snapToGrid w:val="0"/>
        <w:spacing w:line="578" w:lineRule="exact"/>
        <w:ind w:firstLineChars="200" w:firstLine="640"/>
        <w:rPr>
          <w:rFonts w:ascii="仿宋_GB2312" w:eastAsia="仿宋_GB2312" w:cs="仿宋_GB2312"/>
          <w:kern w:val="0"/>
          <w:sz w:val="32"/>
          <w:szCs w:val="32"/>
          <w:shd w:val="clear" w:color="auto" w:fill="FFFFFF"/>
          <w:lang w:val="zh-CN"/>
        </w:rPr>
      </w:pPr>
      <w:r>
        <w:rPr>
          <w:rFonts w:ascii="仿宋" w:eastAsia="仿宋" w:cs="仿宋" w:hint="eastAsia"/>
          <w:kern w:val="0"/>
          <w:sz w:val="32"/>
          <w:szCs w:val="32"/>
          <w:shd w:val="clear" w:color="auto" w:fill="FFFFFF"/>
          <w:lang w:val="zh-CN"/>
        </w:rPr>
        <w:t>根据项目资金性质制定具体管理办法，充分保障统计业务工作顺利开展，确保统计报表联网直报系统和视频会议系统正常使用，充实统计业务人员队伍，有效开展统计执法检查抽样调查等工作。</w:t>
      </w:r>
    </w:p>
    <w:p>
      <w:pPr>
        <w:widowControl/>
        <w:adjustRightInd w:val="0"/>
        <w:snapToGrid w:val="0"/>
        <w:spacing w:line="578" w:lineRule="exact"/>
        <w:ind w:firstLineChars="200" w:firstLine="640"/>
        <w:contextualSpacing/>
        <w:jc w:val="left"/>
        <w:rPr>
          <w:rFonts w:ascii="仿宋_GB2312" w:cs="仿宋_GB2312" w:hAnsi="仿宋_GB2312"/>
          <w:kern w:val="0"/>
          <w:sz w:val="32"/>
          <w:szCs w:val="32"/>
          <w:shd w:val="clear" w:color="auto" w:fill="FFFFFF"/>
          <w:lang w:val="zh-CN"/>
        </w:rPr>
      </w:pPr>
      <w:r>
        <w:rPr>
          <w:rFonts w:ascii="楷体_GB2312" w:eastAsia="楷体_GB2312" w:hint="eastAsia"/>
          <w:b/>
          <w:sz w:val="32"/>
          <w:szCs w:val="32"/>
          <w:lang w:val="zh-CN"/>
        </w:rPr>
        <w:t>（三）</w:t>
      </w:r>
      <w:r>
        <w:rPr>
          <w:rFonts w:ascii="楷体_GB2312" w:eastAsia="楷体_GB2312"/>
          <w:b/>
          <w:sz w:val="32"/>
          <w:szCs w:val="32"/>
        </w:rPr>
        <w:t>预算安排及分配管理</w:t>
      </w:r>
      <w:r>
        <w:rPr>
          <w:rFonts w:ascii="楷体_GB2312" w:eastAsia="楷体_GB2312" w:hint="eastAsia"/>
          <w:b/>
          <w:sz w:val="32"/>
          <w:szCs w:val="32"/>
          <w:lang w:val="zh-CN"/>
        </w:rPr>
        <w:t>。</w:t>
      </w:r>
    </w:p>
    <w:p>
      <w:pPr>
        <w:widowControl/>
        <w:adjustRightInd w:val="0"/>
        <w:snapToGrid w:val="0"/>
        <w:spacing w:line="578" w:lineRule="exact"/>
        <w:ind w:firstLineChars="200" w:firstLine="640"/>
        <w:contextualSpacing/>
        <w:jc w:val="left"/>
        <w:rPr>
          <w:rFonts w:ascii="仿宋" w:eastAsia="仿宋" w:cs="仿宋"/>
          <w:kern w:val="0"/>
          <w:sz w:val="32"/>
          <w:szCs w:val="32"/>
          <w:shd w:val="clear" w:color="auto" w:fill="FFFFFF"/>
        </w:rPr>
      </w:pPr>
      <w:r>
        <w:rPr>
          <w:rFonts w:ascii="仿宋" w:eastAsia="仿宋" w:cs="仿宋" w:hint="eastAsia"/>
          <w:kern w:val="0"/>
          <w:sz w:val="32"/>
          <w:szCs w:val="32"/>
          <w:shd w:val="clear" w:color="auto" w:fill="FFFFFF"/>
          <w:lang w:val="zh-CN"/>
        </w:rPr>
        <w:t>经请示县人民政府同意，县财政每年给予安排预算</w:t>
      </w:r>
      <w:r>
        <w:rPr>
          <w:rFonts w:ascii="仿宋" w:eastAsia="仿宋" w:cs="仿宋" w:hint="eastAsia"/>
          <w:kern w:val="0"/>
          <w:sz w:val="32"/>
          <w:szCs w:val="32"/>
          <w:shd w:val="clear" w:color="auto" w:fill="FFFFFF"/>
        </w:rPr>
        <w:t>40万元，结合我局实际，充分考虑各项工作开展情况，年初预算时将项目资金具体细化为差旅费7.09万元，办公费0.77万元，邮电费5万元，印刷费1.41万元，劳务费24万元、其他交通费5.12万元，年末根据各项资金使用情况，对部门支出经济分类作了相关调整。</w:t>
      </w:r>
    </w:p>
    <w:p>
      <w:pPr>
        <w:adjustRightInd w:val="0"/>
        <w:snapToGrid w:val="0"/>
        <w:spacing w:line="578" w:lineRule="exact"/>
        <w:ind w:firstLineChars="200" w:firstLine="640"/>
        <w:rPr>
          <w:rFonts w:ascii="仿宋_GB2312" w:cs="仿宋_GB2312" w:hAnsi="仿宋_GB2312"/>
          <w:kern w:val="0"/>
          <w:sz w:val="32"/>
          <w:szCs w:val="32"/>
          <w:shd w:val="clear" w:color="auto" w:fill="FFFFFF"/>
          <w:lang w:val="zh-CN"/>
        </w:rPr>
      </w:pPr>
      <w:r>
        <w:rPr>
          <w:rFonts w:ascii="楷体_GB2312" w:eastAsia="楷体_GB2312" w:hint="eastAsia"/>
          <w:b/>
          <w:sz w:val="32"/>
          <w:szCs w:val="32"/>
          <w:lang w:val="zh-CN"/>
        </w:rPr>
        <w:t>（四）项目绩效目标设置。</w:t>
      </w:r>
    </w:p>
    <w:p>
      <w:pPr>
        <w:adjustRightInd w:val="0"/>
        <w:snapToGrid w:val="0"/>
        <w:spacing w:line="578" w:lineRule="exact"/>
        <w:ind w:firstLineChars="200" w:firstLine="640"/>
        <w:rPr>
          <w:rFonts w:ascii="仿宋" w:eastAsia="仿宋" w:cs="仿宋"/>
          <w:kern w:val="0"/>
          <w:sz w:val="32"/>
          <w:szCs w:val="32"/>
          <w:shd w:val="clear" w:color="auto" w:fill="FFFFFF"/>
        </w:rPr>
      </w:pPr>
      <w:r>
        <w:rPr>
          <w:rFonts w:ascii="仿宋" w:eastAsia="仿宋" w:cs="仿宋" w:hint="eastAsia"/>
          <w:sz w:val="32"/>
          <w:szCs w:val="32"/>
        </w:rPr>
        <w:t>通过项目实施，</w:t>
      </w:r>
      <w:r>
        <w:rPr>
          <w:rFonts w:ascii="仿宋" w:eastAsia="仿宋" w:cs="仿宋" w:hint="eastAsia"/>
          <w:spacing w:val="8"/>
          <w:sz w:val="32"/>
          <w:szCs w:val="32"/>
          <w:shd w:val="clear" w:color="auto" w:fill="FFFFFF"/>
        </w:rPr>
        <w:t>健全网络，配强力量，夯实统计工作基础。具体绩效目标设置为一级指标产出指标、效益指标、满意度指标，二级指标质量指标、时效指标、社会效益指标、服务对象满意度指标，三级指标企业联网直报户数要大于等于90户、统计业务指导培训完成率100%、完成时效为12月底前，统计执法检查有效开展，社会对统计工作满意度为100%。</w:t>
      </w:r>
    </w:p>
    <w:p>
      <w:pPr>
        <w:adjustRightInd w:val="0"/>
        <w:snapToGrid w:val="0"/>
        <w:spacing w:line="578" w:lineRule="exact"/>
        <w:ind w:firstLineChars="200" w:firstLine="640"/>
        <w:rPr>
          <w:rFonts w:ascii="黑体" w:eastAsia="黑体"/>
          <w:sz w:val="32"/>
          <w:szCs w:val="32"/>
        </w:rPr>
      </w:pPr>
      <w:r>
        <w:rPr>
          <w:rFonts w:ascii="黑体" w:eastAsia="黑体" w:hint="eastAsia"/>
          <w:sz w:val="32"/>
          <w:szCs w:val="32"/>
        </w:rPr>
        <w:t>二、评价实施</w:t>
      </w:r>
    </w:p>
    <w:p>
      <w:pPr>
        <w:spacing w:line="578" w:lineRule="exact"/>
        <w:ind w:firstLine="640"/>
        <w:rPr>
          <w:rFonts w:ascii="楷体_GB2312" w:eastAsia="楷体_GB2312"/>
          <w:b/>
          <w:sz w:val="32"/>
          <w:szCs w:val="32"/>
          <w:lang w:val="zh-CN"/>
        </w:rPr>
      </w:pPr>
      <w:r>
        <w:rPr>
          <w:rFonts w:ascii="楷体_GB2312" w:eastAsia="楷体_GB2312" w:hint="eastAsia"/>
          <w:b/>
          <w:sz w:val="32"/>
          <w:szCs w:val="32"/>
          <w:lang w:val="zh-CN"/>
        </w:rPr>
        <w:t>（一）评价目的</w:t>
      </w:r>
    </w:p>
    <w:p>
      <w:pPr>
        <w:spacing w:line="578" w:lineRule="exact"/>
        <w:ind w:firstLine="640"/>
        <w:rPr>
          <w:rFonts w:ascii="楷体_GB2312" w:eastAsia="楷体_GB2312"/>
          <w:b/>
          <w:sz w:val="32"/>
          <w:szCs w:val="32"/>
          <w:lang w:val="zh-CN"/>
        </w:rPr>
      </w:pPr>
      <w:r>
        <w:rPr>
          <w:rFonts w:ascii="仿宋" w:eastAsia="仿宋" w:cs="仿宋" w:hint="eastAsia"/>
          <w:sz w:val="32"/>
          <w:szCs w:val="32"/>
          <w:shd w:val="clear" w:color="auto" w:fill="FFFFFF"/>
        </w:rPr>
        <w:t>一是指明该项目实施的状态，即说明该项目的现实状态是否偏离目标。二是总结经验，为改善政府管理、纠正目标与实际的偏差提供依据。</w:t>
      </w:r>
      <w:r>
        <w:rPr>
          <w:rFonts w:ascii="Arial" w:cs="Arial" w:hAnsi="Arial" w:hint="eastAsia"/>
          <w:color w:val="5A5A5A"/>
          <w:sz w:val="32"/>
          <w:szCs w:val="32"/>
        </w:rPr>
        <w:t> </w:t>
      </w:r>
    </w:p>
    <w:p>
      <w:pPr>
        <w:adjustRightInd w:val="0"/>
        <w:snapToGrid w:val="0"/>
        <w:spacing w:line="578" w:lineRule="exact"/>
        <w:ind w:firstLineChars="200" w:firstLine="640"/>
        <w:rPr>
          <w:rFonts w:eastAsia="仿宋_GB2312"/>
          <w:sz w:val="32"/>
          <w:szCs w:val="32"/>
        </w:rPr>
      </w:pPr>
      <w:r>
        <w:rPr>
          <w:rFonts w:ascii="楷体_GB2312" w:eastAsia="楷体_GB2312" w:hint="eastAsia"/>
          <w:b/>
          <w:sz w:val="32"/>
          <w:szCs w:val="32"/>
          <w:lang w:val="zh-CN"/>
        </w:rPr>
        <w:t>（二）预设问题及评价重点。</w:t>
      </w:r>
    </w:p>
    <w:p>
      <w:pPr>
        <w:adjustRightInd w:val="0"/>
        <w:snapToGrid w:val="0"/>
        <w:spacing w:line="578" w:lineRule="exact"/>
        <w:ind w:firstLineChars="200" w:firstLine="640"/>
        <w:rPr>
          <w:rFonts w:eastAsia="仿宋_GB2312"/>
          <w:sz w:val="32"/>
          <w:szCs w:val="32"/>
        </w:rPr>
      </w:pPr>
      <w:r>
        <w:rPr>
          <w:rFonts w:ascii="仿宋" w:eastAsia="仿宋" w:cs="仿宋" w:hint="eastAsia"/>
          <w:sz w:val="32"/>
          <w:szCs w:val="32"/>
        </w:rPr>
        <w:t>该项目在资金使用过程中，严格按照财务规章制度报销相关费用，资金使用方向与预算编制一致，截至年末，该项目资金已全部使用，预算执行率为100%。通过该项目的实施，保障了我局统计业务工作的顺利开展、确保了统计报表联网直报系统和视频会议系统正常运行、保障了统计调研与统计分析报告的撰写，为县委、县政府对汶川经济发展决策提供数据支撑。</w:t>
      </w:r>
    </w:p>
    <w:p>
      <w:pPr>
        <w:adjustRightInd w:val="0"/>
        <w:snapToGrid w:val="0"/>
        <w:spacing w:line="578" w:lineRule="exact"/>
        <w:ind w:firstLineChars="200" w:firstLine="640"/>
        <w:rPr>
          <w:sz w:val="32"/>
          <w:szCs w:val="32"/>
          <w:lang w:val="zh-CN"/>
        </w:rPr>
      </w:pPr>
      <w:r>
        <w:rPr>
          <w:rFonts w:ascii="楷体_GB2312" w:eastAsia="楷体_GB2312" w:hint="eastAsia"/>
          <w:b/>
          <w:sz w:val="32"/>
          <w:szCs w:val="32"/>
          <w:lang w:val="zh-CN"/>
        </w:rPr>
        <w:t>（三）评价选点。</w:t>
      </w:r>
    </w:p>
    <w:p>
      <w:pPr>
        <w:adjustRightInd w:val="0"/>
        <w:snapToGrid w:val="0"/>
        <w:spacing w:line="578" w:lineRule="exact"/>
        <w:ind w:firstLineChars="200" w:firstLine="640"/>
        <w:rPr>
          <w:rFonts w:ascii="仿宋" w:eastAsia="仿宋" w:cs="仿宋"/>
          <w:sz w:val="32"/>
          <w:szCs w:val="32"/>
          <w:lang w:val="zh-CN"/>
        </w:rPr>
      </w:pPr>
      <w:r>
        <w:rPr>
          <w:rFonts w:ascii="仿宋" w:eastAsia="仿宋" w:cs="仿宋" w:hint="eastAsia"/>
          <w:sz w:val="32"/>
          <w:szCs w:val="32"/>
          <w:lang w:val="zh-CN"/>
        </w:rPr>
        <w:t>项目资金执行进度、资金使用方向、资金使用合法性合规性作为此次绩效评价的选点。</w:t>
      </w:r>
    </w:p>
    <w:p>
      <w:pPr>
        <w:spacing w:line="578" w:lineRule="exact"/>
        <w:ind w:firstLine="640"/>
        <w:rPr>
          <w:sz w:val="32"/>
          <w:szCs w:val="32"/>
        </w:rPr>
      </w:pPr>
      <w:r>
        <w:rPr>
          <w:rFonts w:ascii="楷体_GB2312" w:eastAsia="楷体_GB2312" w:hint="eastAsia"/>
          <w:b/>
          <w:sz w:val="32"/>
          <w:szCs w:val="32"/>
          <w:lang w:val="zh-CN"/>
        </w:rPr>
        <w:t>（四）评价方法。</w:t>
      </w:r>
    </w:p>
    <w:p>
      <w:pPr>
        <w:spacing w:line="578" w:lineRule="exact"/>
        <w:ind w:firstLine="640"/>
        <w:rPr>
          <w:rFonts w:ascii="仿宋" w:eastAsia="仿宋" w:cs="仿宋"/>
          <w:sz w:val="32"/>
          <w:szCs w:val="32"/>
        </w:rPr>
      </w:pPr>
      <w:r>
        <w:rPr>
          <w:rFonts w:ascii="仿宋" w:eastAsia="仿宋" w:cs="仿宋" w:hint="eastAsia"/>
          <w:sz w:val="32"/>
          <w:szCs w:val="32"/>
        </w:rPr>
        <w:t>我单位主要采取单位自评法开展荐绩效评价。通过查看项目预算编制是否合理、是否制定项目资金管理办法、项目资金分配方案是否合理、资金预算执行进度是否达标、资金使用过程中的原始票据是否规范完整等相关资料，综合评价项目实施绩效结果。</w:t>
      </w:r>
    </w:p>
    <w:p>
      <w:pPr>
        <w:spacing w:line="578" w:lineRule="exact"/>
        <w:ind w:firstLine="640"/>
        <w:rPr>
          <w:sz w:val="32"/>
          <w:szCs w:val="32"/>
        </w:rPr>
      </w:pPr>
      <w:r>
        <w:rPr>
          <w:rFonts w:ascii="楷体_GB2312" w:eastAsia="楷体_GB2312" w:hint="eastAsia"/>
          <w:b/>
          <w:sz w:val="32"/>
          <w:szCs w:val="32"/>
          <w:lang w:val="zh-CN"/>
        </w:rPr>
        <w:t>（五）评价组织。</w:t>
      </w:r>
    </w:p>
    <w:p>
      <w:pPr>
        <w:adjustRightInd w:val="0"/>
        <w:snapToGrid w:val="0"/>
        <w:spacing w:line="600" w:lineRule="exact"/>
        <w:ind w:firstLine="720"/>
        <w:rPr>
          <w:rFonts w:ascii="仿宋" w:eastAsia="仿宋" w:cs="仿宋"/>
          <w:sz w:val="32"/>
          <w:szCs w:val="32"/>
          <w:lang w:val="zh-CN"/>
        </w:rPr>
      </w:pPr>
      <w:r>
        <w:rPr>
          <w:rFonts w:ascii="仿宋" w:eastAsia="仿宋" w:cs="仿宋" w:hint="eastAsia"/>
          <w:sz w:val="32"/>
          <w:szCs w:val="32"/>
          <w:lang w:val="zh-CN"/>
        </w:rPr>
        <w:t>汶川县统计局党组高度重视统计业务工作，根据工作需要成立绩效评价工作领导小组。</w:t>
      </w:r>
    </w:p>
    <w:p>
      <w:pPr>
        <w:adjustRightInd w:val="0"/>
        <w:snapToGrid w:val="0"/>
        <w:spacing w:line="600" w:lineRule="exact"/>
        <w:ind w:firstLine="720"/>
        <w:rPr>
          <w:rFonts w:ascii="仿宋" w:eastAsia="仿宋" w:cs="仿宋"/>
          <w:sz w:val="32"/>
          <w:szCs w:val="32"/>
          <w:lang w:val="zh-CN"/>
        </w:rPr>
      </w:pPr>
      <w:r>
        <w:rPr>
          <w:rFonts w:ascii="仿宋" w:eastAsia="仿宋" w:cs="仿宋" w:hint="eastAsia"/>
          <w:sz w:val="32"/>
          <w:szCs w:val="32"/>
          <w:lang w:val="zh-CN"/>
        </w:rPr>
        <w:t>组</w:t>
      </w:r>
      <w:r>
        <w:rPr>
          <w:rFonts w:ascii="仿宋" w:eastAsia="仿宋" w:cs="仿宋" w:hint="eastAsia"/>
          <w:sz w:val="32"/>
          <w:szCs w:val="32"/>
        </w:rPr>
        <w:t xml:space="preserve">  </w:t>
      </w:r>
      <w:r>
        <w:rPr>
          <w:rFonts w:ascii="仿宋" w:eastAsia="仿宋" w:cs="仿宋" w:hint="eastAsia"/>
          <w:sz w:val="32"/>
          <w:szCs w:val="32"/>
          <w:lang w:val="zh-CN"/>
        </w:rPr>
        <w:t>长：陈</w:t>
      </w:r>
      <w:r>
        <w:rPr>
          <w:rFonts w:ascii="仿宋" w:eastAsia="仿宋" w:cs="仿宋" w:hint="eastAsia"/>
          <w:sz w:val="32"/>
          <w:szCs w:val="32"/>
        </w:rPr>
        <w:t xml:space="preserve">  </w:t>
      </w:r>
      <w:r>
        <w:rPr>
          <w:rFonts w:ascii="仿宋" w:eastAsia="仿宋" w:cs="仿宋" w:hint="eastAsia"/>
          <w:sz w:val="32"/>
          <w:szCs w:val="32"/>
          <w:lang w:val="zh-CN"/>
        </w:rPr>
        <w:t>康</w:t>
      </w:r>
      <w:r>
        <w:rPr>
          <w:rFonts w:ascii="仿宋" w:eastAsia="仿宋" w:cs="仿宋" w:hint="eastAsia"/>
          <w:sz w:val="32"/>
          <w:szCs w:val="32"/>
        </w:rPr>
        <w:t xml:space="preserve">  </w:t>
      </w:r>
      <w:r>
        <w:rPr>
          <w:rFonts w:ascii="仿宋" w:eastAsia="仿宋" w:cs="仿宋" w:hint="eastAsia"/>
          <w:sz w:val="32"/>
          <w:szCs w:val="32"/>
          <w:lang w:val="zh-CN"/>
        </w:rPr>
        <w:t>党组书记、局长</w:t>
      </w:r>
    </w:p>
    <w:p>
      <w:pPr>
        <w:adjustRightInd w:val="0"/>
        <w:snapToGrid w:val="0"/>
        <w:spacing w:line="600" w:lineRule="exact"/>
        <w:ind w:firstLine="720"/>
        <w:rPr>
          <w:rFonts w:ascii="仿宋" w:eastAsia="仿宋" w:cs="仿宋"/>
          <w:sz w:val="32"/>
          <w:szCs w:val="32"/>
        </w:rPr>
      </w:pPr>
      <w:r>
        <w:rPr>
          <w:rFonts w:ascii="仿宋" w:eastAsia="仿宋" w:cs="仿宋" w:hint="eastAsia"/>
          <w:sz w:val="32"/>
          <w:szCs w:val="32"/>
          <w:lang w:val="zh-CN"/>
        </w:rPr>
        <w:t>副组长：</w:t>
      </w:r>
      <w:r>
        <w:rPr>
          <w:rFonts w:ascii="仿宋" w:eastAsia="仿宋" w:cs="仿宋" w:hint="eastAsia"/>
          <w:sz w:val="32"/>
          <w:szCs w:val="32"/>
        </w:rPr>
        <w:t xml:space="preserve">任思瀚  </w:t>
      </w:r>
      <w:r>
        <w:rPr>
          <w:rFonts w:ascii="仿宋" w:eastAsia="仿宋" w:cs="仿宋" w:hint="eastAsia"/>
          <w:sz w:val="32"/>
          <w:szCs w:val="32"/>
          <w:lang w:val="zh-CN"/>
        </w:rPr>
        <w:t>党组成员、副局长</w:t>
      </w:r>
    </w:p>
    <w:p>
      <w:pPr>
        <w:adjustRightInd w:val="0"/>
        <w:snapToGrid w:val="0"/>
        <w:spacing w:line="600" w:lineRule="exact"/>
        <w:ind w:firstLineChars="625" w:firstLine="2000"/>
        <w:rPr>
          <w:rFonts w:ascii="仿宋" w:eastAsia="仿宋" w:cs="仿宋"/>
          <w:sz w:val="32"/>
          <w:szCs w:val="32"/>
          <w:lang w:val="zh-CN"/>
        </w:rPr>
      </w:pPr>
      <w:r>
        <w:rPr>
          <w:rFonts w:ascii="仿宋" w:eastAsia="仿宋" w:cs="仿宋" w:hint="eastAsia"/>
          <w:sz w:val="32"/>
          <w:szCs w:val="32"/>
        </w:rPr>
        <w:t xml:space="preserve">李怀志  </w:t>
      </w:r>
      <w:r>
        <w:rPr>
          <w:rFonts w:ascii="仿宋" w:eastAsia="仿宋" w:cs="仿宋" w:hint="eastAsia"/>
          <w:sz w:val="32"/>
          <w:szCs w:val="32"/>
          <w:lang w:val="zh-CN"/>
        </w:rPr>
        <w:t>党组成员、副局长</w:t>
      </w:r>
    </w:p>
    <w:p>
      <w:pPr>
        <w:adjustRightInd w:val="0"/>
        <w:snapToGrid w:val="0"/>
        <w:spacing w:line="600" w:lineRule="exact"/>
        <w:ind w:firstLineChars="625" w:firstLine="2000"/>
        <w:rPr>
          <w:rFonts w:ascii="仿宋" w:eastAsia="仿宋" w:cs="仿宋"/>
          <w:sz w:val="32"/>
          <w:szCs w:val="32"/>
          <w:lang w:val="zh-CN"/>
        </w:rPr>
      </w:pPr>
      <w:r>
        <w:rPr>
          <w:rFonts w:ascii="仿宋" w:eastAsia="仿宋" w:cs="仿宋" w:hint="eastAsia"/>
          <w:sz w:val="32"/>
          <w:szCs w:val="32"/>
          <w:lang w:val="zh-CN"/>
        </w:rPr>
        <w:t>成</w:t>
      </w:r>
      <w:r>
        <w:rPr>
          <w:rFonts w:ascii="仿宋" w:eastAsia="仿宋" w:cs="仿宋" w:hint="eastAsia"/>
          <w:sz w:val="32"/>
          <w:szCs w:val="32"/>
        </w:rPr>
        <w:t xml:space="preserve">  </w:t>
      </w:r>
      <w:r>
        <w:rPr>
          <w:rFonts w:ascii="仿宋" w:eastAsia="仿宋" w:cs="仿宋" w:hint="eastAsia"/>
          <w:sz w:val="32"/>
          <w:szCs w:val="32"/>
          <w:lang w:val="zh-CN"/>
        </w:rPr>
        <w:t>员：全体干部职工</w:t>
      </w:r>
    </w:p>
    <w:p>
      <w:pPr>
        <w:adjustRightInd w:val="0"/>
        <w:snapToGrid w:val="0"/>
        <w:spacing w:line="600" w:lineRule="exact"/>
        <w:ind w:firstLine="720"/>
        <w:rPr>
          <w:sz w:val="32"/>
          <w:szCs w:val="32"/>
        </w:rPr>
      </w:pPr>
      <w:r>
        <w:rPr>
          <w:rFonts w:ascii="仿宋" w:eastAsia="仿宋" w:cs="仿宋" w:hint="eastAsia"/>
          <w:sz w:val="32"/>
          <w:szCs w:val="32"/>
          <w:lang w:val="zh-CN"/>
        </w:rPr>
        <w:t>领导小组办公室设在局办公室，由李怀志兼任办公室主任，具体负责绩效评价组织实施工作。领导小组实行负责制，全体成员积极配合、通力合作，领导小组办公室协调相关工作，统计业务日常运行及资金管理。统计业务工作由业务股室具体管理，资金由局财务室具体负责支付，按财政支付相关规定对运行经费进行核算，实行“专款专用、专人管理”，不得挤占挪用运行经费。</w:t>
      </w:r>
    </w:p>
    <w:p>
      <w:pPr>
        <w:adjustRightInd w:val="0"/>
        <w:snapToGrid w:val="0"/>
        <w:spacing w:line="578" w:lineRule="exact"/>
        <w:ind w:firstLineChars="200" w:firstLine="640"/>
        <w:rPr>
          <w:rFonts w:ascii="仿宋_GB2312" w:hAnsi="仿宋_GB2312"/>
          <w:sz w:val="32"/>
          <w:szCs w:val="32"/>
          <w:lang w:val="zh-CN"/>
        </w:rPr>
      </w:pPr>
      <w:r>
        <w:rPr>
          <w:rFonts w:ascii="黑体" w:eastAsia="黑体" w:hint="eastAsia"/>
          <w:sz w:val="32"/>
          <w:szCs w:val="32"/>
        </w:rPr>
        <w:t>三、绩效分析</w:t>
      </w:r>
      <w:r>
        <w:rPr>
          <w:rFonts w:ascii="仿宋_GB2312" w:hAnsi="仿宋_GB2312" w:hint="eastAsia"/>
          <w:sz w:val="32"/>
          <w:szCs w:val="32"/>
          <w:lang w:val="zh-CN"/>
        </w:rPr>
        <w:tab/>
      </w:r>
    </w:p>
    <w:p>
      <w:pPr>
        <w:spacing w:line="578" w:lineRule="exact"/>
        <w:ind w:firstLine="640"/>
        <w:rPr>
          <w:rFonts w:eastAsia="仿宋_GB2312"/>
          <w:sz w:val="32"/>
          <w:szCs w:val="32"/>
        </w:rPr>
      </w:pPr>
      <w:r>
        <w:rPr>
          <w:rFonts w:eastAsia="仿宋_GB2312"/>
          <w:sz w:val="32"/>
          <w:szCs w:val="32"/>
          <w:lang w:val="zh-CN"/>
        </w:rPr>
        <w:t>根据</w:t>
      </w:r>
      <w:r>
        <w:rPr>
          <w:rFonts w:eastAsia="仿宋_GB2312" w:hint="eastAsia"/>
          <w:sz w:val="32"/>
          <w:szCs w:val="32"/>
          <w:lang w:val="zh-CN"/>
        </w:rPr>
        <w:t>项目</w:t>
      </w:r>
      <w:r>
        <w:rPr>
          <w:rFonts w:eastAsia="仿宋_GB2312"/>
          <w:sz w:val="32"/>
          <w:szCs w:val="32"/>
          <w:lang w:val="zh-CN"/>
        </w:rPr>
        <w:t>预算绩效评价指标体系“</w:t>
      </w:r>
      <w:r>
        <w:rPr>
          <w:rFonts w:eastAsia="仿宋_GB2312" w:hint="eastAsia"/>
          <w:sz w:val="32"/>
          <w:szCs w:val="32"/>
          <w:lang w:val="zh-CN"/>
        </w:rPr>
        <w:t>通用指标</w:t>
      </w:r>
      <w:r>
        <w:rPr>
          <w:rFonts w:eastAsia="仿宋_GB2312"/>
          <w:sz w:val="32"/>
          <w:szCs w:val="32"/>
          <w:lang w:val="zh-CN"/>
        </w:rPr>
        <w:t>”</w:t>
      </w:r>
      <w:r>
        <w:rPr>
          <w:rFonts w:eastAsia="仿宋_GB2312" w:hint="eastAsia"/>
          <w:sz w:val="32"/>
          <w:szCs w:val="32"/>
          <w:lang w:val="zh-CN"/>
        </w:rPr>
        <w:t>“专用指标”“个性指标”</w:t>
      </w:r>
      <w:r>
        <w:rPr>
          <w:rFonts w:eastAsia="仿宋_GB2312"/>
          <w:sz w:val="32"/>
          <w:szCs w:val="32"/>
          <w:lang w:val="zh-CN"/>
        </w:rPr>
        <w:t>涉及</w:t>
      </w:r>
      <w:r>
        <w:rPr>
          <w:rFonts w:eastAsia="仿宋_GB2312" w:hint="eastAsia"/>
          <w:sz w:val="32"/>
          <w:szCs w:val="32"/>
          <w:lang w:val="zh-CN"/>
        </w:rPr>
        <w:t>二、三级</w:t>
      </w:r>
      <w:r>
        <w:rPr>
          <w:rFonts w:eastAsia="仿宋_GB2312"/>
          <w:sz w:val="32"/>
          <w:szCs w:val="32"/>
          <w:lang w:val="zh-CN"/>
        </w:rPr>
        <w:t>指标进行</w:t>
      </w:r>
      <w:r>
        <w:rPr>
          <w:rFonts w:eastAsia="仿宋_GB2312" w:hint="eastAsia"/>
          <w:sz w:val="32"/>
          <w:szCs w:val="32"/>
          <w:lang w:val="zh-CN"/>
        </w:rPr>
        <w:t>逐项</w:t>
      </w:r>
      <w:r>
        <w:rPr>
          <w:rFonts w:eastAsia="仿宋_GB2312"/>
          <w:sz w:val="32"/>
          <w:szCs w:val="32"/>
          <w:lang w:val="zh-CN"/>
        </w:rPr>
        <w:t>绩效分析</w:t>
      </w:r>
      <w:r>
        <w:rPr>
          <w:rFonts w:eastAsia="仿宋_GB2312" w:hint="eastAsia"/>
          <w:sz w:val="32"/>
          <w:szCs w:val="32"/>
          <w:lang w:val="zh-CN"/>
        </w:rPr>
        <w:t>并评分</w:t>
      </w:r>
      <w:r>
        <w:rPr>
          <w:rFonts w:hint="eastAsia"/>
          <w:sz w:val="32"/>
          <w:szCs w:val="32"/>
        </w:rPr>
        <w:t>。</w:t>
      </w:r>
    </w:p>
    <w:p>
      <w:pPr>
        <w:spacing w:line="578" w:lineRule="exact"/>
        <w:ind w:firstLine="640"/>
        <w:rPr>
          <w:rFonts w:ascii="楷体_GB2312" w:eastAsia="楷体_GB2312"/>
          <w:b/>
          <w:sz w:val="32"/>
          <w:szCs w:val="32"/>
        </w:rPr>
      </w:pPr>
      <w:r>
        <w:rPr>
          <w:rFonts w:ascii="楷体_GB2312" w:eastAsia="楷体_GB2312" w:hint="eastAsia"/>
          <w:b/>
          <w:sz w:val="32"/>
          <w:szCs w:val="32"/>
          <w:lang w:val="zh-CN"/>
        </w:rPr>
        <w:t>（一）</w:t>
      </w:r>
      <w:r>
        <w:rPr>
          <w:rFonts w:ascii="楷体_GB2312" w:eastAsia="楷体_GB2312" w:hint="eastAsia"/>
          <w:b/>
          <w:sz w:val="32"/>
          <w:szCs w:val="32"/>
        </w:rPr>
        <w:t>通用指标</w:t>
      </w:r>
      <w:r>
        <w:rPr>
          <w:rFonts w:eastAsia="楷体_GB2312"/>
          <w:b/>
          <w:bCs/>
          <w:color w:val="000000"/>
          <w:kern w:val="0"/>
          <w:sz w:val="32"/>
          <w:szCs w:val="32"/>
          <w:shd w:val="clear" w:color="auto" w:fill="FFFFFF"/>
          <w:lang w:val="zh-CN"/>
        </w:rPr>
        <w:t>绩效分析。</w:t>
      </w:r>
    </w:p>
    <w:p>
      <w:pPr>
        <w:spacing w:line="578" w:lineRule="exact"/>
        <w:ind w:firstLine="640"/>
        <w:rPr>
          <w:sz w:val="32"/>
          <w:szCs w:val="32"/>
        </w:rPr>
      </w:pPr>
      <w:r>
        <w:rPr>
          <w:rFonts w:ascii="楷体_GB2312" w:eastAsia="楷体_GB2312" w:cs="楷体_GB2312" w:hint="eastAsia"/>
          <w:sz w:val="32"/>
          <w:szCs w:val="32"/>
        </w:rPr>
        <w:t>1.项目决策。（18分）</w:t>
      </w:r>
    </w:p>
    <w:p>
      <w:pPr>
        <w:adjustRightInd w:val="0"/>
        <w:snapToGrid w:val="0"/>
        <w:spacing w:line="578" w:lineRule="exact"/>
        <w:ind w:firstLineChars="200" w:firstLine="640"/>
        <w:contextualSpacing/>
        <w:jc w:val="left"/>
        <w:rPr>
          <w:rFonts w:ascii="仿宋" w:eastAsia="仿宋" w:cs="仿宋"/>
          <w:color w:val="000000"/>
          <w:kern w:val="0"/>
          <w:sz w:val="32"/>
          <w:szCs w:val="32"/>
          <w:shd w:val="clear" w:color="auto" w:fill="FFFFFF"/>
        </w:rPr>
      </w:pPr>
      <w:r>
        <w:rPr>
          <w:rFonts w:ascii="仿宋" w:eastAsia="仿宋" w:cs="仿宋" w:hint="eastAsia"/>
          <w:color w:val="000000"/>
          <w:kern w:val="0"/>
          <w:sz w:val="32"/>
          <w:szCs w:val="32"/>
          <w:shd w:val="clear" w:color="auto" w:fill="FFFFFF"/>
        </w:rPr>
        <w:t>本级预算项目资金是根据上级统计专业要求和单位实际进行预算编制，所有项目都经过领导班子集体研究决定，请示县人民政府同意后纳入财政预算。根据各项目年度要完成的工作任务设置绩效目标和项目事前绩效评估，单位进行项目登记、项目入库申请，财政对口股室审核、财政预算股审核确定项目入库。</w:t>
      </w:r>
    </w:p>
    <w:p>
      <w:pPr>
        <w:adjustRightInd w:val="0"/>
        <w:snapToGrid w:val="0"/>
        <w:spacing w:line="578" w:lineRule="exact"/>
        <w:ind w:firstLineChars="200" w:firstLine="640"/>
        <w:contextualSpacing/>
        <w:jc w:val="left"/>
        <w:rPr>
          <w:rFonts w:ascii="仿宋" w:eastAsia="仿宋" w:cs="仿宋"/>
          <w:color w:val="000000"/>
          <w:kern w:val="0"/>
          <w:sz w:val="32"/>
          <w:szCs w:val="32"/>
          <w:shd w:val="clear" w:color="auto" w:fill="FFFFFF"/>
          <w:lang w:val="zh-CN"/>
        </w:rPr>
      </w:pPr>
      <w:r>
        <w:rPr>
          <w:rFonts w:ascii="仿宋" w:eastAsia="仿宋" w:cs="仿宋" w:hint="eastAsia"/>
          <w:color w:val="000000"/>
          <w:kern w:val="0"/>
          <w:sz w:val="32"/>
          <w:szCs w:val="32"/>
          <w:shd w:val="clear" w:color="auto" w:fill="FFFFFF"/>
          <w:lang w:val="zh-CN"/>
        </w:rPr>
        <w:t>综上，根据评分标准，该项指标，得</w:t>
      </w:r>
      <w:r>
        <w:rPr>
          <w:rFonts w:ascii="仿宋" w:eastAsia="仿宋" w:cs="仿宋" w:hint="eastAsia"/>
          <w:color w:val="000000"/>
          <w:kern w:val="0"/>
          <w:sz w:val="32"/>
          <w:szCs w:val="32"/>
          <w:shd w:val="clear" w:color="auto" w:fill="FFFFFF"/>
        </w:rPr>
        <w:t>18</w:t>
      </w:r>
      <w:r>
        <w:rPr>
          <w:rFonts w:ascii="仿宋" w:eastAsia="仿宋" w:cs="仿宋" w:hint="eastAsia"/>
          <w:color w:val="000000"/>
          <w:kern w:val="0"/>
          <w:sz w:val="32"/>
          <w:szCs w:val="32"/>
          <w:shd w:val="clear" w:color="auto" w:fill="FFFFFF"/>
          <w:lang w:val="zh-CN"/>
        </w:rPr>
        <w:t>分。</w:t>
      </w:r>
    </w:p>
    <w:p>
      <w:pPr>
        <w:spacing w:line="578" w:lineRule="exact"/>
        <w:ind w:firstLine="640"/>
        <w:rPr>
          <w:rFonts w:ascii="楷体_GB2312" w:eastAsia="楷体_GB2312" w:cs="楷体_GB2312"/>
          <w:sz w:val="32"/>
          <w:szCs w:val="32"/>
        </w:rPr>
      </w:pPr>
      <w:r>
        <w:rPr>
          <w:rFonts w:ascii="楷体_GB2312" w:eastAsia="楷体_GB2312" w:cs="楷体_GB2312" w:hint="eastAsia"/>
          <w:sz w:val="32"/>
          <w:szCs w:val="32"/>
        </w:rPr>
        <w:t>2.项目管理。（18分）</w:t>
      </w:r>
    </w:p>
    <w:p>
      <w:pPr>
        <w:spacing w:line="578" w:lineRule="exact"/>
        <w:ind w:firstLine="640"/>
        <w:rPr>
          <w:rFonts w:ascii="仿宋" w:eastAsia="仿宋" w:cs="仿宋"/>
          <w:sz w:val="32"/>
          <w:szCs w:val="32"/>
        </w:rPr>
      </w:pPr>
      <w:r>
        <w:rPr>
          <w:rFonts w:ascii="仿宋" w:eastAsia="仿宋" w:cs="仿宋" w:hint="eastAsia"/>
          <w:sz w:val="32"/>
          <w:szCs w:val="32"/>
        </w:rPr>
        <w:t>制定了《汶川县统计局专项资金管理办法》，根据资金管理制度和工作开展实际情况进行分配资金，按季度通报绩效目标完成情况、资金使用进度、存在的问题，提出了下一步改进措施。</w:t>
      </w:r>
    </w:p>
    <w:p>
      <w:pPr>
        <w:spacing w:line="578" w:lineRule="exact"/>
        <w:ind w:firstLine="640"/>
        <w:rPr>
          <w:rFonts w:ascii="仿宋" w:eastAsia="仿宋" w:cs="仿宋"/>
          <w:sz w:val="32"/>
          <w:szCs w:val="32"/>
        </w:rPr>
      </w:pPr>
      <w:r>
        <w:rPr>
          <w:rFonts w:ascii="仿宋" w:eastAsia="仿宋" w:cs="仿宋" w:hint="eastAsia"/>
          <w:sz w:val="32"/>
          <w:szCs w:val="32"/>
        </w:rPr>
        <w:t>综上所述，该指标得17分。</w:t>
      </w:r>
    </w:p>
    <w:p>
      <w:pPr>
        <w:ind w:firstLineChars="200" w:firstLine="640"/>
        <w:rPr>
          <w:rFonts w:ascii="楷体_GB2312" w:eastAsia="楷体_GB2312" w:cs="楷体_GB2312"/>
          <w:sz w:val="32"/>
          <w:szCs w:val="32"/>
        </w:rPr>
      </w:pPr>
      <w:r>
        <w:rPr>
          <w:rFonts w:ascii="楷体_GB2312" w:eastAsia="楷体_GB2312" w:cs="楷体_GB2312" w:hint="eastAsia"/>
          <w:sz w:val="32"/>
          <w:szCs w:val="32"/>
        </w:rPr>
        <w:t>3.项目实施。（9分）</w:t>
      </w:r>
    </w:p>
    <w:p>
      <w:pPr>
        <w:ind w:firstLineChars="200" w:firstLine="640"/>
        <w:rPr>
          <w:rFonts w:ascii="仿宋" w:eastAsia="仿宋" w:cs="仿宋"/>
          <w:color w:val="000000"/>
          <w:kern w:val="0"/>
          <w:sz w:val="32"/>
          <w:szCs w:val="32"/>
          <w:shd w:val="clear" w:color="auto" w:fill="FFFFFF"/>
        </w:rPr>
      </w:pPr>
      <w:r>
        <w:rPr>
          <w:rFonts w:ascii="仿宋" w:eastAsia="仿宋" w:cs="仿宋" w:hint="eastAsia"/>
          <w:color w:val="000000"/>
          <w:kern w:val="0"/>
          <w:sz w:val="32"/>
          <w:szCs w:val="32"/>
          <w:shd w:val="clear" w:color="auto" w:fill="FFFFFF"/>
        </w:rPr>
        <w:t>《重点工作保障经费》预算项目40万元，该项目资金主要用于保障统计报表联网直报系统正常运行，开展统计业务工作所需的差旅费、办公费、劳务费、印刷费、交通费等，截至年底，该项目经费全部使用完毕，预算执行率100%。</w:t>
      </w:r>
    </w:p>
    <w:p>
      <w:pPr>
        <w:ind w:firstLineChars="200" w:firstLine="640"/>
        <w:rPr>
          <w:rFonts w:ascii="仿宋" w:eastAsia="仿宋" w:cs="仿宋"/>
          <w:sz w:val="32"/>
          <w:szCs w:val="32"/>
        </w:rPr>
      </w:pPr>
      <w:r>
        <w:rPr>
          <w:rFonts w:ascii="仿宋" w:eastAsia="仿宋" w:cs="仿宋" w:hint="eastAsia"/>
          <w:sz w:val="32"/>
          <w:szCs w:val="32"/>
        </w:rPr>
        <w:t>综上所述，该指标得8分。</w:t>
      </w:r>
    </w:p>
    <w:p>
      <w:pPr>
        <w:ind w:firstLineChars="200" w:firstLine="640"/>
        <w:rPr>
          <w:rFonts w:ascii="楷体_GB2312" w:eastAsia="楷体_GB2312" w:cs="楷体_GB2312"/>
          <w:sz w:val="32"/>
          <w:szCs w:val="32"/>
        </w:rPr>
      </w:pPr>
      <w:r>
        <w:rPr>
          <w:rFonts w:ascii="楷体_GB2312" w:eastAsia="楷体_GB2312" w:cs="楷体_GB2312" w:hint="eastAsia"/>
          <w:sz w:val="32"/>
          <w:szCs w:val="32"/>
        </w:rPr>
        <w:t>4.项目结果。（9分）</w:t>
      </w:r>
    </w:p>
    <w:p>
      <w:pPr>
        <w:ind w:firstLineChars="200" w:firstLine="640"/>
        <w:rPr>
          <w:rFonts w:ascii="仿宋" w:eastAsia="仿宋" w:cs="仿宋"/>
          <w:sz w:val="32"/>
          <w:szCs w:val="32"/>
        </w:rPr>
      </w:pPr>
      <w:r>
        <w:rPr>
          <w:rFonts w:ascii="仿宋" w:eastAsia="仿宋" w:cs="仿宋" w:hint="eastAsia"/>
          <w:sz w:val="32"/>
          <w:szCs w:val="32"/>
        </w:rPr>
        <w:t>2025年度，该项目所有绩效目标全部实现，均在12月初完成，项目资金也全部支付完成。</w:t>
      </w:r>
    </w:p>
    <w:p>
      <w:pPr>
        <w:ind w:firstLineChars="200" w:firstLine="640"/>
        <w:rPr>
          <w:rFonts w:ascii="仿宋" w:eastAsia="仿宋" w:cs="仿宋"/>
          <w:sz w:val="32"/>
          <w:szCs w:val="32"/>
        </w:rPr>
      </w:pPr>
      <w:r>
        <w:rPr>
          <w:rFonts w:ascii="仿宋" w:eastAsia="仿宋" w:cs="仿宋" w:hint="eastAsia"/>
          <w:sz w:val="32"/>
          <w:szCs w:val="32"/>
        </w:rPr>
        <w:t>综上所述，该指标得9分。</w:t>
      </w:r>
    </w:p>
    <w:p>
      <w:pPr>
        <w:spacing w:line="578" w:lineRule="exact"/>
        <w:ind w:firstLineChars="200" w:firstLine="640"/>
        <w:rPr>
          <w:rFonts w:ascii="楷体_GB2312" w:eastAsia="楷体_GB2312" w:cs="楷体_GB2312"/>
          <w:sz w:val="32"/>
          <w:szCs w:val="32"/>
          <w:lang w:val="zh-CN"/>
        </w:rPr>
      </w:pPr>
      <w:r>
        <w:rPr>
          <w:rFonts w:ascii="楷体_GB2312" w:eastAsia="楷体_GB2312" w:hint="eastAsia"/>
          <w:b/>
          <w:sz w:val="32"/>
          <w:szCs w:val="32"/>
          <w:lang w:val="zh-CN"/>
        </w:rPr>
        <w:t>（二）</w:t>
      </w:r>
      <w:r>
        <w:rPr>
          <w:rFonts w:ascii="楷体_GB2312" w:eastAsia="楷体_GB2312" w:hint="eastAsia"/>
          <w:b/>
          <w:sz w:val="32"/>
          <w:szCs w:val="32"/>
        </w:rPr>
        <w:t>专用指标</w:t>
      </w:r>
      <w:r>
        <w:rPr>
          <w:rFonts w:eastAsia="楷体_GB2312"/>
          <w:b/>
          <w:bCs/>
          <w:color w:val="000000"/>
          <w:kern w:val="0"/>
          <w:sz w:val="32"/>
          <w:szCs w:val="32"/>
          <w:shd w:val="clear" w:color="auto" w:fill="FFFFFF"/>
          <w:lang w:val="zh-CN"/>
        </w:rPr>
        <w:t>绩效分析。</w:t>
      </w:r>
    </w:p>
    <w:p>
      <w:pPr>
        <w:spacing w:line="578" w:lineRule="exact"/>
        <w:ind w:firstLineChars="200" w:firstLine="640"/>
        <w:rPr>
          <w:rFonts w:ascii="楷体_GB2312" w:eastAsia="楷体_GB2312" w:cs="楷体_GB2312"/>
          <w:sz w:val="32"/>
          <w:szCs w:val="32"/>
        </w:rPr>
      </w:pPr>
      <w:r>
        <w:rPr>
          <w:rFonts w:ascii="楷体_GB2312" w:eastAsia="楷体_GB2312" w:cs="楷体_GB2312" w:hint="eastAsia"/>
          <w:sz w:val="32"/>
          <w:szCs w:val="32"/>
        </w:rPr>
        <w:t>1.</w:t>
      </w:r>
      <w:r>
        <w:rPr>
          <w:rFonts w:ascii="楷体_GB2312" w:eastAsia="楷体_GB2312" w:cs="楷体_GB2312" w:hint="eastAsia"/>
          <w:sz w:val="32"/>
          <w:szCs w:val="32"/>
          <w:lang w:val="zh-CN"/>
        </w:rPr>
        <w:t>行政运转。</w:t>
      </w:r>
      <w:r>
        <w:rPr>
          <w:rFonts w:ascii="楷体_GB2312" w:eastAsia="楷体_GB2312" w:cs="楷体_GB2312" w:hint="eastAsia"/>
          <w:sz w:val="32"/>
          <w:szCs w:val="32"/>
        </w:rPr>
        <w:t>（30分）</w:t>
      </w:r>
    </w:p>
    <w:p>
      <w:pPr>
        <w:spacing w:line="578" w:lineRule="exact"/>
        <w:ind w:firstLineChars="200" w:firstLine="640"/>
        <w:rPr>
          <w:rFonts w:ascii="仿宋" w:eastAsia="仿宋" w:cs="仿宋"/>
          <w:sz w:val="32"/>
          <w:szCs w:val="32"/>
          <w:lang w:val="zh-CN"/>
        </w:rPr>
      </w:pPr>
      <w:r>
        <w:rPr>
          <w:rFonts w:ascii="仿宋" w:eastAsia="仿宋" w:cs="仿宋" w:hint="eastAsia"/>
          <w:sz w:val="32"/>
          <w:szCs w:val="32"/>
          <w:lang w:val="zh-CN"/>
        </w:rPr>
        <w:t>按照重点工作保障经费预算管理规定，该</w:t>
      </w:r>
      <w:r>
        <w:rPr>
          <w:rFonts w:ascii="仿宋" w:eastAsia="仿宋" w:cs="仿宋" w:hint="eastAsia"/>
          <w:sz w:val="32"/>
          <w:szCs w:val="32"/>
        </w:rPr>
        <w:t>项经费可用于开展统计工作产生的办公费、差旅费、业务培训费等，实行按月报账制度（次月报销上月发生的费用）。各专业股室进行初审，再由出纳进行审核会计复核，经分管领导签字确认支付，2025年度预算经费能够保障重点工作运转，均未发现违规和超标准支付现象。</w:t>
      </w:r>
    </w:p>
    <w:p>
      <w:pPr>
        <w:spacing w:line="578" w:lineRule="exact"/>
        <w:ind w:firstLineChars="200" w:firstLine="640"/>
        <w:rPr>
          <w:rFonts w:ascii="仿宋" w:eastAsia="仿宋" w:cs="仿宋"/>
          <w:sz w:val="32"/>
          <w:szCs w:val="32"/>
        </w:rPr>
      </w:pPr>
      <w:r>
        <w:rPr>
          <w:rFonts w:ascii="仿宋" w:eastAsia="仿宋" w:cs="仿宋" w:hint="eastAsia"/>
          <w:sz w:val="32"/>
          <w:szCs w:val="32"/>
        </w:rPr>
        <w:t>综上所述，该指标得30分。</w:t>
      </w:r>
    </w:p>
    <w:p>
      <w:pPr>
        <w:spacing w:line="578" w:lineRule="exact"/>
        <w:ind w:firstLine="640"/>
        <w:rPr>
          <w:sz w:val="32"/>
          <w:szCs w:val="32"/>
          <w:lang w:val="zh-CN"/>
        </w:rPr>
      </w:pPr>
      <w:r>
        <w:rPr>
          <w:rFonts w:ascii="楷体_GB2312" w:eastAsia="楷体_GB2312" w:hint="eastAsia"/>
          <w:b/>
          <w:sz w:val="32"/>
          <w:szCs w:val="32"/>
          <w:lang w:val="zh-CN"/>
        </w:rPr>
        <w:t>（三）</w:t>
      </w:r>
      <w:r>
        <w:rPr>
          <w:rFonts w:ascii="楷体_GB2312" w:eastAsia="楷体_GB2312" w:hint="eastAsia"/>
          <w:b/>
          <w:sz w:val="32"/>
          <w:szCs w:val="32"/>
        </w:rPr>
        <w:t>个性指标</w:t>
      </w:r>
      <w:r>
        <w:rPr>
          <w:rFonts w:eastAsia="楷体_GB2312"/>
          <w:b/>
          <w:bCs/>
          <w:color w:val="000000"/>
          <w:kern w:val="0"/>
          <w:sz w:val="32"/>
          <w:szCs w:val="32"/>
          <w:shd w:val="clear" w:color="auto" w:fill="FFFFFF"/>
          <w:lang w:val="zh-CN"/>
        </w:rPr>
        <w:t>绩效分析。</w:t>
      </w:r>
      <w:r>
        <w:rPr>
          <w:rFonts w:eastAsia="楷体_GB2312" w:hint="eastAsia"/>
          <w:b/>
          <w:bCs/>
          <w:color w:val="000000"/>
          <w:kern w:val="0"/>
          <w:sz w:val="32"/>
          <w:szCs w:val="32"/>
          <w:shd w:val="clear" w:color="auto" w:fill="FFFFFF"/>
          <w:lang w:val="zh-CN"/>
        </w:rPr>
        <w:t>（</w:t>
      </w:r>
      <w:r>
        <w:rPr>
          <w:rFonts w:eastAsia="楷体_GB2312" w:hint="eastAsia"/>
          <w:b/>
          <w:bCs/>
          <w:color w:val="000000"/>
          <w:kern w:val="0"/>
          <w:sz w:val="32"/>
          <w:szCs w:val="32"/>
          <w:shd w:val="clear" w:color="auto" w:fill="FFFFFF"/>
        </w:rPr>
        <w:t>16分</w:t>
      </w:r>
      <w:r>
        <w:rPr>
          <w:rFonts w:eastAsia="楷体_GB2312" w:hint="eastAsia"/>
          <w:b/>
          <w:bCs/>
          <w:color w:val="000000"/>
          <w:kern w:val="0"/>
          <w:sz w:val="32"/>
          <w:szCs w:val="32"/>
          <w:shd w:val="clear" w:color="auto" w:fill="FFFFFF"/>
          <w:lang w:val="zh-CN"/>
        </w:rPr>
        <w:t>）</w:t>
      </w:r>
    </w:p>
    <w:p>
      <w:pPr>
        <w:spacing w:line="578" w:lineRule="exact"/>
        <w:ind w:firstLine="640"/>
        <w:rPr>
          <w:rFonts w:ascii="仿宋" w:eastAsia="仿宋" w:cs="仿宋"/>
          <w:sz w:val="32"/>
          <w:szCs w:val="32"/>
        </w:rPr>
      </w:pPr>
      <w:r>
        <w:rPr>
          <w:rFonts w:ascii="仿宋" w:eastAsia="仿宋" w:cs="仿宋" w:hint="eastAsia"/>
          <w:sz w:val="32"/>
          <w:szCs w:val="32"/>
        </w:rPr>
        <w:t>全开展统计执法 1次，统计数据核查10余次，高质量完成各专业年报、季度、月报工作，联网直报系统运行顺畅，撰写统计分析报告4期，经济运行分析报告4期。</w:t>
      </w:r>
    </w:p>
    <w:p>
      <w:pPr>
        <w:spacing w:line="578" w:lineRule="exact"/>
        <w:ind w:firstLineChars="200" w:firstLine="640"/>
        <w:rPr>
          <w:rFonts w:ascii="仿宋" w:eastAsia="仿宋" w:cs="仿宋"/>
          <w:sz w:val="32"/>
          <w:szCs w:val="32"/>
        </w:rPr>
      </w:pPr>
      <w:r>
        <w:rPr>
          <w:rFonts w:ascii="仿宋" w:eastAsia="仿宋" w:cs="仿宋" w:hint="eastAsia"/>
          <w:sz w:val="32"/>
          <w:szCs w:val="32"/>
        </w:rPr>
        <w:t>综上所述，该指标得16分。</w:t>
      </w:r>
    </w:p>
    <w:p>
      <w:pPr>
        <w:pStyle w:val="16"/>
        <w:tabs>
          <w:tab w:val="left" w:pos="2160"/>
        </w:tabs>
        <w:spacing w:beforeLines="0" w:before="93" w:line="600" w:lineRule="exact"/>
        <w:ind w:firstLineChars="200" w:firstLine="640"/>
        <w:rPr>
          <w:rFonts w:ascii="黑体" w:eastAsia="黑体"/>
          <w:sz w:val="32"/>
          <w:szCs w:val="32"/>
        </w:rPr>
      </w:pPr>
      <w:r>
        <w:rPr>
          <w:rFonts w:ascii="黑体" w:eastAsia="黑体" w:hint="eastAsia"/>
          <w:sz w:val="32"/>
          <w:szCs w:val="32"/>
        </w:rPr>
        <w:t>四、评价结论</w:t>
      </w:r>
    </w:p>
    <w:p>
      <w:pPr>
        <w:pStyle w:val="16"/>
        <w:tabs>
          <w:tab w:val="left" w:pos="2160"/>
        </w:tabs>
        <w:spacing w:beforeLines="0" w:before="93" w:line="600" w:lineRule="exact"/>
        <w:ind w:firstLineChars="200" w:firstLine="640"/>
        <w:rPr>
          <w:rFonts w:cs="仿宋_GB2312"/>
          <w:sz w:val="32"/>
          <w:szCs w:val="32"/>
        </w:rPr>
      </w:pPr>
      <w:r>
        <w:rPr>
          <w:rFonts w:ascii="仿宋" w:eastAsia="仿宋" w:cs="仿宋" w:hint="eastAsia"/>
          <w:sz w:val="32"/>
          <w:szCs w:val="32"/>
        </w:rPr>
        <w:t>围绕绩效评介指标体系，对该项目绩效进行了客观、公正的评价，自评得分98分，结果为优秀，预期产出和效果能满足需求。</w:t>
      </w:r>
    </w:p>
    <w:p>
      <w:pPr>
        <w:pStyle w:val="16"/>
        <w:tabs>
          <w:tab w:val="left" w:pos="2160"/>
        </w:tabs>
        <w:spacing w:beforeLines="0" w:before="93" w:line="600" w:lineRule="exact"/>
        <w:ind w:firstLineChars="200" w:firstLine="640"/>
        <w:rPr>
          <w:rFonts w:ascii="黑体" w:eastAsia="黑体"/>
          <w:sz w:val="32"/>
          <w:szCs w:val="32"/>
        </w:rPr>
      </w:pPr>
      <w:r>
        <w:rPr>
          <w:rFonts w:ascii="黑体" w:eastAsia="黑体" w:cs="黑体" w:hint="eastAsia"/>
          <w:sz w:val="32"/>
          <w:szCs w:val="32"/>
        </w:rPr>
        <w:t>五、</w:t>
      </w:r>
      <w:r>
        <w:rPr>
          <w:rFonts w:ascii="黑体" w:eastAsia="黑体" w:hint="eastAsia"/>
          <w:sz w:val="32"/>
          <w:szCs w:val="32"/>
        </w:rPr>
        <w:t>存在主要问题</w:t>
      </w:r>
    </w:p>
    <w:p>
      <w:pPr>
        <w:pStyle w:val="16"/>
        <w:tabs>
          <w:tab w:val="left" w:pos="2160"/>
        </w:tabs>
        <w:spacing w:beforeLines="0" w:before="93" w:line="600" w:lineRule="exact"/>
        <w:ind w:firstLineChars="200" w:firstLine="640"/>
        <w:rPr>
          <w:rFonts w:cs="仿宋_GB2312"/>
          <w:sz w:val="32"/>
          <w:szCs w:val="32"/>
        </w:rPr>
      </w:pPr>
      <w:r>
        <w:rPr>
          <w:rFonts w:cs="仿宋_GB2312" w:hint="eastAsia"/>
          <w:sz w:val="32"/>
          <w:szCs w:val="32"/>
        </w:rPr>
        <w:t>1.年初预算资金分配还不够准确，致使年末支付调整科目次数过多。</w:t>
      </w:r>
    </w:p>
    <w:p>
      <w:pPr>
        <w:pStyle w:val="16"/>
        <w:tabs>
          <w:tab w:val="left" w:pos="2160"/>
        </w:tabs>
        <w:spacing w:beforeLines="0" w:before="93" w:line="600" w:lineRule="exact"/>
        <w:ind w:firstLineChars="200" w:firstLine="640"/>
        <w:rPr>
          <w:rFonts w:cs="仿宋_GB2312"/>
          <w:sz w:val="32"/>
          <w:szCs w:val="32"/>
        </w:rPr>
      </w:pPr>
      <w:r>
        <w:rPr>
          <w:rFonts w:cs="仿宋_GB2312" w:hint="eastAsia"/>
          <w:sz w:val="32"/>
          <w:szCs w:val="32"/>
        </w:rPr>
        <w:t>2.项目管理人员对绩效目标认识不够，致部分绩效目标不能按时实现。</w:t>
      </w:r>
    </w:p>
    <w:p>
      <w:pPr>
        <w:pStyle w:val="16"/>
        <w:tabs>
          <w:tab w:val="left" w:pos="2160"/>
        </w:tabs>
        <w:spacing w:beforeLines="0" w:before="93" w:line="600" w:lineRule="exact"/>
        <w:ind w:firstLineChars="200" w:firstLine="640"/>
        <w:rPr>
          <w:rFonts w:ascii="黑体" w:eastAsia="黑体"/>
          <w:position w:val="3"/>
          <w:sz w:val="32"/>
          <w:szCs w:val="32"/>
          <w:lang w:val="zh-CN"/>
        </w:rPr>
      </w:pPr>
      <w:r>
        <w:rPr>
          <w:rFonts w:ascii="黑体" w:eastAsia="黑体" w:hint="eastAsia"/>
          <w:position w:val="3"/>
          <w:sz w:val="32"/>
          <w:szCs w:val="32"/>
          <w:lang w:val="zh-CN"/>
        </w:rPr>
        <w:t>六、改进建议</w:t>
      </w:r>
    </w:p>
    <w:p>
      <w:pPr>
        <w:tabs>
          <w:tab w:val="left" w:pos="1911"/>
        </w:tabs>
        <w:ind w:firstLine="640"/>
        <w:jc w:val="left"/>
        <w:rPr>
          <w:rFonts w:ascii="仿宋" w:eastAsia="仿宋" w:cs="仿宋"/>
          <w:kern w:val="0"/>
          <w:sz w:val="32"/>
          <w:szCs w:val="32"/>
        </w:rPr>
      </w:pPr>
      <w:bookmarkStart w:id="59" w:name="_Hlk110546638"/>
      <w:r>
        <w:rPr>
          <w:rFonts w:ascii="仿宋" w:eastAsia="仿宋" w:cs="仿宋" w:hint="eastAsia"/>
          <w:kern w:val="0"/>
          <w:sz w:val="32"/>
          <w:szCs w:val="32"/>
        </w:rPr>
        <w:t>1.提高资金分配准确率，减少年末科目调整次数。结合单位工作实际情况，尽量做资金分配准确。</w:t>
      </w:r>
    </w:p>
    <w:p>
      <w:pPr>
        <w:tabs>
          <w:tab w:val="left" w:pos="1911"/>
        </w:tabs>
        <w:ind w:firstLine="640"/>
        <w:jc w:val="left"/>
        <w:rPr>
          <w:rFonts w:ascii="仿宋" w:eastAsia="仿宋" w:cs="仿宋"/>
          <w:kern w:val="0"/>
          <w:sz w:val="32"/>
          <w:szCs w:val="32"/>
        </w:rPr>
      </w:pPr>
      <w:r>
        <w:rPr>
          <w:rFonts w:ascii="仿宋" w:eastAsia="仿宋" w:cs="仿宋" w:hint="eastAsia"/>
          <w:kern w:val="0"/>
          <w:sz w:val="32"/>
          <w:szCs w:val="32"/>
        </w:rPr>
        <w:t>2.加强对项目管理人员的业务培训，提高项目管理人员对绩效目标管理的认识和业务能力，促进绩效目标完成。</w:t>
      </w:r>
    </w:p>
    <w:p>
      <w:pPr>
        <w:snapToGrid w:val="0"/>
        <w:spacing w:line="578" w:lineRule="exact"/>
        <w:ind w:firstLineChars="200" w:firstLine="420"/>
        <w:rPr>
          <w:color w:val="000000"/>
          <w:kern w:val="0"/>
          <w:szCs w:val="32"/>
          <w:shd w:val="clear" w:color="auto" w:fill="FFFFFF"/>
          <w:lang w:val="zh-CN"/>
        </w:rPr>
      </w:pPr>
      <w:bookmarkEnd w:id="59"/>
    </w:p>
    <w:p>
      <w:pPr>
        <w:rPr>
          <w:rFonts w:eastAsia="黑体"/>
          <w:sz w:val="32"/>
        </w:rPr>
      </w:pPr>
      <w:r>
        <w:rPr>
          <w:rFonts w:hint="eastAsia"/>
          <w:color w:val="000000"/>
          <w:kern w:val="0"/>
          <w:szCs w:val="32"/>
          <w:shd w:val="clear" w:color="auto" w:fill="FFFFFF"/>
          <w:lang w:val="zh-CN"/>
        </w:rPr>
        <w:br w:type="page"/>
      </w:r>
    </w:p>
    <w:tbl>
      <w:tblPr>
        <w:jc w:val="center"/>
        <w:tblW w:w="10345" w:type="dxa"/>
        <w:tblBorders>
          <w:top w:val="none" w:sz="0" w:space="0" w:color="auto"/>
          <w:left w:val="none" w:sz="0" w:space="0" w:color="auto"/>
          <w:bottom w:val="none" w:sz="0" w:space="0" w:color="auto"/>
          <w:right w:val="none" w:sz="0" w:space="0" w:color="auto"/>
        </w:tblBorders>
        <w:tblLayout w:type="fixed"/>
        <w:tblCellMar>
          <w:top w:w="15" w:type="dxa"/>
          <w:left w:w="15" w:type="dxa"/>
          <w:bottom w:w="15" w:type="dxa"/>
          <w:right w:w="15" w:type="dxa"/>
        </w:tblCellMar>
      </w:tblPr>
      <w:tblGrid>
        <w:gridCol w:w="652"/>
        <w:gridCol w:w="1081"/>
        <w:gridCol w:w="1250"/>
        <w:gridCol w:w="1643"/>
        <w:gridCol w:w="1155"/>
        <w:gridCol w:w="945"/>
        <w:gridCol w:w="1095"/>
        <w:gridCol w:w="765"/>
        <w:gridCol w:w="1759"/>
      </w:tblGrid>
      <w:tr>
        <w:trPr>
          <w:trHeight w:val="576"/>
        </w:trPr>
        <w:tc>
          <w:tcPr>
            <w:tcW w:w="10345" w:type="dxa"/>
            <w:gridSpan w:val="9"/>
            <w:noWrap/>
            <w:vAlign w:val="center"/>
          </w:tcPr>
          <w:p>
            <w:pPr>
              <w:widowControl/>
              <w:spacing w:line="600" w:lineRule="exact"/>
              <w:jc w:val="center"/>
              <w:textAlignment w:val="center"/>
              <w:rPr>
                <w:rFonts w:ascii="宋体" w:cs="宋体"/>
                <w:b/>
                <w:bCs/>
                <w:color w:val="000000"/>
                <w:kern w:val="0"/>
                <w:sz w:val="40"/>
                <w:szCs w:val="40"/>
              </w:rPr>
            </w:pPr>
            <w:r>
              <w:rPr>
                <w:rFonts w:ascii="宋体" w:cs="宋体" w:hint="eastAsia"/>
                <w:b/>
                <w:bCs/>
                <w:color w:val="000000"/>
                <w:kern w:val="0"/>
                <w:sz w:val="40"/>
                <w:szCs w:val="40"/>
              </w:rPr>
              <w:t>2025年汶川县统计局重点工作保障经费项目</w:t>
            </w:r>
          </w:p>
          <w:p>
            <w:pPr>
              <w:widowControl/>
              <w:spacing w:line="600" w:lineRule="exact"/>
              <w:jc w:val="center"/>
              <w:textAlignment w:val="center"/>
              <w:rPr>
                <w:rFonts w:ascii="黑体" w:eastAsia="黑体" w:cs="黑体"/>
                <w:color w:val="000000"/>
                <w:sz w:val="30"/>
                <w:szCs w:val="30"/>
              </w:rPr>
            </w:pPr>
            <w:r>
              <w:rPr>
                <w:rFonts w:ascii="宋体" w:cs="宋体" w:hint="eastAsia"/>
                <w:b/>
                <w:bCs/>
                <w:color w:val="000000"/>
                <w:kern w:val="0"/>
                <w:sz w:val="40"/>
                <w:szCs w:val="40"/>
              </w:rPr>
              <w:t>支出绩效自评表</w:t>
            </w:r>
          </w:p>
        </w:tc>
      </w:tr>
      <w:tr>
        <w:trPr>
          <w:trHeight w:val="23"/>
        </w:trPr>
        <w:tc>
          <w:tcPr>
            <w:tcW w:w="4626" w:type="dxa"/>
            <w:gridSpan w:val="4"/>
            <w:tcBorders>
              <w:top w:val="single" w:sz="4" w:space="0" w:color="000000"/>
              <w:left w:val="single" w:sz="4" w:space="0" w:color="000000"/>
              <w:bottom w:val="single" w:sz="4" w:space="0" w:color="000000"/>
              <w:right w:val="single" w:sz="4" w:space="0" w:color="000000"/>
            </w:tcBorders>
            <w:noWrap/>
            <w:vAlign w:val="center"/>
          </w:tcPr>
          <w:p>
            <w:pPr>
              <w:widowControl/>
              <w:spacing w:line="300" w:lineRule="exact"/>
              <w:jc w:val="left"/>
              <w:textAlignment w:val="center"/>
              <w:rPr>
                <w:rFonts w:ascii="宋体" w:cs="宋体"/>
                <w:color w:val="000000"/>
                <w:sz w:val="24"/>
              </w:rPr>
            </w:pPr>
            <w:r>
              <w:rPr>
                <w:rFonts w:ascii="宋体" w:cs="宋体"/>
                <w:color w:val="000000"/>
                <w:kern w:val="0"/>
                <w:sz w:val="24"/>
              </w:rPr>
              <w:t>项目名称</w:t>
            </w:r>
          </w:p>
        </w:tc>
        <w:tc>
          <w:tcPr>
            <w:tcW w:w="5719" w:type="dxa"/>
            <w:gridSpan w:val="5"/>
            <w:tcBorders>
              <w:top w:val="single" w:sz="4" w:space="0" w:color="000000"/>
              <w:left w:val="single" w:sz="4" w:space="0" w:color="000000"/>
              <w:bottom w:val="single" w:sz="4" w:space="0" w:color="000000"/>
              <w:right w:val="single" w:sz="4" w:space="0" w:color="000000"/>
            </w:tcBorders>
            <w:noWrap/>
            <w:vAlign w:val="center"/>
          </w:tcPr>
          <w:p>
            <w:pPr>
              <w:spacing w:line="300" w:lineRule="exact"/>
              <w:rPr>
                <w:rFonts w:ascii="宋体" w:cs="宋体"/>
                <w:color w:val="000000"/>
                <w:sz w:val="24"/>
              </w:rPr>
            </w:pPr>
            <w:r>
              <w:rPr>
                <w:rFonts w:ascii="宋体" w:cs="宋体" w:hint="eastAsia"/>
                <w:color w:val="000000"/>
                <w:sz w:val="24"/>
              </w:rPr>
              <w:t>重点工作保障经费</w:t>
            </w:r>
          </w:p>
        </w:tc>
      </w:tr>
      <w:tr>
        <w:trPr>
          <w:trHeight w:val="23"/>
        </w:trPr>
        <w:tc>
          <w:tcPr>
            <w:tcW w:w="4626" w:type="dxa"/>
            <w:gridSpan w:val="4"/>
            <w:tcBorders>
              <w:top w:val="single" w:sz="4" w:space="0" w:color="000000"/>
              <w:left w:val="single" w:sz="4" w:space="0" w:color="000000"/>
              <w:bottom w:val="single" w:sz="4" w:space="0" w:color="000000"/>
              <w:right w:val="single" w:sz="4" w:space="0" w:color="000000"/>
            </w:tcBorders>
            <w:noWrap/>
            <w:vAlign w:val="center"/>
          </w:tcPr>
          <w:p>
            <w:pPr>
              <w:widowControl/>
              <w:spacing w:line="300" w:lineRule="exact"/>
              <w:jc w:val="left"/>
              <w:textAlignment w:val="center"/>
              <w:rPr>
                <w:rFonts w:ascii="宋体" w:cs="宋体"/>
                <w:color w:val="000000"/>
                <w:sz w:val="24"/>
              </w:rPr>
            </w:pPr>
            <w:r>
              <w:rPr>
                <w:rFonts w:ascii="宋体" w:cs="宋体"/>
                <w:color w:val="000000"/>
                <w:kern w:val="0"/>
                <w:sz w:val="24"/>
              </w:rPr>
              <w:t>预算单位</w:t>
            </w:r>
          </w:p>
        </w:tc>
        <w:tc>
          <w:tcPr>
            <w:tcW w:w="5719" w:type="dxa"/>
            <w:gridSpan w:val="5"/>
            <w:tcBorders>
              <w:top w:val="single" w:sz="4" w:space="0" w:color="000000"/>
              <w:left w:val="single" w:sz="4" w:space="0" w:color="000000"/>
              <w:bottom w:val="single" w:sz="4" w:space="0" w:color="000000"/>
              <w:right w:val="single" w:sz="4" w:space="0" w:color="000000"/>
            </w:tcBorders>
            <w:noWrap/>
            <w:vAlign w:val="center"/>
          </w:tcPr>
          <w:p>
            <w:pPr>
              <w:spacing w:line="300" w:lineRule="exact"/>
              <w:rPr>
                <w:rFonts w:ascii="宋体" w:cs="宋体"/>
                <w:color w:val="000000"/>
                <w:sz w:val="24"/>
              </w:rPr>
            </w:pPr>
            <w:r>
              <w:rPr>
                <w:rFonts w:ascii="宋体" w:cs="宋体" w:hint="eastAsia"/>
                <w:color w:val="000000"/>
                <w:sz w:val="24"/>
              </w:rPr>
              <w:t>汶川县统计局</w:t>
            </w:r>
          </w:p>
        </w:tc>
      </w:tr>
      <w:tr>
        <w:trPr>
          <w:trHeight w:val="23"/>
        </w:trPr>
        <w:tc>
          <w:tcPr>
            <w:tcW w:w="4626" w:type="dxa"/>
            <w:gridSpan w:val="4"/>
            <w:tcBorders>
              <w:top w:val="single" w:sz="4" w:space="0" w:color="000000"/>
              <w:left w:val="single" w:sz="4" w:space="0" w:color="000000"/>
              <w:bottom w:val="single" w:sz="4" w:space="0" w:color="000000"/>
              <w:right w:val="single" w:sz="4" w:space="0" w:color="000000"/>
            </w:tcBorders>
            <w:noWrap/>
            <w:vAlign w:val="center"/>
          </w:tcPr>
          <w:p>
            <w:pPr>
              <w:widowControl/>
              <w:spacing w:line="300" w:lineRule="exact"/>
              <w:jc w:val="left"/>
              <w:textAlignment w:val="center"/>
              <w:rPr>
                <w:rFonts w:ascii="宋体" w:cs="宋体"/>
                <w:color w:val="000000"/>
                <w:sz w:val="24"/>
              </w:rPr>
            </w:pPr>
            <w:r>
              <w:rPr>
                <w:rFonts w:ascii="宋体" w:cs="宋体"/>
                <w:color w:val="000000"/>
                <w:kern w:val="0"/>
                <w:sz w:val="24"/>
              </w:rPr>
              <w:t>项目类型</w:t>
            </w:r>
          </w:p>
        </w:tc>
        <w:tc>
          <w:tcPr>
            <w:tcW w:w="5719" w:type="dxa"/>
            <w:gridSpan w:val="5"/>
            <w:tcBorders>
              <w:top w:val="single" w:sz="4" w:space="0" w:color="000000"/>
              <w:left w:val="single" w:sz="4" w:space="0" w:color="000000"/>
              <w:bottom w:val="single" w:sz="4" w:space="0" w:color="000000"/>
              <w:right w:val="single" w:sz="4" w:space="0" w:color="000000"/>
            </w:tcBorders>
            <w:noWrap/>
            <w:vAlign w:val="center"/>
          </w:tcPr>
          <w:p>
            <w:pPr>
              <w:spacing w:line="300" w:lineRule="exact"/>
              <w:jc w:val="left"/>
              <w:rPr>
                <w:rFonts w:ascii="宋体" w:cs="宋体"/>
                <w:color w:val="000000"/>
                <w:sz w:val="24"/>
              </w:rPr>
            </w:pPr>
            <w:r>
              <w:rPr>
                <w:rFonts w:ascii="宋体" w:cs="宋体" w:hint="eastAsia"/>
                <w:color w:val="000000"/>
                <w:sz w:val="24"/>
              </w:rPr>
              <w:t>运转类</w:t>
            </w:r>
          </w:p>
        </w:tc>
      </w:tr>
      <w:tr>
        <w:trPr>
          <w:trHeight w:val="23"/>
        </w:trPr>
        <w:tc>
          <w:tcPr>
            <w:tcW w:w="652" w:type="dxa"/>
            <w:vMerge w:val="restart"/>
            <w:tcBorders>
              <w:top w:val="single" w:sz="4" w:space="0" w:color="000000"/>
              <w:left w:val="single" w:sz="4" w:space="0" w:color="000000"/>
              <w:bottom w:val="single" w:sz="4" w:space="0" w:color="000000"/>
              <w:right w:val="single" w:sz="4" w:space="0" w:color="000000"/>
            </w:tcBorders>
            <w:noWrap/>
            <w:vAlign w:val="center"/>
          </w:tcPr>
          <w:p>
            <w:pPr>
              <w:widowControl/>
              <w:spacing w:line="300" w:lineRule="exact"/>
              <w:jc w:val="center"/>
              <w:textAlignment w:val="center"/>
              <w:rPr>
                <w:rFonts w:ascii="宋体" w:cs="宋体"/>
                <w:color w:val="000000"/>
                <w:sz w:val="24"/>
              </w:rPr>
            </w:pPr>
            <w:r>
              <w:rPr>
                <w:rFonts w:ascii="宋体" w:cs="宋体"/>
                <w:color w:val="000000"/>
                <w:kern w:val="0"/>
                <w:sz w:val="24"/>
              </w:rPr>
              <w:t>项目 概况</w:t>
            </w:r>
          </w:p>
        </w:tc>
        <w:tc>
          <w:tcPr>
            <w:tcW w:w="3974" w:type="dxa"/>
            <w:gridSpan w:val="3"/>
            <w:tcBorders>
              <w:top w:val="single" w:sz="4" w:space="0" w:color="000000"/>
              <w:left w:val="single" w:sz="4" w:space="0" w:color="000000"/>
              <w:bottom w:val="single" w:sz="4" w:space="0" w:color="000000"/>
              <w:right w:val="single" w:sz="4" w:space="0" w:color="000000"/>
            </w:tcBorders>
            <w:noWrap/>
            <w:vAlign w:val="center"/>
          </w:tcPr>
          <w:p>
            <w:pPr>
              <w:widowControl/>
              <w:spacing w:line="300" w:lineRule="exact"/>
              <w:jc w:val="left"/>
              <w:textAlignment w:val="center"/>
              <w:rPr>
                <w:rFonts w:ascii="宋体" w:cs="宋体"/>
                <w:color w:val="000000"/>
                <w:kern w:val="0"/>
                <w:sz w:val="24"/>
              </w:rPr>
            </w:pPr>
            <w:r>
              <w:rPr>
                <w:rFonts w:ascii="宋体" w:cs="宋体"/>
                <w:color w:val="000000"/>
                <w:kern w:val="0"/>
                <w:sz w:val="24"/>
              </w:rPr>
              <w:t>中长期规划（名称、文号，仅指</w:t>
            </w:r>
          </w:p>
          <w:p>
            <w:pPr>
              <w:widowControl/>
              <w:spacing w:line="300" w:lineRule="exact"/>
              <w:jc w:val="left"/>
              <w:textAlignment w:val="center"/>
              <w:rPr>
                <w:rFonts w:ascii="宋体" w:cs="宋体"/>
                <w:color w:val="000000"/>
                <w:sz w:val="24"/>
              </w:rPr>
            </w:pPr>
            <w:r>
              <w:rPr>
                <w:rFonts w:ascii="宋体" w:cs="宋体"/>
                <w:color w:val="000000"/>
                <w:kern w:val="0"/>
                <w:sz w:val="24"/>
              </w:rPr>
              <w:t>常年项目）</w:t>
            </w:r>
          </w:p>
        </w:tc>
        <w:tc>
          <w:tcPr>
            <w:tcW w:w="5719" w:type="dxa"/>
            <w:gridSpan w:val="5"/>
            <w:tcBorders>
              <w:top w:val="single" w:sz="4" w:space="0" w:color="000000"/>
              <w:left w:val="single" w:sz="4" w:space="0" w:color="000000"/>
              <w:bottom w:val="single" w:sz="4" w:space="0" w:color="000000"/>
              <w:right w:val="single" w:sz="4" w:space="0" w:color="000000"/>
            </w:tcBorders>
            <w:noWrap/>
            <w:vAlign w:val="center"/>
          </w:tcPr>
          <w:p>
            <w:pPr>
              <w:spacing w:line="300" w:lineRule="exact"/>
              <w:jc w:val="left"/>
              <w:rPr>
                <w:rFonts w:ascii="宋体" w:cs="宋体"/>
                <w:color w:val="000000"/>
                <w:sz w:val="24"/>
              </w:rPr>
            </w:pPr>
          </w:p>
        </w:tc>
      </w:tr>
      <w:tr>
        <w:trPr>
          <w:trHeight w:val="23"/>
        </w:trPr>
        <w:tc>
          <w:tcPr>
            <w:tcW w:w="652" w:type="dxa"/>
            <w:vMerge/>
            <w:tcBorders>
              <w:top w:val="single" w:sz="4" w:space="0" w:color="000000"/>
              <w:left w:val="single" w:sz="4" w:space="0" w:color="000000"/>
              <w:bottom w:val="single" w:sz="4" w:space="0" w:color="000000"/>
              <w:right w:val="single" w:sz="4" w:space="0" w:color="000000"/>
            </w:tcBorders>
            <w:noWrap/>
            <w:vAlign w:val="center"/>
          </w:tcPr>
          <w:p/>
        </w:tc>
        <w:tc>
          <w:tcPr>
            <w:tcW w:w="3974" w:type="dxa"/>
            <w:gridSpan w:val="3"/>
            <w:tcBorders>
              <w:top w:val="single" w:sz="4" w:space="0" w:color="000000"/>
              <w:left w:val="single" w:sz="4" w:space="0" w:color="000000"/>
              <w:bottom w:val="single" w:sz="4" w:space="0" w:color="000000"/>
              <w:right w:val="single" w:sz="4" w:space="0" w:color="000000"/>
            </w:tcBorders>
            <w:noWrap/>
            <w:vAlign w:val="center"/>
          </w:tcPr>
          <w:p>
            <w:pPr>
              <w:widowControl/>
              <w:spacing w:line="300" w:lineRule="exact"/>
              <w:jc w:val="left"/>
              <w:textAlignment w:val="center"/>
              <w:rPr>
                <w:rFonts w:ascii="宋体" w:cs="宋体"/>
                <w:color w:val="000000"/>
                <w:sz w:val="24"/>
              </w:rPr>
            </w:pPr>
            <w:r>
              <w:rPr>
                <w:rFonts w:ascii="宋体" w:cs="宋体"/>
                <w:color w:val="000000"/>
                <w:kern w:val="0"/>
                <w:sz w:val="24"/>
              </w:rPr>
              <w:t>资金管理办法（名称、文号）</w:t>
            </w:r>
          </w:p>
        </w:tc>
        <w:tc>
          <w:tcPr>
            <w:tcW w:w="5719" w:type="dxa"/>
            <w:gridSpan w:val="5"/>
            <w:tcBorders>
              <w:top w:val="single" w:sz="4" w:space="0" w:color="000000"/>
              <w:left w:val="single" w:sz="4" w:space="0" w:color="000000"/>
              <w:bottom w:val="single" w:sz="4" w:space="0" w:color="000000"/>
              <w:right w:val="single" w:sz="4" w:space="0" w:color="000000"/>
            </w:tcBorders>
            <w:noWrap/>
            <w:vAlign w:val="center"/>
          </w:tcPr>
          <w:p>
            <w:pPr>
              <w:spacing w:line="300" w:lineRule="exact"/>
              <w:jc w:val="left"/>
              <w:rPr>
                <w:rFonts w:ascii="宋体" w:cs="宋体"/>
                <w:color w:val="000000"/>
                <w:sz w:val="24"/>
              </w:rPr>
            </w:pPr>
            <w:r>
              <w:rPr>
                <w:rFonts w:ascii="宋体" w:cs="宋体" w:hint="eastAsia"/>
                <w:color w:val="000000"/>
                <w:sz w:val="24"/>
              </w:rPr>
              <w:t>汶川县统计局专项资金管理办法</w:t>
            </w:r>
          </w:p>
        </w:tc>
      </w:tr>
      <w:tr>
        <w:trPr>
          <w:trHeight w:val="23"/>
        </w:trPr>
        <w:tc>
          <w:tcPr>
            <w:tcW w:w="652" w:type="dxa"/>
            <w:vMerge/>
            <w:tcBorders>
              <w:top w:val="single" w:sz="4" w:space="0" w:color="000000"/>
              <w:left w:val="single" w:sz="4" w:space="0" w:color="000000"/>
              <w:bottom w:val="single" w:sz="4" w:space="0" w:color="000000"/>
              <w:right w:val="single" w:sz="4" w:space="0" w:color="000000"/>
            </w:tcBorders>
            <w:noWrap/>
            <w:vAlign w:val="center"/>
          </w:tcPr>
          <w:p/>
        </w:tc>
        <w:tc>
          <w:tcPr>
            <w:tcW w:w="3974" w:type="dxa"/>
            <w:gridSpan w:val="3"/>
            <w:tcBorders>
              <w:top w:val="single" w:sz="4" w:space="0" w:color="000000"/>
              <w:left w:val="single" w:sz="4" w:space="0" w:color="000000"/>
              <w:bottom w:val="single" w:sz="4" w:space="0" w:color="000000"/>
              <w:right w:val="single" w:sz="4" w:space="0" w:color="000000"/>
            </w:tcBorders>
            <w:noWrap/>
            <w:vAlign w:val="center"/>
          </w:tcPr>
          <w:p>
            <w:pPr>
              <w:widowControl/>
              <w:spacing w:line="300" w:lineRule="exact"/>
              <w:jc w:val="left"/>
              <w:textAlignment w:val="center"/>
              <w:rPr>
                <w:rFonts w:ascii="宋体" w:cs="宋体"/>
                <w:color w:val="000000"/>
                <w:sz w:val="24"/>
              </w:rPr>
            </w:pPr>
            <w:r>
              <w:rPr>
                <w:rFonts w:ascii="宋体" w:cs="宋体"/>
                <w:color w:val="000000"/>
                <w:kern w:val="0"/>
                <w:sz w:val="24"/>
              </w:rPr>
              <w:t>绩效分配方式</w:t>
            </w:r>
          </w:p>
        </w:tc>
        <w:tc>
          <w:tcPr>
            <w:tcW w:w="1155" w:type="dxa"/>
            <w:tcBorders>
              <w:top w:val="single" w:sz="4" w:space="0" w:color="000000"/>
              <w:left w:val="single" w:sz="4" w:space="0" w:color="000000"/>
              <w:bottom w:val="single" w:sz="4" w:space="0" w:color="000000"/>
              <w:right w:val="single" w:sz="4" w:space="0" w:color="000000"/>
            </w:tcBorders>
            <w:noWrap/>
            <w:vAlign w:val="center"/>
          </w:tcPr>
          <w:p>
            <w:pPr>
              <w:widowControl/>
              <w:spacing w:line="300" w:lineRule="exact"/>
              <w:jc w:val="left"/>
              <w:textAlignment w:val="center"/>
              <w:rPr>
                <w:rFonts w:ascii="Wingdings 2" w:eastAsia="Wingdings 2" w:cs="Wingdings 2" w:hAnsi="Wingdings 2"/>
                <w:color w:val="000000"/>
                <w:sz w:val="24"/>
              </w:rPr>
            </w:pPr>
            <w:r>
              <w:rPr>
                <w:rFonts w:ascii="Wingdings 2" w:eastAsia="Wingdings 2" w:cs="Wingdings 2" w:hAnsi="Wingdings 2"/>
                <w:color w:val="000000"/>
                <w:kern w:val="0"/>
                <w:sz w:val="24"/>
              </w:rPr>
              <w:t></w:t>
            </w:r>
            <w:r>
              <w:rPr>
                <w:rFonts w:ascii="宋体" w:cs="宋体"/>
                <w:color w:val="000000"/>
                <w:kern w:val="0"/>
                <w:sz w:val="24"/>
              </w:rPr>
              <w:t>因素法</w:t>
            </w:r>
          </w:p>
        </w:tc>
        <w:tc>
          <w:tcPr>
            <w:tcW w:w="2040" w:type="dxa"/>
            <w:gridSpan w:val="2"/>
            <w:tcBorders>
              <w:top w:val="single" w:sz="4" w:space="0" w:color="000000"/>
              <w:left w:val="single" w:sz="4" w:space="0" w:color="000000"/>
              <w:bottom w:val="single" w:sz="4" w:space="0" w:color="000000"/>
              <w:right w:val="single" w:sz="4" w:space="0" w:color="000000"/>
            </w:tcBorders>
            <w:noWrap/>
            <w:vAlign w:val="center"/>
          </w:tcPr>
          <w:p>
            <w:pPr>
              <w:widowControl/>
              <w:spacing w:line="300" w:lineRule="exact"/>
              <w:jc w:val="center"/>
              <w:textAlignment w:val="center"/>
              <w:rPr>
                <w:rFonts w:ascii="Wingdings 2" w:eastAsia="Wingdings 2" w:cs="Wingdings 2" w:hAnsi="Wingdings 2"/>
                <w:color w:val="000000"/>
                <w:sz w:val="24"/>
              </w:rPr>
            </w:pPr>
            <w:r>
              <w:rPr>
                <w:rFonts w:ascii="Wingdings 2" w:eastAsia="Wingdings 2" w:cs="Wingdings 2" w:hAnsi="Wingdings 2"/>
                <w:color w:val="000000"/>
                <w:kern w:val="0"/>
                <w:sz w:val="24"/>
              </w:rPr>
              <w:t>项目法</w:t>
            </w:r>
          </w:p>
        </w:tc>
        <w:tc>
          <w:tcPr>
            <w:tcW w:w="765" w:type="dxa"/>
            <w:tcBorders>
              <w:top w:val="single" w:sz="4" w:space="0" w:color="000000"/>
              <w:left w:val="single" w:sz="4" w:space="0" w:color="000000"/>
              <w:bottom w:val="single" w:sz="4" w:space="0" w:color="000000"/>
              <w:right w:val="single" w:sz="4" w:space="0" w:color="000000"/>
            </w:tcBorders>
            <w:noWrap/>
            <w:vAlign w:val="center"/>
          </w:tcPr>
          <w:p>
            <w:pPr>
              <w:widowControl/>
              <w:spacing w:line="300" w:lineRule="exact"/>
              <w:jc w:val="center"/>
              <w:textAlignment w:val="center"/>
              <w:rPr>
                <w:rFonts w:ascii="Wingdings 2" w:eastAsia="Wingdings 2" w:cs="Wingdings 2" w:hAnsi="Wingdings 2"/>
                <w:color w:val="000000"/>
                <w:sz w:val="24"/>
              </w:rPr>
            </w:pPr>
            <w:r>
              <w:rPr>
                <w:rFonts w:ascii="Wingdings 2" w:eastAsia="Wingdings 2" w:cs="Wingdings 2" w:hAnsi="Wingdings 2"/>
                <w:color w:val="000000"/>
                <w:kern w:val="0"/>
                <w:sz w:val="24"/>
              </w:rPr>
              <w:t></w:t>
            </w:r>
            <w:r>
              <w:rPr>
                <w:rFonts w:ascii="宋体" w:cs="宋体"/>
                <w:color w:val="000000"/>
                <w:kern w:val="0"/>
                <w:sz w:val="24"/>
              </w:rPr>
              <w:t>据实据效</w:t>
            </w:r>
          </w:p>
        </w:tc>
        <w:tc>
          <w:tcPr>
            <w:tcW w:w="1759" w:type="dxa"/>
            <w:tcBorders>
              <w:top w:val="single" w:sz="4" w:space="0" w:color="000000"/>
              <w:left w:val="single" w:sz="4" w:space="0" w:color="000000"/>
              <w:bottom w:val="single" w:sz="4" w:space="0" w:color="000000"/>
              <w:right w:val="single" w:sz="4" w:space="0" w:color="000000"/>
            </w:tcBorders>
            <w:noWrap/>
            <w:vAlign w:val="center"/>
          </w:tcPr>
          <w:p>
            <w:pPr>
              <w:widowControl/>
              <w:spacing w:line="300" w:lineRule="exact"/>
              <w:jc w:val="center"/>
              <w:textAlignment w:val="center"/>
              <w:rPr>
                <w:rFonts w:ascii="Wingdings 2" w:eastAsia="Wingdings 2" w:cs="Wingdings 2" w:hAnsi="Wingdings 2"/>
                <w:color w:val="000000"/>
                <w:sz w:val="24"/>
              </w:rPr>
            </w:pPr>
            <w:r>
              <w:rPr>
                <w:rFonts w:ascii="Wingdings 2" w:eastAsia="Wingdings 2" w:cs="Wingdings 2" w:hAnsi="Wingdings 2"/>
                <w:color w:val="000000"/>
                <w:kern w:val="0"/>
                <w:sz w:val="24"/>
              </w:rPr>
              <w:sym w:font="Wingdings 2" w:char="52"/>
            </w:r>
            <w:r>
              <w:rPr>
                <w:rFonts w:ascii="宋体" w:cs="宋体"/>
                <w:color w:val="000000"/>
                <w:kern w:val="0"/>
                <w:sz w:val="24"/>
              </w:rPr>
              <w:t>因素法与项目法相结合</w:t>
            </w:r>
          </w:p>
        </w:tc>
      </w:tr>
      <w:tr>
        <w:trPr>
          <w:trHeight w:val="23"/>
        </w:trPr>
        <w:tc>
          <w:tcPr>
            <w:tcW w:w="652" w:type="dxa"/>
            <w:vMerge/>
            <w:tcBorders>
              <w:top w:val="single" w:sz="4" w:space="0" w:color="000000"/>
              <w:left w:val="single" w:sz="4" w:space="0" w:color="000000"/>
              <w:bottom w:val="single" w:sz="4" w:space="0" w:color="000000"/>
              <w:right w:val="single" w:sz="4" w:space="0" w:color="000000"/>
            </w:tcBorders>
            <w:noWrap/>
            <w:vAlign w:val="center"/>
          </w:tcPr>
          <w:p/>
        </w:tc>
        <w:tc>
          <w:tcPr>
            <w:tcW w:w="3974" w:type="dxa"/>
            <w:gridSpan w:val="3"/>
            <w:tcBorders>
              <w:top w:val="single" w:sz="4" w:space="0" w:color="000000"/>
              <w:left w:val="single" w:sz="4" w:space="0" w:color="000000"/>
              <w:bottom w:val="single" w:sz="4" w:space="0" w:color="000000"/>
              <w:right w:val="single" w:sz="4" w:space="0" w:color="000000"/>
            </w:tcBorders>
            <w:noWrap/>
            <w:vAlign w:val="center"/>
          </w:tcPr>
          <w:p>
            <w:pPr>
              <w:widowControl/>
              <w:spacing w:line="300" w:lineRule="exact"/>
              <w:jc w:val="left"/>
              <w:textAlignment w:val="center"/>
              <w:rPr>
                <w:rFonts w:ascii="宋体" w:cs="宋体"/>
                <w:color w:val="000000"/>
                <w:sz w:val="24"/>
              </w:rPr>
            </w:pPr>
            <w:r>
              <w:rPr>
                <w:rFonts w:ascii="宋体" w:cs="宋体"/>
                <w:color w:val="000000"/>
                <w:kern w:val="0"/>
                <w:sz w:val="24"/>
              </w:rPr>
              <w:t>立项依据</w:t>
            </w:r>
          </w:p>
        </w:tc>
        <w:tc>
          <w:tcPr>
            <w:tcW w:w="5719" w:type="dxa"/>
            <w:gridSpan w:val="5"/>
            <w:tcBorders>
              <w:top w:val="single" w:sz="4" w:space="0" w:color="000000"/>
              <w:left w:val="single" w:sz="4" w:space="0" w:color="000000"/>
              <w:bottom w:val="single" w:sz="4" w:space="0" w:color="000000"/>
              <w:right w:val="single" w:sz="4" w:space="0" w:color="000000"/>
            </w:tcBorders>
            <w:noWrap/>
            <w:vAlign w:val="center"/>
          </w:tcPr>
          <w:p>
            <w:pPr>
              <w:spacing w:line="300" w:lineRule="exact"/>
              <w:jc w:val="left"/>
              <w:rPr>
                <w:rFonts w:ascii="宋体" w:cs="宋体"/>
                <w:color w:val="000000"/>
                <w:sz w:val="24"/>
              </w:rPr>
            </w:pPr>
          </w:p>
        </w:tc>
      </w:tr>
      <w:tr>
        <w:trPr>
          <w:trHeight w:val="23"/>
        </w:trPr>
        <w:tc>
          <w:tcPr>
            <w:tcW w:w="652" w:type="dxa"/>
            <w:vMerge/>
            <w:tcBorders>
              <w:top w:val="single" w:sz="4" w:space="0" w:color="000000"/>
              <w:left w:val="single" w:sz="4" w:space="0" w:color="000000"/>
              <w:bottom w:val="single" w:sz="4" w:space="0" w:color="000000"/>
              <w:right w:val="single" w:sz="4" w:space="0" w:color="000000"/>
            </w:tcBorders>
            <w:noWrap/>
            <w:vAlign w:val="center"/>
          </w:tcPr>
          <w:p/>
        </w:tc>
        <w:tc>
          <w:tcPr>
            <w:tcW w:w="3974" w:type="dxa"/>
            <w:gridSpan w:val="3"/>
            <w:tcBorders>
              <w:top w:val="single" w:sz="4" w:space="0" w:color="000000"/>
              <w:left w:val="single" w:sz="4" w:space="0" w:color="000000"/>
              <w:bottom w:val="single" w:sz="4" w:space="0" w:color="000000"/>
              <w:right w:val="single" w:sz="4" w:space="0" w:color="000000"/>
            </w:tcBorders>
            <w:noWrap/>
            <w:vAlign w:val="center"/>
          </w:tcPr>
          <w:p>
            <w:pPr>
              <w:widowControl/>
              <w:spacing w:line="300" w:lineRule="exact"/>
              <w:jc w:val="left"/>
              <w:textAlignment w:val="center"/>
              <w:rPr>
                <w:rFonts w:ascii="宋体" w:cs="宋体"/>
                <w:color w:val="000000"/>
                <w:sz w:val="24"/>
              </w:rPr>
            </w:pPr>
            <w:r>
              <w:rPr>
                <w:rFonts w:ascii="宋体" w:cs="宋体"/>
                <w:color w:val="000000"/>
                <w:kern w:val="0"/>
                <w:sz w:val="24"/>
              </w:rPr>
              <w:t>使用范围</w:t>
            </w:r>
          </w:p>
        </w:tc>
        <w:tc>
          <w:tcPr>
            <w:tcW w:w="5719" w:type="dxa"/>
            <w:gridSpan w:val="5"/>
            <w:tcBorders>
              <w:top w:val="single" w:sz="4" w:space="0" w:color="000000"/>
              <w:left w:val="single" w:sz="4" w:space="0" w:color="000000"/>
              <w:bottom w:val="single" w:sz="4" w:space="0" w:color="000000"/>
              <w:right w:val="single" w:sz="4" w:space="0" w:color="000000"/>
            </w:tcBorders>
            <w:noWrap/>
            <w:vAlign w:val="center"/>
          </w:tcPr>
          <w:p>
            <w:pPr>
              <w:spacing w:line="300" w:lineRule="exact"/>
              <w:jc w:val="left"/>
              <w:rPr>
                <w:rFonts w:ascii="宋体" w:cs="宋体"/>
                <w:color w:val="000000"/>
                <w:sz w:val="24"/>
              </w:rPr>
            </w:pPr>
            <w:r>
              <w:rPr>
                <w:rFonts w:ascii="宋体" w:cs="宋体" w:hint="eastAsia"/>
                <w:color w:val="000000"/>
                <w:sz w:val="24"/>
              </w:rPr>
              <w:t>统计报表联网直报运行，开展统计业务工作的差旅、办公费、劳务费等</w:t>
            </w:r>
          </w:p>
        </w:tc>
      </w:tr>
      <w:tr>
        <w:trPr>
          <w:trHeight w:val="23"/>
        </w:trPr>
        <w:tc>
          <w:tcPr>
            <w:tcW w:w="652" w:type="dxa"/>
            <w:vMerge/>
            <w:tcBorders>
              <w:top w:val="single" w:sz="4" w:space="0" w:color="000000"/>
              <w:left w:val="single" w:sz="4" w:space="0" w:color="000000"/>
              <w:bottom w:val="single" w:sz="4" w:space="0" w:color="000000"/>
              <w:right w:val="single" w:sz="4" w:space="0" w:color="000000"/>
            </w:tcBorders>
            <w:noWrap/>
            <w:vAlign w:val="center"/>
          </w:tcPr>
          <w:p/>
        </w:tc>
        <w:tc>
          <w:tcPr>
            <w:tcW w:w="3974" w:type="dxa"/>
            <w:gridSpan w:val="3"/>
            <w:tcBorders>
              <w:top w:val="single" w:sz="4" w:space="0" w:color="000000"/>
              <w:left w:val="single" w:sz="4" w:space="0" w:color="000000"/>
              <w:bottom w:val="single" w:sz="4" w:space="0" w:color="000000"/>
              <w:right w:val="single" w:sz="4" w:space="0" w:color="000000"/>
            </w:tcBorders>
            <w:noWrap/>
            <w:vAlign w:val="center"/>
          </w:tcPr>
          <w:p>
            <w:pPr>
              <w:widowControl/>
              <w:spacing w:line="300" w:lineRule="exact"/>
              <w:jc w:val="left"/>
              <w:textAlignment w:val="center"/>
              <w:rPr>
                <w:rFonts w:ascii="宋体" w:cs="宋体"/>
                <w:color w:val="000000"/>
                <w:sz w:val="24"/>
              </w:rPr>
            </w:pPr>
            <w:r>
              <w:rPr>
                <w:rFonts w:ascii="宋体" w:cs="宋体"/>
                <w:color w:val="000000"/>
                <w:kern w:val="0"/>
                <w:sz w:val="24"/>
              </w:rPr>
              <w:t>申报（补助）条件</w:t>
            </w:r>
          </w:p>
        </w:tc>
        <w:tc>
          <w:tcPr>
            <w:tcW w:w="5719" w:type="dxa"/>
            <w:gridSpan w:val="5"/>
            <w:tcBorders>
              <w:top w:val="single" w:sz="4" w:space="0" w:color="000000"/>
              <w:left w:val="single" w:sz="4" w:space="0" w:color="000000"/>
              <w:bottom w:val="single" w:sz="4" w:space="0" w:color="000000"/>
              <w:right w:val="single" w:sz="4" w:space="0" w:color="000000"/>
            </w:tcBorders>
            <w:noWrap/>
            <w:vAlign w:val="center"/>
          </w:tcPr>
          <w:p>
            <w:pPr>
              <w:spacing w:line="300" w:lineRule="exact"/>
              <w:jc w:val="left"/>
              <w:rPr>
                <w:rFonts w:ascii="宋体" w:cs="宋体"/>
                <w:color w:val="000000"/>
                <w:sz w:val="24"/>
              </w:rPr>
            </w:pPr>
            <w:r>
              <w:rPr>
                <w:rFonts w:ascii="宋体" w:cs="宋体" w:hint="eastAsia"/>
                <w:color w:val="000000"/>
                <w:sz w:val="24"/>
              </w:rPr>
              <w:t>单位年度预算经费不足，需要单独预算保障统计重点工作</w:t>
            </w:r>
          </w:p>
        </w:tc>
      </w:tr>
      <w:tr>
        <w:trPr>
          <w:trHeight w:val="23"/>
        </w:trPr>
        <w:tc>
          <w:tcPr>
            <w:tcW w:w="652" w:type="dxa"/>
            <w:vMerge/>
            <w:tcBorders>
              <w:top w:val="single" w:sz="4" w:space="0" w:color="000000"/>
              <w:left w:val="single" w:sz="4" w:space="0" w:color="000000"/>
              <w:bottom w:val="single" w:sz="4" w:space="0" w:color="000000"/>
              <w:right w:val="single" w:sz="4" w:space="0" w:color="000000"/>
            </w:tcBorders>
            <w:noWrap/>
            <w:vAlign w:val="center"/>
          </w:tcPr>
          <w:p/>
        </w:tc>
        <w:tc>
          <w:tcPr>
            <w:tcW w:w="3974" w:type="dxa"/>
            <w:gridSpan w:val="3"/>
            <w:tcBorders>
              <w:top w:val="single" w:sz="4" w:space="0" w:color="000000"/>
              <w:left w:val="single" w:sz="4" w:space="0" w:color="000000"/>
              <w:bottom w:val="single" w:sz="4" w:space="0" w:color="000000"/>
              <w:right w:val="single" w:sz="4" w:space="0" w:color="000000"/>
            </w:tcBorders>
            <w:noWrap/>
            <w:vAlign w:val="center"/>
          </w:tcPr>
          <w:p>
            <w:pPr>
              <w:widowControl/>
              <w:spacing w:line="300" w:lineRule="exact"/>
              <w:jc w:val="left"/>
              <w:textAlignment w:val="center"/>
              <w:rPr>
                <w:rFonts w:ascii="宋体" w:cs="宋体"/>
                <w:color w:val="000000"/>
                <w:sz w:val="24"/>
              </w:rPr>
            </w:pPr>
            <w:r>
              <w:rPr>
                <w:rFonts w:ascii="宋体" w:cs="宋体"/>
                <w:color w:val="000000"/>
                <w:kern w:val="0"/>
                <w:sz w:val="24"/>
              </w:rPr>
              <w:t>项目起止年限</w:t>
            </w:r>
          </w:p>
        </w:tc>
        <w:tc>
          <w:tcPr>
            <w:tcW w:w="5719" w:type="dxa"/>
            <w:gridSpan w:val="5"/>
            <w:tcBorders>
              <w:top w:val="single" w:sz="4" w:space="0" w:color="000000"/>
              <w:left w:val="single" w:sz="4" w:space="0" w:color="000000"/>
              <w:bottom w:val="single" w:sz="4" w:space="0" w:color="000000"/>
              <w:right w:val="single" w:sz="4" w:space="0" w:color="000000"/>
            </w:tcBorders>
            <w:noWrap/>
            <w:vAlign w:val="center"/>
          </w:tcPr>
          <w:p>
            <w:pPr>
              <w:spacing w:line="300" w:lineRule="exact"/>
              <w:rPr>
                <w:rFonts w:ascii="宋体" w:cs="宋体"/>
                <w:color w:val="000000"/>
                <w:sz w:val="24"/>
              </w:rPr>
            </w:pPr>
            <w:r>
              <w:rPr>
                <w:rFonts w:ascii="宋体" w:cs="宋体" w:hint="eastAsia"/>
                <w:color w:val="000000"/>
                <w:sz w:val="24"/>
              </w:rPr>
              <w:t>常年预算项目</w:t>
            </w:r>
          </w:p>
        </w:tc>
      </w:tr>
      <w:tr>
        <w:trPr>
          <w:trHeight w:val="23"/>
        </w:trPr>
        <w:tc>
          <w:tcPr>
            <w:tcW w:w="1733" w:type="dxa"/>
            <w:gridSpan w:val="2"/>
            <w:vMerge w:val="restart"/>
            <w:tcBorders>
              <w:top w:val="single" w:sz="4" w:space="0" w:color="000000"/>
              <w:left w:val="single" w:sz="4" w:space="0" w:color="000000"/>
              <w:bottom w:val="single" w:sz="4" w:space="0" w:color="000000"/>
              <w:right w:val="single" w:sz="4" w:space="0" w:color="000000"/>
            </w:tcBorders>
            <w:noWrap/>
            <w:vAlign w:val="center"/>
          </w:tcPr>
          <w:p>
            <w:pPr>
              <w:widowControl/>
              <w:spacing w:line="300" w:lineRule="exact"/>
              <w:jc w:val="center"/>
              <w:textAlignment w:val="center"/>
              <w:rPr>
                <w:rFonts w:ascii="宋体" w:cs="宋体"/>
                <w:color w:val="000000"/>
                <w:kern w:val="0"/>
                <w:sz w:val="24"/>
              </w:rPr>
            </w:pPr>
            <w:r>
              <w:rPr>
                <w:rFonts w:ascii="宋体" w:cs="宋体"/>
                <w:color w:val="000000"/>
                <w:kern w:val="0"/>
                <w:sz w:val="24"/>
              </w:rPr>
              <w:t>项目资金</w:t>
            </w:r>
          </w:p>
          <w:p>
            <w:pPr>
              <w:widowControl/>
              <w:spacing w:line="300" w:lineRule="exact"/>
              <w:jc w:val="center"/>
              <w:textAlignment w:val="center"/>
              <w:rPr>
                <w:rFonts w:ascii="宋体" w:cs="宋体"/>
                <w:color w:val="000000"/>
                <w:sz w:val="24"/>
              </w:rPr>
            </w:pPr>
            <w:r>
              <w:rPr>
                <w:rFonts w:ascii="宋体" w:cs="宋体"/>
                <w:color w:val="000000"/>
                <w:kern w:val="0"/>
                <w:sz w:val="24"/>
              </w:rPr>
              <w:t>（万元）</w:t>
            </w:r>
          </w:p>
        </w:tc>
        <w:tc>
          <w:tcPr>
            <w:tcW w:w="2893" w:type="dxa"/>
            <w:gridSpan w:val="2"/>
            <w:tcBorders>
              <w:top w:val="single" w:sz="4" w:space="0" w:color="000000"/>
              <w:left w:val="single" w:sz="4" w:space="0" w:color="000000"/>
              <w:bottom w:val="single" w:sz="4" w:space="0" w:color="000000"/>
              <w:right w:val="single" w:sz="4" w:space="0" w:color="000000"/>
            </w:tcBorders>
            <w:noWrap/>
            <w:vAlign w:val="center"/>
          </w:tcPr>
          <w:p>
            <w:pPr>
              <w:widowControl/>
              <w:spacing w:line="300" w:lineRule="exact"/>
              <w:jc w:val="left"/>
              <w:textAlignment w:val="center"/>
              <w:rPr>
                <w:rFonts w:ascii="宋体" w:cs="宋体"/>
                <w:color w:val="000000"/>
                <w:sz w:val="24"/>
              </w:rPr>
            </w:pPr>
            <w:r>
              <w:rPr>
                <w:rFonts w:ascii="宋体" w:cs="宋体"/>
                <w:color w:val="000000"/>
                <w:kern w:val="0"/>
                <w:sz w:val="24"/>
              </w:rPr>
              <w:t xml:space="preserve">  年度资金总额：</w:t>
            </w:r>
          </w:p>
        </w:tc>
        <w:tc>
          <w:tcPr>
            <w:tcW w:w="5719" w:type="dxa"/>
            <w:gridSpan w:val="5"/>
            <w:tcBorders>
              <w:top w:val="single" w:sz="4" w:space="0" w:color="000000"/>
              <w:left w:val="single" w:sz="4" w:space="0" w:color="000000"/>
              <w:bottom w:val="single" w:sz="4" w:space="0" w:color="000000"/>
              <w:right w:val="single" w:sz="4" w:space="0" w:color="000000"/>
            </w:tcBorders>
            <w:noWrap/>
            <w:vAlign w:val="center"/>
          </w:tcPr>
          <w:p>
            <w:pPr>
              <w:spacing w:line="300" w:lineRule="exact"/>
              <w:jc w:val="center"/>
              <w:rPr>
                <w:rFonts w:ascii="宋体" w:cs="宋体"/>
                <w:color w:val="000000"/>
                <w:sz w:val="24"/>
              </w:rPr>
            </w:pPr>
            <w:r>
              <w:rPr>
                <w:rFonts w:ascii="宋体" w:cs="宋体" w:hint="eastAsia"/>
                <w:color w:val="000000"/>
                <w:sz w:val="24"/>
              </w:rPr>
              <w:t>40.00</w:t>
            </w:r>
          </w:p>
        </w:tc>
      </w:tr>
      <w:tr>
        <w:trPr>
          <w:trHeight w:val="23"/>
        </w:trPr>
        <w:tc>
          <w:tcPr>
            <w:tcW w:w="1733" w:type="dxa"/>
            <w:gridSpan w:val="2"/>
            <w:vMerge/>
            <w:tcBorders>
              <w:top w:val="single" w:sz="4" w:space="0" w:color="000000"/>
              <w:left w:val="single" w:sz="4" w:space="0" w:color="000000"/>
              <w:bottom w:val="single" w:sz="4" w:space="0" w:color="000000"/>
              <w:right w:val="single" w:sz="4" w:space="0" w:color="000000"/>
            </w:tcBorders>
            <w:noWrap/>
            <w:vAlign w:val="center"/>
          </w:tcPr>
          <w:p/>
        </w:tc>
        <w:tc>
          <w:tcPr>
            <w:tcW w:w="2893" w:type="dxa"/>
            <w:gridSpan w:val="2"/>
            <w:tcBorders>
              <w:top w:val="single" w:sz="4" w:space="0" w:color="000000"/>
              <w:left w:val="single" w:sz="4" w:space="0" w:color="000000"/>
              <w:bottom w:val="single" w:sz="4" w:space="0" w:color="000000"/>
              <w:right w:val="single" w:sz="4" w:space="0" w:color="000000"/>
            </w:tcBorders>
            <w:noWrap/>
            <w:vAlign w:val="center"/>
          </w:tcPr>
          <w:p>
            <w:pPr>
              <w:widowControl/>
              <w:spacing w:line="300" w:lineRule="exact"/>
              <w:jc w:val="left"/>
              <w:textAlignment w:val="center"/>
              <w:rPr>
                <w:rFonts w:ascii="宋体" w:cs="宋体"/>
                <w:color w:val="000000"/>
                <w:sz w:val="24"/>
              </w:rPr>
            </w:pPr>
            <w:r>
              <w:rPr>
                <w:rFonts w:ascii="宋体" w:cs="宋体"/>
                <w:color w:val="000000"/>
                <w:kern w:val="0"/>
                <w:sz w:val="24"/>
              </w:rPr>
              <w:t xml:space="preserve">     </w:t>
            </w:r>
            <w:r>
              <w:rPr>
                <w:rFonts w:ascii="宋体" w:cs="宋体" w:hint="eastAsia"/>
                <w:color w:val="000000"/>
                <w:kern w:val="0"/>
                <w:sz w:val="24"/>
              </w:rPr>
              <w:t xml:space="preserve"> </w:t>
            </w:r>
            <w:r>
              <w:rPr>
                <w:rFonts w:ascii="宋体" w:cs="宋体"/>
                <w:color w:val="000000"/>
                <w:kern w:val="0"/>
                <w:sz w:val="24"/>
              </w:rPr>
              <w:t>其中：财政拨款</w:t>
            </w:r>
          </w:p>
        </w:tc>
        <w:tc>
          <w:tcPr>
            <w:tcW w:w="5719" w:type="dxa"/>
            <w:gridSpan w:val="5"/>
            <w:tcBorders>
              <w:top w:val="single" w:sz="4" w:space="0" w:color="000000"/>
              <w:left w:val="single" w:sz="4" w:space="0" w:color="000000"/>
              <w:bottom w:val="single" w:sz="4" w:space="0" w:color="000000"/>
              <w:right w:val="single" w:sz="4" w:space="0" w:color="000000"/>
            </w:tcBorders>
            <w:noWrap/>
            <w:vAlign w:val="center"/>
          </w:tcPr>
          <w:p>
            <w:pPr>
              <w:spacing w:line="300" w:lineRule="exact"/>
              <w:jc w:val="center"/>
              <w:rPr>
                <w:rFonts w:ascii="宋体" w:cs="宋体"/>
                <w:color w:val="000000"/>
                <w:sz w:val="24"/>
              </w:rPr>
            </w:pPr>
            <w:r>
              <w:rPr>
                <w:rFonts w:ascii="宋体" w:cs="宋体" w:hint="eastAsia"/>
                <w:color w:val="000000"/>
                <w:sz w:val="24"/>
              </w:rPr>
              <w:t>40.00</w:t>
            </w:r>
          </w:p>
        </w:tc>
      </w:tr>
      <w:tr>
        <w:trPr>
          <w:trHeight w:val="23"/>
        </w:trPr>
        <w:tc>
          <w:tcPr>
            <w:tcW w:w="1733" w:type="dxa"/>
            <w:gridSpan w:val="2"/>
            <w:vMerge/>
            <w:tcBorders>
              <w:top w:val="single" w:sz="4" w:space="0" w:color="000000"/>
              <w:left w:val="single" w:sz="4" w:space="0" w:color="000000"/>
              <w:bottom w:val="single" w:sz="4" w:space="0" w:color="000000"/>
              <w:right w:val="single" w:sz="4" w:space="0" w:color="000000"/>
            </w:tcBorders>
            <w:noWrap/>
            <w:vAlign w:val="center"/>
          </w:tcPr>
          <w:p/>
        </w:tc>
        <w:tc>
          <w:tcPr>
            <w:tcW w:w="2893" w:type="dxa"/>
            <w:gridSpan w:val="2"/>
            <w:tcBorders>
              <w:top w:val="single" w:sz="4" w:space="0" w:color="000000"/>
              <w:left w:val="single" w:sz="4" w:space="0" w:color="000000"/>
              <w:bottom w:val="single" w:sz="4" w:space="0" w:color="000000"/>
              <w:right w:val="single" w:sz="4" w:space="0" w:color="000000"/>
            </w:tcBorders>
            <w:noWrap/>
            <w:vAlign w:val="center"/>
          </w:tcPr>
          <w:p>
            <w:pPr>
              <w:widowControl/>
              <w:spacing w:line="300" w:lineRule="exact"/>
              <w:jc w:val="left"/>
              <w:textAlignment w:val="center"/>
              <w:rPr>
                <w:rFonts w:ascii="宋体" w:cs="宋体"/>
                <w:color w:val="000000"/>
                <w:sz w:val="24"/>
              </w:rPr>
            </w:pPr>
            <w:r>
              <w:rPr>
                <w:rFonts w:ascii="宋体" w:cs="宋体"/>
                <w:color w:val="000000"/>
                <w:kern w:val="0"/>
                <w:sz w:val="24"/>
              </w:rPr>
              <w:t xml:space="preserve">            其他资金</w:t>
            </w:r>
          </w:p>
        </w:tc>
        <w:tc>
          <w:tcPr>
            <w:tcW w:w="5719" w:type="dxa"/>
            <w:gridSpan w:val="5"/>
            <w:tcBorders>
              <w:top w:val="single" w:sz="4" w:space="0" w:color="000000"/>
              <w:left w:val="single" w:sz="4" w:space="0" w:color="000000"/>
              <w:bottom w:val="single" w:sz="4" w:space="0" w:color="000000"/>
              <w:right w:val="single" w:sz="4" w:space="0" w:color="000000"/>
            </w:tcBorders>
            <w:noWrap/>
            <w:vAlign w:val="center"/>
          </w:tcPr>
          <w:p>
            <w:pPr>
              <w:spacing w:line="300" w:lineRule="exact"/>
              <w:jc w:val="right"/>
              <w:rPr>
                <w:rFonts w:ascii="宋体" w:cs="宋体"/>
                <w:color w:val="000000"/>
                <w:sz w:val="24"/>
              </w:rPr>
            </w:pPr>
          </w:p>
        </w:tc>
      </w:tr>
      <w:tr>
        <w:trPr>
          <w:trHeight w:val="23"/>
        </w:trPr>
        <w:tc>
          <w:tcPr>
            <w:tcW w:w="652" w:type="dxa"/>
            <w:vMerge w:val="restart"/>
            <w:tcBorders>
              <w:top w:val="single" w:sz="4" w:space="0" w:color="000000"/>
              <w:left w:val="single" w:sz="4" w:space="0" w:color="000000"/>
              <w:bottom w:val="single" w:sz="4" w:space="0" w:color="000000"/>
              <w:right w:val="single" w:sz="4" w:space="0" w:color="000000"/>
            </w:tcBorders>
            <w:noWrap/>
            <w:vAlign w:val="center"/>
          </w:tcPr>
          <w:p>
            <w:pPr>
              <w:widowControl/>
              <w:spacing w:line="300" w:lineRule="exact"/>
              <w:jc w:val="center"/>
              <w:textAlignment w:val="center"/>
              <w:rPr>
                <w:rFonts w:ascii="宋体" w:cs="宋体"/>
                <w:color w:val="000000"/>
                <w:sz w:val="24"/>
              </w:rPr>
            </w:pPr>
            <w:r>
              <w:rPr>
                <w:rFonts w:ascii="宋体" w:cs="宋体"/>
                <w:color w:val="000000"/>
                <w:kern w:val="0"/>
                <w:sz w:val="24"/>
              </w:rPr>
              <w:t>总体 目标</w:t>
            </w:r>
          </w:p>
        </w:tc>
        <w:tc>
          <w:tcPr>
            <w:tcW w:w="9693" w:type="dxa"/>
            <w:gridSpan w:val="8"/>
            <w:tcBorders>
              <w:top w:val="single" w:sz="4" w:space="0" w:color="000000"/>
              <w:left w:val="single" w:sz="4" w:space="0" w:color="000000"/>
              <w:bottom w:val="single" w:sz="4" w:space="0" w:color="000000"/>
              <w:right w:val="single" w:sz="4" w:space="0" w:color="000000"/>
            </w:tcBorders>
            <w:noWrap/>
            <w:vAlign w:val="center"/>
          </w:tcPr>
          <w:p>
            <w:pPr>
              <w:widowControl/>
              <w:spacing w:line="300" w:lineRule="exact"/>
              <w:jc w:val="center"/>
              <w:textAlignment w:val="center"/>
              <w:rPr>
                <w:rFonts w:ascii="宋体" w:cs="宋体"/>
                <w:color w:val="000000"/>
                <w:sz w:val="24"/>
              </w:rPr>
            </w:pPr>
            <w:r>
              <w:rPr>
                <w:rFonts w:ascii="宋体" w:cs="宋体"/>
                <w:color w:val="000000"/>
                <w:kern w:val="0"/>
                <w:sz w:val="24"/>
              </w:rPr>
              <w:t>年度目标</w:t>
            </w:r>
          </w:p>
        </w:tc>
      </w:tr>
      <w:tr>
        <w:trPr>
          <w:trHeight w:val="23"/>
        </w:trPr>
        <w:tc>
          <w:tcPr>
            <w:tcW w:w="652" w:type="dxa"/>
            <w:vMerge/>
            <w:tcBorders>
              <w:top w:val="single" w:sz="4" w:space="0" w:color="000000"/>
              <w:left w:val="single" w:sz="4" w:space="0" w:color="000000"/>
              <w:bottom w:val="single" w:sz="4" w:space="0" w:color="000000"/>
              <w:right w:val="single" w:sz="4" w:space="0" w:color="000000"/>
            </w:tcBorders>
            <w:noWrap/>
            <w:vAlign w:val="center"/>
          </w:tcPr>
          <w:p/>
        </w:tc>
        <w:tc>
          <w:tcPr>
            <w:tcW w:w="9693" w:type="dxa"/>
            <w:gridSpan w:val="8"/>
            <w:tcBorders>
              <w:top w:val="single" w:sz="4" w:space="0" w:color="000000"/>
              <w:left w:val="single" w:sz="4" w:space="0" w:color="000000"/>
              <w:bottom w:val="single" w:sz="4" w:space="0" w:color="000000"/>
              <w:right w:val="single" w:sz="4" w:space="0" w:color="000000"/>
            </w:tcBorders>
            <w:noWrap/>
            <w:vAlign w:val="center"/>
          </w:tcPr>
          <w:p>
            <w:pPr>
              <w:spacing w:line="300" w:lineRule="exact"/>
              <w:rPr>
                <w:rFonts w:ascii="宋体" w:cs="宋体"/>
                <w:color w:val="000000"/>
                <w:sz w:val="24"/>
              </w:rPr>
            </w:pPr>
            <w:r>
              <w:rPr>
                <w:rFonts w:ascii="宋体" w:cs="宋体" w:hint="eastAsia"/>
                <w:color w:val="000000"/>
                <w:sz w:val="24"/>
              </w:rPr>
              <w:t>开展各专业年报、季报、月报，准保报表及时，数据准确无误，做到应统尽统，颗粒归仓，有效开展统计执法工作和统计人员相关培训工作，按季度开展经济</w:t>
            </w:r>
            <w:r>
              <w:rPr>
                <w:rFonts w:ascii="宋体" w:cs="宋体"/>
                <w:color w:val="000000"/>
                <w:sz w:val="24"/>
              </w:rPr>
              <w:t>运行</w:t>
            </w:r>
            <w:r>
              <w:rPr>
                <w:rFonts w:ascii="宋体" w:cs="宋体" w:hint="eastAsia"/>
                <w:color w:val="000000"/>
                <w:sz w:val="24"/>
              </w:rPr>
              <w:t>分析等。</w:t>
            </w:r>
          </w:p>
        </w:tc>
      </w:tr>
      <w:tr>
        <w:trPr>
          <w:trHeight w:val="23"/>
        </w:trPr>
        <w:tc>
          <w:tcPr>
            <w:tcW w:w="652" w:type="dxa"/>
            <w:vMerge w:val="restart"/>
            <w:tcBorders>
              <w:top w:val="single" w:sz="4" w:space="0" w:color="000000"/>
              <w:left w:val="single" w:sz="4" w:space="0" w:color="000000"/>
              <w:bottom w:val="single" w:sz="4" w:space="0" w:color="000000"/>
            </w:tcBorders>
            <w:noWrap/>
            <w:vAlign w:val="center"/>
          </w:tcPr>
          <w:p>
            <w:pPr>
              <w:widowControl/>
              <w:spacing w:line="300" w:lineRule="exact"/>
              <w:jc w:val="center"/>
              <w:textAlignment w:val="center"/>
              <w:rPr>
                <w:rFonts w:ascii="宋体" w:cs="宋体"/>
                <w:color w:val="000000"/>
                <w:sz w:val="24"/>
              </w:rPr>
            </w:pPr>
            <w:r>
              <w:rPr>
                <w:rFonts w:ascii="宋体" w:cs="宋体"/>
                <w:color w:val="000000"/>
                <w:kern w:val="0"/>
                <w:sz w:val="24"/>
              </w:rPr>
              <w:t>绩效 指标</w:t>
            </w:r>
          </w:p>
        </w:tc>
        <w:tc>
          <w:tcPr>
            <w:tcW w:w="1081" w:type="dxa"/>
            <w:tcBorders>
              <w:top w:val="single" w:sz="4" w:space="0" w:color="000000"/>
              <w:left w:val="single" w:sz="4" w:space="0" w:color="000000"/>
              <w:bottom w:val="single" w:sz="4" w:space="0" w:color="000000"/>
              <w:right w:val="single" w:sz="4" w:space="0" w:color="000000"/>
            </w:tcBorders>
            <w:noWrap/>
            <w:vAlign w:val="center"/>
          </w:tcPr>
          <w:p>
            <w:pPr>
              <w:widowControl/>
              <w:spacing w:line="300" w:lineRule="exact"/>
              <w:jc w:val="center"/>
              <w:textAlignment w:val="center"/>
              <w:rPr>
                <w:rFonts w:ascii="宋体" w:cs="宋体"/>
                <w:color w:val="000000"/>
                <w:sz w:val="24"/>
              </w:rPr>
            </w:pPr>
            <w:r>
              <w:rPr>
                <w:rFonts w:ascii="宋体" w:cs="宋体"/>
                <w:color w:val="000000"/>
                <w:kern w:val="0"/>
                <w:sz w:val="24"/>
              </w:rPr>
              <w:t>一级指标</w:t>
            </w:r>
          </w:p>
        </w:tc>
        <w:tc>
          <w:tcPr>
            <w:tcW w:w="1250" w:type="dxa"/>
            <w:tcBorders>
              <w:top w:val="single" w:sz="4" w:space="0" w:color="000000"/>
              <w:left w:val="single" w:sz="4" w:space="0" w:color="000000"/>
              <w:bottom w:val="single" w:sz="4" w:space="0" w:color="000000"/>
              <w:right w:val="single" w:sz="4" w:space="0" w:color="000000"/>
            </w:tcBorders>
            <w:noWrap/>
            <w:vAlign w:val="center"/>
          </w:tcPr>
          <w:p>
            <w:pPr>
              <w:widowControl/>
              <w:spacing w:line="300" w:lineRule="exact"/>
              <w:jc w:val="center"/>
              <w:textAlignment w:val="center"/>
              <w:rPr>
                <w:rFonts w:ascii="宋体" w:cs="宋体"/>
                <w:color w:val="000000"/>
                <w:sz w:val="24"/>
              </w:rPr>
            </w:pPr>
            <w:r>
              <w:rPr>
                <w:rFonts w:ascii="宋体" w:cs="宋体"/>
                <w:color w:val="000000"/>
                <w:kern w:val="0"/>
                <w:sz w:val="24"/>
              </w:rPr>
              <w:t>二级指标</w:t>
            </w:r>
          </w:p>
        </w:tc>
        <w:tc>
          <w:tcPr>
            <w:tcW w:w="1643" w:type="dxa"/>
            <w:tcBorders>
              <w:top w:val="single" w:sz="4" w:space="0" w:color="000000"/>
              <w:left w:val="single" w:sz="4" w:space="0" w:color="000000"/>
              <w:bottom w:val="single" w:sz="4" w:space="0" w:color="000000"/>
              <w:right w:val="single" w:sz="4" w:space="0" w:color="000000"/>
            </w:tcBorders>
            <w:noWrap/>
            <w:vAlign w:val="center"/>
          </w:tcPr>
          <w:p>
            <w:pPr>
              <w:widowControl/>
              <w:spacing w:line="300" w:lineRule="exact"/>
              <w:jc w:val="center"/>
              <w:textAlignment w:val="center"/>
              <w:rPr>
                <w:rFonts w:ascii="宋体" w:cs="宋体"/>
                <w:color w:val="000000"/>
                <w:sz w:val="24"/>
              </w:rPr>
            </w:pPr>
            <w:r>
              <w:rPr>
                <w:rFonts w:ascii="宋体" w:cs="宋体"/>
                <w:color w:val="000000"/>
                <w:kern w:val="0"/>
                <w:sz w:val="24"/>
              </w:rPr>
              <w:t>三级指标</w:t>
            </w:r>
          </w:p>
        </w:tc>
        <w:tc>
          <w:tcPr>
            <w:tcW w:w="1155" w:type="dxa"/>
            <w:tcBorders>
              <w:top w:val="single" w:sz="4" w:space="0" w:color="000000"/>
              <w:left w:val="single" w:sz="4" w:space="0" w:color="000000"/>
              <w:bottom w:val="single" w:sz="4" w:space="0" w:color="000000"/>
              <w:right w:val="single" w:sz="4" w:space="0" w:color="000000"/>
            </w:tcBorders>
            <w:noWrap/>
            <w:vAlign w:val="center"/>
          </w:tcPr>
          <w:p>
            <w:pPr>
              <w:widowControl/>
              <w:spacing w:line="300" w:lineRule="exact"/>
              <w:jc w:val="center"/>
              <w:textAlignment w:val="center"/>
              <w:rPr>
                <w:rFonts w:ascii="宋体" w:cs="宋体"/>
                <w:color w:val="000000"/>
                <w:sz w:val="24"/>
              </w:rPr>
            </w:pPr>
            <w:r>
              <w:rPr>
                <w:rFonts w:ascii="宋体" w:cs="宋体"/>
                <w:color w:val="000000"/>
                <w:kern w:val="0"/>
                <w:sz w:val="24"/>
              </w:rPr>
              <w:t>指标性质</w:t>
            </w:r>
          </w:p>
        </w:tc>
        <w:tc>
          <w:tcPr>
            <w:tcW w:w="945" w:type="dxa"/>
            <w:tcBorders>
              <w:top w:val="single" w:sz="4" w:space="0" w:color="000000"/>
              <w:left w:val="single" w:sz="4" w:space="0" w:color="000000"/>
              <w:bottom w:val="single" w:sz="4" w:space="0" w:color="000000"/>
              <w:right w:val="single" w:sz="4" w:space="0" w:color="000000"/>
            </w:tcBorders>
            <w:noWrap/>
            <w:vAlign w:val="center"/>
          </w:tcPr>
          <w:p>
            <w:pPr>
              <w:widowControl/>
              <w:spacing w:line="300" w:lineRule="exact"/>
              <w:jc w:val="center"/>
              <w:textAlignment w:val="center"/>
              <w:rPr>
                <w:rFonts w:ascii="宋体" w:cs="宋体"/>
                <w:color w:val="000000"/>
                <w:sz w:val="24"/>
              </w:rPr>
            </w:pPr>
            <w:r>
              <w:rPr>
                <w:rFonts w:ascii="宋体" w:cs="宋体"/>
                <w:color w:val="000000"/>
                <w:kern w:val="0"/>
                <w:sz w:val="24"/>
              </w:rPr>
              <w:t>指标值</w:t>
            </w:r>
          </w:p>
        </w:tc>
        <w:tc>
          <w:tcPr>
            <w:tcW w:w="1095" w:type="dxa"/>
            <w:tcBorders>
              <w:top w:val="single" w:sz="4" w:space="0" w:color="000000"/>
              <w:left w:val="single" w:sz="4" w:space="0" w:color="000000"/>
              <w:bottom w:val="single" w:sz="4" w:space="0" w:color="000000"/>
              <w:right w:val="single" w:sz="4" w:space="0" w:color="000000"/>
            </w:tcBorders>
            <w:noWrap/>
            <w:vAlign w:val="center"/>
          </w:tcPr>
          <w:p>
            <w:pPr>
              <w:widowControl/>
              <w:spacing w:line="300" w:lineRule="exact"/>
              <w:jc w:val="center"/>
              <w:textAlignment w:val="center"/>
              <w:rPr>
                <w:rFonts w:ascii="宋体" w:cs="宋体"/>
                <w:color w:val="000000"/>
                <w:sz w:val="24"/>
              </w:rPr>
            </w:pPr>
            <w:r>
              <w:rPr>
                <w:rFonts w:ascii="宋体" w:cs="宋体"/>
                <w:color w:val="000000"/>
                <w:kern w:val="0"/>
                <w:sz w:val="24"/>
              </w:rPr>
              <w:t>度量单位</w:t>
            </w:r>
          </w:p>
        </w:tc>
        <w:tc>
          <w:tcPr>
            <w:tcW w:w="765" w:type="dxa"/>
            <w:tcBorders>
              <w:top w:val="single" w:sz="4" w:space="0" w:color="000000"/>
              <w:left w:val="single" w:sz="4" w:space="0" w:color="000000"/>
              <w:bottom w:val="single" w:sz="4" w:space="0" w:color="000000"/>
              <w:right w:val="single" w:sz="4" w:space="0" w:color="000000"/>
            </w:tcBorders>
            <w:noWrap/>
            <w:vAlign w:val="center"/>
          </w:tcPr>
          <w:p>
            <w:pPr>
              <w:widowControl/>
              <w:spacing w:line="300" w:lineRule="exact"/>
              <w:jc w:val="center"/>
              <w:textAlignment w:val="center"/>
              <w:rPr>
                <w:rFonts w:ascii="宋体" w:cs="宋体"/>
                <w:color w:val="000000"/>
                <w:sz w:val="24"/>
              </w:rPr>
            </w:pPr>
            <w:r>
              <w:rPr>
                <w:rFonts w:ascii="宋体" w:cs="宋体"/>
                <w:color w:val="000000"/>
                <w:kern w:val="0"/>
                <w:sz w:val="24"/>
              </w:rPr>
              <w:t>权重</w:t>
            </w:r>
          </w:p>
        </w:tc>
        <w:tc>
          <w:tcPr>
            <w:tcW w:w="1759" w:type="dxa"/>
            <w:tcBorders>
              <w:top w:val="single" w:sz="4" w:space="0" w:color="000000"/>
              <w:left w:val="single" w:sz="4" w:space="0" w:color="000000"/>
              <w:bottom w:val="single" w:sz="4" w:space="0" w:color="000000"/>
              <w:right w:val="single" w:sz="4" w:space="0" w:color="000000"/>
            </w:tcBorders>
            <w:noWrap/>
            <w:vAlign w:val="center"/>
          </w:tcPr>
          <w:p>
            <w:pPr>
              <w:widowControl/>
              <w:spacing w:line="300" w:lineRule="exact"/>
              <w:jc w:val="center"/>
              <w:textAlignment w:val="center"/>
              <w:rPr>
                <w:rFonts w:ascii="宋体" w:cs="宋体"/>
                <w:color w:val="000000"/>
                <w:sz w:val="24"/>
              </w:rPr>
            </w:pPr>
            <w:r>
              <w:rPr>
                <w:rFonts w:ascii="宋体" w:cs="宋体"/>
                <w:color w:val="000000"/>
                <w:kern w:val="0"/>
                <w:sz w:val="24"/>
              </w:rPr>
              <w:t>实际完成指标值</w:t>
            </w:r>
          </w:p>
        </w:tc>
      </w:tr>
      <w:tr>
        <w:trPr>
          <w:trHeight w:val="23"/>
        </w:trPr>
        <w:tc>
          <w:tcPr>
            <w:tcW w:w="652" w:type="dxa"/>
            <w:vMerge/>
            <w:tcBorders>
              <w:top w:val="single" w:sz="4" w:space="0" w:color="000000"/>
              <w:left w:val="single" w:sz="4" w:space="0" w:color="000000"/>
              <w:bottom w:val="single" w:sz="4" w:space="0" w:color="000000"/>
            </w:tcBorders>
            <w:noWrap/>
            <w:vAlign w:val="center"/>
          </w:tcPr>
          <w:p/>
        </w:tc>
        <w:tc>
          <w:tcPr>
            <w:tcW w:w="1081" w:type="dxa"/>
            <w:vMerge w:val="restart"/>
            <w:tcBorders>
              <w:top w:val="single" w:sz="4" w:space="0" w:color="000000"/>
              <w:left w:val="single" w:sz="4" w:space="0" w:color="000000"/>
              <w:bottom w:val="single" w:sz="4" w:space="0" w:color="000000"/>
              <w:right w:val="single" w:sz="4" w:space="0" w:color="000000"/>
            </w:tcBorders>
            <w:noWrap/>
            <w:vAlign w:val="center"/>
          </w:tcPr>
          <w:p>
            <w:pPr>
              <w:widowControl/>
              <w:spacing w:line="300" w:lineRule="exact"/>
              <w:jc w:val="center"/>
              <w:textAlignment w:val="center"/>
              <w:rPr>
                <w:rFonts w:ascii="宋体" w:cs="宋体"/>
                <w:color w:val="000000"/>
                <w:sz w:val="24"/>
              </w:rPr>
            </w:pPr>
            <w:r>
              <w:rPr>
                <w:rFonts w:ascii="宋体" w:cs="宋体"/>
                <w:color w:val="000000"/>
                <w:kern w:val="0"/>
                <w:sz w:val="24"/>
              </w:rPr>
              <w:t>产出指标</w:t>
            </w:r>
          </w:p>
        </w:tc>
        <w:tc>
          <w:tcPr>
            <w:tcW w:w="1250" w:type="dxa"/>
            <w:tcBorders>
              <w:top w:val="single" w:sz="4" w:space="0" w:color="000000"/>
              <w:left w:val="single" w:sz="4" w:space="0" w:color="000000"/>
              <w:bottom w:val="single" w:sz="4" w:space="0" w:color="000000"/>
              <w:right w:val="single" w:sz="4" w:space="0" w:color="000000"/>
            </w:tcBorders>
            <w:noWrap/>
            <w:vAlign w:val="center"/>
          </w:tcPr>
          <w:p>
            <w:pPr>
              <w:widowControl/>
              <w:spacing w:line="300" w:lineRule="exact"/>
              <w:jc w:val="center"/>
              <w:textAlignment w:val="center"/>
              <w:rPr>
                <w:rFonts w:ascii="宋体" w:cs="宋体"/>
                <w:color w:val="000000"/>
                <w:sz w:val="24"/>
              </w:rPr>
            </w:pPr>
            <w:r>
              <w:rPr>
                <w:rFonts w:ascii="宋体" w:cs="宋体"/>
                <w:color w:val="000000"/>
                <w:kern w:val="0"/>
                <w:sz w:val="24"/>
              </w:rPr>
              <w:t>数量指标</w:t>
            </w:r>
          </w:p>
        </w:tc>
        <w:tc>
          <w:tcPr>
            <w:tcW w:w="1643" w:type="dxa"/>
            <w:tcBorders>
              <w:top w:val="single" w:sz="4" w:space="0" w:color="000000"/>
              <w:left w:val="single" w:sz="4" w:space="0" w:color="000000"/>
              <w:bottom w:val="single" w:sz="4" w:space="0" w:color="000000"/>
              <w:right w:val="single" w:sz="4" w:space="0" w:color="000000"/>
            </w:tcBorders>
            <w:noWrap/>
            <w:vAlign w:val="center"/>
          </w:tcPr>
          <w:p>
            <w:pPr>
              <w:spacing w:line="300" w:lineRule="exact"/>
              <w:rPr>
                <w:rFonts w:ascii="宋体" w:cs="宋体"/>
                <w:color w:val="000000"/>
                <w:sz w:val="24"/>
              </w:rPr>
            </w:pPr>
            <w:r>
              <w:rPr>
                <w:rFonts w:ascii="宋体" w:cs="宋体" w:hint="eastAsia"/>
                <w:color w:val="000000"/>
                <w:sz w:val="24"/>
              </w:rPr>
              <w:t>联网直报户数</w:t>
            </w:r>
          </w:p>
        </w:tc>
        <w:tc>
          <w:tcPr>
            <w:tcW w:w="1155" w:type="dxa"/>
            <w:tcBorders>
              <w:top w:val="single" w:sz="4" w:space="0" w:color="000000"/>
              <w:left w:val="single" w:sz="4" w:space="0" w:color="000000"/>
              <w:bottom w:val="single" w:sz="4" w:space="0" w:color="000000"/>
              <w:right w:val="single" w:sz="4" w:space="0" w:color="000000"/>
            </w:tcBorders>
            <w:noWrap/>
            <w:vAlign w:val="center"/>
          </w:tcPr>
          <w:p>
            <w:pPr>
              <w:spacing w:line="300" w:lineRule="exact"/>
              <w:jc w:val="center"/>
              <w:rPr>
                <w:rFonts w:ascii="宋体" w:cs="宋体"/>
                <w:color w:val="000000"/>
                <w:sz w:val="24"/>
              </w:rPr>
            </w:pPr>
            <w:r>
              <w:rPr>
                <w:rFonts w:ascii="Arial" w:cs="Arial" w:hAnsi="Arial"/>
                <w:color w:val="000000"/>
                <w:sz w:val="24"/>
              </w:rPr>
              <w:t>≥</w:t>
            </w:r>
          </w:p>
        </w:tc>
        <w:tc>
          <w:tcPr>
            <w:tcW w:w="945" w:type="dxa"/>
            <w:tcBorders>
              <w:top w:val="single" w:sz="4" w:space="0" w:color="000000"/>
              <w:left w:val="single" w:sz="4" w:space="0" w:color="000000"/>
              <w:bottom w:val="single" w:sz="4" w:space="0" w:color="000000"/>
              <w:right w:val="single" w:sz="4" w:space="0" w:color="000000"/>
            </w:tcBorders>
            <w:noWrap/>
            <w:vAlign w:val="center"/>
          </w:tcPr>
          <w:p>
            <w:pPr>
              <w:spacing w:line="300" w:lineRule="exact"/>
              <w:jc w:val="center"/>
              <w:rPr>
                <w:rFonts w:ascii="宋体" w:cs="宋体"/>
                <w:color w:val="000000"/>
                <w:sz w:val="24"/>
              </w:rPr>
            </w:pPr>
            <w:r>
              <w:rPr>
                <w:rFonts w:ascii="宋体" w:cs="宋体" w:hint="eastAsia"/>
                <w:color w:val="000000"/>
                <w:sz w:val="24"/>
              </w:rPr>
              <w:t>95</w:t>
            </w:r>
          </w:p>
        </w:tc>
        <w:tc>
          <w:tcPr>
            <w:tcW w:w="1095" w:type="dxa"/>
            <w:tcBorders>
              <w:top w:val="single" w:sz="4" w:space="0" w:color="000000"/>
              <w:left w:val="single" w:sz="4" w:space="0" w:color="000000"/>
              <w:bottom w:val="single" w:sz="4" w:space="0" w:color="000000"/>
              <w:right w:val="single" w:sz="4" w:space="0" w:color="000000"/>
            </w:tcBorders>
            <w:noWrap/>
            <w:vAlign w:val="center"/>
          </w:tcPr>
          <w:p>
            <w:pPr>
              <w:spacing w:line="300" w:lineRule="exact"/>
              <w:jc w:val="center"/>
              <w:rPr>
                <w:rFonts w:ascii="宋体" w:cs="宋体"/>
                <w:color w:val="000000"/>
                <w:sz w:val="24"/>
              </w:rPr>
            </w:pPr>
            <w:r>
              <w:rPr>
                <w:rFonts w:ascii="宋体" w:cs="宋体" w:hint="eastAsia"/>
                <w:color w:val="000000"/>
                <w:sz w:val="24"/>
              </w:rPr>
              <w:t>户</w:t>
            </w:r>
          </w:p>
        </w:tc>
        <w:tc>
          <w:tcPr>
            <w:tcW w:w="765" w:type="dxa"/>
            <w:tcBorders>
              <w:top w:val="single" w:sz="4" w:space="0" w:color="000000"/>
              <w:left w:val="single" w:sz="4" w:space="0" w:color="000000"/>
              <w:bottom w:val="single" w:sz="4" w:space="0" w:color="000000"/>
              <w:right w:val="single" w:sz="4" w:space="0" w:color="000000"/>
            </w:tcBorders>
            <w:noWrap/>
            <w:vAlign w:val="center"/>
          </w:tcPr>
          <w:p>
            <w:pPr>
              <w:spacing w:line="300" w:lineRule="exact"/>
              <w:jc w:val="center"/>
              <w:rPr>
                <w:rFonts w:ascii="宋体" w:cs="宋体"/>
                <w:color w:val="000000"/>
                <w:sz w:val="24"/>
              </w:rPr>
            </w:pPr>
            <w:r>
              <w:rPr>
                <w:rFonts w:ascii="宋体" w:cs="宋体" w:hint="eastAsia"/>
                <w:color w:val="000000"/>
                <w:sz w:val="24"/>
              </w:rPr>
              <w:t>20</w:t>
            </w:r>
          </w:p>
        </w:tc>
        <w:tc>
          <w:tcPr>
            <w:tcW w:w="1759" w:type="dxa"/>
            <w:tcBorders>
              <w:top w:val="single" w:sz="4" w:space="0" w:color="000000"/>
              <w:left w:val="single" w:sz="4" w:space="0" w:color="000000"/>
              <w:bottom w:val="single" w:sz="4" w:space="0" w:color="000000"/>
              <w:right w:val="single" w:sz="4" w:space="0" w:color="000000"/>
            </w:tcBorders>
            <w:noWrap/>
            <w:vAlign w:val="center"/>
          </w:tcPr>
          <w:p>
            <w:pPr>
              <w:spacing w:line="300" w:lineRule="exact"/>
              <w:jc w:val="center"/>
              <w:rPr>
                <w:rFonts w:ascii="宋体" w:cs="宋体"/>
                <w:color w:val="000000"/>
                <w:sz w:val="24"/>
              </w:rPr>
            </w:pPr>
            <w:r>
              <w:rPr>
                <w:rFonts w:ascii="宋体" w:cs="宋体" w:hint="eastAsia"/>
                <w:color w:val="000000"/>
                <w:sz w:val="24"/>
              </w:rPr>
              <w:t>96</w:t>
            </w:r>
          </w:p>
        </w:tc>
      </w:tr>
      <w:tr>
        <w:trPr>
          <w:trHeight w:val="23"/>
        </w:trPr>
        <w:tc>
          <w:tcPr>
            <w:tcW w:w="652" w:type="dxa"/>
            <w:vMerge/>
            <w:tcBorders>
              <w:top w:val="single" w:sz="4" w:space="0" w:color="000000"/>
              <w:left w:val="single" w:sz="4" w:space="0" w:color="000000"/>
              <w:bottom w:val="single" w:sz="4" w:space="0" w:color="000000"/>
            </w:tcBorders>
            <w:noWrap/>
            <w:vAlign w:val="center"/>
          </w:tcPr>
          <w:p/>
        </w:tc>
        <w:tc>
          <w:tcPr>
            <w:tcW w:w="1081" w:type="dxa"/>
            <w:vMerge/>
            <w:tcBorders>
              <w:top w:val="single" w:sz="4" w:space="0" w:color="000000"/>
              <w:left w:val="single" w:sz="4" w:space="0" w:color="000000"/>
              <w:bottom w:val="single" w:sz="4" w:space="0" w:color="000000"/>
              <w:right w:val="single" w:sz="4" w:space="0" w:color="000000"/>
            </w:tcBorders>
            <w:noWrap/>
            <w:vAlign w:val="center"/>
          </w:tcPr>
          <w:p/>
        </w:tc>
        <w:tc>
          <w:tcPr>
            <w:tcW w:w="1250" w:type="dxa"/>
            <w:tcBorders>
              <w:top w:val="single" w:sz="4" w:space="0" w:color="000000"/>
              <w:left w:val="single" w:sz="4" w:space="0" w:color="000000"/>
              <w:bottom w:val="single" w:sz="4" w:space="0" w:color="000000"/>
              <w:right w:val="single" w:sz="4" w:space="0" w:color="000000"/>
            </w:tcBorders>
            <w:noWrap/>
            <w:vAlign w:val="center"/>
          </w:tcPr>
          <w:p>
            <w:pPr>
              <w:widowControl/>
              <w:spacing w:line="260" w:lineRule="exact"/>
              <w:jc w:val="center"/>
              <w:textAlignment w:val="center"/>
              <w:rPr>
                <w:rFonts w:ascii="宋体" w:cs="宋体"/>
                <w:color w:val="000000"/>
                <w:sz w:val="24"/>
              </w:rPr>
            </w:pPr>
            <w:r>
              <w:rPr>
                <w:rFonts w:ascii="宋体" w:cs="宋体"/>
                <w:color w:val="000000"/>
                <w:kern w:val="0"/>
                <w:sz w:val="24"/>
              </w:rPr>
              <w:t>质量指标</w:t>
            </w:r>
          </w:p>
        </w:tc>
        <w:tc>
          <w:tcPr>
            <w:tcW w:w="1643" w:type="dxa"/>
            <w:tcBorders>
              <w:top w:val="single" w:sz="4" w:space="0" w:color="000000"/>
              <w:left w:val="single" w:sz="4" w:space="0" w:color="000000"/>
              <w:bottom w:val="single" w:sz="4" w:space="0" w:color="000000"/>
              <w:right w:val="single" w:sz="4" w:space="0" w:color="000000"/>
            </w:tcBorders>
            <w:noWrap/>
            <w:vAlign w:val="center"/>
          </w:tcPr>
          <w:p>
            <w:pPr>
              <w:spacing w:line="260" w:lineRule="exact"/>
              <w:rPr>
                <w:rFonts w:ascii="宋体" w:cs="宋体"/>
                <w:color w:val="000000"/>
                <w:sz w:val="24"/>
              </w:rPr>
            </w:pPr>
            <w:r>
              <w:rPr>
                <w:rFonts w:ascii="宋体" w:cs="宋体" w:hint="eastAsia"/>
                <w:color w:val="000000"/>
                <w:sz w:val="24"/>
              </w:rPr>
              <w:t>指导全县统计专业技术队伍建设，开展统计培训工作</w:t>
            </w:r>
          </w:p>
        </w:tc>
        <w:tc>
          <w:tcPr>
            <w:tcW w:w="1155" w:type="dxa"/>
            <w:tcBorders>
              <w:top w:val="single" w:sz="4" w:space="0" w:color="000000"/>
              <w:left w:val="single" w:sz="4" w:space="0" w:color="000000"/>
              <w:bottom w:val="single" w:sz="4" w:space="0" w:color="000000"/>
              <w:right w:val="single" w:sz="4" w:space="0" w:color="000000"/>
            </w:tcBorders>
            <w:noWrap/>
            <w:vAlign w:val="center"/>
          </w:tcPr>
          <w:p>
            <w:pPr>
              <w:spacing w:line="300" w:lineRule="exact"/>
              <w:jc w:val="center"/>
              <w:rPr>
                <w:rFonts w:ascii="宋体" w:cs="宋体"/>
                <w:color w:val="000000"/>
                <w:sz w:val="24"/>
              </w:rPr>
            </w:pPr>
            <w:r>
              <w:rPr>
                <w:rFonts w:ascii="Arial" w:cs="Arial" w:hAnsi="Arial"/>
                <w:color w:val="000000"/>
                <w:sz w:val="24"/>
              </w:rPr>
              <w:t>≥</w:t>
            </w:r>
          </w:p>
        </w:tc>
        <w:tc>
          <w:tcPr>
            <w:tcW w:w="945" w:type="dxa"/>
            <w:tcBorders>
              <w:top w:val="single" w:sz="4" w:space="0" w:color="000000"/>
              <w:left w:val="single" w:sz="4" w:space="0" w:color="000000"/>
              <w:bottom w:val="single" w:sz="4" w:space="0" w:color="000000"/>
              <w:right w:val="single" w:sz="4" w:space="0" w:color="000000"/>
            </w:tcBorders>
            <w:noWrap/>
            <w:vAlign w:val="center"/>
          </w:tcPr>
          <w:p>
            <w:pPr>
              <w:spacing w:line="300" w:lineRule="exact"/>
              <w:jc w:val="center"/>
              <w:rPr>
                <w:rFonts w:ascii="宋体" w:cs="宋体"/>
                <w:color w:val="000000"/>
                <w:sz w:val="24"/>
              </w:rPr>
            </w:pPr>
            <w:r>
              <w:rPr>
                <w:rFonts w:ascii="宋体" w:cs="宋体" w:hint="eastAsia"/>
                <w:color w:val="000000"/>
                <w:sz w:val="24"/>
              </w:rPr>
              <w:t>99</w:t>
            </w:r>
          </w:p>
        </w:tc>
        <w:tc>
          <w:tcPr>
            <w:tcW w:w="1095" w:type="dxa"/>
            <w:tcBorders>
              <w:top w:val="single" w:sz="4" w:space="0" w:color="000000"/>
              <w:left w:val="single" w:sz="4" w:space="0" w:color="000000"/>
              <w:bottom w:val="single" w:sz="4" w:space="0" w:color="000000"/>
              <w:right w:val="single" w:sz="4" w:space="0" w:color="000000"/>
            </w:tcBorders>
            <w:noWrap/>
            <w:vAlign w:val="center"/>
          </w:tcPr>
          <w:p>
            <w:pPr>
              <w:spacing w:line="300" w:lineRule="exact"/>
              <w:jc w:val="center"/>
              <w:rPr>
                <w:rFonts w:ascii="宋体" w:cs="宋体"/>
                <w:color w:val="000000"/>
                <w:sz w:val="24"/>
              </w:rPr>
            </w:pPr>
            <w:r>
              <w:rPr>
                <w:rFonts w:ascii="宋体" w:cs="宋体" w:hint="eastAsia"/>
                <w:color w:val="000000"/>
                <w:sz w:val="24"/>
              </w:rPr>
              <w:t>%</w:t>
            </w:r>
          </w:p>
        </w:tc>
        <w:tc>
          <w:tcPr>
            <w:tcW w:w="765" w:type="dxa"/>
            <w:tcBorders>
              <w:top w:val="single" w:sz="4" w:space="0" w:color="000000"/>
              <w:left w:val="single" w:sz="4" w:space="0" w:color="000000"/>
              <w:bottom w:val="single" w:sz="4" w:space="0" w:color="000000"/>
              <w:right w:val="single" w:sz="4" w:space="0" w:color="000000"/>
            </w:tcBorders>
            <w:noWrap/>
            <w:vAlign w:val="center"/>
          </w:tcPr>
          <w:p>
            <w:pPr>
              <w:spacing w:line="300" w:lineRule="exact"/>
              <w:jc w:val="center"/>
              <w:rPr>
                <w:rFonts w:ascii="宋体" w:cs="宋体"/>
                <w:color w:val="000000"/>
                <w:sz w:val="24"/>
              </w:rPr>
            </w:pPr>
            <w:r>
              <w:rPr>
                <w:rFonts w:ascii="宋体" w:cs="宋体" w:hint="eastAsia"/>
                <w:color w:val="000000"/>
                <w:sz w:val="24"/>
              </w:rPr>
              <w:t>15</w:t>
            </w:r>
          </w:p>
        </w:tc>
        <w:tc>
          <w:tcPr>
            <w:tcW w:w="1759" w:type="dxa"/>
            <w:tcBorders>
              <w:top w:val="single" w:sz="4" w:space="0" w:color="000000"/>
              <w:left w:val="single" w:sz="4" w:space="0" w:color="000000"/>
              <w:bottom w:val="single" w:sz="4" w:space="0" w:color="000000"/>
              <w:right w:val="single" w:sz="4" w:space="0" w:color="000000"/>
            </w:tcBorders>
            <w:noWrap/>
            <w:vAlign w:val="center"/>
          </w:tcPr>
          <w:p>
            <w:pPr>
              <w:spacing w:line="300" w:lineRule="exact"/>
              <w:jc w:val="center"/>
              <w:rPr>
                <w:rFonts w:ascii="宋体" w:cs="宋体"/>
                <w:color w:val="000000"/>
                <w:sz w:val="24"/>
              </w:rPr>
            </w:pPr>
            <w:r>
              <w:rPr>
                <w:rFonts w:ascii="宋体" w:cs="宋体" w:hint="eastAsia"/>
                <w:color w:val="000000"/>
                <w:sz w:val="24"/>
              </w:rPr>
              <w:t>100</w:t>
            </w:r>
          </w:p>
        </w:tc>
      </w:tr>
      <w:tr>
        <w:trPr>
          <w:trHeight w:val="23"/>
        </w:trPr>
        <w:tc>
          <w:tcPr>
            <w:tcW w:w="652" w:type="dxa"/>
            <w:vMerge/>
            <w:tcBorders>
              <w:top w:val="single" w:sz="4" w:space="0" w:color="000000"/>
              <w:left w:val="single" w:sz="4" w:space="0" w:color="000000"/>
              <w:bottom w:val="single" w:sz="4" w:space="0" w:color="000000"/>
            </w:tcBorders>
            <w:noWrap/>
            <w:vAlign w:val="center"/>
          </w:tcPr>
          <w:p/>
        </w:tc>
        <w:tc>
          <w:tcPr>
            <w:tcW w:w="1081" w:type="dxa"/>
            <w:vMerge/>
            <w:tcBorders>
              <w:top w:val="single" w:sz="4" w:space="0" w:color="000000"/>
              <w:left w:val="single" w:sz="4" w:space="0" w:color="000000"/>
              <w:bottom w:val="single" w:sz="4" w:space="0" w:color="000000"/>
              <w:right w:val="single" w:sz="4" w:space="0" w:color="000000"/>
            </w:tcBorders>
            <w:noWrap/>
            <w:vAlign w:val="center"/>
          </w:tcPr>
          <w:p/>
        </w:tc>
        <w:tc>
          <w:tcPr>
            <w:tcW w:w="1250" w:type="dxa"/>
            <w:tcBorders>
              <w:top w:val="single" w:sz="4" w:space="0" w:color="000000"/>
              <w:left w:val="single" w:sz="4" w:space="0" w:color="000000"/>
              <w:bottom w:val="single" w:sz="4" w:space="0" w:color="000000"/>
              <w:right w:val="single" w:sz="4" w:space="0" w:color="000000"/>
            </w:tcBorders>
            <w:noWrap/>
            <w:vAlign w:val="center"/>
          </w:tcPr>
          <w:p>
            <w:pPr>
              <w:widowControl/>
              <w:spacing w:line="260" w:lineRule="exact"/>
              <w:jc w:val="center"/>
              <w:textAlignment w:val="center"/>
              <w:rPr>
                <w:rFonts w:ascii="宋体" w:cs="宋体"/>
                <w:color w:val="000000"/>
                <w:sz w:val="24"/>
              </w:rPr>
            </w:pPr>
            <w:r>
              <w:rPr>
                <w:rFonts w:ascii="宋体" w:cs="宋体"/>
                <w:color w:val="000000"/>
                <w:kern w:val="0"/>
                <w:sz w:val="24"/>
              </w:rPr>
              <w:t>时效指标</w:t>
            </w:r>
          </w:p>
        </w:tc>
        <w:tc>
          <w:tcPr>
            <w:tcW w:w="1643" w:type="dxa"/>
            <w:tcBorders>
              <w:top w:val="single" w:sz="4" w:space="0" w:color="000000"/>
              <w:left w:val="single" w:sz="4" w:space="0" w:color="000000"/>
              <w:bottom w:val="single" w:sz="4" w:space="0" w:color="000000"/>
              <w:right w:val="single" w:sz="4" w:space="0" w:color="000000"/>
            </w:tcBorders>
            <w:noWrap/>
            <w:vAlign w:val="center"/>
          </w:tcPr>
          <w:p>
            <w:pPr>
              <w:spacing w:line="260" w:lineRule="exact"/>
              <w:rPr>
                <w:rFonts w:ascii="宋体" w:cs="宋体"/>
                <w:color w:val="000000"/>
                <w:sz w:val="24"/>
              </w:rPr>
            </w:pPr>
            <w:r>
              <w:rPr>
                <w:rFonts w:ascii="宋体" w:cs="宋体" w:hint="eastAsia"/>
                <w:color w:val="000000"/>
                <w:sz w:val="24"/>
              </w:rPr>
              <w:t>完成时间</w:t>
            </w:r>
          </w:p>
        </w:tc>
        <w:tc>
          <w:tcPr>
            <w:tcW w:w="1155" w:type="dxa"/>
            <w:tcBorders>
              <w:top w:val="single" w:sz="4" w:space="0" w:color="000000"/>
              <w:left w:val="single" w:sz="4" w:space="0" w:color="000000"/>
              <w:bottom w:val="single" w:sz="4" w:space="0" w:color="000000"/>
              <w:right w:val="single" w:sz="4" w:space="0" w:color="000000"/>
            </w:tcBorders>
            <w:noWrap/>
            <w:vAlign w:val="center"/>
          </w:tcPr>
          <w:p>
            <w:pPr>
              <w:spacing w:line="300" w:lineRule="exact"/>
              <w:jc w:val="center"/>
              <w:rPr>
                <w:rFonts w:ascii="宋体" w:cs="宋体"/>
                <w:color w:val="000000"/>
                <w:sz w:val="24"/>
              </w:rPr>
            </w:pPr>
            <w:r>
              <w:rPr>
                <w:rFonts w:ascii="宋体" w:cs="宋体" w:hint="eastAsia"/>
                <w:color w:val="000000"/>
                <w:sz w:val="24"/>
              </w:rPr>
              <w:t>≤</w:t>
            </w:r>
          </w:p>
        </w:tc>
        <w:tc>
          <w:tcPr>
            <w:tcW w:w="945" w:type="dxa"/>
            <w:tcBorders>
              <w:top w:val="single" w:sz="4" w:space="0" w:color="000000"/>
              <w:left w:val="single" w:sz="4" w:space="0" w:color="000000"/>
              <w:bottom w:val="single" w:sz="4" w:space="0" w:color="000000"/>
              <w:right w:val="single" w:sz="4" w:space="0" w:color="000000"/>
            </w:tcBorders>
            <w:noWrap/>
            <w:vAlign w:val="center"/>
          </w:tcPr>
          <w:p>
            <w:pPr>
              <w:spacing w:line="300" w:lineRule="exact"/>
              <w:jc w:val="center"/>
              <w:rPr>
                <w:rFonts w:ascii="宋体" w:cs="宋体"/>
                <w:color w:val="000000"/>
                <w:sz w:val="24"/>
              </w:rPr>
            </w:pPr>
            <w:r>
              <w:rPr>
                <w:rFonts w:ascii="宋体" w:cs="宋体" w:hint="eastAsia"/>
                <w:color w:val="000000"/>
                <w:sz w:val="24"/>
              </w:rPr>
              <w:t>12</w:t>
            </w:r>
          </w:p>
        </w:tc>
        <w:tc>
          <w:tcPr>
            <w:tcW w:w="1095" w:type="dxa"/>
            <w:tcBorders>
              <w:top w:val="single" w:sz="4" w:space="0" w:color="000000"/>
              <w:left w:val="single" w:sz="4" w:space="0" w:color="000000"/>
              <w:bottom w:val="single" w:sz="4" w:space="0" w:color="000000"/>
              <w:right w:val="single" w:sz="4" w:space="0" w:color="000000"/>
            </w:tcBorders>
            <w:noWrap/>
            <w:vAlign w:val="center"/>
          </w:tcPr>
          <w:p>
            <w:pPr>
              <w:spacing w:line="300" w:lineRule="exact"/>
              <w:jc w:val="center"/>
              <w:rPr>
                <w:rFonts w:ascii="宋体" w:cs="宋体"/>
                <w:color w:val="000000"/>
                <w:sz w:val="24"/>
              </w:rPr>
            </w:pPr>
            <w:r>
              <w:rPr>
                <w:rFonts w:ascii="宋体" w:cs="宋体" w:hint="eastAsia"/>
                <w:color w:val="000000"/>
                <w:sz w:val="24"/>
              </w:rPr>
              <w:t>月</w:t>
            </w:r>
          </w:p>
        </w:tc>
        <w:tc>
          <w:tcPr>
            <w:tcW w:w="765" w:type="dxa"/>
            <w:tcBorders>
              <w:top w:val="single" w:sz="4" w:space="0" w:color="000000"/>
              <w:left w:val="single" w:sz="4" w:space="0" w:color="000000"/>
              <w:bottom w:val="single" w:sz="4" w:space="0" w:color="000000"/>
              <w:right w:val="single" w:sz="4" w:space="0" w:color="000000"/>
            </w:tcBorders>
            <w:noWrap/>
            <w:vAlign w:val="center"/>
          </w:tcPr>
          <w:p>
            <w:pPr>
              <w:spacing w:line="300" w:lineRule="exact"/>
              <w:jc w:val="center"/>
              <w:rPr>
                <w:rFonts w:ascii="宋体" w:cs="宋体"/>
                <w:color w:val="000000"/>
                <w:sz w:val="24"/>
              </w:rPr>
            </w:pPr>
            <w:r>
              <w:rPr>
                <w:rFonts w:ascii="宋体" w:cs="宋体" w:hint="eastAsia"/>
                <w:color w:val="000000"/>
                <w:sz w:val="24"/>
              </w:rPr>
              <w:t>15</w:t>
            </w:r>
          </w:p>
        </w:tc>
        <w:tc>
          <w:tcPr>
            <w:tcW w:w="1759" w:type="dxa"/>
            <w:tcBorders>
              <w:top w:val="single" w:sz="4" w:space="0" w:color="000000"/>
              <w:left w:val="single" w:sz="4" w:space="0" w:color="000000"/>
              <w:bottom w:val="single" w:sz="4" w:space="0" w:color="000000"/>
              <w:right w:val="single" w:sz="4" w:space="0" w:color="000000"/>
            </w:tcBorders>
            <w:noWrap/>
            <w:vAlign w:val="center"/>
          </w:tcPr>
          <w:p>
            <w:pPr>
              <w:spacing w:line="300" w:lineRule="exact"/>
              <w:jc w:val="center"/>
              <w:rPr>
                <w:rFonts w:ascii="宋体" w:cs="宋体"/>
                <w:color w:val="000000"/>
                <w:sz w:val="24"/>
              </w:rPr>
            </w:pPr>
            <w:r>
              <w:rPr>
                <w:rFonts w:ascii="宋体" w:cs="宋体" w:hint="eastAsia"/>
                <w:color w:val="000000"/>
                <w:sz w:val="24"/>
              </w:rPr>
              <w:t>12月完成</w:t>
            </w:r>
          </w:p>
        </w:tc>
      </w:tr>
      <w:tr>
        <w:trPr>
          <w:trHeight w:val="23"/>
        </w:trPr>
        <w:tc>
          <w:tcPr>
            <w:tcW w:w="652" w:type="dxa"/>
            <w:vMerge/>
            <w:tcBorders>
              <w:top w:val="single" w:sz="4" w:space="0" w:color="000000"/>
              <w:left w:val="single" w:sz="4" w:space="0" w:color="000000"/>
              <w:bottom w:val="single" w:sz="4" w:space="0" w:color="000000"/>
            </w:tcBorders>
            <w:noWrap/>
            <w:vAlign w:val="center"/>
          </w:tcPr>
          <w:p/>
        </w:tc>
        <w:tc>
          <w:tcPr>
            <w:tcW w:w="1081" w:type="dxa"/>
            <w:vMerge w:val="restart"/>
            <w:tcBorders>
              <w:top w:val="single" w:sz="4" w:space="0" w:color="000000"/>
              <w:left w:val="single" w:sz="4" w:space="0" w:color="000000"/>
              <w:bottom w:val="single" w:sz="4" w:space="0" w:color="000000"/>
              <w:right w:val="single" w:sz="4" w:space="0" w:color="000000"/>
            </w:tcBorders>
            <w:noWrap/>
            <w:vAlign w:val="center"/>
          </w:tcPr>
          <w:p>
            <w:pPr>
              <w:widowControl/>
              <w:spacing w:line="300" w:lineRule="exact"/>
              <w:jc w:val="center"/>
              <w:textAlignment w:val="center"/>
              <w:rPr>
                <w:rFonts w:ascii="宋体" w:cs="宋体"/>
                <w:color w:val="000000"/>
                <w:sz w:val="24"/>
              </w:rPr>
            </w:pPr>
            <w:r>
              <w:rPr>
                <w:rFonts w:ascii="宋体" w:cs="宋体"/>
                <w:color w:val="000000"/>
                <w:kern w:val="0"/>
                <w:sz w:val="24"/>
              </w:rPr>
              <w:t>效益指标</w:t>
            </w:r>
          </w:p>
        </w:tc>
        <w:tc>
          <w:tcPr>
            <w:tcW w:w="1250" w:type="dxa"/>
            <w:tcBorders>
              <w:top w:val="single" w:sz="4" w:space="0" w:color="000000"/>
              <w:left w:val="single" w:sz="4" w:space="0" w:color="000000"/>
              <w:bottom w:val="single" w:sz="4" w:space="0" w:color="000000"/>
              <w:right w:val="single" w:sz="4" w:space="0" w:color="000000"/>
            </w:tcBorders>
            <w:noWrap/>
            <w:vAlign w:val="center"/>
          </w:tcPr>
          <w:p>
            <w:pPr>
              <w:widowControl/>
              <w:spacing w:line="260" w:lineRule="exact"/>
              <w:jc w:val="center"/>
              <w:textAlignment w:val="center"/>
              <w:rPr>
                <w:rFonts w:ascii="宋体" w:cs="宋体"/>
                <w:color w:val="000000"/>
                <w:sz w:val="24"/>
              </w:rPr>
            </w:pPr>
            <w:r>
              <w:rPr>
                <w:rFonts w:ascii="宋体" w:cs="宋体" w:hint="eastAsia"/>
                <w:color w:val="000000"/>
                <w:kern w:val="0"/>
                <w:sz w:val="24"/>
              </w:rPr>
              <w:t>可持续影响</w:t>
            </w:r>
            <w:r>
              <w:rPr>
                <w:rFonts w:ascii="宋体" w:cs="宋体"/>
                <w:color w:val="000000"/>
                <w:kern w:val="0"/>
                <w:sz w:val="24"/>
              </w:rPr>
              <w:t>指标</w:t>
            </w:r>
          </w:p>
        </w:tc>
        <w:tc>
          <w:tcPr>
            <w:tcW w:w="1643" w:type="dxa"/>
            <w:tcBorders>
              <w:top w:val="single" w:sz="4" w:space="0" w:color="000000"/>
              <w:left w:val="single" w:sz="4" w:space="0" w:color="000000"/>
              <w:bottom w:val="single" w:sz="4" w:space="0" w:color="000000"/>
              <w:right w:val="single" w:sz="4" w:space="0" w:color="000000"/>
            </w:tcBorders>
            <w:noWrap/>
            <w:vAlign w:val="center"/>
          </w:tcPr>
          <w:p>
            <w:pPr>
              <w:spacing w:line="260" w:lineRule="exact"/>
              <w:rPr>
                <w:rFonts w:ascii="宋体" w:cs="宋体"/>
                <w:color w:val="000000"/>
                <w:sz w:val="24"/>
              </w:rPr>
            </w:pPr>
            <w:r>
              <w:rPr>
                <w:rFonts w:ascii="宋体" w:cs="宋体" w:hint="eastAsia"/>
                <w:color w:val="000000"/>
                <w:sz w:val="24"/>
              </w:rPr>
              <w:t>对企业健康发展有效促进</w:t>
            </w:r>
          </w:p>
        </w:tc>
        <w:tc>
          <w:tcPr>
            <w:tcW w:w="1155" w:type="dxa"/>
            <w:tcBorders>
              <w:top w:val="single" w:sz="4" w:space="0" w:color="000000"/>
              <w:left w:val="single" w:sz="4" w:space="0" w:color="000000"/>
              <w:bottom w:val="single" w:sz="4" w:space="0" w:color="000000"/>
              <w:right w:val="single" w:sz="4" w:space="0" w:color="000000"/>
            </w:tcBorders>
            <w:noWrap/>
            <w:vAlign w:val="center"/>
          </w:tcPr>
          <w:p>
            <w:pPr>
              <w:spacing w:line="300" w:lineRule="exact"/>
              <w:jc w:val="center"/>
              <w:rPr>
                <w:rFonts w:ascii="宋体" w:cs="宋体"/>
                <w:color w:val="000000"/>
                <w:sz w:val="24"/>
              </w:rPr>
            </w:pPr>
            <w:r>
              <w:rPr>
                <w:rFonts w:ascii="Arial" w:cs="Arial" w:hAnsi="Arial"/>
                <w:color w:val="000000"/>
                <w:sz w:val="24"/>
              </w:rPr>
              <w:t>≥</w:t>
            </w:r>
          </w:p>
        </w:tc>
        <w:tc>
          <w:tcPr>
            <w:tcW w:w="945" w:type="dxa"/>
            <w:tcBorders>
              <w:top w:val="single" w:sz="4" w:space="0" w:color="000000"/>
              <w:left w:val="single" w:sz="4" w:space="0" w:color="000000"/>
              <w:bottom w:val="single" w:sz="4" w:space="0" w:color="000000"/>
              <w:right w:val="single" w:sz="4" w:space="0" w:color="000000"/>
            </w:tcBorders>
            <w:noWrap/>
            <w:vAlign w:val="center"/>
          </w:tcPr>
          <w:p>
            <w:pPr>
              <w:spacing w:line="300" w:lineRule="exact"/>
              <w:jc w:val="center"/>
              <w:rPr>
                <w:rFonts w:ascii="宋体" w:cs="宋体"/>
                <w:color w:val="000000"/>
                <w:sz w:val="24"/>
              </w:rPr>
            </w:pPr>
            <w:r>
              <w:rPr>
                <w:rFonts w:ascii="宋体" w:cs="宋体" w:hint="eastAsia"/>
                <w:color w:val="000000"/>
                <w:sz w:val="24"/>
              </w:rPr>
              <w:t>98</w:t>
            </w:r>
          </w:p>
        </w:tc>
        <w:tc>
          <w:tcPr>
            <w:tcW w:w="1095" w:type="dxa"/>
            <w:tcBorders>
              <w:top w:val="single" w:sz="4" w:space="0" w:color="000000"/>
              <w:left w:val="single" w:sz="4" w:space="0" w:color="000000"/>
              <w:bottom w:val="single" w:sz="4" w:space="0" w:color="000000"/>
              <w:right w:val="single" w:sz="4" w:space="0" w:color="000000"/>
            </w:tcBorders>
            <w:noWrap/>
            <w:vAlign w:val="center"/>
          </w:tcPr>
          <w:p>
            <w:pPr>
              <w:spacing w:line="300" w:lineRule="exact"/>
              <w:jc w:val="center"/>
              <w:rPr>
                <w:rFonts w:ascii="宋体" w:cs="宋体"/>
                <w:color w:val="000000"/>
                <w:sz w:val="24"/>
              </w:rPr>
            </w:pPr>
            <w:r>
              <w:rPr>
                <w:rFonts w:ascii="宋体" w:cs="宋体" w:hint="eastAsia"/>
                <w:color w:val="000000"/>
                <w:sz w:val="24"/>
              </w:rPr>
              <w:t>%</w:t>
            </w:r>
          </w:p>
        </w:tc>
        <w:tc>
          <w:tcPr>
            <w:tcW w:w="765" w:type="dxa"/>
            <w:tcBorders>
              <w:top w:val="single" w:sz="4" w:space="0" w:color="000000"/>
              <w:left w:val="single" w:sz="4" w:space="0" w:color="000000"/>
              <w:bottom w:val="single" w:sz="4" w:space="0" w:color="000000"/>
              <w:right w:val="single" w:sz="4" w:space="0" w:color="000000"/>
            </w:tcBorders>
            <w:noWrap/>
            <w:vAlign w:val="center"/>
          </w:tcPr>
          <w:p>
            <w:pPr>
              <w:spacing w:line="300" w:lineRule="exact"/>
              <w:jc w:val="center"/>
              <w:rPr>
                <w:rFonts w:ascii="宋体" w:cs="宋体"/>
                <w:color w:val="000000"/>
                <w:sz w:val="24"/>
              </w:rPr>
            </w:pPr>
            <w:r>
              <w:rPr>
                <w:rFonts w:ascii="宋体" w:cs="宋体" w:hint="eastAsia"/>
                <w:color w:val="000000"/>
                <w:sz w:val="24"/>
              </w:rPr>
              <w:t>10</w:t>
            </w:r>
          </w:p>
        </w:tc>
        <w:tc>
          <w:tcPr>
            <w:tcW w:w="1759" w:type="dxa"/>
            <w:tcBorders>
              <w:top w:val="single" w:sz="4" w:space="0" w:color="000000"/>
              <w:left w:val="single" w:sz="4" w:space="0" w:color="000000"/>
              <w:bottom w:val="single" w:sz="4" w:space="0" w:color="000000"/>
              <w:right w:val="single" w:sz="4" w:space="0" w:color="000000"/>
            </w:tcBorders>
            <w:noWrap/>
            <w:vAlign w:val="center"/>
          </w:tcPr>
          <w:p>
            <w:pPr>
              <w:spacing w:line="300" w:lineRule="exact"/>
              <w:jc w:val="center"/>
              <w:rPr>
                <w:rFonts w:ascii="宋体" w:cs="宋体"/>
                <w:color w:val="000000"/>
                <w:sz w:val="24"/>
              </w:rPr>
            </w:pPr>
            <w:r>
              <w:rPr>
                <w:rFonts w:ascii="宋体" w:cs="宋体" w:hint="eastAsia"/>
                <w:color w:val="000000"/>
                <w:sz w:val="24"/>
              </w:rPr>
              <w:t>100</w:t>
            </w:r>
          </w:p>
        </w:tc>
      </w:tr>
      <w:tr>
        <w:trPr>
          <w:trHeight w:val="23"/>
        </w:trPr>
        <w:tc>
          <w:tcPr>
            <w:tcW w:w="652" w:type="dxa"/>
            <w:vMerge/>
            <w:tcBorders>
              <w:top w:val="single" w:sz="4" w:space="0" w:color="000000"/>
              <w:left w:val="single" w:sz="4" w:space="0" w:color="000000"/>
              <w:bottom w:val="single" w:sz="4" w:space="0" w:color="000000"/>
            </w:tcBorders>
            <w:noWrap/>
            <w:vAlign w:val="center"/>
          </w:tcPr>
          <w:p/>
        </w:tc>
        <w:tc>
          <w:tcPr>
            <w:tcW w:w="1081" w:type="dxa"/>
            <w:vMerge/>
            <w:tcBorders>
              <w:top w:val="single" w:sz="4" w:space="0" w:color="000000"/>
              <w:left w:val="single" w:sz="4" w:space="0" w:color="000000"/>
              <w:bottom w:val="single" w:sz="4" w:space="0" w:color="000000"/>
              <w:right w:val="single" w:sz="4" w:space="0" w:color="000000"/>
            </w:tcBorders>
            <w:noWrap/>
            <w:vAlign w:val="center"/>
          </w:tcPr>
          <w:p/>
        </w:tc>
        <w:tc>
          <w:tcPr>
            <w:tcW w:w="1250" w:type="dxa"/>
            <w:tcBorders>
              <w:top w:val="single" w:sz="4" w:space="0" w:color="000000"/>
              <w:left w:val="single" w:sz="4" w:space="0" w:color="000000"/>
              <w:right w:val="single" w:sz="4" w:space="0" w:color="000000"/>
            </w:tcBorders>
            <w:noWrap/>
            <w:vAlign w:val="center"/>
          </w:tcPr>
          <w:p>
            <w:pPr>
              <w:widowControl/>
              <w:spacing w:line="260" w:lineRule="exact"/>
              <w:jc w:val="center"/>
              <w:textAlignment w:val="center"/>
              <w:rPr>
                <w:rFonts w:ascii="宋体" w:cs="宋体"/>
                <w:color w:val="000000"/>
                <w:kern w:val="0"/>
                <w:sz w:val="24"/>
              </w:rPr>
            </w:pPr>
            <w:r>
              <w:rPr>
                <w:rFonts w:ascii="宋体" w:cs="宋体"/>
                <w:color w:val="000000"/>
                <w:kern w:val="0"/>
                <w:sz w:val="24"/>
              </w:rPr>
              <w:t>社会效益</w:t>
            </w:r>
          </w:p>
          <w:p>
            <w:pPr>
              <w:widowControl/>
              <w:spacing w:line="260" w:lineRule="exact"/>
              <w:jc w:val="center"/>
              <w:textAlignment w:val="center"/>
              <w:rPr>
                <w:rFonts w:ascii="宋体" w:cs="宋体"/>
                <w:color w:val="000000"/>
                <w:sz w:val="24"/>
              </w:rPr>
            </w:pPr>
            <w:r>
              <w:rPr>
                <w:rFonts w:ascii="宋体" w:cs="宋体"/>
                <w:color w:val="000000"/>
                <w:kern w:val="0"/>
                <w:sz w:val="24"/>
              </w:rPr>
              <w:t>指标</w:t>
            </w:r>
          </w:p>
        </w:tc>
        <w:tc>
          <w:tcPr>
            <w:tcW w:w="1643" w:type="dxa"/>
            <w:tcBorders>
              <w:top w:val="single" w:sz="4" w:space="0" w:color="000000"/>
              <w:left w:val="single" w:sz="4" w:space="0" w:color="000000"/>
              <w:bottom w:val="single" w:sz="4" w:space="0" w:color="000000"/>
              <w:right w:val="single" w:sz="4" w:space="0" w:color="000000"/>
            </w:tcBorders>
            <w:noWrap/>
            <w:vAlign w:val="center"/>
          </w:tcPr>
          <w:p>
            <w:pPr>
              <w:spacing w:line="260" w:lineRule="exact"/>
              <w:rPr>
                <w:rFonts w:ascii="宋体" w:cs="宋体"/>
                <w:color w:val="000000"/>
                <w:sz w:val="24"/>
              </w:rPr>
            </w:pPr>
            <w:r>
              <w:rPr>
                <w:rFonts w:ascii="宋体" w:cs="宋体" w:hint="eastAsia"/>
                <w:color w:val="000000"/>
                <w:sz w:val="24"/>
              </w:rPr>
              <w:t>统计执法检查有效开展</w:t>
            </w:r>
          </w:p>
        </w:tc>
        <w:tc>
          <w:tcPr>
            <w:tcW w:w="1155" w:type="dxa"/>
            <w:tcBorders>
              <w:top w:val="single" w:sz="4" w:space="0" w:color="000000"/>
              <w:left w:val="single" w:sz="4" w:space="0" w:color="000000"/>
              <w:bottom w:val="single" w:sz="4" w:space="0" w:color="000000"/>
              <w:right w:val="single" w:sz="4" w:space="0" w:color="000000"/>
            </w:tcBorders>
            <w:noWrap/>
            <w:vAlign w:val="center"/>
          </w:tcPr>
          <w:p>
            <w:pPr>
              <w:spacing w:line="300" w:lineRule="exact"/>
              <w:jc w:val="center"/>
              <w:rPr>
                <w:rFonts w:ascii="宋体" w:cs="宋体"/>
                <w:color w:val="000000"/>
                <w:sz w:val="24"/>
              </w:rPr>
            </w:pPr>
            <w:r>
              <w:rPr>
                <w:rFonts w:ascii="Arial" w:cs="Arial" w:hAnsi="Arial" w:hint="eastAsia"/>
                <w:color w:val="000000"/>
                <w:sz w:val="24"/>
              </w:rPr>
              <w:t>定性</w:t>
            </w:r>
          </w:p>
        </w:tc>
        <w:tc>
          <w:tcPr>
            <w:tcW w:w="945" w:type="dxa"/>
            <w:tcBorders>
              <w:top w:val="single" w:sz="4" w:space="0" w:color="000000"/>
              <w:left w:val="single" w:sz="4" w:space="0" w:color="000000"/>
              <w:bottom w:val="single" w:sz="4" w:space="0" w:color="000000"/>
              <w:right w:val="single" w:sz="4" w:space="0" w:color="000000"/>
            </w:tcBorders>
            <w:noWrap/>
            <w:vAlign w:val="center"/>
          </w:tcPr>
          <w:p>
            <w:pPr>
              <w:spacing w:line="300" w:lineRule="exact"/>
              <w:jc w:val="center"/>
              <w:rPr>
                <w:rFonts w:ascii="宋体" w:cs="宋体"/>
                <w:color w:val="000000"/>
                <w:sz w:val="24"/>
              </w:rPr>
            </w:pPr>
            <w:r>
              <w:rPr>
                <w:rFonts w:ascii="宋体" w:cs="宋体" w:hint="eastAsia"/>
                <w:color w:val="000000"/>
                <w:sz w:val="24"/>
              </w:rPr>
              <w:t>优</w:t>
            </w:r>
          </w:p>
        </w:tc>
        <w:tc>
          <w:tcPr>
            <w:tcW w:w="1095" w:type="dxa"/>
            <w:tcBorders>
              <w:top w:val="single" w:sz="4" w:space="0" w:color="000000"/>
              <w:left w:val="single" w:sz="4" w:space="0" w:color="000000"/>
              <w:bottom w:val="single" w:sz="4" w:space="0" w:color="000000"/>
              <w:right w:val="single" w:sz="4" w:space="0" w:color="000000"/>
            </w:tcBorders>
            <w:noWrap/>
            <w:vAlign w:val="center"/>
          </w:tcPr>
          <w:p>
            <w:pPr>
              <w:spacing w:line="300" w:lineRule="exact"/>
              <w:jc w:val="center"/>
              <w:rPr>
                <w:rFonts w:ascii="宋体" w:cs="宋体"/>
                <w:color w:val="000000"/>
                <w:sz w:val="24"/>
              </w:rPr>
            </w:pPr>
            <w:r>
              <w:rPr>
                <w:rFonts w:ascii="宋体" w:cs="宋体" w:hint="eastAsia"/>
                <w:color w:val="000000"/>
                <w:sz w:val="24"/>
              </w:rPr>
              <w:t>%</w:t>
            </w:r>
          </w:p>
        </w:tc>
        <w:tc>
          <w:tcPr>
            <w:tcW w:w="765" w:type="dxa"/>
            <w:tcBorders>
              <w:top w:val="single" w:sz="4" w:space="0" w:color="000000"/>
              <w:left w:val="single" w:sz="4" w:space="0" w:color="000000"/>
              <w:bottom w:val="single" w:sz="4" w:space="0" w:color="000000"/>
              <w:right w:val="single" w:sz="4" w:space="0" w:color="000000"/>
            </w:tcBorders>
            <w:noWrap/>
            <w:vAlign w:val="center"/>
          </w:tcPr>
          <w:p>
            <w:pPr>
              <w:spacing w:line="300" w:lineRule="exact"/>
              <w:jc w:val="center"/>
              <w:rPr>
                <w:rFonts w:ascii="宋体" w:cs="宋体"/>
                <w:color w:val="000000"/>
                <w:sz w:val="24"/>
              </w:rPr>
            </w:pPr>
            <w:r>
              <w:rPr>
                <w:rFonts w:ascii="宋体" w:cs="宋体" w:hint="eastAsia"/>
                <w:color w:val="000000"/>
                <w:sz w:val="24"/>
              </w:rPr>
              <w:t>10</w:t>
            </w:r>
          </w:p>
        </w:tc>
        <w:tc>
          <w:tcPr>
            <w:tcW w:w="1759" w:type="dxa"/>
            <w:tcBorders>
              <w:top w:val="single" w:sz="4" w:space="0" w:color="000000"/>
              <w:left w:val="single" w:sz="4" w:space="0" w:color="000000"/>
              <w:bottom w:val="single" w:sz="4" w:space="0" w:color="000000"/>
              <w:right w:val="single" w:sz="4" w:space="0" w:color="000000"/>
            </w:tcBorders>
            <w:noWrap/>
            <w:vAlign w:val="center"/>
          </w:tcPr>
          <w:p>
            <w:pPr>
              <w:spacing w:line="300" w:lineRule="exact"/>
              <w:jc w:val="center"/>
              <w:rPr>
                <w:rFonts w:ascii="宋体" w:cs="宋体"/>
                <w:color w:val="000000"/>
                <w:sz w:val="24"/>
              </w:rPr>
            </w:pPr>
            <w:r>
              <w:rPr>
                <w:rFonts w:ascii="宋体" w:cs="宋体" w:hint="eastAsia"/>
                <w:color w:val="000000"/>
                <w:sz w:val="24"/>
              </w:rPr>
              <w:t>100</w:t>
            </w:r>
          </w:p>
        </w:tc>
      </w:tr>
      <w:tr>
        <w:trPr>
          <w:trHeight w:val="23"/>
        </w:trPr>
        <w:tc>
          <w:tcPr>
            <w:tcW w:w="652" w:type="dxa"/>
            <w:vMerge/>
            <w:tcBorders>
              <w:top w:val="single" w:sz="4" w:space="0" w:color="000000"/>
              <w:left w:val="single" w:sz="4" w:space="0" w:color="000000"/>
              <w:bottom w:val="single" w:sz="4" w:space="0" w:color="000000"/>
            </w:tcBorders>
            <w:noWrap/>
            <w:vAlign w:val="center"/>
          </w:tcPr>
          <w:p/>
        </w:tc>
        <w:tc>
          <w:tcPr>
            <w:tcW w:w="1081" w:type="dxa"/>
            <w:vMerge w:val="restart"/>
            <w:tcBorders>
              <w:top w:val="single" w:sz="4" w:space="0" w:color="000000"/>
              <w:left w:val="single" w:sz="4" w:space="0" w:color="000000"/>
              <w:right w:val="single" w:sz="4" w:space="0" w:color="000000"/>
            </w:tcBorders>
            <w:noWrap/>
            <w:vAlign w:val="center"/>
          </w:tcPr>
          <w:p>
            <w:pPr>
              <w:widowControl/>
              <w:spacing w:line="300" w:lineRule="exact"/>
              <w:jc w:val="center"/>
              <w:textAlignment w:val="center"/>
              <w:rPr>
                <w:rFonts w:ascii="宋体" w:cs="宋体"/>
                <w:color w:val="000000"/>
                <w:kern w:val="0"/>
                <w:sz w:val="24"/>
              </w:rPr>
            </w:pPr>
            <w:r>
              <w:rPr>
                <w:rFonts w:ascii="宋体" w:cs="宋体"/>
                <w:color w:val="000000"/>
                <w:kern w:val="0"/>
                <w:sz w:val="24"/>
              </w:rPr>
              <w:t>满意度</w:t>
            </w:r>
          </w:p>
          <w:p>
            <w:pPr>
              <w:widowControl/>
              <w:spacing w:line="300" w:lineRule="exact"/>
              <w:jc w:val="center"/>
              <w:textAlignment w:val="center"/>
              <w:rPr>
                <w:rFonts w:ascii="宋体" w:cs="宋体"/>
                <w:color w:val="000000"/>
                <w:sz w:val="24"/>
              </w:rPr>
            </w:pPr>
            <w:r>
              <w:rPr>
                <w:rFonts w:ascii="宋体" w:cs="宋体"/>
                <w:color w:val="000000"/>
                <w:kern w:val="0"/>
                <w:sz w:val="24"/>
              </w:rPr>
              <w:t>指标</w:t>
            </w:r>
          </w:p>
        </w:tc>
        <w:tc>
          <w:tcPr>
            <w:tcW w:w="1250" w:type="dxa"/>
            <w:tcBorders>
              <w:top w:val="single" w:sz="4" w:space="0" w:color="000000"/>
              <w:left w:val="single" w:sz="4" w:space="0" w:color="000000"/>
              <w:right w:val="single" w:sz="4" w:space="0" w:color="000000"/>
            </w:tcBorders>
            <w:noWrap/>
            <w:vAlign w:val="center"/>
          </w:tcPr>
          <w:p>
            <w:pPr>
              <w:widowControl/>
              <w:spacing w:line="260" w:lineRule="exact"/>
              <w:jc w:val="center"/>
              <w:textAlignment w:val="center"/>
              <w:rPr>
                <w:rFonts w:ascii="宋体" w:cs="宋体"/>
                <w:color w:val="000000"/>
                <w:kern w:val="0"/>
                <w:sz w:val="24"/>
              </w:rPr>
            </w:pPr>
            <w:r>
              <w:rPr>
                <w:rFonts w:ascii="宋体" w:cs="宋体"/>
                <w:color w:val="000000"/>
                <w:kern w:val="0"/>
                <w:sz w:val="24"/>
              </w:rPr>
              <w:t>服务对象</w:t>
            </w:r>
          </w:p>
          <w:p>
            <w:pPr>
              <w:widowControl/>
              <w:spacing w:line="260" w:lineRule="exact"/>
              <w:jc w:val="center"/>
              <w:textAlignment w:val="center"/>
              <w:rPr>
                <w:rFonts w:ascii="宋体" w:cs="宋体"/>
                <w:color w:val="000000"/>
                <w:sz w:val="24"/>
              </w:rPr>
            </w:pPr>
            <w:r>
              <w:rPr>
                <w:rFonts w:ascii="宋体" w:cs="宋体"/>
                <w:color w:val="000000"/>
                <w:kern w:val="0"/>
                <w:sz w:val="24"/>
              </w:rPr>
              <w:t>满意度指标</w:t>
            </w:r>
          </w:p>
        </w:tc>
        <w:tc>
          <w:tcPr>
            <w:tcW w:w="1643" w:type="dxa"/>
            <w:tcBorders>
              <w:top w:val="single" w:sz="4" w:space="0" w:color="000000"/>
              <w:left w:val="single" w:sz="4" w:space="0" w:color="000000"/>
              <w:bottom w:val="single" w:sz="4" w:space="0" w:color="000000"/>
              <w:right w:val="single" w:sz="4" w:space="0" w:color="000000"/>
            </w:tcBorders>
            <w:noWrap/>
            <w:vAlign w:val="center"/>
          </w:tcPr>
          <w:p>
            <w:pPr>
              <w:spacing w:line="260" w:lineRule="exact"/>
              <w:rPr>
                <w:rFonts w:ascii="宋体" w:cs="宋体"/>
                <w:color w:val="000000"/>
                <w:sz w:val="24"/>
              </w:rPr>
            </w:pPr>
            <w:r>
              <w:rPr>
                <w:rFonts w:ascii="宋体" w:cs="宋体" w:hint="eastAsia"/>
                <w:color w:val="000000"/>
                <w:sz w:val="24"/>
              </w:rPr>
              <w:t>社会对统计工作的满意度</w:t>
            </w:r>
          </w:p>
        </w:tc>
        <w:tc>
          <w:tcPr>
            <w:tcW w:w="1155" w:type="dxa"/>
            <w:tcBorders>
              <w:top w:val="single" w:sz="4" w:space="0" w:color="000000"/>
              <w:left w:val="single" w:sz="4" w:space="0" w:color="000000"/>
              <w:bottom w:val="single" w:sz="4" w:space="0" w:color="000000"/>
              <w:right w:val="single" w:sz="4" w:space="0" w:color="000000"/>
            </w:tcBorders>
            <w:noWrap/>
            <w:vAlign w:val="center"/>
          </w:tcPr>
          <w:p>
            <w:pPr>
              <w:spacing w:line="300" w:lineRule="exact"/>
              <w:jc w:val="center"/>
              <w:rPr>
                <w:rFonts w:ascii="宋体" w:cs="宋体"/>
                <w:color w:val="000000"/>
                <w:sz w:val="24"/>
              </w:rPr>
            </w:pPr>
            <w:r>
              <w:rPr>
                <w:rFonts w:ascii="Arial" w:cs="Arial" w:hAnsi="Arial"/>
                <w:color w:val="000000"/>
                <w:sz w:val="24"/>
              </w:rPr>
              <w:t>≥</w:t>
            </w:r>
          </w:p>
        </w:tc>
        <w:tc>
          <w:tcPr>
            <w:tcW w:w="945" w:type="dxa"/>
            <w:tcBorders>
              <w:top w:val="single" w:sz="4" w:space="0" w:color="000000"/>
              <w:left w:val="single" w:sz="4" w:space="0" w:color="000000"/>
              <w:bottom w:val="single" w:sz="4" w:space="0" w:color="000000"/>
              <w:right w:val="single" w:sz="4" w:space="0" w:color="000000"/>
            </w:tcBorders>
            <w:noWrap/>
            <w:vAlign w:val="center"/>
          </w:tcPr>
          <w:p>
            <w:pPr>
              <w:spacing w:line="300" w:lineRule="exact"/>
              <w:jc w:val="center"/>
              <w:rPr>
                <w:rFonts w:ascii="宋体" w:cs="宋体"/>
                <w:color w:val="000000"/>
                <w:sz w:val="24"/>
              </w:rPr>
            </w:pPr>
            <w:r>
              <w:rPr>
                <w:rFonts w:ascii="宋体" w:cs="宋体" w:hint="eastAsia"/>
                <w:color w:val="000000"/>
                <w:sz w:val="24"/>
              </w:rPr>
              <w:t>98</w:t>
            </w:r>
          </w:p>
        </w:tc>
        <w:tc>
          <w:tcPr>
            <w:tcW w:w="1095" w:type="dxa"/>
            <w:tcBorders>
              <w:top w:val="single" w:sz="4" w:space="0" w:color="000000"/>
              <w:left w:val="single" w:sz="4" w:space="0" w:color="000000"/>
              <w:bottom w:val="single" w:sz="4" w:space="0" w:color="000000"/>
              <w:right w:val="single" w:sz="4" w:space="0" w:color="000000"/>
            </w:tcBorders>
            <w:noWrap/>
            <w:vAlign w:val="center"/>
          </w:tcPr>
          <w:p>
            <w:pPr>
              <w:spacing w:line="300" w:lineRule="exact"/>
              <w:jc w:val="center"/>
              <w:rPr>
                <w:rFonts w:ascii="宋体" w:cs="宋体"/>
                <w:color w:val="000000"/>
                <w:sz w:val="24"/>
              </w:rPr>
            </w:pPr>
            <w:r>
              <w:rPr>
                <w:rFonts w:ascii="宋体" w:cs="宋体" w:hint="eastAsia"/>
                <w:color w:val="000000"/>
                <w:sz w:val="24"/>
              </w:rPr>
              <w:t>%</w:t>
            </w:r>
          </w:p>
        </w:tc>
        <w:tc>
          <w:tcPr>
            <w:tcW w:w="765" w:type="dxa"/>
            <w:tcBorders>
              <w:top w:val="single" w:sz="4" w:space="0" w:color="000000"/>
              <w:left w:val="single" w:sz="4" w:space="0" w:color="000000"/>
              <w:bottom w:val="single" w:sz="4" w:space="0" w:color="000000"/>
              <w:right w:val="single" w:sz="4" w:space="0" w:color="000000"/>
            </w:tcBorders>
            <w:noWrap/>
            <w:vAlign w:val="center"/>
          </w:tcPr>
          <w:p>
            <w:pPr>
              <w:spacing w:line="300" w:lineRule="exact"/>
              <w:jc w:val="center"/>
              <w:rPr>
                <w:rFonts w:ascii="宋体" w:cs="宋体"/>
                <w:color w:val="000000"/>
                <w:sz w:val="24"/>
              </w:rPr>
            </w:pPr>
            <w:r>
              <w:rPr>
                <w:rFonts w:ascii="宋体" w:cs="宋体" w:hint="eastAsia"/>
                <w:color w:val="000000"/>
                <w:sz w:val="24"/>
              </w:rPr>
              <w:t>5</w:t>
            </w:r>
          </w:p>
        </w:tc>
        <w:tc>
          <w:tcPr>
            <w:tcW w:w="1759" w:type="dxa"/>
            <w:tcBorders>
              <w:top w:val="single" w:sz="4" w:space="0" w:color="000000"/>
              <w:left w:val="single" w:sz="4" w:space="0" w:color="000000"/>
              <w:bottom w:val="single" w:sz="4" w:space="0" w:color="000000"/>
              <w:right w:val="single" w:sz="4" w:space="0" w:color="000000"/>
            </w:tcBorders>
            <w:noWrap/>
            <w:vAlign w:val="center"/>
          </w:tcPr>
          <w:p>
            <w:pPr>
              <w:spacing w:line="300" w:lineRule="exact"/>
              <w:jc w:val="center"/>
              <w:rPr>
                <w:rFonts w:ascii="宋体" w:cs="宋体"/>
                <w:color w:val="000000"/>
                <w:sz w:val="24"/>
              </w:rPr>
            </w:pPr>
            <w:r>
              <w:rPr>
                <w:rFonts w:ascii="宋体" w:cs="宋体" w:hint="eastAsia"/>
                <w:color w:val="000000"/>
                <w:sz w:val="24"/>
              </w:rPr>
              <w:t>100</w:t>
            </w:r>
          </w:p>
        </w:tc>
      </w:tr>
      <w:tr>
        <w:trPr>
          <w:trHeight w:val="23"/>
        </w:trPr>
        <w:tc>
          <w:tcPr>
            <w:tcW w:w="652" w:type="dxa"/>
            <w:vMerge/>
            <w:tcBorders>
              <w:top w:val="single" w:sz="4" w:space="0" w:color="000000"/>
              <w:left w:val="single" w:sz="4" w:space="0" w:color="000000"/>
              <w:bottom w:val="single" w:sz="4" w:space="0" w:color="000000"/>
            </w:tcBorders>
            <w:noWrap/>
            <w:vAlign w:val="center"/>
          </w:tcPr>
          <w:p/>
        </w:tc>
        <w:tc>
          <w:tcPr>
            <w:tcW w:w="1081" w:type="dxa"/>
            <w:vMerge/>
            <w:tcBorders>
              <w:left w:val="single" w:sz="4" w:space="0" w:color="000000"/>
              <w:right w:val="single" w:sz="4" w:space="0" w:color="000000"/>
            </w:tcBorders>
            <w:noWrap/>
            <w:vAlign w:val="center"/>
          </w:tcPr>
          <w:p/>
        </w:tc>
        <w:tc>
          <w:tcPr>
            <w:tcW w:w="1250" w:type="dxa"/>
            <w:tcBorders>
              <w:top w:val="single" w:sz="4" w:space="0" w:color="000000"/>
              <w:left w:val="single" w:sz="4" w:space="0" w:color="000000"/>
              <w:right w:val="single" w:sz="4" w:space="0" w:color="000000"/>
            </w:tcBorders>
            <w:noWrap/>
            <w:vAlign w:val="center"/>
          </w:tcPr>
          <w:p>
            <w:pPr>
              <w:widowControl/>
              <w:spacing w:line="260" w:lineRule="exact"/>
              <w:jc w:val="center"/>
              <w:textAlignment w:val="center"/>
              <w:rPr>
                <w:rFonts w:ascii="宋体" w:cs="宋体"/>
                <w:color w:val="000000"/>
                <w:kern w:val="0"/>
                <w:sz w:val="24"/>
              </w:rPr>
            </w:pPr>
            <w:r>
              <w:rPr>
                <w:rFonts w:ascii="宋体" w:cs="宋体"/>
                <w:color w:val="000000"/>
                <w:kern w:val="0"/>
                <w:sz w:val="24"/>
              </w:rPr>
              <w:t>满意度指标</w:t>
            </w:r>
          </w:p>
        </w:tc>
        <w:tc>
          <w:tcPr>
            <w:tcW w:w="1643" w:type="dxa"/>
            <w:tcBorders>
              <w:top w:val="single" w:sz="4" w:space="0" w:color="000000"/>
              <w:left w:val="single" w:sz="4" w:space="0" w:color="000000"/>
              <w:bottom w:val="single" w:sz="4" w:space="0" w:color="000000"/>
              <w:right w:val="single" w:sz="4" w:space="0" w:color="000000"/>
            </w:tcBorders>
            <w:noWrap/>
            <w:vAlign w:val="center"/>
          </w:tcPr>
          <w:p>
            <w:pPr>
              <w:spacing w:line="260" w:lineRule="exact"/>
              <w:rPr>
                <w:rFonts w:ascii="宋体" w:cs="宋体"/>
                <w:color w:val="000000"/>
                <w:sz w:val="24"/>
              </w:rPr>
            </w:pPr>
            <w:r>
              <w:rPr>
                <w:rFonts w:ascii="宋体" w:cs="宋体" w:hint="eastAsia"/>
                <w:color w:val="000000"/>
                <w:sz w:val="24"/>
              </w:rPr>
              <w:t>县委</w:t>
            </w:r>
            <w:r>
              <w:rPr>
                <w:rFonts w:ascii="宋体" w:cs="宋体"/>
                <w:color w:val="000000"/>
                <w:sz w:val="24"/>
              </w:rPr>
              <w:t>、</w:t>
            </w:r>
            <w:r>
              <w:rPr>
                <w:rFonts w:ascii="宋体" w:cs="宋体" w:hint="eastAsia"/>
                <w:color w:val="000000"/>
                <w:sz w:val="24"/>
              </w:rPr>
              <w:t>县政府对统计工作的满意度</w:t>
            </w:r>
          </w:p>
        </w:tc>
        <w:tc>
          <w:tcPr>
            <w:tcW w:w="1155" w:type="dxa"/>
            <w:tcBorders>
              <w:top w:val="single" w:sz="4" w:space="0" w:color="000000"/>
              <w:left w:val="single" w:sz="4" w:space="0" w:color="000000"/>
              <w:bottom w:val="single" w:sz="4" w:space="0" w:color="000000"/>
              <w:right w:val="single" w:sz="4" w:space="0" w:color="000000"/>
            </w:tcBorders>
            <w:noWrap/>
            <w:vAlign w:val="center"/>
          </w:tcPr>
          <w:p>
            <w:pPr>
              <w:spacing w:line="300" w:lineRule="exact"/>
              <w:jc w:val="center"/>
              <w:rPr>
                <w:rFonts w:ascii="宋体" w:cs="宋体"/>
                <w:color w:val="000000"/>
                <w:sz w:val="24"/>
              </w:rPr>
            </w:pPr>
            <w:r>
              <w:rPr>
                <w:rFonts w:ascii="Arial" w:cs="Arial" w:hAnsi="Arial"/>
                <w:color w:val="000000"/>
                <w:sz w:val="24"/>
              </w:rPr>
              <w:t>≥</w:t>
            </w:r>
          </w:p>
        </w:tc>
        <w:tc>
          <w:tcPr>
            <w:tcW w:w="945" w:type="dxa"/>
            <w:tcBorders>
              <w:top w:val="single" w:sz="4" w:space="0" w:color="000000"/>
              <w:left w:val="single" w:sz="4" w:space="0" w:color="000000"/>
              <w:bottom w:val="single" w:sz="4" w:space="0" w:color="000000"/>
              <w:right w:val="single" w:sz="4" w:space="0" w:color="000000"/>
            </w:tcBorders>
            <w:noWrap/>
            <w:vAlign w:val="center"/>
          </w:tcPr>
          <w:p>
            <w:pPr>
              <w:spacing w:line="300" w:lineRule="exact"/>
              <w:jc w:val="center"/>
              <w:rPr>
                <w:rFonts w:ascii="宋体" w:cs="宋体"/>
                <w:color w:val="000000"/>
                <w:sz w:val="24"/>
              </w:rPr>
            </w:pPr>
            <w:r>
              <w:rPr>
                <w:rFonts w:ascii="宋体" w:cs="宋体" w:hint="eastAsia"/>
                <w:color w:val="000000"/>
                <w:sz w:val="24"/>
              </w:rPr>
              <w:t>98</w:t>
            </w:r>
          </w:p>
        </w:tc>
        <w:tc>
          <w:tcPr>
            <w:tcW w:w="1095" w:type="dxa"/>
            <w:tcBorders>
              <w:top w:val="single" w:sz="4" w:space="0" w:color="000000"/>
              <w:left w:val="single" w:sz="4" w:space="0" w:color="000000"/>
              <w:bottom w:val="single" w:sz="4" w:space="0" w:color="000000"/>
              <w:right w:val="single" w:sz="4" w:space="0" w:color="000000"/>
            </w:tcBorders>
            <w:noWrap/>
            <w:vAlign w:val="center"/>
          </w:tcPr>
          <w:p>
            <w:pPr>
              <w:spacing w:line="300" w:lineRule="exact"/>
              <w:jc w:val="center"/>
              <w:rPr>
                <w:rFonts w:ascii="宋体" w:cs="宋体"/>
                <w:color w:val="000000"/>
                <w:sz w:val="24"/>
              </w:rPr>
            </w:pPr>
            <w:r>
              <w:rPr>
                <w:rFonts w:ascii="宋体" w:cs="宋体" w:hint="eastAsia"/>
                <w:color w:val="000000"/>
                <w:sz w:val="24"/>
              </w:rPr>
              <w:t>%</w:t>
            </w:r>
          </w:p>
        </w:tc>
        <w:tc>
          <w:tcPr>
            <w:tcW w:w="765" w:type="dxa"/>
            <w:tcBorders>
              <w:top w:val="single" w:sz="4" w:space="0" w:color="000000"/>
              <w:left w:val="single" w:sz="4" w:space="0" w:color="000000"/>
              <w:bottom w:val="single" w:sz="4" w:space="0" w:color="000000"/>
              <w:right w:val="single" w:sz="4" w:space="0" w:color="000000"/>
            </w:tcBorders>
            <w:noWrap/>
            <w:vAlign w:val="center"/>
          </w:tcPr>
          <w:p>
            <w:pPr>
              <w:spacing w:line="300" w:lineRule="exact"/>
              <w:jc w:val="center"/>
              <w:rPr>
                <w:rFonts w:ascii="宋体" w:cs="宋体"/>
                <w:color w:val="000000"/>
                <w:sz w:val="24"/>
              </w:rPr>
            </w:pPr>
            <w:r>
              <w:rPr>
                <w:rFonts w:ascii="宋体" w:cs="宋体" w:hint="eastAsia"/>
                <w:color w:val="000000"/>
                <w:sz w:val="24"/>
              </w:rPr>
              <w:t>5</w:t>
            </w:r>
          </w:p>
        </w:tc>
        <w:tc>
          <w:tcPr>
            <w:tcW w:w="1759" w:type="dxa"/>
            <w:tcBorders>
              <w:top w:val="single" w:sz="4" w:space="0" w:color="000000"/>
              <w:left w:val="single" w:sz="4" w:space="0" w:color="000000"/>
              <w:bottom w:val="single" w:sz="4" w:space="0" w:color="000000"/>
              <w:right w:val="single" w:sz="4" w:space="0" w:color="000000"/>
            </w:tcBorders>
            <w:noWrap/>
            <w:vAlign w:val="center"/>
          </w:tcPr>
          <w:p>
            <w:pPr>
              <w:spacing w:line="300" w:lineRule="exact"/>
              <w:jc w:val="center"/>
              <w:rPr>
                <w:rFonts w:ascii="宋体" w:cs="宋体"/>
                <w:color w:val="000000"/>
                <w:sz w:val="24"/>
              </w:rPr>
            </w:pPr>
            <w:r>
              <w:rPr>
                <w:rFonts w:ascii="宋体" w:cs="宋体" w:hint="eastAsia"/>
                <w:color w:val="000000"/>
                <w:sz w:val="24"/>
              </w:rPr>
              <w:t>100</w:t>
            </w:r>
          </w:p>
        </w:tc>
      </w:tr>
      <w:tr>
        <w:trPr>
          <w:trHeight w:val="23"/>
        </w:trPr>
        <w:tc>
          <w:tcPr>
            <w:tcW w:w="652" w:type="dxa"/>
            <w:vMerge/>
            <w:tcBorders>
              <w:top w:val="single" w:sz="4" w:space="0" w:color="000000"/>
              <w:left w:val="single" w:sz="4" w:space="0" w:color="000000"/>
              <w:bottom w:val="single" w:sz="4" w:space="0" w:color="000000"/>
            </w:tcBorders>
            <w:noWrap/>
            <w:vAlign w:val="center"/>
          </w:tcPr>
          <w:p/>
        </w:tc>
        <w:tc>
          <w:tcPr>
            <w:tcW w:w="1081" w:type="dxa"/>
            <w:tcBorders>
              <w:top w:val="single" w:sz="4" w:space="0" w:color="000000"/>
              <w:left w:val="single" w:sz="4" w:space="0" w:color="000000"/>
              <w:bottom w:val="single" w:sz="4" w:space="0" w:color="000000"/>
              <w:right w:val="single" w:sz="4" w:space="0" w:color="000000"/>
            </w:tcBorders>
            <w:noWrap/>
            <w:vAlign w:val="center"/>
          </w:tcPr>
          <w:p>
            <w:pPr>
              <w:widowControl/>
              <w:spacing w:line="300" w:lineRule="exact"/>
              <w:jc w:val="center"/>
              <w:textAlignment w:val="center"/>
              <w:rPr>
                <w:rFonts w:ascii="宋体" w:cs="宋体"/>
                <w:color w:val="000000"/>
                <w:sz w:val="24"/>
              </w:rPr>
            </w:pPr>
            <w:r>
              <w:rPr>
                <w:rFonts w:ascii="宋体" w:cs="宋体"/>
                <w:color w:val="000000"/>
                <w:kern w:val="0"/>
                <w:sz w:val="24"/>
              </w:rPr>
              <w:t>成本指标</w:t>
            </w:r>
          </w:p>
        </w:tc>
        <w:tc>
          <w:tcPr>
            <w:tcW w:w="1250" w:type="dxa"/>
            <w:tcBorders>
              <w:top w:val="single" w:sz="4" w:space="0" w:color="000000"/>
              <w:left w:val="single" w:sz="4" w:space="0" w:color="000000"/>
              <w:bottom w:val="single" w:sz="4" w:space="0" w:color="000000"/>
              <w:right w:val="single" w:sz="4" w:space="0" w:color="000000"/>
            </w:tcBorders>
            <w:noWrap/>
            <w:vAlign w:val="center"/>
          </w:tcPr>
          <w:p>
            <w:pPr>
              <w:widowControl/>
              <w:spacing w:line="260" w:lineRule="exact"/>
              <w:jc w:val="center"/>
              <w:textAlignment w:val="center"/>
              <w:rPr>
                <w:rFonts w:ascii="宋体" w:cs="宋体"/>
                <w:color w:val="000000"/>
                <w:kern w:val="0"/>
                <w:sz w:val="24"/>
              </w:rPr>
            </w:pPr>
            <w:r>
              <w:rPr>
                <w:rFonts w:ascii="宋体" w:cs="宋体"/>
                <w:color w:val="000000"/>
                <w:kern w:val="0"/>
                <w:sz w:val="24"/>
              </w:rPr>
              <w:t>经济成本</w:t>
            </w:r>
          </w:p>
          <w:p>
            <w:pPr>
              <w:widowControl/>
              <w:spacing w:line="260" w:lineRule="exact"/>
              <w:jc w:val="center"/>
              <w:textAlignment w:val="center"/>
              <w:rPr>
                <w:rFonts w:ascii="宋体" w:cs="宋体"/>
                <w:color w:val="000000"/>
                <w:sz w:val="24"/>
              </w:rPr>
            </w:pPr>
            <w:r>
              <w:rPr>
                <w:rFonts w:ascii="宋体" w:cs="宋体"/>
                <w:color w:val="000000"/>
                <w:kern w:val="0"/>
                <w:sz w:val="24"/>
              </w:rPr>
              <w:t>指标</w:t>
            </w:r>
          </w:p>
        </w:tc>
        <w:tc>
          <w:tcPr>
            <w:tcW w:w="1643" w:type="dxa"/>
            <w:tcBorders>
              <w:top w:val="single" w:sz="4" w:space="0" w:color="000000"/>
              <w:bottom w:val="single" w:sz="4" w:space="0" w:color="000000"/>
              <w:right w:val="single" w:sz="4" w:space="0" w:color="000000"/>
            </w:tcBorders>
            <w:noWrap/>
            <w:vAlign w:val="center"/>
          </w:tcPr>
          <w:p>
            <w:pPr>
              <w:spacing w:line="260" w:lineRule="exact"/>
              <w:rPr>
                <w:rFonts w:ascii="宋体" w:cs="宋体"/>
                <w:color w:val="000000"/>
                <w:sz w:val="24"/>
              </w:rPr>
            </w:pPr>
            <w:r>
              <w:rPr>
                <w:rFonts w:ascii="宋体" w:cs="宋体" w:hint="eastAsia"/>
                <w:color w:val="000000"/>
                <w:sz w:val="24"/>
              </w:rPr>
              <w:t>开展重点工作成本</w:t>
            </w:r>
          </w:p>
        </w:tc>
        <w:tc>
          <w:tcPr>
            <w:tcW w:w="1155" w:type="dxa"/>
            <w:tcBorders>
              <w:top w:val="single" w:sz="4" w:space="0" w:color="000000"/>
              <w:left w:val="single" w:sz="4" w:space="0" w:color="000000"/>
              <w:bottom w:val="single" w:sz="4" w:space="0" w:color="000000"/>
              <w:right w:val="single" w:sz="4" w:space="0" w:color="000000"/>
            </w:tcBorders>
            <w:noWrap/>
            <w:vAlign w:val="center"/>
          </w:tcPr>
          <w:p>
            <w:pPr>
              <w:spacing w:line="300" w:lineRule="exact"/>
              <w:jc w:val="center"/>
              <w:rPr>
                <w:rFonts w:ascii="宋体" w:cs="宋体"/>
                <w:color w:val="000000"/>
                <w:sz w:val="24"/>
              </w:rPr>
            </w:pPr>
            <w:r>
              <w:rPr>
                <w:rFonts w:ascii="Arial" w:cs="Arial" w:hAnsi="Arial"/>
                <w:color w:val="000000"/>
                <w:sz w:val="24"/>
              </w:rPr>
              <w:t>≤</w:t>
            </w:r>
          </w:p>
        </w:tc>
        <w:tc>
          <w:tcPr>
            <w:tcW w:w="945" w:type="dxa"/>
            <w:tcBorders>
              <w:top w:val="single" w:sz="4" w:space="0" w:color="000000"/>
              <w:left w:val="single" w:sz="4" w:space="0" w:color="000000"/>
              <w:bottom w:val="single" w:sz="4" w:space="0" w:color="000000"/>
              <w:right w:val="single" w:sz="4" w:space="0" w:color="000000"/>
            </w:tcBorders>
            <w:noWrap/>
            <w:vAlign w:val="center"/>
          </w:tcPr>
          <w:p>
            <w:pPr>
              <w:spacing w:line="300" w:lineRule="exact"/>
              <w:jc w:val="center"/>
              <w:rPr>
                <w:rFonts w:ascii="宋体" w:cs="宋体"/>
                <w:color w:val="000000"/>
                <w:sz w:val="24"/>
              </w:rPr>
            </w:pPr>
            <w:r>
              <w:rPr>
                <w:rFonts w:ascii="宋体" w:cs="宋体" w:hint="eastAsia"/>
                <w:color w:val="000000"/>
                <w:sz w:val="24"/>
              </w:rPr>
              <w:t>40</w:t>
            </w:r>
          </w:p>
        </w:tc>
        <w:tc>
          <w:tcPr>
            <w:tcW w:w="1095" w:type="dxa"/>
            <w:tcBorders>
              <w:top w:val="single" w:sz="4" w:space="0" w:color="000000"/>
              <w:left w:val="single" w:sz="4" w:space="0" w:color="000000"/>
              <w:bottom w:val="single" w:sz="4" w:space="0" w:color="000000"/>
              <w:right w:val="single" w:sz="4" w:space="0" w:color="000000"/>
            </w:tcBorders>
            <w:noWrap/>
            <w:vAlign w:val="center"/>
          </w:tcPr>
          <w:p>
            <w:pPr>
              <w:spacing w:line="300" w:lineRule="exact"/>
              <w:jc w:val="center"/>
              <w:rPr>
                <w:rFonts w:ascii="宋体" w:cs="宋体"/>
                <w:color w:val="000000"/>
                <w:sz w:val="24"/>
              </w:rPr>
            </w:pPr>
            <w:r>
              <w:rPr>
                <w:rFonts w:ascii="宋体" w:cs="宋体" w:hint="eastAsia"/>
                <w:color w:val="000000"/>
                <w:sz w:val="24"/>
              </w:rPr>
              <w:t>万元</w:t>
            </w:r>
          </w:p>
        </w:tc>
        <w:tc>
          <w:tcPr>
            <w:tcW w:w="765" w:type="dxa"/>
            <w:tcBorders>
              <w:top w:val="single" w:sz="4" w:space="0" w:color="000000"/>
              <w:left w:val="single" w:sz="4" w:space="0" w:color="000000"/>
              <w:bottom w:val="single" w:sz="4" w:space="0" w:color="000000"/>
              <w:right w:val="single" w:sz="4" w:space="0" w:color="000000"/>
            </w:tcBorders>
            <w:noWrap/>
            <w:vAlign w:val="center"/>
          </w:tcPr>
          <w:p>
            <w:pPr>
              <w:spacing w:line="300" w:lineRule="exact"/>
              <w:jc w:val="center"/>
              <w:rPr>
                <w:rFonts w:ascii="宋体" w:cs="宋体"/>
                <w:color w:val="000000"/>
                <w:sz w:val="24"/>
              </w:rPr>
            </w:pPr>
            <w:r>
              <w:rPr>
                <w:rFonts w:ascii="宋体" w:cs="宋体" w:hint="eastAsia"/>
                <w:color w:val="000000"/>
                <w:sz w:val="24"/>
              </w:rPr>
              <w:t>10</w:t>
            </w:r>
          </w:p>
        </w:tc>
        <w:tc>
          <w:tcPr>
            <w:tcW w:w="1759" w:type="dxa"/>
            <w:tcBorders>
              <w:top w:val="single" w:sz="4" w:space="0" w:color="000000"/>
              <w:left w:val="single" w:sz="4" w:space="0" w:color="000000"/>
              <w:bottom w:val="single" w:sz="4" w:space="0" w:color="000000"/>
              <w:right w:val="single" w:sz="4" w:space="0" w:color="000000"/>
            </w:tcBorders>
            <w:noWrap/>
            <w:vAlign w:val="center"/>
          </w:tcPr>
          <w:p>
            <w:pPr>
              <w:spacing w:line="300" w:lineRule="exact"/>
              <w:jc w:val="center"/>
              <w:rPr>
                <w:rFonts w:ascii="宋体" w:cs="宋体"/>
                <w:color w:val="000000"/>
                <w:sz w:val="24"/>
              </w:rPr>
            </w:pPr>
            <w:r>
              <w:rPr>
                <w:rFonts w:ascii="宋体" w:cs="宋体" w:hint="eastAsia"/>
                <w:color w:val="000000"/>
                <w:sz w:val="24"/>
              </w:rPr>
              <w:t>40万元</w:t>
            </w:r>
          </w:p>
        </w:tc>
      </w:tr>
    </w:tbl>
    <w:p>
      <w:pPr>
        <w:jc w:val="center"/>
        <w:rPr>
          <w:b/>
          <w:bCs/>
          <w:sz w:val="44"/>
          <w:szCs w:val="44"/>
        </w:rPr>
      </w:pPr>
    </w:p>
    <w:p>
      <w:pPr>
        <w:jc w:val="center"/>
        <w:rPr>
          <w:rFonts w:ascii="宋体" w:cs="宋体"/>
          <w:b/>
          <w:bCs/>
          <w:sz w:val="44"/>
          <w:szCs w:val="44"/>
        </w:rPr>
      </w:pPr>
      <w:r>
        <w:rPr>
          <w:rFonts w:hint="eastAsia"/>
          <w:b/>
          <w:bCs/>
          <w:sz w:val="44"/>
          <w:szCs w:val="44"/>
        </w:rPr>
        <w:t>2</w:t>
      </w:r>
      <w:r>
        <w:rPr>
          <w:rFonts w:ascii="宋体" w:cs="宋体" w:hint="eastAsia"/>
          <w:b/>
          <w:bCs/>
          <w:sz w:val="44"/>
          <w:szCs w:val="44"/>
        </w:rPr>
        <w:t>025年汶川县</w:t>
      </w:r>
      <w:r>
        <w:rPr>
          <w:rFonts w:ascii="宋体" w:cs="宋体" w:hint="eastAsia"/>
          <w:b/>
          <w:bCs/>
          <w:spacing w:val="8"/>
          <w:sz w:val="44"/>
          <w:szCs w:val="44"/>
          <w:shd w:val="clear" w:color="auto" w:fill="FFFFFF"/>
        </w:rPr>
        <w:t>“四上”企业（个体）及抽样调查企业（个体）统计人员奖补经费</w:t>
      </w:r>
      <w:r>
        <w:rPr>
          <w:rFonts w:ascii="宋体" w:cs="宋体" w:hint="eastAsia"/>
          <w:b/>
          <w:bCs/>
          <w:sz w:val="44"/>
          <w:szCs w:val="44"/>
        </w:rPr>
        <w:t>项目支出绩效评价报告</w:t>
      </w:r>
    </w:p>
    <w:p>
      <w:pPr>
        <w:adjustRightInd w:val="0"/>
        <w:snapToGrid w:val="0"/>
        <w:spacing w:line="578" w:lineRule="exact"/>
        <w:ind w:firstLineChars="200" w:firstLine="640"/>
        <w:rPr>
          <w:rFonts w:ascii="黑体" w:eastAsia="黑体"/>
          <w:sz w:val="32"/>
          <w:szCs w:val="32"/>
          <w:lang w:val="zh-CN"/>
        </w:rPr>
      </w:pPr>
      <w:r>
        <w:rPr>
          <w:rFonts w:ascii="黑体" w:eastAsia="黑体" w:hint="eastAsia"/>
          <w:sz w:val="32"/>
          <w:szCs w:val="32"/>
        </w:rPr>
        <w:t>一、</w:t>
      </w:r>
      <w:r>
        <w:rPr>
          <w:rFonts w:ascii="黑体" w:eastAsia="黑体" w:hint="eastAsia"/>
          <w:sz w:val="32"/>
          <w:szCs w:val="32"/>
          <w:lang w:val="zh-CN"/>
        </w:rPr>
        <w:t>项目概况</w:t>
      </w:r>
    </w:p>
    <w:p>
      <w:pPr>
        <w:ind w:firstLineChars="200" w:firstLine="640"/>
        <w:rPr>
          <w:rFonts w:ascii="楷体_GB2312" w:eastAsia="楷体_GB2312"/>
          <w:b/>
          <w:sz w:val="32"/>
          <w:szCs w:val="32"/>
          <w:lang w:val="zh-CN"/>
        </w:rPr>
      </w:pPr>
      <w:r>
        <w:rPr>
          <w:rFonts w:ascii="楷体_GB2312" w:eastAsia="楷体_GB2312" w:hint="eastAsia"/>
          <w:b/>
          <w:sz w:val="32"/>
          <w:szCs w:val="32"/>
          <w:lang w:val="zh-CN"/>
        </w:rPr>
        <w:t>（一）设立背景及基本情况</w:t>
      </w:r>
    </w:p>
    <w:p>
      <w:pPr>
        <w:ind w:firstLineChars="200" w:firstLine="672"/>
        <w:rPr>
          <w:rFonts w:ascii="仿宋_GB2312" w:eastAsia="仿宋_GB2312" w:cs="仿宋_GB2312"/>
          <w:kern w:val="0"/>
          <w:sz w:val="32"/>
          <w:szCs w:val="32"/>
          <w:shd w:val="clear" w:color="auto" w:fill="FFFFFF"/>
          <w:lang w:val="zh-CN"/>
        </w:rPr>
      </w:pPr>
      <w:r>
        <w:rPr>
          <w:rFonts w:ascii="仿宋_GB2312" w:eastAsia="仿宋_GB2312" w:cs="仿宋_GB2312" w:hint="eastAsia"/>
          <w:spacing w:val="8"/>
          <w:sz w:val="32"/>
          <w:szCs w:val="32"/>
          <w:shd w:val="clear" w:color="auto" w:fill="FFFFFF"/>
        </w:rPr>
        <w:t>为确保“四上”企业（个体）及抽样调查企业（个体）统计报表工作顺利开展，按照国家、省政府有关文件精神，将该项工作纳入重要议事日程，未雨绸缪，统筹规划，科学安排。尤其要做好统计人员奖补经费的年度预算编制与申请工作，积极协调各有关部门，确保统计人员奖补经费落到实处，确保各专业统计工作的圆满成功。</w:t>
      </w:r>
    </w:p>
    <w:p>
      <w:pPr>
        <w:adjustRightInd w:val="0"/>
        <w:snapToGrid w:val="0"/>
        <w:spacing w:line="578" w:lineRule="exact"/>
        <w:ind w:firstLineChars="200" w:firstLine="640"/>
        <w:rPr>
          <w:rFonts w:ascii="仿宋_GB2312" w:eastAsia="仿宋_GB2312" w:cs="仿宋_GB2312"/>
          <w:kern w:val="0"/>
          <w:sz w:val="32"/>
          <w:szCs w:val="32"/>
          <w:shd w:val="clear" w:color="auto" w:fill="FFFFFF"/>
          <w:lang w:val="zh-CN"/>
        </w:rPr>
      </w:pPr>
      <w:r>
        <w:rPr>
          <w:rFonts w:ascii="楷体_GB2312" w:eastAsia="楷体_GB2312" w:hint="eastAsia"/>
          <w:b/>
          <w:sz w:val="32"/>
          <w:szCs w:val="32"/>
          <w:lang w:val="zh-CN"/>
        </w:rPr>
        <w:t>（二）</w:t>
      </w:r>
      <w:r>
        <w:rPr>
          <w:rFonts w:ascii="楷体_GB2312" w:eastAsia="楷体_GB2312"/>
          <w:b/>
          <w:sz w:val="32"/>
          <w:szCs w:val="32"/>
        </w:rPr>
        <w:t>实施目的及支持方向</w:t>
      </w:r>
      <w:r>
        <w:rPr>
          <w:rFonts w:ascii="楷体_GB2312" w:eastAsia="楷体_GB2312" w:hint="eastAsia"/>
          <w:b/>
          <w:sz w:val="32"/>
          <w:szCs w:val="32"/>
        </w:rPr>
        <w:t>。</w:t>
      </w:r>
    </w:p>
    <w:p>
      <w:pPr>
        <w:adjustRightInd w:val="0"/>
        <w:snapToGrid w:val="0"/>
        <w:spacing w:line="578" w:lineRule="exact"/>
        <w:ind w:firstLineChars="200" w:firstLine="640"/>
        <w:rPr>
          <w:rFonts w:ascii="仿宋" w:eastAsia="仿宋" w:cs="仿宋"/>
          <w:kern w:val="0"/>
          <w:sz w:val="32"/>
          <w:szCs w:val="32"/>
          <w:shd w:val="clear" w:color="auto" w:fill="FFFFFF"/>
          <w:lang w:val="zh-CN"/>
        </w:rPr>
      </w:pPr>
      <w:r>
        <w:rPr>
          <w:rFonts w:ascii="仿宋" w:eastAsia="仿宋" w:cs="仿宋" w:hint="eastAsia"/>
          <w:kern w:val="0"/>
          <w:sz w:val="32"/>
          <w:szCs w:val="32"/>
          <w:shd w:val="clear" w:color="auto" w:fill="FFFFFF"/>
          <w:lang w:val="zh-CN"/>
        </w:rPr>
        <w:t>根据项目资金性质制定具体管理办法，充分保障统计业务工作顺利开展</w:t>
      </w:r>
      <w:r>
        <w:rPr>
          <w:rFonts w:ascii="仿宋" w:eastAsia="仿宋" w:cs="仿宋" w:hint="eastAsia"/>
          <w:sz w:val="32"/>
          <w:szCs w:val="32"/>
        </w:rPr>
        <w:t>，每年为汶川县“</w:t>
      </w:r>
      <w:r>
        <w:rPr>
          <w:rStyle w:val="26"/>
          <w:rFonts w:ascii="仿宋" w:eastAsia="仿宋" w:cs="仿宋" w:hint="eastAsia"/>
          <w:b w:val="0"/>
          <w:sz w:val="32"/>
          <w:szCs w:val="32"/>
        </w:rPr>
        <w:t>四上”企业（个体）及抽样调查企业（个体）统计人员发放奖补，</w:t>
      </w:r>
      <w:r>
        <w:rPr>
          <w:rFonts w:ascii="仿宋" w:eastAsia="仿宋" w:cs="仿宋" w:hint="eastAsia"/>
          <w:sz w:val="32"/>
          <w:szCs w:val="32"/>
        </w:rPr>
        <w:t>鼓励和支持更多企业（个体）升规入统，激发抽样调查企业（个体）参与统计调查的积极性推动汶川高质量发展。</w:t>
      </w:r>
    </w:p>
    <w:p>
      <w:pPr>
        <w:widowControl/>
        <w:adjustRightInd w:val="0"/>
        <w:snapToGrid w:val="0"/>
        <w:spacing w:line="578" w:lineRule="exact"/>
        <w:ind w:firstLineChars="200" w:firstLine="640"/>
        <w:contextualSpacing/>
        <w:jc w:val="left"/>
        <w:rPr>
          <w:rFonts w:ascii="仿宋_GB2312" w:cs="仿宋_GB2312" w:hAnsi="仿宋_GB2312"/>
          <w:kern w:val="0"/>
          <w:sz w:val="32"/>
          <w:szCs w:val="32"/>
          <w:shd w:val="clear" w:color="auto" w:fill="FFFFFF"/>
          <w:lang w:val="zh-CN"/>
        </w:rPr>
      </w:pPr>
      <w:r>
        <w:rPr>
          <w:rFonts w:ascii="楷体_GB2312" w:eastAsia="楷体_GB2312" w:hint="eastAsia"/>
          <w:b/>
          <w:sz w:val="32"/>
          <w:szCs w:val="32"/>
          <w:lang w:val="zh-CN"/>
        </w:rPr>
        <w:t>（三）</w:t>
      </w:r>
      <w:r>
        <w:rPr>
          <w:rFonts w:ascii="楷体_GB2312" w:eastAsia="楷体_GB2312"/>
          <w:b/>
          <w:sz w:val="32"/>
          <w:szCs w:val="32"/>
        </w:rPr>
        <w:t>预算安排及分配管理</w:t>
      </w:r>
      <w:r>
        <w:rPr>
          <w:rFonts w:ascii="楷体_GB2312" w:eastAsia="楷体_GB2312" w:hint="eastAsia"/>
          <w:b/>
          <w:sz w:val="32"/>
          <w:szCs w:val="32"/>
          <w:lang w:val="zh-CN"/>
        </w:rPr>
        <w:t>。</w:t>
      </w:r>
    </w:p>
    <w:p>
      <w:pPr>
        <w:widowControl/>
        <w:adjustRightInd w:val="0"/>
        <w:snapToGrid w:val="0"/>
        <w:spacing w:line="578" w:lineRule="exact"/>
        <w:ind w:firstLineChars="200" w:firstLine="640"/>
        <w:contextualSpacing/>
        <w:jc w:val="left"/>
        <w:rPr>
          <w:rFonts w:ascii="仿宋" w:eastAsia="仿宋" w:cs="仿宋"/>
          <w:kern w:val="0"/>
          <w:sz w:val="32"/>
          <w:szCs w:val="32"/>
          <w:shd w:val="clear" w:color="auto" w:fill="FFFFFF"/>
        </w:rPr>
      </w:pPr>
      <w:r>
        <w:rPr>
          <w:rFonts w:ascii="仿宋" w:eastAsia="仿宋" w:cs="仿宋" w:hint="eastAsia"/>
          <w:kern w:val="0"/>
          <w:sz w:val="32"/>
          <w:szCs w:val="32"/>
          <w:shd w:val="clear" w:color="auto" w:fill="FFFFFF"/>
          <w:lang w:val="zh-CN"/>
        </w:rPr>
        <w:t>经请示县人民政府同意，县财政给予安排预算</w:t>
      </w:r>
      <w:r>
        <w:rPr>
          <w:rFonts w:ascii="仿宋" w:eastAsia="仿宋" w:cs="仿宋" w:hint="eastAsia"/>
          <w:kern w:val="0"/>
          <w:sz w:val="32"/>
          <w:szCs w:val="32"/>
          <w:shd w:val="clear" w:color="auto" w:fill="FFFFFF"/>
        </w:rPr>
        <w:t>23.56万元，结合我局实际，充分考虑各项工作开展情况，年初预算时将项目资金具体细化为劳务费，具体包括建筑企业43户、10.26万元，房地产2户、0.42万元，服务业16户、3.84万元，批发零售业16户、3.34万元，住宿餐饮业27户、45.70万元，本年内未对部门支出经济分类未作相关调整。</w:t>
      </w:r>
    </w:p>
    <w:p>
      <w:pPr>
        <w:adjustRightInd w:val="0"/>
        <w:snapToGrid w:val="0"/>
        <w:spacing w:line="578" w:lineRule="exact"/>
        <w:ind w:firstLineChars="200" w:firstLine="640"/>
        <w:rPr>
          <w:rFonts w:ascii="仿宋_GB2312" w:cs="仿宋_GB2312" w:hAnsi="仿宋_GB2312"/>
          <w:kern w:val="0"/>
          <w:sz w:val="32"/>
          <w:szCs w:val="32"/>
          <w:shd w:val="clear" w:color="auto" w:fill="FFFFFF"/>
          <w:lang w:val="zh-CN"/>
        </w:rPr>
      </w:pPr>
      <w:r>
        <w:rPr>
          <w:rFonts w:ascii="楷体_GB2312" w:eastAsia="楷体_GB2312" w:hint="eastAsia"/>
          <w:b/>
          <w:sz w:val="32"/>
          <w:szCs w:val="32"/>
          <w:lang w:val="zh-CN"/>
        </w:rPr>
        <w:t>（四）项目绩效目标设置。</w:t>
      </w:r>
    </w:p>
    <w:p>
      <w:pPr>
        <w:adjustRightInd w:val="0"/>
        <w:snapToGrid w:val="0"/>
        <w:spacing w:line="578" w:lineRule="exact"/>
        <w:ind w:firstLineChars="200" w:firstLine="640"/>
        <w:rPr>
          <w:rFonts w:ascii="仿宋" w:eastAsia="仿宋" w:cs="仿宋"/>
          <w:kern w:val="0"/>
          <w:sz w:val="32"/>
          <w:szCs w:val="32"/>
          <w:shd w:val="clear" w:color="auto" w:fill="FFFFFF"/>
        </w:rPr>
      </w:pPr>
      <w:r>
        <w:rPr>
          <w:rFonts w:ascii="仿宋" w:eastAsia="仿宋" w:cs="仿宋" w:hint="eastAsia"/>
          <w:sz w:val="32"/>
          <w:szCs w:val="32"/>
        </w:rPr>
        <w:t>通过项目实施，鼓励和支持更多企业（个体）升规入统，激发抽样调查企业（个体）参与统计调查的积极性推动汶川高质量发展</w:t>
      </w:r>
      <w:r>
        <w:rPr>
          <w:rFonts w:ascii="仿宋" w:eastAsia="仿宋" w:cs="仿宋" w:hint="eastAsia"/>
          <w:spacing w:val="8"/>
          <w:sz w:val="32"/>
          <w:szCs w:val="32"/>
          <w:shd w:val="clear" w:color="auto" w:fill="FFFFFF"/>
        </w:rPr>
        <w:t>，夯实统计工作基础。具体绩效目标设置为一级指标产出指标、效益指标、满意度指标，二级指标数量指标、可持续影响指标、服务对象满意度指标，三级指标各行业统计报表、下一年度统计报表质量、企业（个体）统计人员对奖补政策的满意度大于等于99%。</w:t>
      </w:r>
    </w:p>
    <w:p>
      <w:pPr>
        <w:adjustRightInd w:val="0"/>
        <w:snapToGrid w:val="0"/>
        <w:spacing w:line="578" w:lineRule="exact"/>
        <w:ind w:firstLineChars="200" w:firstLine="640"/>
        <w:rPr>
          <w:rFonts w:ascii="黑体" w:eastAsia="黑体"/>
          <w:sz w:val="32"/>
          <w:szCs w:val="32"/>
        </w:rPr>
      </w:pPr>
      <w:r>
        <w:rPr>
          <w:rFonts w:ascii="黑体" w:eastAsia="黑体" w:hint="eastAsia"/>
          <w:sz w:val="32"/>
          <w:szCs w:val="32"/>
        </w:rPr>
        <w:t>二、评价实施</w:t>
      </w:r>
    </w:p>
    <w:p>
      <w:pPr>
        <w:spacing w:line="578" w:lineRule="exact"/>
        <w:ind w:firstLine="640"/>
        <w:rPr>
          <w:rFonts w:ascii="楷体_GB2312" w:eastAsia="楷体_GB2312"/>
          <w:b/>
          <w:sz w:val="32"/>
          <w:szCs w:val="32"/>
          <w:lang w:val="zh-CN"/>
        </w:rPr>
      </w:pPr>
      <w:r>
        <w:rPr>
          <w:rFonts w:ascii="楷体_GB2312" w:eastAsia="楷体_GB2312" w:hint="eastAsia"/>
          <w:b/>
          <w:sz w:val="32"/>
          <w:szCs w:val="32"/>
          <w:lang w:val="zh-CN"/>
        </w:rPr>
        <w:t>（一）评价目的</w:t>
      </w:r>
    </w:p>
    <w:p>
      <w:pPr>
        <w:spacing w:line="578" w:lineRule="exact"/>
        <w:ind w:firstLine="640"/>
        <w:rPr>
          <w:rFonts w:ascii="楷体_GB2312" w:eastAsia="楷体_GB2312"/>
          <w:b/>
          <w:sz w:val="32"/>
          <w:szCs w:val="32"/>
          <w:lang w:val="zh-CN"/>
        </w:rPr>
      </w:pPr>
      <w:r>
        <w:rPr>
          <w:rFonts w:ascii="仿宋" w:eastAsia="仿宋" w:cs="仿宋" w:hint="eastAsia"/>
          <w:sz w:val="32"/>
          <w:szCs w:val="32"/>
          <w:shd w:val="clear" w:color="auto" w:fill="FFFFFF"/>
        </w:rPr>
        <w:t>一是指明该项目实施的状态，即说明该项目的现实状态是否偏离目标。二是总结经验，为改善政府管理、纠正目标与实际的偏差提供依据。</w:t>
      </w:r>
      <w:r>
        <w:rPr>
          <w:rFonts w:ascii="Arial" w:cs="Arial" w:hAnsi="Arial" w:hint="eastAsia"/>
          <w:color w:val="5A5A5A"/>
          <w:sz w:val="32"/>
          <w:szCs w:val="32"/>
        </w:rPr>
        <w:t> </w:t>
      </w:r>
    </w:p>
    <w:p>
      <w:pPr>
        <w:adjustRightInd w:val="0"/>
        <w:snapToGrid w:val="0"/>
        <w:spacing w:line="578" w:lineRule="exact"/>
        <w:ind w:firstLineChars="200" w:firstLine="640"/>
        <w:rPr>
          <w:rFonts w:eastAsia="仿宋_GB2312"/>
          <w:sz w:val="32"/>
          <w:szCs w:val="32"/>
        </w:rPr>
      </w:pPr>
      <w:r>
        <w:rPr>
          <w:rFonts w:ascii="楷体_GB2312" w:eastAsia="楷体_GB2312" w:hint="eastAsia"/>
          <w:b/>
          <w:sz w:val="32"/>
          <w:szCs w:val="32"/>
          <w:lang w:val="zh-CN"/>
        </w:rPr>
        <w:t>（二）预设问题及评价重点。</w:t>
      </w:r>
    </w:p>
    <w:p>
      <w:pPr>
        <w:adjustRightInd w:val="0"/>
        <w:snapToGrid w:val="0"/>
        <w:spacing w:line="578" w:lineRule="exact"/>
        <w:ind w:firstLineChars="200" w:firstLine="640"/>
        <w:rPr>
          <w:rFonts w:eastAsia="仿宋_GB2312"/>
          <w:sz w:val="32"/>
          <w:szCs w:val="32"/>
        </w:rPr>
      </w:pPr>
      <w:r>
        <w:rPr>
          <w:rFonts w:ascii="仿宋" w:eastAsia="仿宋" w:cs="仿宋" w:hint="eastAsia"/>
          <w:sz w:val="32"/>
          <w:szCs w:val="32"/>
        </w:rPr>
        <w:t>该项目在资金使用过程中，严格按照财务规章制度报销相关费用，资金使用方向与预算编制一致，截至4月底，该项目资金已全部使用，预算执行率为100%。通过该项目的实施，保障了我局统计业务工作的顺利开展、确保了统计报表联网直报系统和视频会议系统正常运行、保障了统计调研与统计分析报告的撰写，为县委、县政府对汶川经济发展决策提供数据支撑。</w:t>
      </w:r>
    </w:p>
    <w:p>
      <w:pPr>
        <w:adjustRightInd w:val="0"/>
        <w:snapToGrid w:val="0"/>
        <w:spacing w:line="578" w:lineRule="exact"/>
        <w:ind w:firstLineChars="200" w:firstLine="640"/>
        <w:rPr>
          <w:sz w:val="32"/>
          <w:szCs w:val="32"/>
          <w:lang w:val="zh-CN"/>
        </w:rPr>
      </w:pPr>
      <w:r>
        <w:rPr>
          <w:rFonts w:ascii="楷体_GB2312" w:eastAsia="楷体_GB2312" w:hint="eastAsia"/>
          <w:b/>
          <w:sz w:val="32"/>
          <w:szCs w:val="32"/>
          <w:lang w:val="zh-CN"/>
        </w:rPr>
        <w:t>（三）评价选点。</w:t>
      </w:r>
    </w:p>
    <w:p>
      <w:pPr>
        <w:adjustRightInd w:val="0"/>
        <w:snapToGrid w:val="0"/>
        <w:spacing w:line="578" w:lineRule="exact"/>
        <w:ind w:firstLineChars="200" w:firstLine="640"/>
        <w:rPr>
          <w:rFonts w:ascii="仿宋" w:eastAsia="仿宋" w:cs="仿宋"/>
          <w:sz w:val="32"/>
          <w:szCs w:val="32"/>
          <w:lang w:val="zh-CN"/>
        </w:rPr>
      </w:pPr>
      <w:r>
        <w:rPr>
          <w:rFonts w:ascii="仿宋" w:eastAsia="仿宋" w:cs="仿宋" w:hint="eastAsia"/>
          <w:sz w:val="32"/>
          <w:szCs w:val="32"/>
          <w:lang w:val="zh-CN"/>
        </w:rPr>
        <w:t>项目资金执行进度、资金使用方向、资金使用合法性合规性作为此次绩效评价的选点。</w:t>
      </w:r>
    </w:p>
    <w:p>
      <w:pPr>
        <w:spacing w:line="578" w:lineRule="exact"/>
        <w:ind w:firstLine="640"/>
        <w:rPr>
          <w:sz w:val="32"/>
          <w:szCs w:val="32"/>
        </w:rPr>
      </w:pPr>
      <w:r>
        <w:rPr>
          <w:rFonts w:ascii="楷体_GB2312" w:eastAsia="楷体_GB2312" w:hint="eastAsia"/>
          <w:b/>
          <w:sz w:val="32"/>
          <w:szCs w:val="32"/>
          <w:lang w:val="zh-CN"/>
        </w:rPr>
        <w:t>（四）评价方法。</w:t>
      </w:r>
    </w:p>
    <w:p>
      <w:pPr>
        <w:spacing w:line="578" w:lineRule="exact"/>
        <w:ind w:firstLine="640"/>
        <w:rPr>
          <w:rFonts w:ascii="仿宋" w:eastAsia="仿宋" w:cs="仿宋"/>
          <w:sz w:val="32"/>
          <w:szCs w:val="32"/>
        </w:rPr>
      </w:pPr>
      <w:r>
        <w:rPr>
          <w:rFonts w:ascii="仿宋" w:eastAsia="仿宋" w:cs="仿宋" w:hint="eastAsia"/>
          <w:sz w:val="32"/>
          <w:szCs w:val="32"/>
        </w:rPr>
        <w:t>我单位主要采取单位自评法开展荐绩效评价。通过查看项目预算编制是否合理、是否制定项目资金管理办法、项目资金分配方案是否合理、资金预算执行进度是否达标、资金使用过程中的原始票据是否规范完整等相关资料，综合评价项目实施绩效结果。</w:t>
      </w:r>
    </w:p>
    <w:p>
      <w:pPr>
        <w:spacing w:line="578" w:lineRule="exact"/>
        <w:ind w:firstLine="640"/>
        <w:rPr>
          <w:sz w:val="32"/>
          <w:szCs w:val="32"/>
        </w:rPr>
      </w:pPr>
      <w:r>
        <w:rPr>
          <w:rFonts w:ascii="楷体_GB2312" w:eastAsia="楷体_GB2312" w:hint="eastAsia"/>
          <w:b/>
          <w:sz w:val="32"/>
          <w:szCs w:val="32"/>
          <w:lang w:val="zh-CN"/>
        </w:rPr>
        <w:t>（五）评价组织。</w:t>
      </w:r>
    </w:p>
    <w:p>
      <w:pPr>
        <w:adjustRightInd w:val="0"/>
        <w:snapToGrid w:val="0"/>
        <w:spacing w:line="600" w:lineRule="exact"/>
        <w:ind w:firstLine="720"/>
        <w:rPr>
          <w:rFonts w:ascii="仿宋" w:eastAsia="仿宋" w:cs="仿宋"/>
          <w:sz w:val="32"/>
          <w:szCs w:val="32"/>
          <w:lang w:val="zh-CN"/>
        </w:rPr>
      </w:pPr>
      <w:r>
        <w:rPr>
          <w:rFonts w:ascii="仿宋" w:eastAsia="仿宋" w:cs="仿宋" w:hint="eastAsia"/>
          <w:sz w:val="32"/>
          <w:szCs w:val="32"/>
          <w:lang w:val="zh-CN"/>
        </w:rPr>
        <w:t>汶川县统计局党组高度重视统计业务工作，根据工作需要成立绩效评价工作领导小组。</w:t>
      </w:r>
    </w:p>
    <w:p>
      <w:pPr>
        <w:adjustRightInd w:val="0"/>
        <w:snapToGrid w:val="0"/>
        <w:spacing w:line="600" w:lineRule="exact"/>
        <w:ind w:firstLine="720"/>
        <w:rPr>
          <w:rFonts w:ascii="仿宋" w:eastAsia="仿宋" w:cs="仿宋"/>
          <w:sz w:val="32"/>
          <w:szCs w:val="32"/>
          <w:lang w:val="zh-CN"/>
        </w:rPr>
      </w:pPr>
      <w:r>
        <w:rPr>
          <w:rFonts w:ascii="仿宋" w:eastAsia="仿宋" w:cs="仿宋" w:hint="eastAsia"/>
          <w:sz w:val="32"/>
          <w:szCs w:val="32"/>
          <w:lang w:val="zh-CN"/>
        </w:rPr>
        <w:t>组</w:t>
      </w:r>
      <w:r>
        <w:rPr>
          <w:rFonts w:ascii="仿宋" w:eastAsia="仿宋" w:cs="仿宋" w:hint="eastAsia"/>
          <w:sz w:val="32"/>
          <w:szCs w:val="32"/>
        </w:rPr>
        <w:t xml:space="preserve">  </w:t>
      </w:r>
      <w:r>
        <w:rPr>
          <w:rFonts w:ascii="仿宋" w:eastAsia="仿宋" w:cs="仿宋" w:hint="eastAsia"/>
          <w:sz w:val="32"/>
          <w:szCs w:val="32"/>
          <w:lang w:val="zh-CN"/>
        </w:rPr>
        <w:t>长：陈</w:t>
      </w:r>
      <w:r>
        <w:rPr>
          <w:rFonts w:ascii="仿宋" w:eastAsia="仿宋" w:cs="仿宋" w:hint="eastAsia"/>
          <w:sz w:val="32"/>
          <w:szCs w:val="32"/>
        </w:rPr>
        <w:t xml:space="preserve">  </w:t>
      </w:r>
      <w:r>
        <w:rPr>
          <w:rFonts w:ascii="仿宋" w:eastAsia="仿宋" w:cs="仿宋" w:hint="eastAsia"/>
          <w:sz w:val="32"/>
          <w:szCs w:val="32"/>
          <w:lang w:val="zh-CN"/>
        </w:rPr>
        <w:t>康</w:t>
      </w:r>
      <w:r>
        <w:rPr>
          <w:rFonts w:ascii="仿宋" w:eastAsia="仿宋" w:cs="仿宋" w:hint="eastAsia"/>
          <w:sz w:val="32"/>
          <w:szCs w:val="32"/>
        </w:rPr>
        <w:t xml:space="preserve">  </w:t>
      </w:r>
      <w:r>
        <w:rPr>
          <w:rFonts w:ascii="仿宋" w:eastAsia="仿宋" w:cs="仿宋" w:hint="eastAsia"/>
          <w:sz w:val="32"/>
          <w:szCs w:val="32"/>
          <w:lang w:val="zh-CN"/>
        </w:rPr>
        <w:t>党组书记、局长</w:t>
      </w:r>
    </w:p>
    <w:p>
      <w:pPr>
        <w:adjustRightInd w:val="0"/>
        <w:snapToGrid w:val="0"/>
        <w:spacing w:line="600" w:lineRule="exact"/>
        <w:ind w:firstLine="720"/>
        <w:rPr>
          <w:rFonts w:ascii="仿宋" w:eastAsia="仿宋" w:cs="仿宋"/>
          <w:sz w:val="32"/>
          <w:szCs w:val="32"/>
        </w:rPr>
      </w:pPr>
      <w:r>
        <w:rPr>
          <w:rFonts w:ascii="仿宋" w:eastAsia="仿宋" w:cs="仿宋" w:hint="eastAsia"/>
          <w:sz w:val="32"/>
          <w:szCs w:val="32"/>
          <w:lang w:val="zh-CN"/>
        </w:rPr>
        <w:t>副组长：</w:t>
      </w:r>
      <w:r>
        <w:rPr>
          <w:rFonts w:ascii="仿宋" w:eastAsia="仿宋" w:cs="仿宋" w:hint="eastAsia"/>
          <w:sz w:val="32"/>
          <w:szCs w:val="32"/>
        </w:rPr>
        <w:t xml:space="preserve">任思瀚  </w:t>
      </w:r>
      <w:r>
        <w:rPr>
          <w:rFonts w:ascii="仿宋" w:eastAsia="仿宋" w:cs="仿宋" w:hint="eastAsia"/>
          <w:sz w:val="32"/>
          <w:szCs w:val="32"/>
          <w:lang w:val="zh-CN"/>
        </w:rPr>
        <w:t>党组成员、副局长</w:t>
      </w:r>
    </w:p>
    <w:p>
      <w:pPr>
        <w:adjustRightInd w:val="0"/>
        <w:snapToGrid w:val="0"/>
        <w:spacing w:line="600" w:lineRule="exact"/>
        <w:ind w:firstLineChars="625" w:firstLine="2000"/>
        <w:rPr>
          <w:rFonts w:ascii="仿宋" w:eastAsia="仿宋" w:cs="仿宋"/>
          <w:sz w:val="32"/>
          <w:szCs w:val="32"/>
          <w:lang w:val="zh-CN"/>
        </w:rPr>
      </w:pPr>
      <w:r>
        <w:rPr>
          <w:rFonts w:ascii="仿宋" w:eastAsia="仿宋" w:cs="仿宋" w:hint="eastAsia"/>
          <w:sz w:val="32"/>
          <w:szCs w:val="32"/>
          <w:lang w:val="zh-CN"/>
        </w:rPr>
        <w:t>李怀志</w:t>
      </w:r>
      <w:r>
        <w:rPr>
          <w:rFonts w:ascii="仿宋" w:eastAsia="仿宋" w:cs="仿宋" w:hint="eastAsia"/>
          <w:sz w:val="32"/>
          <w:szCs w:val="32"/>
        </w:rPr>
        <w:t xml:space="preserve">  </w:t>
      </w:r>
      <w:r>
        <w:rPr>
          <w:rFonts w:ascii="仿宋" w:eastAsia="仿宋" w:cs="仿宋" w:hint="eastAsia"/>
          <w:sz w:val="32"/>
          <w:szCs w:val="32"/>
          <w:lang w:val="zh-CN"/>
        </w:rPr>
        <w:t>党组成员、副局长</w:t>
      </w:r>
    </w:p>
    <w:p>
      <w:pPr>
        <w:adjustRightInd w:val="0"/>
        <w:snapToGrid w:val="0"/>
        <w:spacing w:line="600" w:lineRule="exact"/>
        <w:ind w:firstLineChars="625" w:firstLine="2000"/>
        <w:rPr>
          <w:rFonts w:ascii="仿宋" w:eastAsia="仿宋" w:cs="仿宋"/>
          <w:sz w:val="32"/>
          <w:szCs w:val="32"/>
          <w:lang w:val="zh-CN"/>
        </w:rPr>
      </w:pPr>
      <w:r>
        <w:rPr>
          <w:rFonts w:ascii="仿宋" w:eastAsia="仿宋" w:cs="仿宋" w:hint="eastAsia"/>
          <w:sz w:val="32"/>
          <w:szCs w:val="32"/>
          <w:lang w:val="zh-CN"/>
        </w:rPr>
        <w:t>成</w:t>
      </w:r>
      <w:r>
        <w:rPr>
          <w:rFonts w:ascii="仿宋" w:eastAsia="仿宋" w:cs="仿宋" w:hint="eastAsia"/>
          <w:sz w:val="32"/>
          <w:szCs w:val="32"/>
        </w:rPr>
        <w:t xml:space="preserve">  </w:t>
      </w:r>
      <w:r>
        <w:rPr>
          <w:rFonts w:ascii="仿宋" w:eastAsia="仿宋" w:cs="仿宋" w:hint="eastAsia"/>
          <w:sz w:val="32"/>
          <w:szCs w:val="32"/>
          <w:lang w:val="zh-CN"/>
        </w:rPr>
        <w:t>员：全体干部职工</w:t>
      </w:r>
    </w:p>
    <w:p>
      <w:pPr>
        <w:adjustRightInd w:val="0"/>
        <w:snapToGrid w:val="0"/>
        <w:spacing w:line="600" w:lineRule="exact"/>
        <w:ind w:firstLine="720"/>
        <w:rPr>
          <w:rFonts w:ascii="仿宋" w:eastAsia="仿宋" w:cs="仿宋"/>
          <w:sz w:val="32"/>
          <w:szCs w:val="32"/>
        </w:rPr>
      </w:pPr>
      <w:r>
        <w:rPr>
          <w:rFonts w:ascii="仿宋" w:eastAsia="仿宋" w:cs="仿宋" w:hint="eastAsia"/>
          <w:sz w:val="32"/>
          <w:szCs w:val="32"/>
          <w:lang w:val="zh-CN"/>
        </w:rPr>
        <w:t>领导小组办公室设在局办公室，由李怀志兼任办公室主任，具体负责绩效评价组织实施工作。领导小组实行负责制，全体成员积极配合、通力合作，领导小组办公室协调相关工作，统计业务日常运行及资金管理。统计业务工作由业务股室具体管理，资金由局财务室具体负责支付，按财政支付相关规定对运行经费进行核算，实行“专款专用、专人管理”，不得挤占挪用运行经费。</w:t>
      </w:r>
    </w:p>
    <w:p>
      <w:pPr>
        <w:adjustRightInd w:val="0"/>
        <w:snapToGrid w:val="0"/>
        <w:spacing w:line="578" w:lineRule="exact"/>
        <w:ind w:firstLineChars="200" w:firstLine="640"/>
        <w:rPr>
          <w:rFonts w:ascii="仿宋_GB2312" w:hAnsi="仿宋_GB2312"/>
          <w:sz w:val="32"/>
          <w:szCs w:val="32"/>
          <w:lang w:val="zh-CN"/>
        </w:rPr>
      </w:pPr>
      <w:r>
        <w:rPr>
          <w:rFonts w:ascii="黑体" w:eastAsia="黑体" w:hint="eastAsia"/>
          <w:sz w:val="32"/>
          <w:szCs w:val="32"/>
        </w:rPr>
        <w:t>三、绩效分析</w:t>
      </w:r>
      <w:r>
        <w:rPr>
          <w:rFonts w:ascii="仿宋_GB2312" w:hAnsi="仿宋_GB2312" w:hint="eastAsia"/>
          <w:sz w:val="32"/>
          <w:szCs w:val="32"/>
          <w:lang w:val="zh-CN"/>
        </w:rPr>
        <w:tab/>
      </w:r>
    </w:p>
    <w:p>
      <w:pPr>
        <w:spacing w:line="578" w:lineRule="exact"/>
        <w:ind w:firstLine="640"/>
        <w:rPr>
          <w:rFonts w:eastAsia="仿宋_GB2312"/>
          <w:sz w:val="32"/>
          <w:szCs w:val="32"/>
        </w:rPr>
      </w:pPr>
      <w:r>
        <w:rPr>
          <w:rFonts w:eastAsia="仿宋_GB2312"/>
          <w:sz w:val="32"/>
          <w:szCs w:val="32"/>
          <w:lang w:val="zh-CN"/>
        </w:rPr>
        <w:t>根据</w:t>
      </w:r>
      <w:r>
        <w:rPr>
          <w:rFonts w:eastAsia="仿宋_GB2312" w:hint="eastAsia"/>
          <w:sz w:val="32"/>
          <w:szCs w:val="32"/>
          <w:lang w:val="zh-CN"/>
        </w:rPr>
        <w:t>项目</w:t>
      </w:r>
      <w:r>
        <w:rPr>
          <w:rFonts w:eastAsia="仿宋_GB2312"/>
          <w:sz w:val="32"/>
          <w:szCs w:val="32"/>
          <w:lang w:val="zh-CN"/>
        </w:rPr>
        <w:t>预算绩效评价指标体系“</w:t>
      </w:r>
      <w:r>
        <w:rPr>
          <w:rFonts w:eastAsia="仿宋_GB2312" w:hint="eastAsia"/>
          <w:sz w:val="32"/>
          <w:szCs w:val="32"/>
          <w:lang w:val="zh-CN"/>
        </w:rPr>
        <w:t>通用指标</w:t>
      </w:r>
      <w:r>
        <w:rPr>
          <w:rFonts w:eastAsia="仿宋_GB2312"/>
          <w:sz w:val="32"/>
          <w:szCs w:val="32"/>
          <w:lang w:val="zh-CN"/>
        </w:rPr>
        <w:t>”</w:t>
      </w:r>
      <w:r>
        <w:rPr>
          <w:rFonts w:eastAsia="仿宋_GB2312" w:hint="eastAsia"/>
          <w:sz w:val="32"/>
          <w:szCs w:val="32"/>
          <w:lang w:val="zh-CN"/>
        </w:rPr>
        <w:t>“专用指标”“个性指标”</w:t>
      </w:r>
      <w:r>
        <w:rPr>
          <w:rFonts w:eastAsia="仿宋_GB2312"/>
          <w:sz w:val="32"/>
          <w:szCs w:val="32"/>
          <w:lang w:val="zh-CN"/>
        </w:rPr>
        <w:t>涉及</w:t>
      </w:r>
      <w:r>
        <w:rPr>
          <w:rFonts w:eastAsia="仿宋_GB2312" w:hint="eastAsia"/>
          <w:sz w:val="32"/>
          <w:szCs w:val="32"/>
          <w:lang w:val="zh-CN"/>
        </w:rPr>
        <w:t>二、三级</w:t>
      </w:r>
      <w:r>
        <w:rPr>
          <w:rFonts w:eastAsia="仿宋_GB2312"/>
          <w:sz w:val="32"/>
          <w:szCs w:val="32"/>
          <w:lang w:val="zh-CN"/>
        </w:rPr>
        <w:t>指标进行</w:t>
      </w:r>
      <w:r>
        <w:rPr>
          <w:rFonts w:eastAsia="仿宋_GB2312" w:hint="eastAsia"/>
          <w:sz w:val="32"/>
          <w:szCs w:val="32"/>
          <w:lang w:val="zh-CN"/>
        </w:rPr>
        <w:t>逐项</w:t>
      </w:r>
      <w:r>
        <w:rPr>
          <w:rFonts w:eastAsia="仿宋_GB2312"/>
          <w:sz w:val="32"/>
          <w:szCs w:val="32"/>
          <w:lang w:val="zh-CN"/>
        </w:rPr>
        <w:t>绩效分析</w:t>
      </w:r>
      <w:r>
        <w:rPr>
          <w:rFonts w:eastAsia="仿宋_GB2312" w:hint="eastAsia"/>
          <w:sz w:val="32"/>
          <w:szCs w:val="32"/>
          <w:lang w:val="zh-CN"/>
        </w:rPr>
        <w:t>并评分</w:t>
      </w:r>
      <w:r>
        <w:rPr>
          <w:rFonts w:hint="eastAsia"/>
          <w:sz w:val="32"/>
          <w:szCs w:val="32"/>
        </w:rPr>
        <w:t>。</w:t>
      </w:r>
    </w:p>
    <w:p>
      <w:pPr>
        <w:spacing w:line="578" w:lineRule="exact"/>
        <w:ind w:firstLine="640"/>
        <w:rPr>
          <w:rFonts w:ascii="楷体_GB2312" w:eastAsia="楷体_GB2312"/>
          <w:b/>
          <w:sz w:val="32"/>
          <w:szCs w:val="32"/>
        </w:rPr>
      </w:pPr>
      <w:r>
        <w:rPr>
          <w:rFonts w:ascii="楷体_GB2312" w:eastAsia="楷体_GB2312" w:hint="eastAsia"/>
          <w:b/>
          <w:sz w:val="32"/>
          <w:szCs w:val="32"/>
          <w:lang w:val="zh-CN"/>
        </w:rPr>
        <w:t>（一）</w:t>
      </w:r>
      <w:r>
        <w:rPr>
          <w:rFonts w:ascii="楷体_GB2312" w:eastAsia="楷体_GB2312" w:hint="eastAsia"/>
          <w:b/>
          <w:sz w:val="32"/>
          <w:szCs w:val="32"/>
        </w:rPr>
        <w:t>通用指标</w:t>
      </w:r>
      <w:r>
        <w:rPr>
          <w:rFonts w:eastAsia="楷体_GB2312"/>
          <w:b/>
          <w:bCs/>
          <w:color w:val="000000"/>
          <w:kern w:val="0"/>
          <w:sz w:val="32"/>
          <w:szCs w:val="32"/>
          <w:shd w:val="clear" w:color="auto" w:fill="FFFFFF"/>
          <w:lang w:val="zh-CN"/>
        </w:rPr>
        <w:t>绩效分析。</w:t>
      </w:r>
    </w:p>
    <w:p>
      <w:pPr>
        <w:spacing w:line="578" w:lineRule="exact"/>
        <w:ind w:firstLine="640"/>
        <w:rPr>
          <w:sz w:val="32"/>
          <w:szCs w:val="32"/>
        </w:rPr>
      </w:pPr>
      <w:r>
        <w:rPr>
          <w:rFonts w:ascii="楷体_GB2312" w:eastAsia="楷体_GB2312" w:cs="楷体_GB2312" w:hint="eastAsia"/>
          <w:sz w:val="32"/>
          <w:szCs w:val="32"/>
        </w:rPr>
        <w:t>1.项目决策。（18分）</w:t>
      </w:r>
    </w:p>
    <w:p>
      <w:pPr>
        <w:adjustRightInd w:val="0"/>
        <w:snapToGrid w:val="0"/>
        <w:spacing w:line="578" w:lineRule="exact"/>
        <w:ind w:firstLineChars="200" w:firstLine="640"/>
        <w:contextualSpacing/>
        <w:jc w:val="left"/>
        <w:rPr>
          <w:rFonts w:ascii="仿宋" w:eastAsia="仿宋" w:cs="仿宋"/>
          <w:color w:val="000000"/>
          <w:kern w:val="0"/>
          <w:sz w:val="32"/>
          <w:szCs w:val="32"/>
          <w:shd w:val="clear" w:color="auto" w:fill="FFFFFF"/>
        </w:rPr>
      </w:pPr>
      <w:r>
        <w:rPr>
          <w:rFonts w:ascii="仿宋" w:eastAsia="仿宋" w:cs="仿宋" w:hint="eastAsia"/>
          <w:color w:val="000000"/>
          <w:kern w:val="0"/>
          <w:sz w:val="32"/>
          <w:szCs w:val="32"/>
          <w:shd w:val="clear" w:color="auto" w:fill="FFFFFF"/>
        </w:rPr>
        <w:t>本级预算项目资金是根据上级统计专业要求和单位实际进行预算编制，所有项目都经过领导班子集体研究决定，请示县人民政府同意后纳入财政预算。根据各项目年度要完成的工作任务设置绩效目标和项目事前绩效评估，单位进行项目登记、项目入库申请，财政对口股室审核、财政预算股审核确定项目入库。</w:t>
      </w:r>
    </w:p>
    <w:p>
      <w:pPr>
        <w:adjustRightInd w:val="0"/>
        <w:snapToGrid w:val="0"/>
        <w:spacing w:line="578" w:lineRule="exact"/>
        <w:ind w:firstLineChars="200" w:firstLine="640"/>
        <w:contextualSpacing/>
        <w:jc w:val="left"/>
        <w:rPr>
          <w:rFonts w:ascii="仿宋" w:eastAsia="仿宋" w:cs="仿宋"/>
          <w:color w:val="000000"/>
          <w:kern w:val="0"/>
          <w:sz w:val="32"/>
          <w:szCs w:val="32"/>
          <w:shd w:val="clear" w:color="auto" w:fill="FFFFFF"/>
          <w:lang w:val="zh-CN"/>
        </w:rPr>
      </w:pPr>
      <w:r>
        <w:rPr>
          <w:rFonts w:ascii="仿宋" w:eastAsia="仿宋" w:cs="仿宋" w:hint="eastAsia"/>
          <w:color w:val="000000"/>
          <w:kern w:val="0"/>
          <w:sz w:val="32"/>
          <w:szCs w:val="32"/>
          <w:shd w:val="clear" w:color="auto" w:fill="FFFFFF"/>
          <w:lang w:val="zh-CN"/>
        </w:rPr>
        <w:t>综上，根据评分标准，该项指标，得</w:t>
      </w:r>
      <w:r>
        <w:rPr>
          <w:rFonts w:ascii="仿宋" w:eastAsia="仿宋" w:cs="仿宋" w:hint="eastAsia"/>
          <w:color w:val="000000"/>
          <w:kern w:val="0"/>
          <w:sz w:val="32"/>
          <w:szCs w:val="32"/>
          <w:shd w:val="clear" w:color="auto" w:fill="FFFFFF"/>
        </w:rPr>
        <w:t>18</w:t>
      </w:r>
      <w:r>
        <w:rPr>
          <w:rFonts w:ascii="仿宋" w:eastAsia="仿宋" w:cs="仿宋" w:hint="eastAsia"/>
          <w:color w:val="000000"/>
          <w:kern w:val="0"/>
          <w:sz w:val="32"/>
          <w:szCs w:val="32"/>
          <w:shd w:val="clear" w:color="auto" w:fill="FFFFFF"/>
          <w:lang w:val="zh-CN"/>
        </w:rPr>
        <w:t>分。</w:t>
      </w:r>
    </w:p>
    <w:p>
      <w:pPr>
        <w:spacing w:line="578" w:lineRule="exact"/>
        <w:ind w:firstLine="640"/>
        <w:rPr>
          <w:rFonts w:ascii="楷体_GB2312" w:eastAsia="楷体_GB2312" w:cs="楷体_GB2312"/>
          <w:sz w:val="32"/>
          <w:szCs w:val="32"/>
        </w:rPr>
      </w:pPr>
      <w:r>
        <w:rPr>
          <w:rFonts w:ascii="楷体_GB2312" w:eastAsia="楷体_GB2312" w:cs="楷体_GB2312" w:hint="eastAsia"/>
          <w:sz w:val="32"/>
          <w:szCs w:val="32"/>
        </w:rPr>
        <w:t>2.项目管理。（18分）</w:t>
      </w:r>
    </w:p>
    <w:p>
      <w:pPr>
        <w:spacing w:line="578" w:lineRule="exact"/>
        <w:ind w:firstLine="640"/>
        <w:rPr>
          <w:rFonts w:ascii="仿宋" w:eastAsia="仿宋" w:cs="仿宋"/>
          <w:sz w:val="32"/>
          <w:szCs w:val="32"/>
        </w:rPr>
      </w:pPr>
      <w:r>
        <w:rPr>
          <w:rFonts w:ascii="仿宋" w:eastAsia="仿宋" w:cs="仿宋" w:hint="eastAsia"/>
          <w:sz w:val="32"/>
          <w:szCs w:val="32"/>
        </w:rPr>
        <w:t>制定了《汶川县统计局专项资金管理办法》，根据资金管理制度和工作开展实际情况进行分配资金，按季度通报绩效目标完成情况、资金使用进度、存在的问题，提出了下一步改进措施。</w:t>
      </w:r>
    </w:p>
    <w:p>
      <w:pPr>
        <w:spacing w:line="578" w:lineRule="exact"/>
        <w:ind w:firstLine="640"/>
        <w:rPr>
          <w:rFonts w:ascii="仿宋" w:eastAsia="仿宋" w:cs="仿宋"/>
          <w:sz w:val="32"/>
          <w:szCs w:val="32"/>
        </w:rPr>
      </w:pPr>
      <w:r>
        <w:rPr>
          <w:rFonts w:ascii="仿宋" w:eastAsia="仿宋" w:cs="仿宋" w:hint="eastAsia"/>
          <w:sz w:val="32"/>
          <w:szCs w:val="32"/>
        </w:rPr>
        <w:t>综上所述，该指标得18分。</w:t>
      </w:r>
    </w:p>
    <w:p>
      <w:pPr>
        <w:ind w:firstLineChars="200" w:firstLine="640"/>
        <w:rPr>
          <w:rFonts w:ascii="楷体_GB2312" w:eastAsia="楷体_GB2312" w:cs="楷体_GB2312"/>
          <w:sz w:val="32"/>
          <w:szCs w:val="32"/>
        </w:rPr>
      </w:pPr>
      <w:r>
        <w:rPr>
          <w:rFonts w:ascii="楷体_GB2312" w:eastAsia="楷体_GB2312" w:cs="楷体_GB2312" w:hint="eastAsia"/>
          <w:sz w:val="32"/>
          <w:szCs w:val="32"/>
        </w:rPr>
        <w:t>3.项目实施。（9分）</w:t>
      </w:r>
    </w:p>
    <w:p>
      <w:pPr>
        <w:ind w:firstLineChars="200" w:firstLine="640"/>
        <w:rPr>
          <w:rFonts w:ascii="仿宋" w:eastAsia="仿宋" w:cs="仿宋"/>
          <w:color w:val="000000"/>
          <w:kern w:val="0"/>
          <w:sz w:val="32"/>
          <w:szCs w:val="32"/>
          <w:shd w:val="clear" w:color="auto" w:fill="FFFFFF"/>
        </w:rPr>
      </w:pPr>
      <w:r>
        <w:rPr>
          <w:rFonts w:hint="eastAsia"/>
          <w:color w:val="000000"/>
          <w:kern w:val="0"/>
          <w:sz w:val="32"/>
          <w:szCs w:val="32"/>
          <w:shd w:val="clear" w:color="auto" w:fill="FFFFFF"/>
        </w:rPr>
        <w:t>《</w:t>
      </w:r>
      <w:r>
        <w:rPr>
          <w:rFonts w:ascii="仿宋" w:eastAsia="仿宋" w:hint="eastAsia"/>
          <w:sz w:val="32"/>
          <w:szCs w:val="32"/>
        </w:rPr>
        <w:t>汶川县“</w:t>
      </w:r>
      <w:r>
        <w:rPr>
          <w:rStyle w:val="26"/>
          <w:rFonts w:ascii="仿宋_GB2312" w:eastAsia="仿宋_GB2312" w:hint="eastAsia"/>
          <w:b w:val="0"/>
          <w:sz w:val="32"/>
          <w:szCs w:val="32"/>
        </w:rPr>
        <w:t>四上”企业（个体）及抽样调查企业（个体）统计人员奖补</w:t>
      </w:r>
      <w:r>
        <w:rPr>
          <w:rFonts w:hint="eastAsia"/>
          <w:color w:val="000000"/>
          <w:kern w:val="0"/>
          <w:sz w:val="32"/>
          <w:szCs w:val="32"/>
          <w:shd w:val="clear" w:color="auto" w:fill="FFFFFF"/>
        </w:rPr>
        <w:t>》</w:t>
      </w:r>
      <w:r>
        <w:rPr>
          <w:rFonts w:ascii="仿宋" w:eastAsia="仿宋" w:cs="仿宋" w:hint="eastAsia"/>
          <w:color w:val="000000"/>
          <w:kern w:val="0"/>
          <w:sz w:val="32"/>
          <w:szCs w:val="32"/>
          <w:shd w:val="clear" w:color="auto" w:fill="FFFFFF"/>
        </w:rPr>
        <w:t>预算项目23.56万元，该项目资金主要用于保障统计人员奖补所需的劳务费（统计人员奖补），截至7月底，该项目经费全部使用完毕，预算执行率100%。</w:t>
      </w:r>
    </w:p>
    <w:p>
      <w:pPr>
        <w:ind w:firstLineChars="200" w:firstLine="640"/>
        <w:rPr>
          <w:rFonts w:ascii="仿宋" w:eastAsia="仿宋" w:cs="仿宋"/>
          <w:sz w:val="32"/>
          <w:szCs w:val="32"/>
        </w:rPr>
      </w:pPr>
      <w:r>
        <w:rPr>
          <w:rFonts w:ascii="仿宋" w:eastAsia="仿宋" w:cs="仿宋" w:hint="eastAsia"/>
          <w:sz w:val="32"/>
          <w:szCs w:val="32"/>
        </w:rPr>
        <w:t>综上所述，该指标得8分。</w:t>
      </w:r>
    </w:p>
    <w:p>
      <w:pPr>
        <w:ind w:firstLineChars="200" w:firstLine="640"/>
        <w:rPr>
          <w:rFonts w:ascii="楷体_GB2312" w:eastAsia="楷体_GB2312" w:cs="楷体_GB2312"/>
          <w:sz w:val="32"/>
          <w:szCs w:val="32"/>
        </w:rPr>
      </w:pPr>
      <w:r>
        <w:rPr>
          <w:rFonts w:ascii="楷体_GB2312" w:eastAsia="楷体_GB2312" w:cs="楷体_GB2312" w:hint="eastAsia"/>
          <w:sz w:val="32"/>
          <w:szCs w:val="32"/>
        </w:rPr>
        <w:t>4.项目结果。（9分）</w:t>
      </w:r>
    </w:p>
    <w:p>
      <w:pPr>
        <w:ind w:firstLineChars="200" w:firstLine="640"/>
        <w:rPr>
          <w:rFonts w:ascii="仿宋" w:eastAsia="仿宋" w:cs="仿宋"/>
          <w:sz w:val="32"/>
          <w:szCs w:val="32"/>
        </w:rPr>
      </w:pPr>
      <w:r>
        <w:rPr>
          <w:rFonts w:ascii="仿宋" w:eastAsia="仿宋" w:cs="仿宋" w:hint="eastAsia"/>
          <w:sz w:val="32"/>
          <w:szCs w:val="32"/>
        </w:rPr>
        <w:t>2025年度，该项目所有绩效目标全部实现，均在7月底前完成，项目资金也全部支付完成。</w:t>
      </w:r>
    </w:p>
    <w:p>
      <w:pPr>
        <w:ind w:firstLineChars="200" w:firstLine="640"/>
        <w:rPr>
          <w:rFonts w:ascii="仿宋" w:eastAsia="仿宋" w:cs="仿宋"/>
          <w:sz w:val="32"/>
          <w:szCs w:val="32"/>
        </w:rPr>
      </w:pPr>
      <w:r>
        <w:rPr>
          <w:rFonts w:ascii="仿宋" w:eastAsia="仿宋" w:cs="仿宋" w:hint="eastAsia"/>
          <w:sz w:val="32"/>
          <w:szCs w:val="32"/>
        </w:rPr>
        <w:t>综上所述，该指标得8分。</w:t>
      </w:r>
    </w:p>
    <w:p>
      <w:pPr>
        <w:spacing w:line="578" w:lineRule="exact"/>
        <w:ind w:firstLineChars="200" w:firstLine="640"/>
        <w:rPr>
          <w:rFonts w:ascii="楷体_GB2312" w:eastAsia="楷体_GB2312" w:cs="楷体_GB2312"/>
          <w:sz w:val="32"/>
          <w:szCs w:val="32"/>
          <w:lang w:val="zh-CN"/>
        </w:rPr>
      </w:pPr>
      <w:r>
        <w:rPr>
          <w:rFonts w:ascii="楷体_GB2312" w:eastAsia="楷体_GB2312" w:hint="eastAsia"/>
          <w:b/>
          <w:sz w:val="32"/>
          <w:szCs w:val="32"/>
          <w:lang w:val="zh-CN"/>
        </w:rPr>
        <w:t>（二）</w:t>
      </w:r>
      <w:r>
        <w:rPr>
          <w:rFonts w:ascii="楷体_GB2312" w:eastAsia="楷体_GB2312" w:hint="eastAsia"/>
          <w:b/>
          <w:sz w:val="32"/>
          <w:szCs w:val="32"/>
        </w:rPr>
        <w:t>专用指标</w:t>
      </w:r>
      <w:r>
        <w:rPr>
          <w:rFonts w:eastAsia="楷体_GB2312"/>
          <w:b/>
          <w:bCs/>
          <w:color w:val="000000"/>
          <w:kern w:val="0"/>
          <w:sz w:val="32"/>
          <w:szCs w:val="32"/>
          <w:shd w:val="clear" w:color="auto" w:fill="FFFFFF"/>
          <w:lang w:val="zh-CN"/>
        </w:rPr>
        <w:t>绩效分析。</w:t>
      </w:r>
      <w:r>
        <w:rPr>
          <w:rFonts w:ascii="仿宋" w:eastAsia="仿宋" w:cs="仿宋" w:hint="eastAsia"/>
          <w:sz w:val="32"/>
          <w:szCs w:val="32"/>
          <w:lang w:val="zh-CN"/>
        </w:rPr>
        <w:t>根据</w:t>
      </w:r>
      <w:r>
        <w:rPr>
          <w:rFonts w:ascii="仿宋" w:eastAsia="仿宋" w:cs="仿宋" w:hint="eastAsia"/>
          <w:sz w:val="32"/>
          <w:szCs w:val="32"/>
        </w:rPr>
        <w:t>专项预算项目资金支持对象选择所属指标进行绩效分析。支持对象</w:t>
      </w:r>
      <w:r>
        <w:rPr>
          <w:rFonts w:ascii="仿宋" w:eastAsia="仿宋" w:cs="仿宋" w:hint="eastAsia"/>
          <w:sz w:val="32"/>
          <w:szCs w:val="32"/>
          <w:lang w:val="zh-CN"/>
        </w:rPr>
        <w:t>包括产业发展、民生保障、基础设施、行政运转等方面</w:t>
      </w:r>
      <w:r>
        <w:rPr>
          <w:rFonts w:hint="eastAsia"/>
          <w:sz w:val="32"/>
          <w:szCs w:val="32"/>
          <w:lang w:val="zh-CN"/>
        </w:rPr>
        <w:t>。</w:t>
      </w:r>
    </w:p>
    <w:p>
      <w:pPr>
        <w:spacing w:line="578" w:lineRule="exact"/>
        <w:ind w:firstLineChars="200" w:firstLine="640"/>
        <w:rPr>
          <w:rFonts w:ascii="楷体_GB2312" w:eastAsia="楷体_GB2312" w:cs="楷体_GB2312"/>
          <w:sz w:val="32"/>
          <w:szCs w:val="32"/>
        </w:rPr>
      </w:pPr>
      <w:r>
        <w:rPr>
          <w:rFonts w:ascii="楷体_GB2312" w:eastAsia="楷体_GB2312" w:cs="楷体_GB2312" w:hint="eastAsia"/>
          <w:sz w:val="32"/>
          <w:szCs w:val="32"/>
        </w:rPr>
        <w:t>1.</w:t>
      </w:r>
      <w:r>
        <w:rPr>
          <w:rFonts w:ascii="楷体_GB2312" w:eastAsia="楷体_GB2312" w:cs="楷体_GB2312" w:hint="eastAsia"/>
          <w:sz w:val="32"/>
          <w:szCs w:val="32"/>
          <w:lang w:val="zh-CN"/>
        </w:rPr>
        <w:t>行政运转。</w:t>
      </w:r>
      <w:r>
        <w:rPr>
          <w:rFonts w:ascii="楷体_GB2312" w:eastAsia="楷体_GB2312" w:cs="楷体_GB2312" w:hint="eastAsia"/>
          <w:sz w:val="32"/>
          <w:szCs w:val="32"/>
        </w:rPr>
        <w:t>（30分）</w:t>
      </w:r>
    </w:p>
    <w:p>
      <w:pPr>
        <w:spacing w:line="578" w:lineRule="exact"/>
        <w:ind w:firstLineChars="200" w:firstLine="640"/>
        <w:rPr>
          <w:rFonts w:ascii="仿宋" w:eastAsia="仿宋" w:cs="仿宋"/>
          <w:sz w:val="32"/>
          <w:szCs w:val="32"/>
          <w:lang w:val="zh-CN"/>
        </w:rPr>
      </w:pPr>
      <w:r>
        <w:rPr>
          <w:rFonts w:ascii="仿宋" w:eastAsia="仿宋" w:cs="仿宋" w:hint="eastAsia"/>
          <w:sz w:val="32"/>
          <w:szCs w:val="32"/>
          <w:lang w:val="zh-CN"/>
        </w:rPr>
        <w:t>按照重点工作保障经费预算管理规定，该</w:t>
      </w:r>
      <w:r>
        <w:rPr>
          <w:rFonts w:ascii="仿宋" w:eastAsia="仿宋" w:cs="仿宋" w:hint="eastAsia"/>
          <w:sz w:val="32"/>
          <w:szCs w:val="32"/>
        </w:rPr>
        <w:t>项经费可用于汶川县“</w:t>
      </w:r>
      <w:r>
        <w:rPr>
          <w:rStyle w:val="26"/>
          <w:rFonts w:ascii="仿宋" w:eastAsia="仿宋" w:cs="仿宋" w:hint="eastAsia"/>
          <w:b w:val="0"/>
          <w:sz w:val="32"/>
          <w:szCs w:val="32"/>
        </w:rPr>
        <w:t>四上”企业（个体）及抽样调查企业（个体）统计人员的奖补</w:t>
      </w:r>
      <w:r>
        <w:rPr>
          <w:rFonts w:ascii="仿宋" w:eastAsia="仿宋" w:cs="仿宋" w:hint="eastAsia"/>
          <w:sz w:val="32"/>
          <w:szCs w:val="32"/>
        </w:rPr>
        <w:t>，实行按月报账制度（次月报销上月发生的费用）。各专业股室进行初审，再由出纳进行审核会计复核，经分管领导签字确认支付，2025年度均未发现违规和超标准支付现象。</w:t>
      </w:r>
    </w:p>
    <w:p>
      <w:pPr>
        <w:spacing w:line="578" w:lineRule="exact"/>
        <w:ind w:firstLineChars="200" w:firstLine="640"/>
        <w:rPr>
          <w:rFonts w:ascii="仿宋" w:eastAsia="仿宋" w:cs="仿宋"/>
          <w:sz w:val="32"/>
          <w:szCs w:val="32"/>
        </w:rPr>
      </w:pPr>
      <w:r>
        <w:rPr>
          <w:rFonts w:ascii="仿宋" w:eastAsia="仿宋" w:cs="仿宋" w:hint="eastAsia"/>
          <w:sz w:val="32"/>
          <w:szCs w:val="32"/>
        </w:rPr>
        <w:t>综上所述，该指标得30分。</w:t>
      </w:r>
    </w:p>
    <w:p>
      <w:pPr>
        <w:spacing w:line="578" w:lineRule="exact"/>
        <w:ind w:firstLine="640"/>
        <w:rPr>
          <w:sz w:val="32"/>
          <w:szCs w:val="32"/>
          <w:lang w:val="zh-CN"/>
        </w:rPr>
      </w:pPr>
      <w:r>
        <w:rPr>
          <w:rFonts w:ascii="楷体_GB2312" w:eastAsia="楷体_GB2312" w:hint="eastAsia"/>
          <w:b/>
          <w:sz w:val="32"/>
          <w:szCs w:val="32"/>
          <w:lang w:val="zh-CN"/>
        </w:rPr>
        <w:t>（三）</w:t>
      </w:r>
      <w:r>
        <w:rPr>
          <w:rFonts w:ascii="楷体_GB2312" w:eastAsia="楷体_GB2312" w:hint="eastAsia"/>
          <w:b/>
          <w:sz w:val="32"/>
          <w:szCs w:val="32"/>
        </w:rPr>
        <w:t>个性指标</w:t>
      </w:r>
      <w:r>
        <w:rPr>
          <w:rFonts w:eastAsia="楷体_GB2312"/>
          <w:b/>
          <w:bCs/>
          <w:color w:val="000000"/>
          <w:kern w:val="0"/>
          <w:sz w:val="32"/>
          <w:szCs w:val="32"/>
          <w:shd w:val="clear" w:color="auto" w:fill="FFFFFF"/>
          <w:lang w:val="zh-CN"/>
        </w:rPr>
        <w:t>绩效分析。</w:t>
      </w:r>
      <w:r>
        <w:rPr>
          <w:rFonts w:eastAsia="楷体_GB2312" w:hint="eastAsia"/>
          <w:b/>
          <w:bCs/>
          <w:color w:val="000000"/>
          <w:kern w:val="0"/>
          <w:sz w:val="32"/>
          <w:szCs w:val="32"/>
          <w:shd w:val="clear" w:color="auto" w:fill="FFFFFF"/>
          <w:lang w:val="zh-CN"/>
        </w:rPr>
        <w:t>（</w:t>
      </w:r>
      <w:r>
        <w:rPr>
          <w:rFonts w:eastAsia="楷体_GB2312" w:hint="eastAsia"/>
          <w:b/>
          <w:bCs/>
          <w:color w:val="000000"/>
          <w:kern w:val="0"/>
          <w:sz w:val="32"/>
          <w:szCs w:val="32"/>
          <w:shd w:val="clear" w:color="auto" w:fill="FFFFFF"/>
        </w:rPr>
        <w:t>16分</w:t>
      </w:r>
      <w:r>
        <w:rPr>
          <w:rFonts w:eastAsia="楷体_GB2312" w:hint="eastAsia"/>
          <w:b/>
          <w:bCs/>
          <w:color w:val="000000"/>
          <w:kern w:val="0"/>
          <w:sz w:val="32"/>
          <w:szCs w:val="32"/>
          <w:shd w:val="clear" w:color="auto" w:fill="FFFFFF"/>
          <w:lang w:val="zh-CN"/>
        </w:rPr>
        <w:t>）</w:t>
      </w:r>
    </w:p>
    <w:p>
      <w:pPr>
        <w:spacing w:line="578" w:lineRule="exact"/>
        <w:ind w:firstLineChars="200" w:firstLine="640"/>
        <w:rPr>
          <w:rFonts w:ascii="仿宋" w:eastAsia="仿宋" w:cs="仿宋"/>
          <w:sz w:val="32"/>
          <w:szCs w:val="32"/>
        </w:rPr>
      </w:pPr>
      <w:r>
        <w:rPr>
          <w:rFonts w:ascii="仿宋" w:eastAsia="仿宋" w:cs="仿宋" w:hint="eastAsia"/>
          <w:sz w:val="32"/>
          <w:szCs w:val="32"/>
        </w:rPr>
        <w:t>7月底前完成了“四上”企业（个体）及抽样调查企业（个体）统计人员的奖补发放，不存在挤占、挪用项目资金情况。</w:t>
      </w:r>
    </w:p>
    <w:p>
      <w:pPr>
        <w:spacing w:line="578" w:lineRule="exact"/>
        <w:ind w:firstLineChars="200" w:firstLine="640"/>
        <w:rPr>
          <w:rFonts w:ascii="仿宋" w:eastAsia="仿宋" w:cs="仿宋"/>
          <w:sz w:val="32"/>
          <w:szCs w:val="32"/>
        </w:rPr>
      </w:pPr>
      <w:r>
        <w:rPr>
          <w:rFonts w:ascii="仿宋" w:eastAsia="仿宋" w:cs="仿宋" w:hint="eastAsia"/>
          <w:sz w:val="32"/>
          <w:szCs w:val="32"/>
        </w:rPr>
        <w:t>综上所述，该指标得14分。</w:t>
      </w:r>
    </w:p>
    <w:p>
      <w:pPr>
        <w:pStyle w:val="16"/>
        <w:tabs>
          <w:tab w:val="left" w:pos="2160"/>
        </w:tabs>
        <w:spacing w:beforeLines="0" w:before="93" w:line="600" w:lineRule="exact"/>
        <w:ind w:firstLineChars="200" w:firstLine="640"/>
        <w:rPr>
          <w:rFonts w:ascii="黑体" w:eastAsia="黑体"/>
          <w:sz w:val="32"/>
          <w:szCs w:val="32"/>
        </w:rPr>
      </w:pPr>
      <w:r>
        <w:rPr>
          <w:rFonts w:ascii="黑体" w:eastAsia="黑体" w:hint="eastAsia"/>
          <w:sz w:val="32"/>
          <w:szCs w:val="32"/>
        </w:rPr>
        <w:t>四、评价结论</w:t>
      </w:r>
    </w:p>
    <w:p>
      <w:pPr>
        <w:pStyle w:val="16"/>
        <w:tabs>
          <w:tab w:val="left" w:pos="2160"/>
        </w:tabs>
        <w:spacing w:beforeLines="0" w:before="93" w:line="600" w:lineRule="exact"/>
        <w:ind w:firstLineChars="200" w:firstLine="640"/>
        <w:rPr>
          <w:rFonts w:cs="仿宋_GB2312"/>
          <w:sz w:val="32"/>
          <w:szCs w:val="32"/>
        </w:rPr>
      </w:pPr>
      <w:r>
        <w:rPr>
          <w:rFonts w:ascii="仿宋" w:eastAsia="仿宋" w:cs="仿宋" w:hint="eastAsia"/>
          <w:sz w:val="32"/>
          <w:szCs w:val="32"/>
        </w:rPr>
        <w:t>围绕绩效评介指标体系，对该项目绩效进行了客观、公正的评价，自评得分96分，结果为优秀，预期产出和效果能满足需求。</w:t>
      </w:r>
    </w:p>
    <w:p>
      <w:pPr>
        <w:pStyle w:val="16"/>
        <w:tabs>
          <w:tab w:val="left" w:pos="2160"/>
        </w:tabs>
        <w:spacing w:beforeLines="0" w:before="93" w:line="600" w:lineRule="exact"/>
        <w:ind w:firstLineChars="200" w:firstLine="640"/>
        <w:rPr>
          <w:rFonts w:ascii="黑体" w:eastAsia="黑体"/>
          <w:sz w:val="32"/>
          <w:szCs w:val="32"/>
        </w:rPr>
      </w:pPr>
      <w:r>
        <w:rPr>
          <w:rFonts w:ascii="黑体" w:eastAsia="黑体" w:cs="黑体" w:hint="eastAsia"/>
          <w:sz w:val="32"/>
          <w:szCs w:val="32"/>
        </w:rPr>
        <w:t>五、存在主要</w:t>
      </w:r>
      <w:r>
        <w:rPr>
          <w:rFonts w:ascii="黑体" w:eastAsia="黑体" w:hint="eastAsia"/>
          <w:sz w:val="32"/>
          <w:szCs w:val="32"/>
        </w:rPr>
        <w:t>问题</w:t>
      </w:r>
    </w:p>
    <w:p>
      <w:pPr>
        <w:pStyle w:val="16"/>
        <w:tabs>
          <w:tab w:val="left" w:pos="2160"/>
        </w:tabs>
        <w:spacing w:beforeLines="0" w:before="93" w:line="600" w:lineRule="exact"/>
        <w:ind w:firstLineChars="200" w:firstLine="640"/>
        <w:rPr>
          <w:rFonts w:cs="仿宋_GB2312"/>
          <w:sz w:val="32"/>
          <w:szCs w:val="32"/>
        </w:rPr>
      </w:pPr>
      <w:r>
        <w:rPr>
          <w:rFonts w:cs="仿宋_GB2312" w:hint="eastAsia"/>
          <w:sz w:val="32"/>
          <w:szCs w:val="32"/>
        </w:rPr>
        <w:t>1.部分入统的企业（个体）统计人员更换频繁，致使在工作交接手续不齐全。工作未交接清楚。</w:t>
      </w:r>
    </w:p>
    <w:p>
      <w:pPr>
        <w:pStyle w:val="16"/>
        <w:tabs>
          <w:tab w:val="left" w:pos="2160"/>
        </w:tabs>
        <w:spacing w:beforeLines="0" w:before="93" w:line="600" w:lineRule="exact"/>
        <w:ind w:firstLineChars="200" w:firstLine="640"/>
        <w:rPr>
          <w:rFonts w:cs="仿宋_GB2312"/>
          <w:sz w:val="32"/>
          <w:szCs w:val="32"/>
        </w:rPr>
      </w:pPr>
      <w:r>
        <w:rPr>
          <w:rFonts w:cs="仿宋_GB2312" w:hint="eastAsia"/>
          <w:sz w:val="32"/>
          <w:szCs w:val="32"/>
        </w:rPr>
        <w:t>2.项目管理人员对绩效目标认识不够，致部分绩效目标不能按时实现。</w:t>
      </w:r>
    </w:p>
    <w:p>
      <w:pPr>
        <w:pStyle w:val="16"/>
        <w:tabs>
          <w:tab w:val="left" w:pos="2160"/>
        </w:tabs>
        <w:spacing w:beforeLines="0" w:before="93" w:line="600" w:lineRule="exact"/>
        <w:ind w:firstLineChars="200" w:firstLine="640"/>
        <w:rPr>
          <w:rFonts w:ascii="黑体" w:eastAsia="黑体"/>
          <w:position w:val="3"/>
          <w:sz w:val="32"/>
          <w:szCs w:val="32"/>
          <w:lang w:val="zh-CN"/>
        </w:rPr>
      </w:pPr>
      <w:r>
        <w:rPr>
          <w:rFonts w:ascii="黑体" w:eastAsia="黑体" w:hint="eastAsia"/>
          <w:position w:val="3"/>
          <w:sz w:val="32"/>
          <w:szCs w:val="32"/>
          <w:lang w:val="zh-CN"/>
        </w:rPr>
        <w:t>六、改进建议</w:t>
      </w:r>
    </w:p>
    <w:p>
      <w:pPr>
        <w:tabs>
          <w:tab w:val="left" w:pos="1911"/>
        </w:tabs>
        <w:ind w:firstLine="640"/>
        <w:jc w:val="left"/>
        <w:rPr>
          <w:rFonts w:ascii="仿宋" w:eastAsia="仿宋" w:cs="仿宋"/>
          <w:kern w:val="0"/>
          <w:sz w:val="32"/>
          <w:szCs w:val="32"/>
        </w:rPr>
      </w:pPr>
      <w:r>
        <w:rPr>
          <w:rFonts w:ascii="仿宋" w:eastAsia="仿宋" w:cs="仿宋" w:hint="eastAsia"/>
          <w:kern w:val="0"/>
          <w:sz w:val="32"/>
          <w:szCs w:val="32"/>
        </w:rPr>
        <w:t>1.加强报表企业（个体）新进统计人员业务培训，提高统计人员业务能力，确保统计报表质量。</w:t>
      </w:r>
    </w:p>
    <w:p>
      <w:pPr>
        <w:tabs>
          <w:tab w:val="left" w:pos="1911"/>
        </w:tabs>
        <w:ind w:firstLine="640"/>
        <w:jc w:val="left"/>
        <w:rPr>
          <w:rFonts w:ascii="仿宋" w:eastAsia="仿宋" w:cs="仿宋"/>
          <w:kern w:val="0"/>
          <w:sz w:val="32"/>
          <w:szCs w:val="32"/>
        </w:rPr>
      </w:pPr>
      <w:r>
        <w:rPr>
          <w:rFonts w:ascii="仿宋" w:eastAsia="仿宋" w:cs="仿宋" w:hint="eastAsia"/>
          <w:kern w:val="0"/>
          <w:sz w:val="32"/>
          <w:szCs w:val="32"/>
        </w:rPr>
        <w:t>2.加强对项目管理人员的业务培训，提高项目管理人员对绩效目标管理的认识和业务能力，促进绩效目标完成。</w:t>
      </w:r>
    </w:p>
    <w:p>
      <w:pPr>
        <w:rPr>
          <w:rFonts w:eastAsia="黑体"/>
          <w:sz w:val="32"/>
        </w:rPr>
      </w:pPr>
    </w:p>
    <w:p>
      <w:pPr>
        <w:rPr>
          <w:rFonts w:eastAsia="黑体"/>
          <w:sz w:val="32"/>
        </w:rPr>
      </w:pPr>
    </w:p>
    <w:p>
      <w:pPr>
        <w:rPr>
          <w:rFonts w:eastAsia="黑体"/>
          <w:sz w:val="32"/>
        </w:rPr>
      </w:pPr>
    </w:p>
    <w:p>
      <w:pPr>
        <w:rPr>
          <w:rFonts w:eastAsia="黑体"/>
          <w:sz w:val="32"/>
        </w:rPr>
      </w:pPr>
    </w:p>
    <w:p>
      <w:pPr>
        <w:rPr>
          <w:rFonts w:eastAsia="黑体"/>
          <w:sz w:val="32"/>
        </w:rPr>
      </w:pPr>
    </w:p>
    <w:p>
      <w:pPr>
        <w:rPr>
          <w:rFonts w:eastAsia="黑体"/>
          <w:sz w:val="32"/>
        </w:rPr>
      </w:pPr>
    </w:p>
    <w:p>
      <w:pPr>
        <w:rPr>
          <w:rFonts w:eastAsia="黑体"/>
          <w:sz w:val="32"/>
        </w:rPr>
      </w:pPr>
    </w:p>
    <w:p>
      <w:pPr>
        <w:rPr>
          <w:rFonts w:eastAsia="黑体"/>
          <w:sz w:val="32"/>
        </w:rPr>
      </w:pPr>
    </w:p>
    <w:p>
      <w:pPr>
        <w:rPr>
          <w:rFonts w:eastAsia="黑体"/>
          <w:sz w:val="32"/>
        </w:rPr>
      </w:pPr>
    </w:p>
    <w:p>
      <w:pPr>
        <w:rPr>
          <w:rFonts w:eastAsia="黑体"/>
          <w:sz w:val="32"/>
        </w:rPr>
      </w:pPr>
    </w:p>
    <w:p>
      <w:pPr>
        <w:rPr>
          <w:rFonts w:eastAsia="黑体"/>
          <w:sz w:val="32"/>
        </w:rPr>
      </w:pPr>
    </w:p>
    <w:tbl>
      <w:tblPr>
        <w:jc w:val="center"/>
        <w:tblW w:w="10233" w:type="dxa"/>
        <w:tblBorders>
          <w:top w:val="none" w:sz="0" w:space="0" w:color="auto"/>
          <w:left w:val="none" w:sz="0" w:space="0" w:color="auto"/>
          <w:bottom w:val="none" w:sz="0" w:space="0" w:color="auto"/>
          <w:right w:val="none" w:sz="0" w:space="0" w:color="auto"/>
        </w:tblBorders>
        <w:tblLayout w:type="fixed"/>
        <w:tblCellMar>
          <w:top w:w="15" w:type="dxa"/>
          <w:left w:w="15" w:type="dxa"/>
          <w:bottom w:w="15" w:type="dxa"/>
          <w:right w:w="15" w:type="dxa"/>
        </w:tblCellMar>
      </w:tblPr>
      <w:tblGrid>
        <w:gridCol w:w="652"/>
        <w:gridCol w:w="1081"/>
        <w:gridCol w:w="1250"/>
        <w:gridCol w:w="1312"/>
        <w:gridCol w:w="1205"/>
        <w:gridCol w:w="893"/>
        <w:gridCol w:w="1061"/>
        <w:gridCol w:w="938"/>
        <w:gridCol w:w="1841"/>
      </w:tblGrid>
      <w:tr>
        <w:trPr>
          <w:trHeight w:val="576"/>
        </w:trPr>
        <w:tc>
          <w:tcPr>
            <w:tcW w:w="10233" w:type="dxa"/>
            <w:gridSpan w:val="9"/>
            <w:tcBorders>
              <w:top w:val="nil"/>
              <w:left w:val="nil"/>
              <w:bottom w:val="nil"/>
              <w:right w:val="nil"/>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600" w:lineRule="exact"/>
              <w:ind w:left="0"/>
              <w:jc w:val="center"/>
              <w:textAlignment w:val="center"/>
              <w:rPr>
                <w:rFonts w:ascii="宋体" w:eastAsia="宋体" w:cs="宋体" w:hint="eastAsia"/>
                <w:b/>
                <w:bCs/>
                <w:spacing w:val="8"/>
                <w:sz w:val="32"/>
                <w:szCs w:val="32"/>
                <w:shd w:val="clear" w:color="auto" w:fill="FFFFFF"/>
              </w:rPr>
            </w:pPr>
            <w:r>
              <w:rPr>
                <w:rFonts w:ascii="宋体" w:eastAsia="宋体" w:cs="宋体" w:hint="eastAsia"/>
                <w:b/>
                <w:bCs/>
                <w:i w:val="0"/>
                <w:color w:val="000000"/>
                <w:kern w:val="0"/>
                <w:sz w:val="32"/>
                <w:szCs w:val="32"/>
                <w:u w:val="none"/>
                <w:lang w:val="en-US" w:eastAsia="zh-CN"/>
              </w:rPr>
              <w:t>202</w:t>
            </w:r>
            <w:r>
              <w:rPr>
                <w:rFonts w:ascii="宋体" w:cs="宋体" w:hint="eastAsia"/>
                <w:b/>
                <w:bCs/>
                <w:i w:val="0"/>
                <w:color w:val="000000"/>
                <w:kern w:val="0"/>
                <w:sz w:val="32"/>
                <w:szCs w:val="32"/>
                <w:u w:val="none"/>
                <w:lang w:val="en-US" w:eastAsia="zh-CN"/>
              </w:rPr>
              <w:t>5</w:t>
            </w:r>
            <w:r>
              <w:rPr>
                <w:rFonts w:ascii="宋体" w:eastAsia="宋体" w:cs="宋体" w:hint="eastAsia"/>
                <w:b/>
                <w:bCs/>
                <w:i w:val="0"/>
                <w:color w:val="000000"/>
                <w:kern w:val="0"/>
                <w:sz w:val="32"/>
                <w:szCs w:val="32"/>
                <w:u w:val="none"/>
                <w:lang w:val="en-US" w:eastAsia="zh-CN"/>
              </w:rPr>
              <w:t>年汶川县</w:t>
            </w:r>
            <w:r>
              <w:rPr>
                <w:rFonts w:ascii="宋体" w:eastAsia="宋体" w:cs="宋体" w:hint="eastAsia"/>
                <w:b/>
                <w:bCs/>
                <w:spacing w:val="8"/>
                <w:sz w:val="32"/>
                <w:szCs w:val="32"/>
                <w:shd w:val="clear" w:color="auto" w:fill="FFFFFF"/>
              </w:rPr>
              <w:t>“四上”企业（个体）及抽样调查企业（个体）</w:t>
            </w:r>
          </w:p>
          <w:p>
            <w:pPr>
              <w:keepNext w:val="0"/>
              <w:keepLines w:val="0"/>
              <w:pageBreakBefore w:val="0"/>
              <w:widowControl/>
              <w:suppressLineNumbers w:val="0"/>
              <w:kinsoku/>
              <w:wordWrap/>
              <w:overflowPunct/>
              <w:topLinePunct w:val="0"/>
              <w:autoSpaceDE/>
              <w:autoSpaceDN/>
              <w:bidi w:val="0"/>
              <w:adjustRightInd/>
              <w:snapToGrid/>
              <w:spacing w:line="600" w:lineRule="exact"/>
              <w:ind w:left="0"/>
              <w:jc w:val="center"/>
              <w:textAlignment w:val="center"/>
              <w:rPr>
                <w:rFonts w:ascii="黑体" w:eastAsia="黑体" w:cs="黑体"/>
                <w:i w:val="0"/>
                <w:color w:val="000000"/>
                <w:sz w:val="30"/>
                <w:szCs w:val="30"/>
                <w:u w:val="none"/>
              </w:rPr>
            </w:pPr>
            <w:r>
              <w:rPr>
                <w:rFonts w:ascii="宋体" w:eastAsia="宋体" w:cs="宋体" w:hint="eastAsia"/>
                <w:b/>
                <w:bCs/>
                <w:spacing w:val="8"/>
                <w:sz w:val="32"/>
                <w:szCs w:val="32"/>
                <w:shd w:val="clear" w:color="auto" w:fill="FFFFFF"/>
              </w:rPr>
              <w:t>统计</w:t>
            </w:r>
            <w:r>
              <w:rPr>
                <w:rFonts w:ascii="宋体" w:eastAsia="宋体" w:cs="宋体" w:hint="eastAsia"/>
                <w:b/>
                <w:bCs/>
                <w:spacing w:val="8"/>
                <w:sz w:val="32"/>
                <w:szCs w:val="32"/>
                <w:shd w:val="clear" w:color="auto" w:fill="FFFFFF"/>
                <w:lang w:eastAsia="zh-CN"/>
              </w:rPr>
              <w:t>人员奖补经费</w:t>
            </w:r>
            <w:r>
              <w:rPr>
                <w:rFonts w:ascii="宋体" w:eastAsia="宋体" w:cs="宋体" w:hint="eastAsia"/>
                <w:b/>
                <w:bCs/>
                <w:i w:val="0"/>
                <w:color w:val="000000"/>
                <w:kern w:val="0"/>
                <w:sz w:val="32"/>
                <w:szCs w:val="32"/>
                <w:u w:val="none"/>
                <w:lang w:val="en-US" w:eastAsia="zh-CN"/>
              </w:rPr>
              <w:t>项目支出绩效自评表</w:t>
            </w:r>
          </w:p>
        </w:tc>
      </w:tr>
      <w:tr>
        <w:trPr>
          <w:trHeight w:val="23"/>
        </w:trPr>
        <w:tc>
          <w:tcPr>
            <w:tcW w:w="4295" w:type="dxa"/>
            <w:gridSpan w:val="4"/>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项目名称</w:t>
            </w:r>
          </w:p>
        </w:tc>
        <w:tc>
          <w:tcPr>
            <w:tcW w:w="5938" w:type="dxa"/>
            <w:gridSpan w:val="5"/>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rPr>
                <w:rFonts w:ascii="宋体" w:eastAsia="仿宋_GB2312" w:cs="宋体" w:hAnsi="宋体" w:hint="eastAsia"/>
                <w:i w:val="0"/>
                <w:color w:val="000000"/>
                <w:sz w:val="24"/>
                <w:szCs w:val="24"/>
                <w:u w:val="none"/>
                <w:lang w:eastAsia="zh-CN"/>
              </w:rPr>
            </w:pPr>
            <w:r>
              <w:rPr>
                <w:rFonts w:ascii="宋体" w:eastAsia="宋体" w:cs="宋体" w:hint="eastAsia"/>
                <w:spacing w:val="8"/>
                <w:sz w:val="24"/>
                <w:szCs w:val="24"/>
                <w:shd w:val="clear" w:color="auto" w:fill="FFFFFF"/>
                <w:lang w:eastAsia="zh-CN"/>
              </w:rPr>
              <w:t>汶川县</w:t>
            </w:r>
            <w:r>
              <w:rPr>
                <w:rFonts w:ascii="宋体" w:eastAsia="宋体" w:cs="宋体" w:hint="eastAsia"/>
                <w:spacing w:val="8"/>
                <w:sz w:val="24"/>
                <w:szCs w:val="24"/>
                <w:shd w:val="clear" w:color="auto" w:fill="FFFFFF"/>
              </w:rPr>
              <w:t>“四上”企业（个体）及抽样调查企业（个体）统计</w:t>
            </w:r>
            <w:r>
              <w:rPr>
                <w:rFonts w:ascii="宋体" w:eastAsia="宋体" w:cs="宋体" w:hint="eastAsia"/>
                <w:spacing w:val="8"/>
                <w:sz w:val="24"/>
                <w:szCs w:val="24"/>
                <w:shd w:val="clear" w:color="auto" w:fill="FFFFFF"/>
                <w:lang w:eastAsia="zh-CN"/>
              </w:rPr>
              <w:t>人员奖补经费</w:t>
            </w:r>
          </w:p>
        </w:tc>
      </w:tr>
      <w:tr>
        <w:trPr>
          <w:trHeight w:val="23"/>
        </w:trPr>
        <w:tc>
          <w:tcPr>
            <w:tcW w:w="4295" w:type="dxa"/>
            <w:gridSpan w:val="4"/>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预算单位</w:t>
            </w:r>
          </w:p>
        </w:tc>
        <w:tc>
          <w:tcPr>
            <w:tcW w:w="5938" w:type="dxa"/>
            <w:gridSpan w:val="5"/>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rPr>
                <w:rFonts w:ascii="宋体" w:eastAsia="宋体" w:cs="宋体" w:hint="eastAsia"/>
                <w:i w:val="0"/>
                <w:color w:val="000000"/>
                <w:sz w:val="24"/>
                <w:szCs w:val="24"/>
                <w:u w:val="none"/>
                <w:lang w:eastAsia="zh-CN"/>
              </w:rPr>
            </w:pPr>
            <w:r>
              <w:rPr>
                <w:rFonts w:ascii="宋体" w:eastAsia="宋体" w:cs="宋体" w:hint="eastAsia"/>
                <w:i w:val="0"/>
                <w:color w:val="000000"/>
                <w:sz w:val="24"/>
                <w:szCs w:val="24"/>
                <w:u w:val="none"/>
                <w:lang w:eastAsia="zh-CN"/>
              </w:rPr>
              <w:t>汶川县统计局</w:t>
            </w:r>
          </w:p>
        </w:tc>
      </w:tr>
      <w:tr>
        <w:trPr>
          <w:trHeight w:val="23"/>
        </w:trPr>
        <w:tc>
          <w:tcPr>
            <w:tcW w:w="4295" w:type="dxa"/>
            <w:gridSpan w:val="4"/>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项目类型</w:t>
            </w:r>
          </w:p>
        </w:tc>
        <w:tc>
          <w:tcPr>
            <w:tcW w:w="5938" w:type="dxa"/>
            <w:gridSpan w:val="5"/>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left"/>
              <w:rPr>
                <w:rFonts w:ascii="宋体" w:eastAsia="宋体" w:cs="宋体" w:hint="eastAsia"/>
                <w:i w:val="0"/>
                <w:color w:val="000000"/>
                <w:sz w:val="24"/>
                <w:szCs w:val="24"/>
                <w:u w:val="none"/>
                <w:lang w:eastAsia="zh-CN"/>
              </w:rPr>
            </w:pPr>
            <w:r>
              <w:rPr>
                <w:rFonts w:ascii="宋体" w:eastAsia="宋体" w:cs="宋体" w:hint="eastAsia"/>
                <w:i w:val="0"/>
                <w:color w:val="000000"/>
                <w:sz w:val="24"/>
                <w:szCs w:val="24"/>
                <w:u w:val="none"/>
                <w:lang w:eastAsia="zh-CN"/>
              </w:rPr>
              <w:t>一次性项目</w:t>
            </w:r>
          </w:p>
        </w:tc>
      </w:tr>
      <w:tr>
        <w:trPr>
          <w:trHeight w:val="23"/>
        </w:trPr>
        <w:tc>
          <w:tcPr>
            <w:tcW w:w="652" w:type="dxa"/>
            <w:vMerge w:val="restart"/>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项目 概况</w:t>
            </w:r>
          </w:p>
        </w:tc>
        <w:tc>
          <w:tcPr>
            <w:tcW w:w="3643" w:type="dxa"/>
            <w:gridSpan w:val="3"/>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ascii="宋体" w:eastAsia="宋体" w:cs="宋体"/>
                <w:i w:val="0"/>
                <w:color w:val="000000"/>
                <w:kern w:val="0"/>
                <w:sz w:val="24"/>
                <w:szCs w:val="24"/>
                <w:u w:val="none"/>
                <w:lang w:val="en-US" w:eastAsia="zh-CN"/>
              </w:rPr>
            </w:pPr>
            <w:r>
              <w:rPr>
                <w:rFonts w:ascii="宋体" w:eastAsia="宋体" w:cs="宋体"/>
                <w:i w:val="0"/>
                <w:color w:val="000000"/>
                <w:kern w:val="0"/>
                <w:sz w:val="24"/>
                <w:szCs w:val="24"/>
                <w:u w:val="none"/>
                <w:lang w:val="en-US" w:eastAsia="zh-CN"/>
              </w:rPr>
              <w:t>中长期规划（名称、文号，仅指</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常年项目）</w:t>
            </w:r>
          </w:p>
        </w:tc>
        <w:tc>
          <w:tcPr>
            <w:tcW w:w="5938" w:type="dxa"/>
            <w:gridSpan w:val="5"/>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left"/>
              <w:rPr>
                <w:rFonts w:ascii="宋体" w:eastAsia="宋体" w:cs="宋体" w:hint="eastAsia"/>
                <w:i w:val="0"/>
                <w:color w:val="000000"/>
                <w:sz w:val="24"/>
                <w:szCs w:val="24"/>
                <w:u w:val="none"/>
              </w:rPr>
            </w:pPr>
          </w:p>
        </w:tc>
      </w:tr>
      <w:tr>
        <w:trPr>
          <w:trHeight w:val="23"/>
        </w:trPr>
        <w:tc>
          <w:tcPr>
            <w:tcW w:w="652" w:type="dxa"/>
            <w:vMerge/>
            <w:tcBorders>
              <w:top w:val="single" w:sz="4" w:space="0" w:color="000000"/>
              <w:left w:val="single" w:sz="4" w:space="0" w:color="000000"/>
              <w:bottom w:val="single" w:sz="4" w:space="0" w:color="000000"/>
              <w:right w:val="single" w:sz="4" w:space="0" w:color="000000"/>
            </w:tcBorders>
            <w:noWrap/>
            <w:vAlign w:val="center"/>
          </w:tcPr>
          <w:p/>
        </w:tc>
        <w:tc>
          <w:tcPr>
            <w:tcW w:w="3643" w:type="dxa"/>
            <w:gridSpan w:val="3"/>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资金管理办法（名称、文号）</w:t>
            </w:r>
          </w:p>
        </w:tc>
        <w:tc>
          <w:tcPr>
            <w:tcW w:w="5938" w:type="dxa"/>
            <w:gridSpan w:val="5"/>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left"/>
              <w:rPr>
                <w:rFonts w:ascii="宋体" w:eastAsia="宋体" w:cs="宋体" w:hint="eastAsia"/>
                <w:i w:val="0"/>
                <w:color w:val="000000"/>
                <w:sz w:val="24"/>
                <w:szCs w:val="24"/>
                <w:u w:val="none"/>
              </w:rPr>
            </w:pPr>
            <w:r>
              <w:rPr>
                <w:rFonts w:ascii="宋体" w:eastAsia="宋体" w:cs="宋体" w:hint="eastAsia"/>
                <w:i w:val="0"/>
                <w:color w:val="000000"/>
                <w:sz w:val="24"/>
                <w:szCs w:val="24"/>
                <w:u w:val="none"/>
                <w:lang w:eastAsia="zh-CN"/>
              </w:rPr>
              <w:t>汶川县统计局专项资金管理办法</w:t>
            </w:r>
          </w:p>
        </w:tc>
      </w:tr>
      <w:tr>
        <w:trPr>
          <w:trHeight w:val="23"/>
        </w:trPr>
        <w:tc>
          <w:tcPr>
            <w:tcW w:w="652" w:type="dxa"/>
            <w:vMerge/>
            <w:tcBorders>
              <w:top w:val="single" w:sz="4" w:space="0" w:color="000000"/>
              <w:left w:val="single" w:sz="4" w:space="0" w:color="000000"/>
              <w:bottom w:val="single" w:sz="4" w:space="0" w:color="000000"/>
              <w:right w:val="single" w:sz="4" w:space="0" w:color="000000"/>
            </w:tcBorders>
            <w:noWrap/>
            <w:vAlign w:val="center"/>
          </w:tcPr>
          <w:p/>
        </w:tc>
        <w:tc>
          <w:tcPr>
            <w:tcW w:w="3643" w:type="dxa"/>
            <w:gridSpan w:val="3"/>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绩效分配方式</w:t>
            </w:r>
          </w:p>
        </w:tc>
        <w:tc>
          <w:tcPr>
            <w:tcW w:w="1205"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ascii="Wingdings 2" w:eastAsia="Wingdings 2" w:cs="Wingdings 2" w:hAnsi="Wingdings 2"/>
                <w:i w:val="0"/>
                <w:color w:val="000000"/>
                <w:sz w:val="24"/>
                <w:szCs w:val="24"/>
                <w:u w:val="none"/>
              </w:rPr>
            </w:pPr>
            <w:r>
              <w:rPr>
                <w:rFonts w:ascii="Wingdings 2" w:eastAsia="Wingdings 2" w:cs="Wingdings 2" w:hAnsi="Wingdings 2"/>
                <w:i w:val="0"/>
                <w:color w:val="000000"/>
                <w:kern w:val="0"/>
                <w:sz w:val="24"/>
                <w:szCs w:val="24"/>
                <w:u w:val="none"/>
                <w:lang w:val="en-US" w:eastAsia="zh-CN"/>
              </w:rPr>
              <w:t>£</w:t>
            </w:r>
            <w:r>
              <w:rPr>
                <w:rFonts w:ascii="宋体" w:eastAsia="宋体" w:cs="宋体"/>
                <w:i w:val="0"/>
                <w:color w:val="000000"/>
                <w:kern w:val="0"/>
                <w:sz w:val="24"/>
                <w:szCs w:val="24"/>
                <w:u w:val="none"/>
                <w:lang w:val="en-US" w:eastAsia="zh-CN"/>
              </w:rPr>
              <w:t>因素法</w:t>
            </w:r>
          </w:p>
        </w:tc>
        <w:tc>
          <w:tcPr>
            <w:tcW w:w="1954" w:type="dxa"/>
            <w:gridSpan w:val="2"/>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ascii="Wingdings 2" w:eastAsia="Wingdings 2" w:cs="Wingdings 2" w:hAnsi="Wingdings 2"/>
                <w:i w:val="0"/>
                <w:color w:val="000000"/>
                <w:sz w:val="24"/>
                <w:szCs w:val="24"/>
                <w:u w:val="none"/>
              </w:rPr>
            </w:pPr>
            <w:r>
              <w:rPr>
                <w:rFonts w:ascii="Wingdings 2" w:eastAsia="Wingdings 2" w:cs="Wingdings 2" w:hAnsi="Wingdings 2"/>
                <w:i w:val="0"/>
                <w:color w:val="000000"/>
                <w:kern w:val="0"/>
                <w:sz w:val="24"/>
                <w:szCs w:val="24"/>
                <w:u w:val="none"/>
                <w:lang w:val="en-US" w:eastAsia="zh-CN"/>
              </w:rPr>
              <w:t>£项目法</w:t>
            </w:r>
          </w:p>
        </w:tc>
        <w:tc>
          <w:tcPr>
            <w:tcW w:w="938"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ascii="Wingdings 2" w:eastAsia="Wingdings 2" w:cs="Wingdings 2" w:hAnsi="Wingdings 2"/>
                <w:i w:val="0"/>
                <w:color w:val="000000"/>
                <w:sz w:val="24"/>
                <w:szCs w:val="24"/>
                <w:u w:val="none"/>
              </w:rPr>
            </w:pPr>
            <w:r>
              <w:rPr>
                <w:rFonts w:ascii="Wingdings 2" w:eastAsia="Wingdings 2" w:cs="Wingdings 2" w:hAnsi="Wingdings 2"/>
                <w:i w:val="0"/>
                <w:color w:val="000000"/>
                <w:kern w:val="0"/>
                <w:sz w:val="24"/>
                <w:szCs w:val="24"/>
                <w:u w:val="none"/>
                <w:lang w:val="en-US" w:eastAsia="zh-CN"/>
              </w:rPr>
              <w:t>£</w:t>
            </w:r>
            <w:r>
              <w:rPr>
                <w:rFonts w:ascii="宋体" w:eastAsia="宋体" w:cs="宋体"/>
                <w:i w:val="0"/>
                <w:color w:val="000000"/>
                <w:kern w:val="0"/>
                <w:sz w:val="24"/>
                <w:szCs w:val="24"/>
                <w:u w:val="none"/>
                <w:lang w:val="en-US" w:eastAsia="zh-CN"/>
              </w:rPr>
              <w:t>据实据效</w:t>
            </w:r>
          </w:p>
        </w:tc>
        <w:tc>
          <w:tcPr>
            <w:tcW w:w="1841"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ascii="Wingdings 2" w:eastAsia="Wingdings 2" w:cs="Wingdings 2" w:hAnsi="Wingdings 2"/>
                <w:i w:val="0"/>
                <w:color w:val="000000"/>
                <w:sz w:val="24"/>
                <w:szCs w:val="24"/>
                <w:u w:val="none"/>
              </w:rPr>
            </w:pPr>
            <w:r>
              <w:rPr>
                <w:rFonts w:ascii="Wingdings 2" w:eastAsia="Wingdings 2" w:cs="Wingdings 2" w:hAnsi="Wingdings 2"/>
                <w:i w:val="0"/>
                <w:color w:val="000000"/>
                <w:kern w:val="0"/>
                <w:sz w:val="24"/>
                <w:szCs w:val="24"/>
                <w:u w:val="none"/>
                <w:lang w:val="en-US" w:eastAsia="zh-CN"/>
              </w:rPr>
              <w:sym w:font="Wingdings 2" w:char="52"/>
            </w:r>
            <w:r>
              <w:rPr>
                <w:rFonts w:ascii="宋体" w:eastAsia="宋体" w:cs="宋体"/>
                <w:i w:val="0"/>
                <w:color w:val="000000"/>
                <w:kern w:val="0"/>
                <w:sz w:val="24"/>
                <w:szCs w:val="24"/>
                <w:u w:val="none"/>
                <w:lang w:val="en-US" w:eastAsia="zh-CN"/>
              </w:rPr>
              <w:t>因素法与项目法相结合</w:t>
            </w:r>
          </w:p>
        </w:tc>
      </w:tr>
      <w:tr>
        <w:trPr>
          <w:trHeight w:val="23"/>
        </w:trPr>
        <w:tc>
          <w:tcPr>
            <w:tcW w:w="652" w:type="dxa"/>
            <w:vMerge/>
            <w:tcBorders>
              <w:top w:val="single" w:sz="4" w:space="0" w:color="000000"/>
              <w:left w:val="single" w:sz="4" w:space="0" w:color="000000"/>
              <w:bottom w:val="single" w:sz="4" w:space="0" w:color="000000"/>
              <w:right w:val="single" w:sz="4" w:space="0" w:color="000000"/>
            </w:tcBorders>
            <w:noWrap/>
            <w:vAlign w:val="center"/>
          </w:tcPr>
          <w:p/>
        </w:tc>
        <w:tc>
          <w:tcPr>
            <w:tcW w:w="3643" w:type="dxa"/>
            <w:gridSpan w:val="3"/>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立项依据</w:t>
            </w:r>
          </w:p>
        </w:tc>
        <w:tc>
          <w:tcPr>
            <w:tcW w:w="5938" w:type="dxa"/>
            <w:gridSpan w:val="5"/>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left"/>
              <w:rPr>
                <w:rFonts w:ascii="宋体" w:eastAsia="宋体" w:cs="宋体" w:hint="eastAsia"/>
                <w:i w:val="0"/>
                <w:color w:val="000000"/>
                <w:sz w:val="24"/>
                <w:szCs w:val="24"/>
                <w:u w:val="none"/>
              </w:rPr>
            </w:pPr>
            <w:r>
              <w:rPr>
                <w:rFonts w:ascii="宋体" w:eastAsia="宋体" w:cs="宋体" w:hint="eastAsia"/>
                <w:sz w:val="24"/>
                <w:szCs w:val="24"/>
                <w:lang w:val="en-US" w:eastAsia="zh-CN"/>
              </w:rPr>
              <w:t>汶川县人民政府办公室关于印发《汶川县“四上”企业（个体）及抽样调查企业（个体）奖补方案》的通知</w:t>
            </w:r>
          </w:p>
        </w:tc>
      </w:tr>
      <w:tr>
        <w:trPr>
          <w:trHeight w:val="23"/>
        </w:trPr>
        <w:tc>
          <w:tcPr>
            <w:tcW w:w="652" w:type="dxa"/>
            <w:vMerge/>
            <w:tcBorders>
              <w:top w:val="single" w:sz="4" w:space="0" w:color="000000"/>
              <w:left w:val="single" w:sz="4" w:space="0" w:color="000000"/>
              <w:bottom w:val="single" w:sz="4" w:space="0" w:color="000000"/>
              <w:right w:val="single" w:sz="4" w:space="0" w:color="000000"/>
            </w:tcBorders>
            <w:noWrap/>
            <w:vAlign w:val="center"/>
          </w:tcPr>
          <w:p/>
        </w:tc>
        <w:tc>
          <w:tcPr>
            <w:tcW w:w="3643" w:type="dxa"/>
            <w:gridSpan w:val="3"/>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使用范围</w:t>
            </w:r>
          </w:p>
        </w:tc>
        <w:tc>
          <w:tcPr>
            <w:tcW w:w="5938" w:type="dxa"/>
            <w:gridSpan w:val="5"/>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left"/>
              <w:rPr>
                <w:rFonts w:ascii="宋体" w:eastAsia="宋体" w:cs="宋体" w:hint="eastAsia"/>
                <w:i w:val="0"/>
                <w:color w:val="000000"/>
                <w:sz w:val="24"/>
                <w:szCs w:val="24"/>
                <w:u w:val="none"/>
              </w:rPr>
            </w:pPr>
            <w:r>
              <w:rPr>
                <w:rFonts w:ascii="宋体" w:eastAsia="宋体" w:cs="宋体" w:hint="eastAsia"/>
                <w:spacing w:val="8"/>
                <w:sz w:val="24"/>
                <w:szCs w:val="24"/>
                <w:shd w:val="clear" w:color="auto" w:fill="FFFFFF"/>
              </w:rPr>
              <w:t>“四上”企业（个体）及抽样调查企业（个体）统计</w:t>
            </w:r>
            <w:r>
              <w:rPr>
                <w:rFonts w:ascii="宋体" w:eastAsia="宋体" w:cs="宋体" w:hint="eastAsia"/>
                <w:spacing w:val="8"/>
                <w:sz w:val="24"/>
                <w:szCs w:val="24"/>
                <w:shd w:val="clear" w:color="auto" w:fill="FFFFFF"/>
                <w:lang w:eastAsia="zh-CN"/>
              </w:rPr>
              <w:t>人员</w:t>
            </w:r>
          </w:p>
        </w:tc>
      </w:tr>
      <w:tr>
        <w:trPr>
          <w:trHeight w:val="23"/>
        </w:trPr>
        <w:tc>
          <w:tcPr>
            <w:tcW w:w="652" w:type="dxa"/>
            <w:vMerge/>
            <w:tcBorders>
              <w:top w:val="single" w:sz="4" w:space="0" w:color="000000"/>
              <w:left w:val="single" w:sz="4" w:space="0" w:color="000000"/>
              <w:bottom w:val="single" w:sz="4" w:space="0" w:color="000000"/>
              <w:right w:val="single" w:sz="4" w:space="0" w:color="000000"/>
            </w:tcBorders>
            <w:noWrap/>
            <w:vAlign w:val="center"/>
          </w:tcPr>
          <w:p/>
        </w:tc>
        <w:tc>
          <w:tcPr>
            <w:tcW w:w="3643" w:type="dxa"/>
            <w:gridSpan w:val="3"/>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申报（补助）条件</w:t>
            </w:r>
          </w:p>
        </w:tc>
        <w:tc>
          <w:tcPr>
            <w:tcW w:w="5938" w:type="dxa"/>
            <w:gridSpan w:val="5"/>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left"/>
              <w:rPr>
                <w:rFonts w:ascii="宋体" w:eastAsia="宋体" w:cs="宋体" w:hint="eastAsia"/>
                <w:i w:val="0"/>
                <w:color w:val="000000"/>
                <w:sz w:val="24"/>
                <w:szCs w:val="24"/>
                <w:u w:val="none"/>
                <w:lang w:eastAsia="zh-CN"/>
              </w:rPr>
            </w:pPr>
            <w:r>
              <w:rPr>
                <w:rFonts w:ascii="宋体" w:eastAsia="宋体" w:cs="宋体" w:hint="eastAsia"/>
                <w:i w:val="0"/>
                <w:color w:val="000000"/>
                <w:sz w:val="24"/>
                <w:szCs w:val="24"/>
                <w:u w:val="none"/>
                <w:lang w:eastAsia="zh-CN"/>
              </w:rPr>
              <w:t>单位预算资金不足</w:t>
            </w:r>
          </w:p>
        </w:tc>
      </w:tr>
      <w:tr>
        <w:trPr>
          <w:trHeight w:val="23"/>
        </w:trPr>
        <w:tc>
          <w:tcPr>
            <w:tcW w:w="652" w:type="dxa"/>
            <w:vMerge/>
            <w:tcBorders>
              <w:top w:val="single" w:sz="4" w:space="0" w:color="000000"/>
              <w:left w:val="single" w:sz="4" w:space="0" w:color="000000"/>
              <w:bottom w:val="single" w:sz="4" w:space="0" w:color="000000"/>
              <w:right w:val="single" w:sz="4" w:space="0" w:color="000000"/>
            </w:tcBorders>
            <w:noWrap/>
            <w:vAlign w:val="center"/>
          </w:tcPr>
          <w:p/>
        </w:tc>
        <w:tc>
          <w:tcPr>
            <w:tcW w:w="3643" w:type="dxa"/>
            <w:gridSpan w:val="3"/>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项目起止年限</w:t>
            </w:r>
          </w:p>
        </w:tc>
        <w:tc>
          <w:tcPr>
            <w:tcW w:w="5938" w:type="dxa"/>
            <w:gridSpan w:val="5"/>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rPr>
                <w:rFonts w:ascii="宋体" w:eastAsia="宋体" w:cs="宋体"/>
                <w:i w:val="0"/>
                <w:color w:val="000000"/>
                <w:sz w:val="24"/>
                <w:szCs w:val="24"/>
                <w:u w:val="none"/>
                <w:lang w:val="en-US" w:eastAsia="zh-CN"/>
              </w:rPr>
            </w:pPr>
            <w:r>
              <w:rPr>
                <w:rFonts w:ascii="宋体" w:eastAsia="宋体" w:cs="宋体" w:hint="eastAsia"/>
                <w:i w:val="0"/>
                <w:color w:val="000000"/>
                <w:sz w:val="24"/>
                <w:szCs w:val="24"/>
                <w:u w:val="none"/>
                <w:lang w:val="en-US" w:eastAsia="zh-CN"/>
              </w:rPr>
              <w:t>202</w:t>
            </w:r>
            <w:r>
              <w:rPr>
                <w:rFonts w:ascii="宋体" w:cs="宋体" w:hint="eastAsia"/>
                <w:i w:val="0"/>
                <w:color w:val="000000"/>
                <w:sz w:val="24"/>
                <w:szCs w:val="24"/>
                <w:u w:val="none"/>
                <w:lang w:val="en-US" w:eastAsia="zh-CN"/>
              </w:rPr>
              <w:t>5</w:t>
            </w:r>
            <w:r>
              <w:rPr>
                <w:rFonts w:ascii="宋体" w:eastAsia="宋体" w:cs="宋体" w:hint="eastAsia"/>
                <w:i w:val="0"/>
                <w:color w:val="000000"/>
                <w:sz w:val="24"/>
                <w:szCs w:val="24"/>
                <w:u w:val="none"/>
                <w:lang w:val="en-US" w:eastAsia="zh-CN"/>
              </w:rPr>
              <w:t>年</w:t>
            </w:r>
          </w:p>
        </w:tc>
      </w:tr>
      <w:tr>
        <w:trPr>
          <w:trHeight w:val="23"/>
        </w:trPr>
        <w:tc>
          <w:tcPr>
            <w:tcW w:w="1733" w:type="dxa"/>
            <w:gridSpan w:val="2"/>
            <w:vMerge w:val="restart"/>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ascii="宋体" w:eastAsia="宋体" w:cs="宋体"/>
                <w:i w:val="0"/>
                <w:color w:val="000000"/>
                <w:kern w:val="0"/>
                <w:sz w:val="24"/>
                <w:szCs w:val="24"/>
                <w:u w:val="none"/>
                <w:lang w:val="en-US" w:eastAsia="zh-CN"/>
              </w:rPr>
            </w:pPr>
            <w:r>
              <w:rPr>
                <w:rFonts w:ascii="宋体" w:eastAsia="宋体" w:cs="宋体"/>
                <w:i w:val="0"/>
                <w:color w:val="000000"/>
                <w:kern w:val="0"/>
                <w:sz w:val="24"/>
                <w:szCs w:val="24"/>
                <w:u w:val="none"/>
                <w:lang w:val="en-US" w:eastAsia="zh-CN"/>
              </w:rPr>
              <w:t>项目资金</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（万元）</w:t>
            </w:r>
          </w:p>
        </w:tc>
        <w:tc>
          <w:tcPr>
            <w:tcW w:w="2562" w:type="dxa"/>
            <w:gridSpan w:val="2"/>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 xml:space="preserve">  年度资金总额：</w:t>
            </w:r>
          </w:p>
        </w:tc>
        <w:tc>
          <w:tcPr>
            <w:tcW w:w="5938" w:type="dxa"/>
            <w:gridSpan w:val="5"/>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ascii="宋体" w:eastAsia="宋体" w:cs="宋体"/>
                <w:i w:val="0"/>
                <w:color w:val="000000"/>
                <w:sz w:val="24"/>
                <w:szCs w:val="24"/>
                <w:u w:val="none"/>
                <w:lang w:val="en-US" w:eastAsia="zh-CN"/>
              </w:rPr>
            </w:pPr>
            <w:r>
              <w:rPr>
                <w:rFonts w:ascii="宋体" w:eastAsia="宋体" w:cs="宋体" w:hint="eastAsia"/>
                <w:i w:val="0"/>
                <w:color w:val="000000"/>
                <w:sz w:val="24"/>
                <w:szCs w:val="24"/>
                <w:u w:val="none"/>
                <w:lang w:val="en-US" w:eastAsia="zh-CN"/>
              </w:rPr>
              <w:t>2</w:t>
            </w:r>
            <w:r>
              <w:rPr>
                <w:rFonts w:ascii="宋体" w:cs="宋体" w:hint="eastAsia"/>
                <w:i w:val="0"/>
                <w:color w:val="000000"/>
                <w:sz w:val="24"/>
                <w:szCs w:val="24"/>
                <w:u w:val="none"/>
                <w:lang w:val="en-US" w:eastAsia="zh-CN"/>
              </w:rPr>
              <w:t>3.56万元</w:t>
            </w:r>
          </w:p>
        </w:tc>
      </w:tr>
      <w:tr>
        <w:trPr>
          <w:trHeight w:val="23"/>
        </w:trPr>
        <w:tc>
          <w:tcPr>
            <w:tcW w:w="1733" w:type="dxa"/>
            <w:gridSpan w:val="2"/>
            <w:vMerge/>
            <w:tcBorders>
              <w:top w:val="single" w:sz="4" w:space="0" w:color="000000"/>
              <w:left w:val="single" w:sz="4" w:space="0" w:color="000000"/>
              <w:bottom w:val="single" w:sz="4" w:space="0" w:color="000000"/>
              <w:right w:val="single" w:sz="4" w:space="0" w:color="000000"/>
            </w:tcBorders>
            <w:noWrap/>
            <w:vAlign w:val="center"/>
          </w:tcPr>
          <w:p/>
        </w:tc>
        <w:tc>
          <w:tcPr>
            <w:tcW w:w="2562" w:type="dxa"/>
            <w:gridSpan w:val="2"/>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 xml:space="preserve">     </w:t>
            </w:r>
            <w:r>
              <w:rPr>
                <w:rFonts w:ascii="宋体" w:eastAsia="宋体" w:cs="宋体" w:hint="eastAsia"/>
                <w:i w:val="0"/>
                <w:color w:val="000000"/>
                <w:kern w:val="0"/>
                <w:sz w:val="24"/>
                <w:szCs w:val="24"/>
                <w:u w:val="none"/>
                <w:lang w:val="en-US" w:eastAsia="zh-CN"/>
              </w:rPr>
              <w:t xml:space="preserve"> </w:t>
            </w:r>
            <w:r>
              <w:rPr>
                <w:rFonts w:ascii="宋体" w:eastAsia="宋体" w:cs="宋体"/>
                <w:i w:val="0"/>
                <w:color w:val="000000"/>
                <w:kern w:val="0"/>
                <w:sz w:val="24"/>
                <w:szCs w:val="24"/>
                <w:u w:val="none"/>
                <w:lang w:val="en-US" w:eastAsia="zh-CN"/>
              </w:rPr>
              <w:t>其中：财政拨款</w:t>
            </w:r>
          </w:p>
        </w:tc>
        <w:tc>
          <w:tcPr>
            <w:tcW w:w="5938" w:type="dxa"/>
            <w:gridSpan w:val="5"/>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ascii="宋体" w:eastAsia="宋体" w:cs="宋体"/>
                <w:i w:val="0"/>
                <w:color w:val="000000"/>
                <w:sz w:val="24"/>
                <w:szCs w:val="24"/>
                <w:u w:val="none"/>
                <w:lang w:val="en-US" w:eastAsia="zh-CN"/>
              </w:rPr>
            </w:pPr>
            <w:r>
              <w:rPr>
                <w:rFonts w:ascii="宋体" w:eastAsia="宋体" w:cs="宋体" w:hint="eastAsia"/>
                <w:i w:val="0"/>
                <w:color w:val="000000"/>
                <w:sz w:val="24"/>
                <w:szCs w:val="24"/>
                <w:u w:val="none"/>
                <w:lang w:val="en-US" w:eastAsia="zh-CN"/>
              </w:rPr>
              <w:t>2</w:t>
            </w:r>
            <w:r>
              <w:rPr>
                <w:rFonts w:ascii="宋体" w:cs="宋体" w:hint="eastAsia"/>
                <w:i w:val="0"/>
                <w:color w:val="000000"/>
                <w:sz w:val="24"/>
                <w:szCs w:val="24"/>
                <w:u w:val="none"/>
                <w:lang w:val="en-US" w:eastAsia="zh-CN"/>
              </w:rPr>
              <w:t>3.56万元</w:t>
            </w:r>
          </w:p>
        </w:tc>
      </w:tr>
      <w:tr>
        <w:trPr>
          <w:trHeight w:val="23"/>
        </w:trPr>
        <w:tc>
          <w:tcPr>
            <w:tcW w:w="1733" w:type="dxa"/>
            <w:gridSpan w:val="2"/>
            <w:vMerge/>
            <w:tcBorders>
              <w:top w:val="single" w:sz="4" w:space="0" w:color="000000"/>
              <w:left w:val="single" w:sz="4" w:space="0" w:color="000000"/>
              <w:bottom w:val="single" w:sz="4" w:space="0" w:color="000000"/>
              <w:right w:val="single" w:sz="4" w:space="0" w:color="000000"/>
            </w:tcBorders>
            <w:noWrap/>
            <w:vAlign w:val="center"/>
          </w:tcPr>
          <w:p/>
        </w:tc>
        <w:tc>
          <w:tcPr>
            <w:tcW w:w="2562" w:type="dxa"/>
            <w:gridSpan w:val="2"/>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 xml:space="preserve">            其他资金</w:t>
            </w:r>
          </w:p>
        </w:tc>
        <w:tc>
          <w:tcPr>
            <w:tcW w:w="5938" w:type="dxa"/>
            <w:gridSpan w:val="5"/>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right"/>
              <w:rPr>
                <w:rFonts w:ascii="宋体" w:eastAsia="宋体" w:cs="宋体" w:hint="eastAsia"/>
                <w:i w:val="0"/>
                <w:color w:val="000000"/>
                <w:sz w:val="24"/>
                <w:szCs w:val="24"/>
                <w:u w:val="none"/>
              </w:rPr>
            </w:pPr>
          </w:p>
        </w:tc>
      </w:tr>
      <w:tr>
        <w:trPr>
          <w:trHeight w:val="23"/>
        </w:trPr>
        <w:tc>
          <w:tcPr>
            <w:tcW w:w="652" w:type="dxa"/>
            <w:vMerge w:val="restart"/>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总体 目标</w:t>
            </w:r>
          </w:p>
        </w:tc>
        <w:tc>
          <w:tcPr>
            <w:tcW w:w="9581" w:type="dxa"/>
            <w:gridSpan w:val="8"/>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年度目标</w:t>
            </w:r>
          </w:p>
        </w:tc>
      </w:tr>
      <w:tr>
        <w:trPr>
          <w:trHeight w:val="23"/>
        </w:trPr>
        <w:tc>
          <w:tcPr>
            <w:tcW w:w="652" w:type="dxa"/>
            <w:vMerge/>
            <w:tcBorders>
              <w:top w:val="single" w:sz="4" w:space="0" w:color="000000"/>
              <w:left w:val="single" w:sz="4" w:space="0" w:color="000000"/>
              <w:bottom w:val="single" w:sz="4" w:space="0" w:color="000000"/>
              <w:right w:val="single" w:sz="4" w:space="0" w:color="000000"/>
            </w:tcBorders>
            <w:noWrap/>
            <w:vAlign w:val="center"/>
          </w:tcPr>
          <w:p/>
        </w:tc>
        <w:tc>
          <w:tcPr>
            <w:tcW w:w="9581" w:type="dxa"/>
            <w:gridSpan w:val="8"/>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rPr>
                <w:rFonts w:ascii="宋体" w:eastAsia="宋体" w:cs="宋体"/>
                <w:i w:val="0"/>
                <w:color w:val="000000"/>
                <w:sz w:val="24"/>
                <w:szCs w:val="24"/>
                <w:u w:val="none"/>
                <w:lang w:val="en-US" w:eastAsia="zh-CN"/>
              </w:rPr>
            </w:pPr>
            <w:r>
              <w:rPr>
                <w:rFonts w:ascii="宋体" w:eastAsia="宋体" w:cs="宋体" w:hint="eastAsia"/>
                <w:i w:val="0"/>
                <w:color w:val="000000"/>
                <w:sz w:val="24"/>
                <w:szCs w:val="24"/>
                <w:u w:val="none"/>
                <w:lang w:eastAsia="zh-CN"/>
              </w:rPr>
              <w:t>全年完成对</w:t>
            </w:r>
            <w:r>
              <w:rPr>
                <w:rFonts w:ascii="宋体" w:eastAsia="宋体" w:cs="宋体" w:hint="eastAsia"/>
                <w:i w:val="0"/>
                <w:color w:val="000000"/>
                <w:sz w:val="24"/>
                <w:szCs w:val="24"/>
                <w:u w:val="none"/>
                <w:lang w:val="en-US" w:eastAsia="zh-CN"/>
              </w:rPr>
              <w:t>87户企业（个体）的统计人员奖补发放，并在9</w:t>
            </w:r>
            <w:r>
              <w:rPr>
                <w:rFonts w:ascii="宋体" w:cs="宋体" w:hint="eastAsia"/>
                <w:i w:val="0"/>
                <w:color w:val="000000"/>
                <w:sz w:val="24"/>
                <w:szCs w:val="24"/>
                <w:u w:val="none"/>
                <w:lang w:val="en-US" w:eastAsia="zh-CN"/>
              </w:rPr>
              <w:t>月</w:t>
            </w:r>
            <w:r>
              <w:rPr>
                <w:rFonts w:ascii="宋体" w:eastAsia="宋体" w:cs="宋体" w:hint="eastAsia"/>
                <w:i w:val="0"/>
                <w:color w:val="000000"/>
                <w:sz w:val="24"/>
                <w:szCs w:val="24"/>
                <w:u w:val="none"/>
                <w:lang w:val="en-US" w:eastAsia="zh-CN"/>
              </w:rPr>
              <w:t>底完成支付。</w:t>
            </w:r>
          </w:p>
        </w:tc>
      </w:tr>
      <w:tr>
        <w:trPr>
          <w:trHeight w:val="23"/>
        </w:trPr>
        <w:tc>
          <w:tcPr>
            <w:tcW w:w="652" w:type="dxa"/>
            <w:vMerge w:val="restart"/>
            <w:tcBorders>
              <w:top w:val="single" w:sz="4" w:space="0" w:color="000000"/>
              <w:left w:val="single" w:sz="4" w:space="0" w:color="000000"/>
              <w:bottom w:val="single" w:sz="4" w:space="0" w:color="000000"/>
              <w:right w:val="nil"/>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绩效 指标</w:t>
            </w:r>
          </w:p>
        </w:tc>
        <w:tc>
          <w:tcPr>
            <w:tcW w:w="1081"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一级指标</w:t>
            </w:r>
          </w:p>
        </w:tc>
        <w:tc>
          <w:tcPr>
            <w:tcW w:w="1250"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二级指标</w:t>
            </w:r>
          </w:p>
        </w:tc>
        <w:tc>
          <w:tcPr>
            <w:tcW w:w="1312"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三级指标</w:t>
            </w:r>
          </w:p>
        </w:tc>
        <w:tc>
          <w:tcPr>
            <w:tcW w:w="1205"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指标性质</w:t>
            </w:r>
          </w:p>
        </w:tc>
        <w:tc>
          <w:tcPr>
            <w:tcW w:w="893"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指标值</w:t>
            </w:r>
          </w:p>
        </w:tc>
        <w:tc>
          <w:tcPr>
            <w:tcW w:w="1061"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度量单位</w:t>
            </w:r>
          </w:p>
        </w:tc>
        <w:tc>
          <w:tcPr>
            <w:tcW w:w="938"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权重</w:t>
            </w:r>
          </w:p>
        </w:tc>
        <w:tc>
          <w:tcPr>
            <w:tcW w:w="1841"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实际完成指标值</w:t>
            </w:r>
          </w:p>
        </w:tc>
      </w:tr>
      <w:tr>
        <w:trPr>
          <w:trHeight w:val="23"/>
        </w:trPr>
        <w:tc>
          <w:tcPr>
            <w:tcW w:w="652" w:type="dxa"/>
            <w:vMerge/>
            <w:tcBorders>
              <w:top w:val="single" w:sz="4" w:space="0" w:color="000000"/>
              <w:left w:val="single" w:sz="4" w:space="0" w:color="000000"/>
              <w:bottom w:val="single" w:sz="4" w:space="0" w:color="000000"/>
              <w:right w:val="nil"/>
            </w:tcBorders>
            <w:noWrap/>
            <w:vAlign w:val="center"/>
          </w:tcPr>
          <w:p/>
        </w:tc>
        <w:tc>
          <w:tcPr>
            <w:tcW w:w="1081" w:type="dxa"/>
            <w:vMerge w:val="restart"/>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ascii="宋体" w:eastAsia="宋体" w:cs="宋体"/>
                <w:i w:val="0"/>
                <w:color w:val="000000"/>
                <w:sz w:val="21"/>
                <w:szCs w:val="21"/>
                <w:u w:val="none"/>
              </w:rPr>
            </w:pPr>
            <w:r>
              <w:rPr>
                <w:rFonts w:ascii="宋体" w:eastAsia="宋体" w:cs="宋体"/>
                <w:i w:val="0"/>
                <w:color w:val="000000"/>
                <w:kern w:val="0"/>
                <w:sz w:val="21"/>
                <w:szCs w:val="21"/>
                <w:u w:val="none"/>
                <w:lang w:val="en-US" w:eastAsia="zh-CN"/>
              </w:rPr>
              <w:t>产出指标</w:t>
            </w:r>
          </w:p>
        </w:tc>
        <w:tc>
          <w:tcPr>
            <w:tcW w:w="1250"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ascii="宋体" w:eastAsia="宋体" w:cs="宋体"/>
                <w:i w:val="0"/>
                <w:color w:val="000000"/>
                <w:sz w:val="21"/>
                <w:szCs w:val="21"/>
                <w:u w:val="none"/>
              </w:rPr>
            </w:pPr>
            <w:r>
              <w:rPr>
                <w:rFonts w:ascii="宋体" w:eastAsia="宋体" w:cs="宋体"/>
                <w:i w:val="0"/>
                <w:color w:val="000000"/>
                <w:kern w:val="0"/>
                <w:sz w:val="21"/>
                <w:szCs w:val="21"/>
                <w:u w:val="none"/>
                <w:lang w:val="en-US" w:eastAsia="zh-CN"/>
              </w:rPr>
              <w:t>数量指标</w:t>
            </w:r>
          </w:p>
        </w:tc>
        <w:tc>
          <w:tcPr>
            <w:tcW w:w="1312"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rPr>
                <w:rFonts w:ascii="宋体" w:eastAsia="宋体" w:cs="宋体"/>
                <w:i w:val="0"/>
                <w:color w:val="000000"/>
                <w:sz w:val="21"/>
                <w:szCs w:val="21"/>
                <w:u w:val="none"/>
                <w:lang w:val="en-US" w:eastAsia="zh-CN"/>
              </w:rPr>
            </w:pPr>
            <w:r>
              <w:rPr>
                <w:rFonts w:ascii="宋体" w:eastAsia="宋体" w:cs="宋体" w:hint="eastAsia"/>
                <w:i w:val="0"/>
                <w:color w:val="000000"/>
                <w:sz w:val="21"/>
                <w:szCs w:val="21"/>
                <w:u w:val="none"/>
                <w:lang w:val="en-US" w:eastAsia="zh-CN"/>
              </w:rPr>
              <w:t>企业（个体）统计人员奖补户</w:t>
            </w:r>
          </w:p>
        </w:tc>
        <w:tc>
          <w:tcPr>
            <w:tcW w:w="1205"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ascii="宋体" w:eastAsia="宋体" w:cs="宋体" w:hint="eastAsia"/>
                <w:i w:val="0"/>
                <w:color w:val="000000"/>
                <w:sz w:val="21"/>
                <w:szCs w:val="21"/>
                <w:u w:val="none"/>
                <w:lang w:val="en-US" w:eastAsia="zh-CN"/>
              </w:rPr>
            </w:pPr>
            <w:r>
              <w:rPr>
                <w:rFonts w:ascii="宋体" w:eastAsia="宋体" w:cs="宋体" w:hint="eastAsia"/>
                <w:i w:val="0"/>
                <w:color w:val="000000"/>
                <w:sz w:val="21"/>
                <w:szCs w:val="21"/>
                <w:u w:val="none"/>
                <w:lang w:val="en-US" w:eastAsia="zh-CN"/>
              </w:rPr>
              <w:t>=</w:t>
            </w:r>
          </w:p>
        </w:tc>
        <w:tc>
          <w:tcPr>
            <w:tcW w:w="893"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ascii="宋体" w:eastAsia="宋体" w:cs="宋体"/>
                <w:i w:val="0"/>
                <w:color w:val="000000"/>
                <w:sz w:val="21"/>
                <w:szCs w:val="21"/>
                <w:u w:val="none"/>
                <w:lang w:val="en-US" w:eastAsia="zh-CN"/>
              </w:rPr>
            </w:pPr>
            <w:r>
              <w:rPr>
                <w:rFonts w:ascii="宋体" w:cs="宋体" w:hint="eastAsia"/>
                <w:i w:val="0"/>
                <w:color w:val="000000"/>
                <w:sz w:val="21"/>
                <w:szCs w:val="21"/>
                <w:u w:val="none"/>
                <w:lang w:val="en-US" w:eastAsia="zh-CN"/>
              </w:rPr>
              <w:t>87</w:t>
            </w:r>
          </w:p>
        </w:tc>
        <w:tc>
          <w:tcPr>
            <w:tcW w:w="1061"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ascii="宋体" w:eastAsia="宋体" w:cs="宋体" w:hint="eastAsia"/>
                <w:i w:val="0"/>
                <w:color w:val="000000"/>
                <w:sz w:val="21"/>
                <w:szCs w:val="21"/>
                <w:u w:val="none"/>
                <w:lang w:eastAsia="zh-CN"/>
              </w:rPr>
            </w:pPr>
            <w:r>
              <w:rPr>
                <w:rFonts w:ascii="宋体" w:eastAsia="宋体" w:cs="宋体" w:hint="eastAsia"/>
                <w:i w:val="0"/>
                <w:color w:val="000000"/>
                <w:sz w:val="21"/>
                <w:szCs w:val="21"/>
                <w:u w:val="none"/>
                <w:lang w:eastAsia="zh-CN"/>
              </w:rPr>
              <w:t>户</w:t>
            </w:r>
          </w:p>
        </w:tc>
        <w:tc>
          <w:tcPr>
            <w:tcW w:w="938"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ascii="宋体" w:eastAsia="宋体" w:cs="宋体"/>
                <w:i w:val="0"/>
                <w:color w:val="000000"/>
                <w:sz w:val="21"/>
                <w:szCs w:val="21"/>
                <w:u w:val="none"/>
                <w:lang w:val="en-US" w:eastAsia="zh-CN"/>
              </w:rPr>
            </w:pPr>
            <w:r>
              <w:rPr>
                <w:rFonts w:ascii="宋体" w:cs="宋体" w:hint="eastAsia"/>
                <w:i w:val="0"/>
                <w:color w:val="000000"/>
                <w:sz w:val="21"/>
                <w:szCs w:val="21"/>
                <w:u w:val="none"/>
                <w:lang w:val="en-US" w:eastAsia="zh-CN"/>
              </w:rPr>
              <w:t>20</w:t>
            </w:r>
          </w:p>
        </w:tc>
        <w:tc>
          <w:tcPr>
            <w:tcW w:w="1841"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ascii="宋体" w:eastAsia="宋体" w:cs="宋体"/>
                <w:i w:val="0"/>
                <w:color w:val="000000"/>
                <w:sz w:val="21"/>
                <w:szCs w:val="21"/>
                <w:u w:val="none"/>
                <w:lang w:val="en-US" w:eastAsia="zh-CN"/>
              </w:rPr>
            </w:pPr>
            <w:r>
              <w:rPr>
                <w:rFonts w:ascii="宋体" w:cs="宋体" w:hint="eastAsia"/>
                <w:i w:val="0"/>
                <w:color w:val="000000"/>
                <w:sz w:val="21"/>
                <w:szCs w:val="21"/>
                <w:u w:val="none"/>
                <w:lang w:val="en-US" w:eastAsia="zh-CN"/>
              </w:rPr>
              <w:t>87</w:t>
            </w:r>
          </w:p>
        </w:tc>
      </w:tr>
      <w:tr>
        <w:trPr>
          <w:trHeight w:val="23"/>
        </w:trPr>
        <w:tc>
          <w:tcPr>
            <w:tcW w:w="652" w:type="dxa"/>
            <w:vMerge/>
            <w:tcBorders>
              <w:top w:val="single" w:sz="4" w:space="0" w:color="000000"/>
              <w:left w:val="single" w:sz="4" w:space="0" w:color="000000"/>
              <w:bottom w:val="single" w:sz="4" w:space="0" w:color="000000"/>
              <w:right w:val="nil"/>
            </w:tcBorders>
            <w:noWrap/>
            <w:vAlign w:val="center"/>
          </w:tcPr>
          <w:p/>
        </w:tc>
        <w:tc>
          <w:tcPr>
            <w:tcW w:w="1081" w:type="dxa"/>
            <w:vMerge/>
            <w:tcBorders>
              <w:top w:val="single" w:sz="4" w:space="0" w:color="000000"/>
              <w:left w:val="single" w:sz="4" w:space="0" w:color="000000"/>
              <w:bottom w:val="single" w:sz="4" w:space="0" w:color="000000"/>
              <w:right w:val="single" w:sz="4" w:space="0" w:color="000000"/>
            </w:tcBorders>
            <w:noWrap/>
            <w:vAlign w:val="center"/>
          </w:tcPr>
          <w:p/>
        </w:tc>
        <w:tc>
          <w:tcPr>
            <w:tcW w:w="1250"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ascii="宋体" w:eastAsia="宋体" w:cs="宋体"/>
                <w:i w:val="0"/>
                <w:color w:val="000000"/>
                <w:sz w:val="21"/>
                <w:szCs w:val="21"/>
                <w:u w:val="none"/>
              </w:rPr>
            </w:pPr>
            <w:r>
              <w:rPr>
                <w:rFonts w:ascii="宋体" w:eastAsia="宋体" w:cs="宋体"/>
                <w:i w:val="0"/>
                <w:color w:val="000000"/>
                <w:kern w:val="0"/>
                <w:sz w:val="21"/>
                <w:szCs w:val="21"/>
                <w:u w:val="none"/>
                <w:lang w:val="en-US" w:eastAsia="zh-CN"/>
              </w:rPr>
              <w:t>质量指标</w:t>
            </w:r>
          </w:p>
        </w:tc>
        <w:tc>
          <w:tcPr>
            <w:tcW w:w="1312"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rPr>
                <w:rFonts w:ascii="宋体" w:eastAsia="宋体" w:cs="宋体" w:hint="eastAsia"/>
                <w:i w:val="0"/>
                <w:color w:val="000000"/>
                <w:sz w:val="21"/>
                <w:szCs w:val="21"/>
                <w:u w:val="none"/>
                <w:lang w:eastAsia="zh-CN"/>
              </w:rPr>
            </w:pPr>
            <w:r>
              <w:rPr>
                <w:rFonts w:ascii="宋体" w:eastAsia="宋体" w:cs="宋体" w:hint="eastAsia"/>
                <w:i w:val="0"/>
                <w:color w:val="000000"/>
                <w:sz w:val="21"/>
                <w:szCs w:val="21"/>
                <w:u w:val="none"/>
                <w:lang w:eastAsia="zh-CN"/>
              </w:rPr>
              <w:t>全部发放到个人银行卡中</w:t>
            </w:r>
          </w:p>
        </w:tc>
        <w:tc>
          <w:tcPr>
            <w:tcW w:w="1205"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ascii="宋体" w:eastAsia="宋体" w:cs="宋体" w:hint="eastAsia"/>
                <w:i w:val="0"/>
                <w:color w:val="000000"/>
                <w:sz w:val="21"/>
                <w:szCs w:val="21"/>
                <w:u w:val="none"/>
                <w:lang w:val="en-US" w:eastAsia="zh-CN"/>
              </w:rPr>
            </w:pPr>
            <w:r>
              <w:rPr>
                <w:rFonts w:ascii="宋体" w:eastAsia="宋体" w:cs="宋体" w:hint="eastAsia"/>
                <w:i w:val="0"/>
                <w:color w:val="000000"/>
                <w:sz w:val="21"/>
                <w:szCs w:val="21"/>
                <w:u w:val="none"/>
                <w:lang w:val="en-US" w:eastAsia="zh-CN"/>
              </w:rPr>
              <w:t>=</w:t>
            </w:r>
          </w:p>
        </w:tc>
        <w:tc>
          <w:tcPr>
            <w:tcW w:w="893"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ascii="宋体" w:eastAsia="宋体" w:cs="宋体"/>
                <w:i w:val="0"/>
                <w:color w:val="000000"/>
                <w:sz w:val="21"/>
                <w:szCs w:val="21"/>
                <w:u w:val="none"/>
                <w:lang w:val="en-US" w:eastAsia="zh-CN"/>
              </w:rPr>
            </w:pPr>
            <w:r>
              <w:rPr>
                <w:rFonts w:ascii="宋体" w:eastAsia="宋体" w:cs="宋体" w:hint="eastAsia"/>
                <w:i w:val="0"/>
                <w:color w:val="000000"/>
                <w:sz w:val="21"/>
                <w:szCs w:val="21"/>
                <w:u w:val="none"/>
                <w:lang w:val="en-US" w:eastAsia="zh-CN"/>
              </w:rPr>
              <w:t>100</w:t>
            </w:r>
          </w:p>
        </w:tc>
        <w:tc>
          <w:tcPr>
            <w:tcW w:w="1061"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ascii="宋体" w:eastAsia="宋体" w:cs="宋体" w:hint="eastAsia"/>
                <w:i w:val="0"/>
                <w:color w:val="000000"/>
                <w:sz w:val="21"/>
                <w:szCs w:val="21"/>
                <w:u w:val="none"/>
                <w:lang w:val="en-US" w:eastAsia="zh-CN"/>
              </w:rPr>
            </w:pPr>
            <w:r>
              <w:rPr>
                <w:rFonts w:ascii="宋体" w:eastAsia="宋体" w:cs="宋体" w:hint="eastAsia"/>
                <w:i w:val="0"/>
                <w:color w:val="000000"/>
                <w:sz w:val="21"/>
                <w:szCs w:val="21"/>
                <w:u w:val="none"/>
                <w:lang w:val="en-US" w:eastAsia="zh-CN"/>
              </w:rPr>
              <w:t>%</w:t>
            </w:r>
          </w:p>
        </w:tc>
        <w:tc>
          <w:tcPr>
            <w:tcW w:w="938"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ascii="宋体" w:eastAsia="宋体" w:cs="宋体"/>
                <w:i w:val="0"/>
                <w:color w:val="000000"/>
                <w:sz w:val="21"/>
                <w:szCs w:val="21"/>
                <w:u w:val="none"/>
                <w:lang w:val="en-US" w:eastAsia="zh-CN"/>
              </w:rPr>
            </w:pPr>
            <w:r>
              <w:rPr>
                <w:rFonts w:ascii="宋体" w:cs="宋体" w:hint="eastAsia"/>
                <w:i w:val="0"/>
                <w:color w:val="000000"/>
                <w:sz w:val="21"/>
                <w:szCs w:val="21"/>
                <w:u w:val="none"/>
                <w:lang w:val="en-US" w:eastAsia="zh-CN"/>
              </w:rPr>
              <w:t>15</w:t>
            </w:r>
          </w:p>
        </w:tc>
        <w:tc>
          <w:tcPr>
            <w:tcW w:w="1841"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ascii="宋体" w:eastAsia="宋体" w:cs="宋体"/>
                <w:i w:val="0"/>
                <w:color w:val="000000"/>
                <w:sz w:val="21"/>
                <w:szCs w:val="21"/>
                <w:u w:val="none"/>
                <w:lang w:val="en-US" w:eastAsia="zh-CN"/>
              </w:rPr>
            </w:pPr>
            <w:r>
              <w:rPr>
                <w:rFonts w:ascii="宋体" w:eastAsia="宋体" w:cs="宋体" w:hint="eastAsia"/>
                <w:i w:val="0"/>
                <w:color w:val="000000"/>
                <w:sz w:val="21"/>
                <w:szCs w:val="21"/>
                <w:u w:val="none"/>
                <w:lang w:val="en-US" w:eastAsia="zh-CN"/>
              </w:rPr>
              <w:t>100</w:t>
            </w:r>
          </w:p>
        </w:tc>
      </w:tr>
      <w:tr>
        <w:trPr>
          <w:trHeight w:val="23"/>
        </w:trPr>
        <w:tc>
          <w:tcPr>
            <w:tcW w:w="652" w:type="dxa"/>
            <w:vMerge/>
            <w:tcBorders>
              <w:top w:val="single" w:sz="4" w:space="0" w:color="000000"/>
              <w:left w:val="single" w:sz="4" w:space="0" w:color="000000"/>
              <w:bottom w:val="single" w:sz="4" w:space="0" w:color="000000"/>
              <w:right w:val="nil"/>
            </w:tcBorders>
            <w:noWrap/>
            <w:vAlign w:val="center"/>
          </w:tcPr>
          <w:p/>
        </w:tc>
        <w:tc>
          <w:tcPr>
            <w:tcW w:w="1081" w:type="dxa"/>
            <w:vMerge/>
            <w:tcBorders>
              <w:top w:val="single" w:sz="4" w:space="0" w:color="000000"/>
              <w:left w:val="single" w:sz="4" w:space="0" w:color="000000"/>
              <w:bottom w:val="single" w:sz="4" w:space="0" w:color="auto"/>
              <w:right w:val="single" w:sz="4" w:space="0" w:color="000000"/>
            </w:tcBorders>
            <w:noWrap/>
            <w:vAlign w:val="center"/>
          </w:tcPr>
          <w:p/>
        </w:tc>
        <w:tc>
          <w:tcPr>
            <w:tcW w:w="1250"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ascii="宋体" w:eastAsia="宋体" w:cs="宋体"/>
                <w:i w:val="0"/>
                <w:color w:val="000000"/>
                <w:sz w:val="21"/>
                <w:szCs w:val="21"/>
                <w:u w:val="none"/>
              </w:rPr>
            </w:pPr>
            <w:r>
              <w:rPr>
                <w:rFonts w:ascii="宋体" w:eastAsia="宋体" w:cs="宋体"/>
                <w:i w:val="0"/>
                <w:color w:val="000000"/>
                <w:kern w:val="0"/>
                <w:sz w:val="21"/>
                <w:szCs w:val="21"/>
                <w:u w:val="none"/>
                <w:lang w:val="en-US" w:eastAsia="zh-CN"/>
              </w:rPr>
              <w:t>时效指标</w:t>
            </w:r>
          </w:p>
        </w:tc>
        <w:tc>
          <w:tcPr>
            <w:tcW w:w="1312"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rPr>
                <w:rFonts w:ascii="宋体" w:eastAsia="宋体" w:cs="宋体" w:hint="eastAsia"/>
                <w:i w:val="0"/>
                <w:color w:val="000000"/>
                <w:sz w:val="21"/>
                <w:szCs w:val="21"/>
                <w:u w:val="none"/>
                <w:lang w:val="en-US" w:eastAsia="zh-CN"/>
              </w:rPr>
            </w:pPr>
            <w:r>
              <w:rPr>
                <w:rFonts w:ascii="宋体" w:eastAsia="宋体" w:cs="宋体" w:hint="eastAsia"/>
                <w:i w:val="0"/>
                <w:color w:val="000000"/>
                <w:sz w:val="21"/>
                <w:szCs w:val="21"/>
                <w:u w:val="none"/>
                <w:lang w:val="en-US" w:eastAsia="zh-CN"/>
              </w:rPr>
              <w:t>9月底前完成</w:t>
            </w:r>
          </w:p>
        </w:tc>
        <w:tc>
          <w:tcPr>
            <w:tcW w:w="1205"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ascii="宋体" w:eastAsia="宋体" w:cs="宋体" w:hint="eastAsia"/>
                <w:i w:val="0"/>
                <w:color w:val="000000"/>
                <w:sz w:val="21"/>
                <w:szCs w:val="21"/>
                <w:u w:val="none"/>
                <w:lang w:eastAsia="zh-CN"/>
              </w:rPr>
            </w:pPr>
            <w:r>
              <w:rPr>
                <w:rFonts w:ascii="宋体" w:eastAsia="宋体" w:cs="宋体" w:hint="eastAsia"/>
                <w:i w:val="0"/>
                <w:color w:val="000000"/>
                <w:sz w:val="21"/>
                <w:szCs w:val="21"/>
                <w:u w:val="none"/>
                <w:lang w:eastAsia="zh-CN"/>
              </w:rPr>
              <w:t>定性</w:t>
            </w:r>
          </w:p>
        </w:tc>
        <w:tc>
          <w:tcPr>
            <w:tcW w:w="893"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ascii="宋体" w:eastAsia="宋体" w:cs="宋体" w:hint="eastAsia"/>
                <w:i w:val="0"/>
                <w:color w:val="000000"/>
                <w:sz w:val="21"/>
                <w:szCs w:val="21"/>
                <w:u w:val="none"/>
                <w:lang w:eastAsia="zh-CN"/>
              </w:rPr>
            </w:pPr>
            <w:r>
              <w:rPr>
                <w:rFonts w:ascii="宋体" w:eastAsia="宋体" w:cs="宋体" w:hint="eastAsia"/>
                <w:i w:val="0"/>
                <w:color w:val="000000"/>
                <w:sz w:val="21"/>
                <w:szCs w:val="21"/>
                <w:u w:val="none"/>
                <w:lang w:eastAsia="zh-CN"/>
              </w:rPr>
              <w:t>能</w:t>
            </w:r>
          </w:p>
        </w:tc>
        <w:tc>
          <w:tcPr>
            <w:tcW w:w="1061"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ascii="宋体" w:eastAsia="宋体" w:cs="宋体" w:hint="eastAsia"/>
                <w:i w:val="0"/>
                <w:color w:val="000000"/>
                <w:sz w:val="21"/>
                <w:szCs w:val="21"/>
                <w:u w:val="none"/>
              </w:rPr>
            </w:pPr>
          </w:p>
        </w:tc>
        <w:tc>
          <w:tcPr>
            <w:tcW w:w="938"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ascii="宋体" w:eastAsia="宋体" w:cs="宋体"/>
                <w:i w:val="0"/>
                <w:color w:val="000000"/>
                <w:sz w:val="21"/>
                <w:szCs w:val="21"/>
                <w:u w:val="none"/>
                <w:lang w:val="en-US" w:eastAsia="zh-CN"/>
              </w:rPr>
            </w:pPr>
            <w:r>
              <w:rPr>
                <w:rFonts w:ascii="宋体" w:eastAsia="宋体" w:cs="宋体" w:hint="eastAsia"/>
                <w:i w:val="0"/>
                <w:color w:val="000000"/>
                <w:sz w:val="21"/>
                <w:szCs w:val="21"/>
                <w:u w:val="none"/>
                <w:lang w:val="en-US" w:eastAsia="zh-CN"/>
              </w:rPr>
              <w:t>10</w:t>
            </w:r>
          </w:p>
        </w:tc>
        <w:tc>
          <w:tcPr>
            <w:tcW w:w="1841"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ascii="宋体" w:eastAsia="宋体" w:cs="宋体" w:hint="eastAsia"/>
                <w:i w:val="0"/>
                <w:color w:val="000000"/>
                <w:sz w:val="21"/>
                <w:szCs w:val="21"/>
                <w:u w:val="none"/>
                <w:lang w:val="en-US" w:eastAsia="zh-CN"/>
              </w:rPr>
            </w:pPr>
            <w:r>
              <w:rPr>
                <w:rFonts w:ascii="宋体" w:eastAsia="宋体" w:cs="宋体" w:hint="eastAsia"/>
                <w:i w:val="0"/>
                <w:color w:val="000000"/>
                <w:sz w:val="21"/>
                <w:szCs w:val="21"/>
                <w:u w:val="none"/>
                <w:lang w:val="en-US" w:eastAsia="zh-CN"/>
              </w:rPr>
              <w:t>6月底前</w:t>
            </w:r>
            <w:r>
              <w:rPr>
                <w:rFonts w:ascii="宋体" w:cs="宋体" w:hint="eastAsia"/>
                <w:i w:val="0"/>
                <w:color w:val="000000"/>
                <w:sz w:val="21"/>
                <w:szCs w:val="21"/>
                <w:u w:val="none"/>
                <w:lang w:val="en-US" w:eastAsia="zh-CN"/>
              </w:rPr>
              <w:t>已</w:t>
            </w:r>
            <w:r>
              <w:rPr>
                <w:rFonts w:ascii="宋体" w:eastAsia="宋体" w:cs="宋体" w:hint="eastAsia"/>
                <w:i w:val="0"/>
                <w:color w:val="000000"/>
                <w:sz w:val="21"/>
                <w:szCs w:val="21"/>
                <w:u w:val="none"/>
                <w:lang w:val="en-US" w:eastAsia="zh-CN"/>
              </w:rPr>
              <w:t>完成</w:t>
            </w:r>
          </w:p>
        </w:tc>
      </w:tr>
      <w:tr>
        <w:trPr>
          <w:trHeight w:val="23"/>
        </w:trPr>
        <w:tc>
          <w:tcPr>
            <w:tcW w:w="652" w:type="dxa"/>
            <w:vMerge/>
            <w:tcBorders>
              <w:top w:val="single" w:sz="4" w:space="0" w:color="000000"/>
              <w:left w:val="single" w:sz="4" w:space="0" w:color="000000"/>
              <w:bottom w:val="single" w:sz="4" w:space="0" w:color="000000"/>
              <w:right w:val="nil"/>
            </w:tcBorders>
            <w:noWrap/>
            <w:vAlign w:val="center"/>
          </w:tcPr>
          <w:p/>
        </w:tc>
        <w:tc>
          <w:tcPr>
            <w:tcW w:w="1081" w:type="dxa"/>
            <w:tcBorders>
              <w:top w:val="single" w:sz="4" w:space="0" w:color="auto"/>
              <w:left w:val="single" w:sz="4" w:space="0" w:color="000000"/>
              <w:bottom w:val="single" w:sz="4" w:space="0" w:color="000000"/>
              <w:right w:val="single" w:sz="4" w:space="0" w:color="00000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ascii="宋体" w:eastAsia="宋体" w:cs="宋体"/>
                <w:i w:val="0"/>
                <w:color w:val="000000"/>
                <w:kern w:val="0"/>
                <w:sz w:val="21"/>
                <w:szCs w:val="21"/>
                <w:u w:val="none"/>
                <w:lang w:val="en-US" w:eastAsia="zh-CN"/>
              </w:rPr>
            </w:pPr>
            <w:r>
              <w:rPr>
                <w:rFonts w:ascii="宋体" w:eastAsia="宋体" w:cs="宋体"/>
                <w:i w:val="0"/>
                <w:color w:val="000000"/>
                <w:kern w:val="0"/>
                <w:sz w:val="21"/>
                <w:szCs w:val="21"/>
                <w:u w:val="none"/>
                <w:lang w:val="en-US" w:eastAsia="zh-CN"/>
              </w:rPr>
              <w:t>效益</w:t>
            </w:r>
          </w:p>
          <w:p>
            <w:pPr>
              <w:keepNext w:val="0"/>
              <w:keepLines w:val="0"/>
              <w:pageBreakBefore w:val="0"/>
              <w:widowControl w:val="0"/>
              <w:kinsoku/>
              <w:wordWrap/>
              <w:overflowPunct/>
              <w:topLinePunct w:val="0"/>
              <w:autoSpaceDE/>
              <w:autoSpaceDN/>
              <w:bidi w:val="0"/>
              <w:adjustRightInd/>
              <w:snapToGrid/>
              <w:spacing w:line="300" w:lineRule="exact"/>
              <w:ind w:left="0"/>
              <w:jc w:val="center"/>
              <w:rPr>
                <w:rFonts w:ascii="宋体" w:eastAsia="宋体" w:cs="宋体" w:hint="eastAsia"/>
                <w:i w:val="0"/>
                <w:color w:val="000000"/>
                <w:sz w:val="21"/>
                <w:szCs w:val="21"/>
                <w:u w:val="none"/>
              </w:rPr>
            </w:pPr>
            <w:r>
              <w:rPr>
                <w:rFonts w:ascii="宋体" w:eastAsia="宋体" w:cs="宋体"/>
                <w:i w:val="0"/>
                <w:color w:val="000000"/>
                <w:kern w:val="0"/>
                <w:sz w:val="21"/>
                <w:szCs w:val="21"/>
                <w:u w:val="none"/>
                <w:lang w:val="en-US" w:eastAsia="zh-CN"/>
              </w:rPr>
              <w:t>指标</w:t>
            </w:r>
          </w:p>
        </w:tc>
        <w:tc>
          <w:tcPr>
            <w:tcW w:w="1250" w:type="dxa"/>
            <w:tcBorders>
              <w:top w:val="single" w:sz="4" w:space="0" w:color="000000"/>
              <w:left w:val="single" w:sz="4" w:space="0" w:color="000000"/>
              <w:bottom w:val="nil"/>
              <w:right w:val="single" w:sz="4" w:space="0" w:color="00000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ascii="宋体" w:eastAsia="宋体" w:cs="宋体"/>
                <w:i w:val="0"/>
                <w:color w:val="000000"/>
                <w:kern w:val="0"/>
                <w:sz w:val="21"/>
                <w:szCs w:val="21"/>
                <w:u w:val="none"/>
                <w:lang w:val="en-US" w:eastAsia="zh-CN"/>
              </w:rPr>
            </w:pPr>
            <w:r>
              <w:rPr>
                <w:rFonts w:ascii="宋体" w:eastAsia="宋体" w:cs="宋体"/>
                <w:i w:val="0"/>
                <w:color w:val="000000"/>
                <w:kern w:val="0"/>
                <w:sz w:val="21"/>
                <w:szCs w:val="21"/>
                <w:u w:val="none"/>
                <w:lang w:val="en-US" w:eastAsia="zh-CN"/>
              </w:rPr>
              <w:t>社会效益</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ascii="宋体" w:eastAsia="宋体" w:cs="宋体"/>
                <w:i w:val="0"/>
                <w:color w:val="000000"/>
                <w:sz w:val="21"/>
                <w:szCs w:val="21"/>
                <w:u w:val="none"/>
              </w:rPr>
            </w:pPr>
            <w:r>
              <w:rPr>
                <w:rFonts w:ascii="宋体" w:eastAsia="宋体" w:cs="宋体"/>
                <w:i w:val="0"/>
                <w:color w:val="000000"/>
                <w:kern w:val="0"/>
                <w:sz w:val="21"/>
                <w:szCs w:val="21"/>
                <w:u w:val="none"/>
                <w:lang w:val="en-US" w:eastAsia="zh-CN"/>
              </w:rPr>
              <w:t>指标</w:t>
            </w:r>
          </w:p>
        </w:tc>
        <w:tc>
          <w:tcPr>
            <w:tcW w:w="1312"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rPr>
                <w:rFonts w:ascii="宋体" w:eastAsia="宋体" w:cs="宋体" w:hint="eastAsia"/>
                <w:i w:val="0"/>
                <w:color w:val="000000"/>
                <w:sz w:val="21"/>
                <w:szCs w:val="21"/>
                <w:u w:val="none"/>
                <w:lang w:eastAsia="zh-CN"/>
              </w:rPr>
            </w:pPr>
            <w:r>
              <w:rPr>
                <w:rFonts w:ascii="宋体" w:eastAsia="宋体" w:cs="宋体" w:hint="eastAsia"/>
                <w:i w:val="0"/>
                <w:color w:val="000000"/>
                <w:sz w:val="21"/>
                <w:szCs w:val="21"/>
                <w:u w:val="none"/>
                <w:lang w:eastAsia="zh-CN"/>
              </w:rPr>
              <w:t>激发统计人员工作积极性</w:t>
            </w:r>
          </w:p>
        </w:tc>
        <w:tc>
          <w:tcPr>
            <w:tcW w:w="1205"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ascii="宋体" w:eastAsia="宋体" w:cs="宋体" w:hint="eastAsia"/>
                <w:i w:val="0"/>
                <w:color w:val="000000"/>
                <w:sz w:val="21"/>
                <w:szCs w:val="21"/>
                <w:u w:val="none"/>
                <w:lang w:eastAsia="zh-CN"/>
              </w:rPr>
            </w:pPr>
            <w:r>
              <w:rPr>
                <w:rFonts w:ascii="宋体" w:eastAsia="宋体" w:cs="宋体" w:hint="eastAsia"/>
                <w:i w:val="0"/>
                <w:color w:val="000000"/>
                <w:sz w:val="21"/>
                <w:szCs w:val="21"/>
                <w:u w:val="none"/>
                <w:lang w:eastAsia="zh-CN"/>
              </w:rPr>
              <w:t>定性</w:t>
            </w:r>
          </w:p>
        </w:tc>
        <w:tc>
          <w:tcPr>
            <w:tcW w:w="893"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ascii="宋体" w:eastAsia="宋体" w:cs="宋体" w:hint="eastAsia"/>
                <w:i w:val="0"/>
                <w:color w:val="000000"/>
                <w:sz w:val="21"/>
                <w:szCs w:val="21"/>
                <w:u w:val="none"/>
                <w:lang w:eastAsia="zh-CN"/>
              </w:rPr>
            </w:pPr>
            <w:r>
              <w:rPr>
                <w:rFonts w:ascii="宋体" w:eastAsia="宋体" w:cs="宋体" w:hint="eastAsia"/>
                <w:i w:val="0"/>
                <w:color w:val="000000"/>
                <w:sz w:val="21"/>
                <w:szCs w:val="21"/>
                <w:u w:val="none"/>
                <w:lang w:eastAsia="zh-CN"/>
              </w:rPr>
              <w:t>优</w:t>
            </w:r>
          </w:p>
        </w:tc>
        <w:tc>
          <w:tcPr>
            <w:tcW w:w="1061"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ascii="宋体" w:eastAsia="宋体" w:cs="宋体" w:hint="eastAsia"/>
                <w:i w:val="0"/>
                <w:color w:val="000000"/>
                <w:sz w:val="21"/>
                <w:szCs w:val="21"/>
                <w:u w:val="none"/>
              </w:rPr>
            </w:pPr>
          </w:p>
        </w:tc>
        <w:tc>
          <w:tcPr>
            <w:tcW w:w="938"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ascii="宋体" w:eastAsia="宋体" w:cs="宋体"/>
                <w:i w:val="0"/>
                <w:color w:val="000000"/>
                <w:sz w:val="21"/>
                <w:szCs w:val="21"/>
                <w:u w:val="none"/>
                <w:lang w:val="en-US" w:eastAsia="zh-CN"/>
              </w:rPr>
            </w:pPr>
            <w:r>
              <w:rPr>
                <w:rFonts w:ascii="宋体" w:eastAsia="宋体" w:cs="宋体" w:hint="eastAsia"/>
                <w:i w:val="0"/>
                <w:color w:val="000000"/>
                <w:sz w:val="21"/>
                <w:szCs w:val="21"/>
                <w:u w:val="none"/>
                <w:lang w:val="en-US" w:eastAsia="zh-CN"/>
              </w:rPr>
              <w:t>20</w:t>
            </w:r>
          </w:p>
        </w:tc>
        <w:tc>
          <w:tcPr>
            <w:tcW w:w="1841"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ascii="宋体" w:eastAsia="宋体" w:cs="宋体" w:hint="eastAsia"/>
                <w:i w:val="0"/>
                <w:color w:val="000000"/>
                <w:sz w:val="21"/>
                <w:szCs w:val="21"/>
                <w:u w:val="none"/>
                <w:lang w:eastAsia="zh-CN"/>
              </w:rPr>
            </w:pPr>
            <w:r>
              <w:rPr>
                <w:rFonts w:ascii="宋体" w:eastAsia="宋体" w:cs="宋体" w:hint="eastAsia"/>
                <w:i w:val="0"/>
                <w:color w:val="000000"/>
                <w:sz w:val="21"/>
                <w:szCs w:val="21"/>
                <w:u w:val="none"/>
                <w:lang w:eastAsia="zh-CN"/>
              </w:rPr>
              <w:t>优</w:t>
            </w:r>
          </w:p>
        </w:tc>
      </w:tr>
      <w:tr>
        <w:trPr>
          <w:trHeight w:val="23"/>
        </w:trPr>
        <w:tc>
          <w:tcPr>
            <w:tcW w:w="652" w:type="dxa"/>
            <w:vMerge/>
            <w:tcBorders>
              <w:top w:val="single" w:sz="4" w:space="0" w:color="000000"/>
              <w:left w:val="single" w:sz="4" w:space="0" w:color="000000"/>
              <w:bottom w:val="single" w:sz="4" w:space="0" w:color="000000"/>
              <w:right w:val="nil"/>
            </w:tcBorders>
            <w:noWrap/>
            <w:vAlign w:val="center"/>
          </w:tcPr>
          <w:p/>
        </w:tc>
        <w:tc>
          <w:tcPr>
            <w:tcW w:w="1081" w:type="dxa"/>
            <w:vMerge w:val="restart"/>
            <w:tcBorders>
              <w:top w:val="single" w:sz="4" w:space="0" w:color="auto"/>
              <w:left w:val="single" w:sz="4" w:space="0" w:color="000000"/>
              <w:bottom w:val="nil"/>
              <w:right w:val="single" w:sz="4" w:space="0" w:color="00000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ascii="宋体" w:eastAsia="宋体" w:cs="宋体"/>
                <w:i w:val="0"/>
                <w:color w:val="000000"/>
                <w:kern w:val="0"/>
                <w:sz w:val="21"/>
                <w:szCs w:val="21"/>
                <w:u w:val="none"/>
                <w:lang w:val="en-US" w:eastAsia="zh-CN"/>
              </w:rPr>
            </w:pPr>
            <w:r>
              <w:rPr>
                <w:rFonts w:ascii="宋体" w:eastAsia="宋体" w:cs="宋体"/>
                <w:i w:val="0"/>
                <w:color w:val="000000"/>
                <w:kern w:val="0"/>
                <w:sz w:val="21"/>
                <w:szCs w:val="21"/>
                <w:u w:val="none"/>
                <w:lang w:val="en-US" w:eastAsia="zh-CN"/>
              </w:rPr>
              <w:t>满意度</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ascii="宋体" w:eastAsia="宋体" w:cs="宋体"/>
                <w:i w:val="0"/>
                <w:color w:val="000000"/>
                <w:sz w:val="21"/>
                <w:szCs w:val="21"/>
                <w:u w:val="none"/>
              </w:rPr>
            </w:pPr>
            <w:r>
              <w:rPr>
                <w:rFonts w:ascii="宋体" w:eastAsia="宋体" w:cs="宋体"/>
                <w:i w:val="0"/>
                <w:color w:val="000000"/>
                <w:kern w:val="0"/>
                <w:sz w:val="21"/>
                <w:szCs w:val="21"/>
                <w:u w:val="none"/>
                <w:lang w:val="en-US" w:eastAsia="zh-CN"/>
              </w:rPr>
              <w:t>指标</w:t>
            </w:r>
          </w:p>
        </w:tc>
        <w:tc>
          <w:tcPr>
            <w:tcW w:w="1250" w:type="dxa"/>
            <w:tcBorders>
              <w:top w:val="single" w:sz="4" w:space="0" w:color="000000"/>
              <w:left w:val="single" w:sz="4" w:space="0" w:color="000000"/>
              <w:bottom w:val="nil"/>
              <w:right w:val="single" w:sz="4" w:space="0" w:color="00000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ascii="宋体" w:eastAsia="宋体" w:cs="宋体"/>
                <w:i w:val="0"/>
                <w:color w:val="000000"/>
                <w:kern w:val="0"/>
                <w:sz w:val="21"/>
                <w:szCs w:val="21"/>
                <w:u w:val="none"/>
                <w:lang w:val="en-US" w:eastAsia="zh-CN"/>
              </w:rPr>
            </w:pPr>
            <w:r>
              <w:rPr>
                <w:rFonts w:ascii="宋体" w:cs="宋体" w:hint="eastAsia"/>
                <w:i w:val="0"/>
                <w:color w:val="000000"/>
                <w:kern w:val="0"/>
                <w:sz w:val="21"/>
                <w:szCs w:val="21"/>
                <w:u w:val="none"/>
                <w:lang w:val="en-US" w:eastAsia="zh-CN"/>
              </w:rPr>
              <w:t>满意度指标</w:t>
            </w:r>
          </w:p>
        </w:tc>
        <w:tc>
          <w:tcPr>
            <w:tcW w:w="1312"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rPr>
                <w:rFonts w:ascii="宋体" w:eastAsia="宋体" w:cs="宋体"/>
                <w:i w:val="0"/>
                <w:color w:val="000000"/>
                <w:sz w:val="21"/>
                <w:szCs w:val="21"/>
                <w:u w:val="none"/>
                <w:lang w:val="en-US" w:eastAsia="zh-CN"/>
              </w:rPr>
            </w:pPr>
            <w:r>
              <w:rPr>
                <w:rFonts w:ascii="宋体" w:cs="宋体" w:hint="eastAsia"/>
                <w:i w:val="0"/>
                <w:color w:val="000000"/>
                <w:sz w:val="21"/>
                <w:szCs w:val="21"/>
                <w:u w:val="none"/>
                <w:lang w:eastAsia="zh-CN"/>
              </w:rPr>
              <w:t>县委</w:t>
            </w:r>
            <w:r>
              <w:rPr>
                <w:rFonts w:ascii="宋体" w:cs="宋体"/>
                <w:i w:val="0"/>
                <w:color w:val="000000"/>
                <w:sz w:val="21"/>
                <w:szCs w:val="21"/>
                <w:u w:val="none"/>
                <w:lang w:eastAsia="zh-CN"/>
              </w:rPr>
              <w:t>、县</w:t>
            </w:r>
            <w:bookmarkStart w:id="60" w:name="_GoBack"/>
            <w:bookmarkEnd w:id="60"/>
            <w:r>
              <w:rPr>
                <w:rFonts w:ascii="宋体" w:cs="宋体" w:hint="eastAsia"/>
                <w:i w:val="0"/>
                <w:color w:val="000000"/>
                <w:sz w:val="21"/>
                <w:szCs w:val="21"/>
                <w:u w:val="none"/>
                <w:lang w:eastAsia="zh-CN"/>
              </w:rPr>
              <w:t>政府对实施奖补政策的满意度</w:t>
            </w:r>
          </w:p>
        </w:tc>
        <w:tc>
          <w:tcPr>
            <w:tcW w:w="1205"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ascii="宋体" w:eastAsia="宋体" w:cs="宋体" w:hint="eastAsia"/>
                <w:i w:val="0"/>
                <w:color w:val="000000"/>
                <w:sz w:val="21"/>
                <w:szCs w:val="21"/>
                <w:u w:val="none"/>
                <w:lang w:eastAsia="zh-CN"/>
              </w:rPr>
            </w:pPr>
            <w:r>
              <w:rPr>
                <w:rFonts w:ascii="Arial" w:eastAsia="宋体" w:cs="Arial" w:hAnsi="Arial"/>
                <w:i w:val="0"/>
                <w:color w:val="000000"/>
                <w:sz w:val="21"/>
                <w:szCs w:val="21"/>
                <w:u w:val="none"/>
              </w:rPr>
              <w:t>≥</w:t>
            </w:r>
          </w:p>
        </w:tc>
        <w:tc>
          <w:tcPr>
            <w:tcW w:w="893"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ascii="宋体" w:eastAsia="宋体" w:cs="宋体"/>
                <w:i w:val="0"/>
                <w:color w:val="000000"/>
                <w:sz w:val="21"/>
                <w:szCs w:val="21"/>
                <w:u w:val="none"/>
                <w:lang w:val="en-US" w:eastAsia="zh-CN"/>
              </w:rPr>
            </w:pPr>
            <w:r>
              <w:rPr>
                <w:rFonts w:ascii="宋体" w:cs="宋体" w:hint="eastAsia"/>
                <w:i w:val="0"/>
                <w:color w:val="000000"/>
                <w:sz w:val="21"/>
                <w:szCs w:val="21"/>
                <w:u w:val="none"/>
                <w:lang w:val="en-US" w:eastAsia="zh-CN"/>
              </w:rPr>
              <w:t>%</w:t>
            </w:r>
          </w:p>
        </w:tc>
        <w:tc>
          <w:tcPr>
            <w:tcW w:w="1061"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ascii="宋体" w:eastAsia="宋体" w:cs="宋体"/>
                <w:i w:val="0"/>
                <w:color w:val="000000"/>
                <w:sz w:val="21"/>
                <w:szCs w:val="21"/>
                <w:u w:val="none"/>
                <w:lang w:val="en-US" w:eastAsia="zh-CN"/>
              </w:rPr>
            </w:pPr>
            <w:r>
              <w:rPr>
                <w:rFonts w:ascii="宋体" w:cs="宋体" w:hint="eastAsia"/>
                <w:i w:val="0"/>
                <w:color w:val="000000"/>
                <w:sz w:val="21"/>
                <w:szCs w:val="21"/>
                <w:u w:val="none"/>
                <w:lang w:val="en-US" w:eastAsia="zh-CN"/>
              </w:rPr>
              <w:t>98</w:t>
            </w:r>
          </w:p>
        </w:tc>
        <w:tc>
          <w:tcPr>
            <w:tcW w:w="938"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ascii="宋体" w:eastAsia="宋体" w:cs="宋体"/>
                <w:i w:val="0"/>
                <w:color w:val="000000"/>
                <w:sz w:val="21"/>
                <w:szCs w:val="21"/>
                <w:u w:val="none"/>
                <w:lang w:val="en-US" w:eastAsia="zh-CN"/>
              </w:rPr>
            </w:pPr>
            <w:r>
              <w:rPr>
                <w:rFonts w:ascii="宋体" w:cs="宋体" w:hint="eastAsia"/>
                <w:i w:val="0"/>
                <w:color w:val="000000"/>
                <w:sz w:val="21"/>
                <w:szCs w:val="21"/>
                <w:u w:val="none"/>
                <w:lang w:val="en-US" w:eastAsia="zh-CN"/>
              </w:rPr>
              <w:t>10</w:t>
            </w:r>
          </w:p>
        </w:tc>
        <w:tc>
          <w:tcPr>
            <w:tcW w:w="1841"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ascii="宋体" w:eastAsia="宋体" w:cs="宋体"/>
                <w:i w:val="0"/>
                <w:color w:val="000000"/>
                <w:sz w:val="21"/>
                <w:szCs w:val="21"/>
                <w:u w:val="none"/>
                <w:lang w:val="en-US" w:eastAsia="zh-CN"/>
              </w:rPr>
            </w:pPr>
            <w:r>
              <w:rPr>
                <w:rFonts w:ascii="宋体" w:cs="宋体" w:hint="eastAsia"/>
                <w:i w:val="0"/>
                <w:color w:val="000000"/>
                <w:sz w:val="21"/>
                <w:szCs w:val="21"/>
                <w:u w:val="none"/>
                <w:lang w:val="en-US" w:eastAsia="zh-CN"/>
              </w:rPr>
              <w:t>100</w:t>
            </w:r>
          </w:p>
        </w:tc>
      </w:tr>
      <w:tr>
        <w:trPr>
          <w:trHeight w:val="23"/>
        </w:trPr>
        <w:tc>
          <w:tcPr>
            <w:tcW w:w="652" w:type="dxa"/>
            <w:vMerge/>
            <w:tcBorders>
              <w:top w:val="single" w:sz="4" w:space="0" w:color="000000"/>
              <w:left w:val="single" w:sz="4" w:space="0" w:color="000000"/>
              <w:bottom w:val="single" w:sz="4" w:space="0" w:color="000000"/>
              <w:right w:val="nil"/>
            </w:tcBorders>
            <w:noWrap/>
            <w:vAlign w:val="center"/>
          </w:tcPr>
          <w:p/>
        </w:tc>
        <w:tc>
          <w:tcPr>
            <w:tcW w:w="1081" w:type="dxa"/>
            <w:vMerge/>
            <w:tcBorders>
              <w:top w:val="nil"/>
              <w:left w:val="single" w:sz="4" w:space="0" w:color="000000"/>
              <w:bottom w:val="nil"/>
              <w:right w:val="single" w:sz="4" w:space="0" w:color="000000"/>
            </w:tcBorders>
            <w:noWrap/>
            <w:vAlign w:val="center"/>
          </w:tcPr>
          <w:p/>
        </w:tc>
        <w:tc>
          <w:tcPr>
            <w:tcW w:w="1250" w:type="dxa"/>
            <w:tcBorders>
              <w:top w:val="single" w:sz="4" w:space="0" w:color="000000"/>
              <w:left w:val="single" w:sz="4" w:space="0" w:color="000000"/>
              <w:bottom w:val="nil"/>
              <w:right w:val="single" w:sz="4" w:space="0" w:color="00000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ascii="宋体" w:eastAsia="宋体" w:cs="宋体"/>
                <w:i w:val="0"/>
                <w:color w:val="000000"/>
                <w:kern w:val="0"/>
                <w:sz w:val="21"/>
                <w:szCs w:val="21"/>
                <w:u w:val="none"/>
                <w:lang w:val="en-US" w:eastAsia="zh-CN"/>
              </w:rPr>
            </w:pPr>
            <w:r>
              <w:rPr>
                <w:rFonts w:ascii="宋体" w:eastAsia="宋体" w:cs="宋体"/>
                <w:i w:val="0"/>
                <w:color w:val="000000"/>
                <w:kern w:val="0"/>
                <w:sz w:val="21"/>
                <w:szCs w:val="21"/>
                <w:u w:val="none"/>
                <w:lang w:val="en-US" w:eastAsia="zh-CN"/>
              </w:rPr>
              <w:t>服务对象</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ascii="宋体" w:eastAsia="宋体" w:cs="宋体"/>
                <w:i w:val="0"/>
                <w:color w:val="000000"/>
                <w:sz w:val="21"/>
                <w:szCs w:val="21"/>
                <w:u w:val="none"/>
              </w:rPr>
            </w:pPr>
            <w:r>
              <w:rPr>
                <w:rFonts w:ascii="宋体" w:eastAsia="宋体" w:cs="宋体"/>
                <w:i w:val="0"/>
                <w:color w:val="000000"/>
                <w:kern w:val="0"/>
                <w:sz w:val="21"/>
                <w:szCs w:val="21"/>
                <w:u w:val="none"/>
                <w:lang w:val="en-US" w:eastAsia="zh-CN"/>
              </w:rPr>
              <w:t>满意度指标</w:t>
            </w:r>
          </w:p>
        </w:tc>
        <w:tc>
          <w:tcPr>
            <w:tcW w:w="1312"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rPr>
                <w:rFonts w:ascii="宋体" w:eastAsia="宋体" w:cs="宋体" w:hint="eastAsia"/>
                <w:i w:val="0"/>
                <w:color w:val="000000"/>
                <w:sz w:val="21"/>
                <w:szCs w:val="21"/>
                <w:u w:val="none"/>
                <w:lang w:eastAsia="zh-CN"/>
              </w:rPr>
            </w:pPr>
            <w:r>
              <w:rPr>
                <w:rFonts w:ascii="宋体" w:eastAsia="宋体" w:cs="宋体" w:hint="eastAsia"/>
                <w:i w:val="0"/>
                <w:color w:val="000000"/>
                <w:sz w:val="21"/>
                <w:szCs w:val="21"/>
                <w:u w:val="none"/>
                <w:lang w:eastAsia="zh-CN"/>
              </w:rPr>
              <w:t>统计人员对将补政策的满意率</w:t>
            </w:r>
          </w:p>
        </w:tc>
        <w:tc>
          <w:tcPr>
            <w:tcW w:w="1205"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ascii="宋体" w:eastAsia="宋体" w:cs="宋体" w:hint="eastAsia"/>
                <w:i w:val="0"/>
                <w:color w:val="000000"/>
                <w:sz w:val="21"/>
                <w:szCs w:val="21"/>
                <w:u w:val="none"/>
              </w:rPr>
            </w:pPr>
            <w:r>
              <w:rPr>
                <w:rFonts w:ascii="Arial" w:eastAsia="宋体" w:cs="Arial" w:hAnsi="Arial"/>
                <w:i w:val="0"/>
                <w:color w:val="000000"/>
                <w:sz w:val="21"/>
                <w:szCs w:val="21"/>
                <w:u w:val="none"/>
              </w:rPr>
              <w:t>≥</w:t>
            </w:r>
          </w:p>
        </w:tc>
        <w:tc>
          <w:tcPr>
            <w:tcW w:w="893"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ascii="宋体" w:eastAsia="宋体" w:cs="宋体"/>
                <w:i w:val="0"/>
                <w:color w:val="000000"/>
                <w:sz w:val="21"/>
                <w:szCs w:val="21"/>
                <w:u w:val="none"/>
                <w:lang w:val="en-US" w:eastAsia="zh-CN"/>
              </w:rPr>
            </w:pPr>
            <w:r>
              <w:rPr>
                <w:rFonts w:ascii="宋体" w:eastAsia="宋体" w:cs="宋体" w:hint="eastAsia"/>
                <w:i w:val="0"/>
                <w:color w:val="000000"/>
                <w:sz w:val="21"/>
                <w:szCs w:val="21"/>
                <w:u w:val="none"/>
                <w:lang w:val="en-US" w:eastAsia="zh-CN"/>
              </w:rPr>
              <w:t>99</w:t>
            </w:r>
          </w:p>
        </w:tc>
        <w:tc>
          <w:tcPr>
            <w:tcW w:w="1061"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ascii="宋体" w:eastAsia="宋体" w:cs="宋体" w:hint="eastAsia"/>
                <w:i w:val="0"/>
                <w:color w:val="000000"/>
                <w:sz w:val="21"/>
                <w:szCs w:val="21"/>
                <w:u w:val="none"/>
                <w:lang w:val="en-US" w:eastAsia="zh-CN"/>
              </w:rPr>
            </w:pPr>
            <w:r>
              <w:rPr>
                <w:rFonts w:ascii="宋体" w:eastAsia="宋体" w:cs="宋体" w:hint="eastAsia"/>
                <w:i w:val="0"/>
                <w:color w:val="000000"/>
                <w:sz w:val="21"/>
                <w:szCs w:val="21"/>
                <w:u w:val="none"/>
                <w:lang w:val="en-US" w:eastAsia="zh-CN"/>
              </w:rPr>
              <w:t>%</w:t>
            </w:r>
          </w:p>
        </w:tc>
        <w:tc>
          <w:tcPr>
            <w:tcW w:w="938"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ascii="宋体" w:eastAsia="宋体" w:cs="宋体"/>
                <w:i w:val="0"/>
                <w:color w:val="000000"/>
                <w:sz w:val="21"/>
                <w:szCs w:val="21"/>
                <w:u w:val="none"/>
                <w:lang w:val="en-US" w:eastAsia="zh-CN"/>
              </w:rPr>
            </w:pPr>
            <w:r>
              <w:rPr>
                <w:rFonts w:ascii="宋体" w:eastAsia="宋体" w:cs="宋体" w:hint="eastAsia"/>
                <w:i w:val="0"/>
                <w:color w:val="000000"/>
                <w:sz w:val="21"/>
                <w:szCs w:val="21"/>
                <w:u w:val="none"/>
                <w:lang w:val="en-US" w:eastAsia="zh-CN"/>
              </w:rPr>
              <w:t>10</w:t>
            </w:r>
          </w:p>
        </w:tc>
        <w:tc>
          <w:tcPr>
            <w:tcW w:w="1841"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ascii="宋体" w:eastAsia="宋体" w:cs="宋体"/>
                <w:i w:val="0"/>
                <w:color w:val="000000"/>
                <w:sz w:val="21"/>
                <w:szCs w:val="21"/>
                <w:u w:val="none"/>
                <w:lang w:val="en-US" w:eastAsia="zh-CN"/>
              </w:rPr>
            </w:pPr>
            <w:r>
              <w:rPr>
                <w:rFonts w:ascii="宋体" w:eastAsia="宋体" w:cs="宋体" w:hint="eastAsia"/>
                <w:i w:val="0"/>
                <w:color w:val="000000"/>
                <w:sz w:val="21"/>
                <w:szCs w:val="21"/>
                <w:u w:val="none"/>
                <w:lang w:val="en-US" w:eastAsia="zh-CN"/>
              </w:rPr>
              <w:t>100</w:t>
            </w:r>
          </w:p>
        </w:tc>
      </w:tr>
      <w:tr>
        <w:trPr>
          <w:trHeight w:val="23"/>
        </w:trPr>
        <w:tc>
          <w:tcPr>
            <w:tcW w:w="652" w:type="dxa"/>
            <w:vMerge/>
            <w:tcBorders>
              <w:top w:val="single" w:sz="4" w:space="0" w:color="000000"/>
              <w:left w:val="single" w:sz="4" w:space="0" w:color="000000"/>
              <w:bottom w:val="single" w:sz="4" w:space="0" w:color="000000"/>
              <w:right w:val="nil"/>
            </w:tcBorders>
            <w:noWrap/>
            <w:vAlign w:val="center"/>
          </w:tcPr>
          <w:p/>
        </w:tc>
        <w:tc>
          <w:tcPr>
            <w:tcW w:w="1081"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ascii="宋体" w:eastAsia="宋体" w:cs="宋体"/>
                <w:i w:val="0"/>
                <w:color w:val="000000"/>
                <w:sz w:val="21"/>
                <w:szCs w:val="21"/>
                <w:u w:val="none"/>
              </w:rPr>
            </w:pPr>
            <w:r>
              <w:rPr>
                <w:rFonts w:ascii="宋体" w:eastAsia="宋体" w:cs="宋体"/>
                <w:i w:val="0"/>
                <w:color w:val="000000"/>
                <w:kern w:val="0"/>
                <w:sz w:val="21"/>
                <w:szCs w:val="21"/>
                <w:u w:val="none"/>
                <w:lang w:val="en-US" w:eastAsia="zh-CN"/>
              </w:rPr>
              <w:t>成本指标</w:t>
            </w:r>
          </w:p>
        </w:tc>
        <w:tc>
          <w:tcPr>
            <w:tcW w:w="1250"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ascii="宋体" w:eastAsia="宋体" w:cs="宋体"/>
                <w:i w:val="0"/>
                <w:color w:val="000000"/>
                <w:kern w:val="0"/>
                <w:sz w:val="21"/>
                <w:szCs w:val="21"/>
                <w:u w:val="none"/>
                <w:lang w:val="en-US" w:eastAsia="zh-CN"/>
              </w:rPr>
            </w:pPr>
            <w:r>
              <w:rPr>
                <w:rFonts w:ascii="宋体" w:eastAsia="宋体" w:cs="宋体"/>
                <w:i w:val="0"/>
                <w:color w:val="000000"/>
                <w:kern w:val="0"/>
                <w:sz w:val="21"/>
                <w:szCs w:val="21"/>
                <w:u w:val="none"/>
                <w:lang w:val="en-US" w:eastAsia="zh-CN"/>
              </w:rPr>
              <w:t>经济成本</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ascii="宋体" w:eastAsia="宋体" w:cs="宋体"/>
                <w:i w:val="0"/>
                <w:color w:val="000000"/>
                <w:sz w:val="21"/>
                <w:szCs w:val="21"/>
                <w:u w:val="none"/>
              </w:rPr>
            </w:pPr>
            <w:r>
              <w:rPr>
                <w:rFonts w:ascii="宋体" w:eastAsia="宋体" w:cs="宋体"/>
                <w:i w:val="0"/>
                <w:color w:val="000000"/>
                <w:kern w:val="0"/>
                <w:sz w:val="21"/>
                <w:szCs w:val="21"/>
                <w:u w:val="none"/>
                <w:lang w:val="en-US" w:eastAsia="zh-CN"/>
              </w:rPr>
              <w:t>指标</w:t>
            </w:r>
          </w:p>
        </w:tc>
        <w:tc>
          <w:tcPr>
            <w:tcW w:w="1312" w:type="dxa"/>
            <w:tcBorders>
              <w:top w:val="single" w:sz="4" w:space="0" w:color="000000"/>
              <w:left w:val="nil"/>
              <w:bottom w:val="single" w:sz="4" w:space="0" w:color="000000"/>
              <w:right w:val="single" w:sz="4" w:space="0" w:color="000000"/>
            </w:tcBorders>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rPr>
                <w:rFonts w:ascii="宋体" w:eastAsia="宋体" w:cs="宋体" w:hint="eastAsia"/>
                <w:i w:val="0"/>
                <w:color w:val="000000"/>
                <w:sz w:val="21"/>
                <w:szCs w:val="21"/>
                <w:u w:val="none"/>
                <w:lang w:eastAsia="zh-CN"/>
              </w:rPr>
            </w:pPr>
            <w:r>
              <w:rPr>
                <w:rFonts w:ascii="宋体" w:cs="宋体" w:hint="eastAsia"/>
                <w:i w:val="0"/>
                <w:color w:val="000000"/>
                <w:sz w:val="21"/>
                <w:szCs w:val="21"/>
                <w:u w:val="none"/>
                <w:lang w:eastAsia="zh-CN"/>
              </w:rPr>
              <w:t>统计人员奖补成本控制</w:t>
            </w:r>
          </w:p>
        </w:tc>
        <w:tc>
          <w:tcPr>
            <w:tcW w:w="1205"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ascii="宋体" w:eastAsia="宋体" w:cs="宋体" w:hint="eastAsia"/>
                <w:i w:val="0"/>
                <w:color w:val="000000"/>
                <w:sz w:val="21"/>
                <w:szCs w:val="21"/>
                <w:u w:val="none"/>
              </w:rPr>
            </w:pPr>
            <w:r>
              <w:rPr>
                <w:rFonts w:ascii="宋体" w:eastAsia="宋体" w:cs="宋体" w:hint="eastAsia"/>
                <w:i w:val="0"/>
                <w:color w:val="000000"/>
                <w:sz w:val="21"/>
                <w:szCs w:val="21"/>
                <w:u w:val="none"/>
                <w:lang w:val="en-US" w:eastAsia="zh-CN"/>
              </w:rPr>
              <w:t>=</w:t>
            </w:r>
          </w:p>
        </w:tc>
        <w:tc>
          <w:tcPr>
            <w:tcW w:w="893"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ascii="宋体" w:eastAsia="宋体" w:cs="宋体"/>
                <w:i w:val="0"/>
                <w:color w:val="000000"/>
                <w:sz w:val="21"/>
                <w:szCs w:val="21"/>
                <w:u w:val="none"/>
                <w:lang w:val="en-US" w:eastAsia="zh-CN"/>
              </w:rPr>
            </w:pPr>
            <w:r>
              <w:rPr>
                <w:rFonts w:ascii="宋体" w:cs="宋体" w:hint="eastAsia"/>
                <w:i w:val="0"/>
                <w:color w:val="000000"/>
                <w:sz w:val="21"/>
                <w:szCs w:val="21"/>
                <w:u w:val="none"/>
                <w:lang w:val="en-US" w:eastAsia="zh-CN"/>
              </w:rPr>
              <w:t>23.56</w:t>
            </w:r>
          </w:p>
        </w:tc>
        <w:tc>
          <w:tcPr>
            <w:tcW w:w="1061"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ascii="宋体" w:eastAsia="宋体" w:cs="宋体" w:hint="eastAsia"/>
                <w:i w:val="0"/>
                <w:color w:val="000000"/>
                <w:sz w:val="21"/>
                <w:szCs w:val="21"/>
                <w:u w:val="none"/>
                <w:lang w:eastAsia="zh-CN"/>
              </w:rPr>
            </w:pPr>
            <w:r>
              <w:rPr>
                <w:rFonts w:ascii="宋体" w:cs="宋体" w:hint="eastAsia"/>
                <w:i w:val="0"/>
                <w:color w:val="000000"/>
                <w:sz w:val="21"/>
                <w:szCs w:val="21"/>
                <w:u w:val="none"/>
                <w:lang w:eastAsia="zh-CN"/>
              </w:rPr>
              <w:t>万元</w:t>
            </w:r>
          </w:p>
        </w:tc>
        <w:tc>
          <w:tcPr>
            <w:tcW w:w="938"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ascii="宋体" w:eastAsia="宋体" w:cs="宋体" w:hint="eastAsia"/>
                <w:i w:val="0"/>
                <w:color w:val="000000"/>
                <w:sz w:val="21"/>
                <w:szCs w:val="21"/>
                <w:u w:val="none"/>
                <w:lang w:val="en-US" w:eastAsia="zh-CN"/>
              </w:rPr>
            </w:pPr>
            <w:r>
              <w:rPr>
                <w:rFonts w:ascii="宋体" w:cs="宋体" w:hint="eastAsia"/>
                <w:i w:val="0"/>
                <w:color w:val="000000"/>
                <w:sz w:val="21"/>
                <w:szCs w:val="21"/>
                <w:u w:val="none"/>
                <w:lang w:val="en-US" w:eastAsia="zh-CN"/>
              </w:rPr>
              <w:t>5</w:t>
            </w:r>
          </w:p>
        </w:tc>
        <w:tc>
          <w:tcPr>
            <w:tcW w:w="1841"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ascii="宋体" w:eastAsia="宋体" w:cs="宋体"/>
                <w:i w:val="0"/>
                <w:color w:val="000000"/>
                <w:sz w:val="21"/>
                <w:szCs w:val="21"/>
                <w:u w:val="none"/>
                <w:lang w:val="en-US" w:eastAsia="zh-CN"/>
              </w:rPr>
            </w:pPr>
            <w:r>
              <w:rPr>
                <w:rFonts w:ascii="宋体" w:cs="宋体" w:hint="eastAsia"/>
                <w:i w:val="0"/>
                <w:color w:val="000000"/>
                <w:sz w:val="21"/>
                <w:szCs w:val="21"/>
                <w:u w:val="none"/>
                <w:lang w:val="en-US" w:eastAsia="zh-CN"/>
              </w:rPr>
              <w:t>23.56万元</w:t>
            </w:r>
          </w:p>
        </w:tc>
      </w:tr>
    </w:tbl>
    <w:p>
      <w:pPr>
        <w:pStyle w:val="25"/>
        <w:spacing w:after="0" w:line="578" w:lineRule="exact"/>
        <w:ind w:leftChars="0" w:left="0"/>
        <w:rPr>
          <w:rFonts w:ascii="黑体" w:eastAsia="黑体" w:cs="黑体"/>
          <w:sz w:val="24"/>
        </w:rPr>
      </w:pPr>
    </w:p>
    <w:p>
      <w:pPr>
        <w:jc w:val="center"/>
        <w:rPr>
          <w:b/>
          <w:bCs/>
          <w:sz w:val="44"/>
          <w:szCs w:val="44"/>
        </w:rPr>
      </w:pPr>
      <w:r>
        <w:rPr>
          <w:rFonts w:hint="eastAsia"/>
          <w:b/>
          <w:bCs/>
          <w:sz w:val="44"/>
          <w:szCs w:val="44"/>
        </w:rPr>
        <w:t>2025年汶川县统计局乡镇统计工作经费</w:t>
      </w:r>
    </w:p>
    <w:p>
      <w:pPr>
        <w:jc w:val="center"/>
        <w:rPr>
          <w:b/>
          <w:bCs/>
          <w:sz w:val="44"/>
          <w:szCs w:val="44"/>
        </w:rPr>
      </w:pPr>
      <w:r>
        <w:rPr>
          <w:rFonts w:hint="eastAsia"/>
          <w:b/>
          <w:bCs/>
          <w:sz w:val="44"/>
          <w:szCs w:val="44"/>
        </w:rPr>
        <w:t>项目绩效评价报告</w:t>
      </w:r>
    </w:p>
    <w:p>
      <w:pPr>
        <w:adjustRightInd w:val="0"/>
        <w:snapToGrid w:val="0"/>
        <w:spacing w:line="578" w:lineRule="exact"/>
        <w:ind w:firstLineChars="200" w:firstLine="640"/>
        <w:rPr>
          <w:rFonts w:ascii="黑体" w:eastAsia="黑体"/>
          <w:sz w:val="32"/>
          <w:szCs w:val="32"/>
          <w:lang w:val="zh-CN"/>
        </w:rPr>
      </w:pPr>
      <w:r>
        <w:rPr>
          <w:rFonts w:ascii="黑体" w:eastAsia="黑体" w:hint="eastAsia"/>
          <w:sz w:val="32"/>
          <w:szCs w:val="32"/>
        </w:rPr>
        <w:t>一、</w:t>
      </w:r>
      <w:r>
        <w:rPr>
          <w:rFonts w:ascii="黑体" w:eastAsia="黑体" w:hint="eastAsia"/>
          <w:sz w:val="32"/>
          <w:szCs w:val="32"/>
          <w:lang w:val="zh-CN"/>
        </w:rPr>
        <w:t>项目概况</w:t>
      </w:r>
    </w:p>
    <w:p>
      <w:pPr>
        <w:ind w:firstLineChars="200" w:firstLine="640"/>
        <w:rPr>
          <w:rFonts w:ascii="楷体_GB2312" w:eastAsia="楷体_GB2312"/>
          <w:b/>
          <w:sz w:val="32"/>
          <w:szCs w:val="32"/>
          <w:lang w:val="zh-CN"/>
        </w:rPr>
      </w:pPr>
      <w:r>
        <w:rPr>
          <w:rFonts w:ascii="楷体_GB2312" w:eastAsia="楷体_GB2312" w:hint="eastAsia"/>
          <w:b/>
          <w:sz w:val="32"/>
          <w:szCs w:val="32"/>
          <w:lang w:val="zh-CN"/>
        </w:rPr>
        <w:t>（一）设立背景及基本情况</w:t>
      </w:r>
    </w:p>
    <w:p>
      <w:pPr>
        <w:ind w:firstLineChars="200" w:firstLine="640"/>
        <w:rPr>
          <w:rFonts w:ascii="仿宋_GB2312" w:eastAsia="仿宋_GB2312" w:cs="仿宋_GB2312"/>
          <w:sz w:val="32"/>
          <w:szCs w:val="32"/>
        </w:rPr>
      </w:pPr>
      <w:r>
        <w:rPr>
          <w:rFonts w:ascii="仿宋_GB2312" w:eastAsia="仿宋_GB2312" w:cs="仿宋_GB2312" w:hint="eastAsia"/>
          <w:sz w:val="32"/>
          <w:szCs w:val="32"/>
          <w:shd w:val="clear" w:color="auto" w:fill="FFFFFF"/>
        </w:rPr>
        <w:t>随着我国经济社会步入多元化发展阶段，社会各界对统计数据的敏感性越来越高，统计工作的责任越来越重大，任务越来越繁重，矛盾也越来越突出。尤其是乡镇统计基础薄弱、统计队伍不稳、管理体制不顺等问题，严重阻碍了统计事业的健康发展，</w:t>
      </w:r>
      <w:r>
        <w:rPr>
          <w:rFonts w:ascii="仿宋_GB2312" w:eastAsia="仿宋_GB2312" w:cs="仿宋_GB2312" w:hint="eastAsia"/>
          <w:sz w:val="32"/>
          <w:szCs w:val="32"/>
        </w:rPr>
        <w:t>通过项目实施，</w:t>
      </w:r>
      <w:r>
        <w:rPr>
          <w:rFonts w:ascii="T" w:eastAsia="仿宋_GB2312" w:hAnsi="T" w:hint="eastAsia"/>
          <w:sz w:val="32"/>
          <w:szCs w:val="32"/>
        </w:rPr>
        <w:t>为全县乡镇统计工作开展，</w:t>
      </w:r>
      <w:r>
        <w:rPr>
          <w:rFonts w:ascii="仿宋_GB2312" w:eastAsia="仿宋_GB2312" w:cs="仿宋_GB2312" w:hint="eastAsia"/>
          <w:sz w:val="32"/>
          <w:szCs w:val="32"/>
        </w:rPr>
        <w:t>加大乡村两级统计员的培训力度，切实提高基层统计队伍的素质。坚持依法治统，建立健全统计法制工作机制，加大统计法制宣传力度，达到预期效果。</w:t>
      </w:r>
    </w:p>
    <w:p>
      <w:pPr>
        <w:adjustRightInd w:val="0"/>
        <w:snapToGrid w:val="0"/>
        <w:spacing w:line="578" w:lineRule="exact"/>
        <w:ind w:firstLineChars="200" w:firstLine="640"/>
        <w:rPr>
          <w:rFonts w:ascii="仿宋_GB2312" w:eastAsia="仿宋_GB2312" w:cs="仿宋_GB2312"/>
          <w:kern w:val="0"/>
          <w:sz w:val="32"/>
          <w:szCs w:val="32"/>
          <w:shd w:val="clear" w:color="auto" w:fill="FFFFFF"/>
          <w:lang w:val="zh-CN"/>
        </w:rPr>
      </w:pPr>
      <w:r>
        <w:rPr>
          <w:rFonts w:ascii="楷体_GB2312" w:eastAsia="楷体_GB2312" w:hint="eastAsia"/>
          <w:b/>
          <w:sz w:val="32"/>
          <w:szCs w:val="32"/>
          <w:lang w:val="zh-CN"/>
        </w:rPr>
        <w:t>（二）</w:t>
      </w:r>
      <w:r>
        <w:rPr>
          <w:rFonts w:ascii="楷体_GB2312" w:eastAsia="楷体_GB2312"/>
          <w:b/>
          <w:sz w:val="32"/>
          <w:szCs w:val="32"/>
        </w:rPr>
        <w:t>实施目的及支持方向</w:t>
      </w:r>
      <w:r>
        <w:rPr>
          <w:rFonts w:ascii="楷体_GB2312" w:eastAsia="楷体_GB2312" w:hint="eastAsia"/>
          <w:b/>
          <w:sz w:val="32"/>
          <w:szCs w:val="32"/>
        </w:rPr>
        <w:t>。</w:t>
      </w:r>
    </w:p>
    <w:p>
      <w:pPr>
        <w:adjustRightInd w:val="0"/>
        <w:snapToGrid w:val="0"/>
        <w:spacing w:line="578" w:lineRule="exact"/>
        <w:ind w:firstLineChars="200" w:firstLine="640"/>
        <w:rPr>
          <w:rFonts w:ascii="仿宋" w:eastAsia="仿宋" w:cs="仿宋"/>
          <w:kern w:val="0"/>
          <w:sz w:val="32"/>
          <w:szCs w:val="32"/>
          <w:shd w:val="clear" w:color="auto" w:fill="FFFFFF"/>
          <w:lang w:val="zh-CN"/>
        </w:rPr>
      </w:pPr>
      <w:r>
        <w:rPr>
          <w:rFonts w:ascii="仿宋" w:eastAsia="仿宋" w:cs="仿宋" w:hint="eastAsia"/>
          <w:kern w:val="0"/>
          <w:sz w:val="32"/>
          <w:szCs w:val="32"/>
          <w:shd w:val="clear" w:color="auto" w:fill="FFFFFF"/>
          <w:lang w:val="zh-CN"/>
        </w:rPr>
        <w:t>根据项目资金性质制定具体管理办法，充分保障乡镇统计业务工作顺利开展，确保统计报表联网直报系统正常使用，充实基层统计业务人员队伍，有效开展相关专项普查和抽样调查等工作。</w:t>
      </w:r>
    </w:p>
    <w:p>
      <w:pPr>
        <w:widowControl/>
        <w:adjustRightInd w:val="0"/>
        <w:snapToGrid w:val="0"/>
        <w:spacing w:line="578" w:lineRule="exact"/>
        <w:ind w:firstLineChars="200" w:firstLine="640"/>
        <w:contextualSpacing/>
        <w:jc w:val="left"/>
        <w:rPr>
          <w:rFonts w:ascii="仿宋_GB2312" w:cs="仿宋_GB2312" w:hAnsi="仿宋_GB2312"/>
          <w:kern w:val="0"/>
          <w:sz w:val="32"/>
          <w:szCs w:val="32"/>
          <w:shd w:val="clear" w:color="auto" w:fill="FFFFFF"/>
          <w:lang w:val="zh-CN"/>
        </w:rPr>
      </w:pPr>
      <w:r>
        <w:rPr>
          <w:rFonts w:ascii="楷体_GB2312" w:eastAsia="楷体_GB2312" w:hint="eastAsia"/>
          <w:b/>
          <w:sz w:val="32"/>
          <w:szCs w:val="32"/>
          <w:lang w:val="zh-CN"/>
        </w:rPr>
        <w:t>（三）</w:t>
      </w:r>
      <w:r>
        <w:rPr>
          <w:rFonts w:ascii="楷体_GB2312" w:eastAsia="楷体_GB2312"/>
          <w:b/>
          <w:sz w:val="32"/>
          <w:szCs w:val="32"/>
        </w:rPr>
        <w:t>预算安排及分配管理</w:t>
      </w:r>
      <w:r>
        <w:rPr>
          <w:rFonts w:ascii="楷体_GB2312" w:eastAsia="楷体_GB2312" w:hint="eastAsia"/>
          <w:b/>
          <w:sz w:val="32"/>
          <w:szCs w:val="32"/>
          <w:lang w:val="zh-CN"/>
        </w:rPr>
        <w:t>。</w:t>
      </w:r>
    </w:p>
    <w:p>
      <w:pPr>
        <w:widowControl/>
        <w:adjustRightInd w:val="0"/>
        <w:snapToGrid w:val="0"/>
        <w:spacing w:line="578" w:lineRule="exact"/>
        <w:ind w:firstLineChars="200" w:firstLine="640"/>
        <w:contextualSpacing/>
        <w:jc w:val="left"/>
        <w:rPr>
          <w:rFonts w:ascii="仿宋" w:eastAsia="仿宋" w:cs="仿宋"/>
          <w:kern w:val="0"/>
          <w:sz w:val="32"/>
          <w:szCs w:val="32"/>
          <w:shd w:val="clear" w:color="auto" w:fill="FFFFFF"/>
        </w:rPr>
      </w:pPr>
      <w:r>
        <w:rPr>
          <w:rFonts w:ascii="仿宋" w:eastAsia="仿宋" w:cs="仿宋" w:hint="eastAsia"/>
          <w:kern w:val="0"/>
          <w:sz w:val="32"/>
          <w:szCs w:val="32"/>
          <w:shd w:val="clear" w:color="auto" w:fill="FFFFFF"/>
          <w:lang w:val="zh-CN"/>
        </w:rPr>
        <w:t>经请示县人民政府同意，县财政每年给予安排预算</w:t>
      </w:r>
      <w:r>
        <w:rPr>
          <w:rFonts w:ascii="仿宋" w:eastAsia="仿宋" w:cs="仿宋" w:hint="eastAsia"/>
          <w:kern w:val="0"/>
          <w:sz w:val="32"/>
          <w:szCs w:val="32"/>
          <w:shd w:val="clear" w:color="auto" w:fill="FFFFFF"/>
        </w:rPr>
        <w:t>4万元，结合我局实际，充分考虑各镇工作开展情况，年初预算时将项目资金具体细化为差旅费2.00万元，办公费2.2万元，年末根据各项资金使用情况，对部门支出经济分类作了相关调整。</w:t>
      </w:r>
    </w:p>
    <w:p>
      <w:pPr>
        <w:adjustRightInd w:val="0"/>
        <w:snapToGrid w:val="0"/>
        <w:spacing w:line="578" w:lineRule="exact"/>
        <w:ind w:firstLineChars="200" w:firstLine="640"/>
        <w:rPr>
          <w:rFonts w:ascii="仿宋_GB2312" w:cs="仿宋_GB2312" w:hAnsi="仿宋_GB2312"/>
          <w:kern w:val="0"/>
          <w:sz w:val="32"/>
          <w:szCs w:val="32"/>
          <w:shd w:val="clear" w:color="auto" w:fill="FFFFFF"/>
          <w:lang w:val="zh-CN"/>
        </w:rPr>
      </w:pPr>
      <w:r>
        <w:rPr>
          <w:rFonts w:ascii="楷体_GB2312" w:eastAsia="楷体_GB2312" w:hint="eastAsia"/>
          <w:b/>
          <w:sz w:val="32"/>
          <w:szCs w:val="32"/>
          <w:lang w:val="zh-CN"/>
        </w:rPr>
        <w:t>（四）项目绩效目标设置。</w:t>
      </w:r>
    </w:p>
    <w:p>
      <w:pPr>
        <w:adjustRightInd w:val="0"/>
        <w:snapToGrid w:val="0"/>
        <w:spacing w:line="578" w:lineRule="exact"/>
        <w:ind w:firstLineChars="200" w:firstLine="640"/>
        <w:rPr>
          <w:rFonts w:ascii="仿宋" w:eastAsia="仿宋" w:cs="仿宋"/>
          <w:kern w:val="0"/>
          <w:sz w:val="32"/>
          <w:szCs w:val="32"/>
          <w:shd w:val="clear" w:color="auto" w:fill="FFFFFF"/>
        </w:rPr>
      </w:pPr>
      <w:r>
        <w:rPr>
          <w:rFonts w:ascii="仿宋" w:eastAsia="仿宋" w:cs="仿宋" w:hint="eastAsia"/>
          <w:sz w:val="32"/>
          <w:szCs w:val="32"/>
        </w:rPr>
        <w:t>通过项目实施，</w:t>
      </w:r>
      <w:r>
        <w:rPr>
          <w:rFonts w:ascii="仿宋" w:eastAsia="仿宋" w:cs="仿宋" w:hint="eastAsia"/>
          <w:spacing w:val="8"/>
          <w:sz w:val="32"/>
          <w:szCs w:val="32"/>
          <w:shd w:val="clear" w:color="auto" w:fill="FFFFFF"/>
        </w:rPr>
        <w:t>提升镇级统计办事效率，激发基层统计人员动力，夯实统计工作基础。具体绩效目标设置为一级指标产出指标、效益指标、满意度指标，二级指标数量指标、质量指标、时效指标、社会效益指标、满意度指标，三级指标对镇统计人员业务指导和工作检查大于等于9次、提升各镇统计人员业务能力、完成时效为12月底前，有效提升统计数据质量和公信力，各镇对统计人员对业务指导的满意度大于等于99%。</w:t>
      </w:r>
    </w:p>
    <w:p>
      <w:pPr>
        <w:adjustRightInd w:val="0"/>
        <w:snapToGrid w:val="0"/>
        <w:spacing w:line="578" w:lineRule="exact"/>
        <w:ind w:firstLineChars="200" w:firstLine="640"/>
        <w:rPr>
          <w:rFonts w:ascii="黑体" w:eastAsia="黑体"/>
          <w:sz w:val="32"/>
          <w:szCs w:val="32"/>
        </w:rPr>
      </w:pPr>
      <w:r>
        <w:rPr>
          <w:rFonts w:ascii="黑体" w:eastAsia="黑体" w:hint="eastAsia"/>
          <w:sz w:val="32"/>
          <w:szCs w:val="32"/>
        </w:rPr>
        <w:t>二、评价实施</w:t>
      </w:r>
    </w:p>
    <w:p>
      <w:pPr>
        <w:spacing w:line="578" w:lineRule="exact"/>
        <w:ind w:firstLine="640"/>
        <w:rPr>
          <w:rFonts w:ascii="楷体_GB2312" w:eastAsia="楷体_GB2312"/>
          <w:b/>
          <w:sz w:val="32"/>
          <w:szCs w:val="32"/>
          <w:lang w:val="zh-CN"/>
        </w:rPr>
      </w:pPr>
      <w:r>
        <w:rPr>
          <w:rFonts w:ascii="楷体_GB2312" w:eastAsia="楷体_GB2312" w:hint="eastAsia"/>
          <w:b/>
          <w:sz w:val="32"/>
          <w:szCs w:val="32"/>
          <w:lang w:val="zh-CN"/>
        </w:rPr>
        <w:t>（一）评价目的</w:t>
      </w:r>
    </w:p>
    <w:p>
      <w:pPr>
        <w:spacing w:line="578" w:lineRule="exact"/>
        <w:ind w:firstLine="640"/>
        <w:rPr>
          <w:rFonts w:ascii="楷体_GB2312" w:eastAsia="楷体_GB2312"/>
          <w:b/>
          <w:sz w:val="32"/>
          <w:szCs w:val="32"/>
          <w:lang w:val="zh-CN"/>
        </w:rPr>
      </w:pPr>
      <w:r>
        <w:rPr>
          <w:rFonts w:ascii="仿宋" w:eastAsia="仿宋" w:cs="仿宋" w:hint="eastAsia"/>
          <w:sz w:val="32"/>
          <w:szCs w:val="32"/>
          <w:shd w:val="clear" w:color="auto" w:fill="FFFFFF"/>
        </w:rPr>
        <w:t>一是指明该项目实施的状态，即说明该项目的现实状态是否偏离目标。二是总结经验，为改善政府管理、纠正目标与实际的偏差提供依据。</w:t>
      </w:r>
      <w:r>
        <w:rPr>
          <w:rFonts w:ascii="Arial" w:cs="Arial" w:hAnsi="Arial" w:hint="eastAsia"/>
          <w:color w:val="5A5A5A"/>
          <w:sz w:val="32"/>
          <w:szCs w:val="32"/>
        </w:rPr>
        <w:t> </w:t>
      </w:r>
    </w:p>
    <w:p>
      <w:pPr>
        <w:adjustRightInd w:val="0"/>
        <w:snapToGrid w:val="0"/>
        <w:spacing w:line="578" w:lineRule="exact"/>
        <w:ind w:firstLineChars="200" w:firstLine="640"/>
        <w:rPr>
          <w:rFonts w:eastAsia="仿宋_GB2312"/>
          <w:sz w:val="32"/>
          <w:szCs w:val="32"/>
        </w:rPr>
      </w:pPr>
      <w:r>
        <w:rPr>
          <w:rFonts w:ascii="楷体_GB2312" w:eastAsia="楷体_GB2312" w:hint="eastAsia"/>
          <w:b/>
          <w:sz w:val="32"/>
          <w:szCs w:val="32"/>
          <w:lang w:val="zh-CN"/>
        </w:rPr>
        <w:t>（二）预设问题及评价重点。</w:t>
      </w:r>
    </w:p>
    <w:p>
      <w:pPr>
        <w:adjustRightInd w:val="0"/>
        <w:snapToGrid w:val="0"/>
        <w:spacing w:line="578" w:lineRule="exact"/>
        <w:ind w:firstLineChars="200" w:firstLine="640"/>
        <w:rPr>
          <w:rFonts w:eastAsia="仿宋_GB2312"/>
          <w:sz w:val="32"/>
          <w:szCs w:val="32"/>
        </w:rPr>
      </w:pPr>
      <w:r>
        <w:rPr>
          <w:rFonts w:ascii="仿宋" w:eastAsia="仿宋" w:cs="仿宋" w:hint="eastAsia"/>
          <w:sz w:val="32"/>
          <w:szCs w:val="32"/>
        </w:rPr>
        <w:t>该项目在资金使用过程中，严格按照财务规章制度报销相关费用，资金使用方向与预算编制一致，截至年末，该项目资金已全部使用，预算执行率为100%。通过该项目的实施，保障了镇乡统计业务工作的顺利开展、确保了统计报表联网直报系统正常运行、保障了人口抽样调查和专项普查正常运行。</w:t>
      </w:r>
    </w:p>
    <w:p>
      <w:pPr>
        <w:adjustRightInd w:val="0"/>
        <w:snapToGrid w:val="0"/>
        <w:spacing w:line="578" w:lineRule="exact"/>
        <w:ind w:firstLineChars="200" w:firstLine="640"/>
        <w:rPr>
          <w:sz w:val="32"/>
          <w:szCs w:val="32"/>
          <w:lang w:val="zh-CN"/>
        </w:rPr>
      </w:pPr>
      <w:r>
        <w:rPr>
          <w:rFonts w:ascii="楷体_GB2312" w:eastAsia="楷体_GB2312" w:hint="eastAsia"/>
          <w:b/>
          <w:sz w:val="32"/>
          <w:szCs w:val="32"/>
          <w:lang w:val="zh-CN"/>
        </w:rPr>
        <w:t>（三）评价选点。</w:t>
      </w:r>
    </w:p>
    <w:p>
      <w:pPr>
        <w:adjustRightInd w:val="0"/>
        <w:snapToGrid w:val="0"/>
        <w:spacing w:line="578" w:lineRule="exact"/>
        <w:ind w:firstLineChars="200" w:firstLine="640"/>
        <w:rPr>
          <w:rFonts w:ascii="仿宋" w:eastAsia="仿宋" w:cs="仿宋"/>
          <w:sz w:val="32"/>
          <w:szCs w:val="32"/>
          <w:lang w:val="zh-CN"/>
        </w:rPr>
      </w:pPr>
      <w:r>
        <w:rPr>
          <w:rFonts w:ascii="仿宋" w:eastAsia="仿宋" w:cs="仿宋" w:hint="eastAsia"/>
          <w:sz w:val="32"/>
          <w:szCs w:val="32"/>
          <w:lang w:val="zh-CN"/>
        </w:rPr>
        <w:t>项目资金执行进度、资金使用方向、资金使用合法性合规性作为此次绩效评价的选点。</w:t>
      </w:r>
    </w:p>
    <w:p>
      <w:pPr>
        <w:spacing w:line="578" w:lineRule="exact"/>
        <w:ind w:firstLine="640"/>
        <w:rPr>
          <w:rFonts w:ascii="楷体_GB2312" w:eastAsia="楷体_GB2312"/>
          <w:b/>
          <w:sz w:val="32"/>
          <w:szCs w:val="32"/>
          <w:lang w:val="zh-CN"/>
        </w:rPr>
      </w:pPr>
      <w:r>
        <w:rPr>
          <w:rFonts w:ascii="楷体_GB2312" w:eastAsia="楷体_GB2312" w:hint="eastAsia"/>
          <w:b/>
          <w:sz w:val="32"/>
          <w:szCs w:val="32"/>
          <w:lang w:val="zh-CN"/>
        </w:rPr>
        <w:t>（四）评价方法。</w:t>
      </w:r>
    </w:p>
    <w:p>
      <w:pPr>
        <w:spacing w:line="578" w:lineRule="exact"/>
        <w:ind w:firstLine="640"/>
        <w:rPr>
          <w:rFonts w:ascii="仿宋" w:eastAsia="仿宋" w:cs="仿宋"/>
          <w:sz w:val="32"/>
          <w:szCs w:val="32"/>
        </w:rPr>
      </w:pPr>
      <w:r>
        <w:rPr>
          <w:rFonts w:ascii="仿宋" w:eastAsia="仿宋" w:cs="仿宋" w:hint="eastAsia"/>
          <w:sz w:val="32"/>
          <w:szCs w:val="32"/>
        </w:rPr>
        <w:t>我单位主要采取单位自评法开展荐绩效评价。通过查看项目预算编制是否合理、是否制定项目资金管理办法、项目资金分配方案是否合理、资金预算执行进度是否达标、资金使用过程中的原始票据是否规范完整等相关资料，综合评价项目实施绩效结果。</w:t>
      </w:r>
    </w:p>
    <w:p>
      <w:pPr>
        <w:spacing w:line="578" w:lineRule="exact"/>
        <w:ind w:firstLine="640"/>
        <w:rPr>
          <w:rFonts w:ascii="楷体_GB2312" w:eastAsia="楷体_GB2312"/>
          <w:b/>
          <w:sz w:val="32"/>
          <w:szCs w:val="32"/>
          <w:lang w:val="zh-CN"/>
        </w:rPr>
      </w:pPr>
      <w:r>
        <w:rPr>
          <w:rFonts w:ascii="楷体_GB2312" w:eastAsia="楷体_GB2312" w:hint="eastAsia"/>
          <w:b/>
          <w:sz w:val="32"/>
          <w:szCs w:val="32"/>
          <w:lang w:val="zh-CN"/>
        </w:rPr>
        <w:t>（五）评价组织。</w:t>
      </w:r>
    </w:p>
    <w:p>
      <w:pPr>
        <w:adjustRightInd w:val="0"/>
        <w:snapToGrid w:val="0"/>
        <w:spacing w:line="600" w:lineRule="exact"/>
        <w:ind w:firstLine="720"/>
        <w:rPr>
          <w:rFonts w:ascii="仿宋" w:eastAsia="仿宋" w:cs="仿宋"/>
          <w:sz w:val="32"/>
          <w:szCs w:val="32"/>
          <w:lang w:val="zh-CN"/>
        </w:rPr>
      </w:pPr>
      <w:r>
        <w:rPr>
          <w:rFonts w:ascii="仿宋" w:eastAsia="仿宋" w:cs="仿宋" w:hint="eastAsia"/>
          <w:sz w:val="32"/>
          <w:szCs w:val="32"/>
          <w:lang w:val="zh-CN"/>
        </w:rPr>
        <w:t>汶川县统计局党组高度重视统计业务工作，根据工作需要成立绩效评价工作领导小组。</w:t>
      </w:r>
    </w:p>
    <w:p>
      <w:pPr>
        <w:adjustRightInd w:val="0"/>
        <w:snapToGrid w:val="0"/>
        <w:spacing w:line="600" w:lineRule="exact"/>
        <w:ind w:firstLine="720"/>
        <w:rPr>
          <w:rFonts w:ascii="仿宋" w:eastAsia="仿宋" w:cs="仿宋"/>
          <w:sz w:val="32"/>
          <w:szCs w:val="32"/>
          <w:lang w:val="zh-CN"/>
        </w:rPr>
      </w:pPr>
      <w:r>
        <w:rPr>
          <w:rFonts w:ascii="仿宋" w:eastAsia="仿宋" w:cs="仿宋" w:hint="eastAsia"/>
          <w:sz w:val="32"/>
          <w:szCs w:val="32"/>
          <w:lang w:val="zh-CN"/>
        </w:rPr>
        <w:t>组</w:t>
      </w:r>
      <w:r>
        <w:rPr>
          <w:rFonts w:ascii="仿宋" w:eastAsia="仿宋" w:cs="仿宋" w:hint="eastAsia"/>
          <w:sz w:val="32"/>
          <w:szCs w:val="32"/>
        </w:rPr>
        <w:t xml:space="preserve">  </w:t>
      </w:r>
      <w:r>
        <w:rPr>
          <w:rFonts w:ascii="仿宋" w:eastAsia="仿宋" w:cs="仿宋" w:hint="eastAsia"/>
          <w:sz w:val="32"/>
          <w:szCs w:val="32"/>
          <w:lang w:val="zh-CN"/>
        </w:rPr>
        <w:t>长：陈</w:t>
      </w:r>
      <w:r>
        <w:rPr>
          <w:rFonts w:ascii="仿宋" w:eastAsia="仿宋" w:cs="仿宋" w:hint="eastAsia"/>
          <w:sz w:val="32"/>
          <w:szCs w:val="32"/>
        </w:rPr>
        <w:t xml:space="preserve">  </w:t>
      </w:r>
      <w:r>
        <w:rPr>
          <w:rFonts w:ascii="仿宋" w:eastAsia="仿宋" w:cs="仿宋" w:hint="eastAsia"/>
          <w:sz w:val="32"/>
          <w:szCs w:val="32"/>
          <w:lang w:val="zh-CN"/>
        </w:rPr>
        <w:t>康</w:t>
      </w:r>
      <w:r>
        <w:rPr>
          <w:rFonts w:ascii="仿宋" w:eastAsia="仿宋" w:cs="仿宋" w:hint="eastAsia"/>
          <w:sz w:val="32"/>
          <w:szCs w:val="32"/>
        </w:rPr>
        <w:t xml:space="preserve">  </w:t>
      </w:r>
      <w:r>
        <w:rPr>
          <w:rFonts w:ascii="仿宋" w:eastAsia="仿宋" w:cs="仿宋" w:hint="eastAsia"/>
          <w:sz w:val="32"/>
          <w:szCs w:val="32"/>
          <w:lang w:val="zh-CN"/>
        </w:rPr>
        <w:t>党组书记、局长</w:t>
      </w:r>
    </w:p>
    <w:p>
      <w:pPr>
        <w:adjustRightInd w:val="0"/>
        <w:snapToGrid w:val="0"/>
        <w:spacing w:line="600" w:lineRule="exact"/>
        <w:ind w:firstLine="720"/>
        <w:rPr>
          <w:rFonts w:ascii="仿宋" w:eastAsia="仿宋" w:cs="仿宋"/>
          <w:sz w:val="32"/>
          <w:szCs w:val="32"/>
        </w:rPr>
      </w:pPr>
      <w:r>
        <w:rPr>
          <w:rFonts w:ascii="仿宋" w:eastAsia="仿宋" w:cs="仿宋" w:hint="eastAsia"/>
          <w:sz w:val="32"/>
          <w:szCs w:val="32"/>
          <w:lang w:val="zh-CN"/>
        </w:rPr>
        <w:t>副组长：</w:t>
      </w:r>
      <w:r>
        <w:rPr>
          <w:rFonts w:ascii="仿宋" w:eastAsia="仿宋" w:cs="仿宋" w:hint="eastAsia"/>
          <w:sz w:val="32"/>
          <w:szCs w:val="32"/>
        </w:rPr>
        <w:t xml:space="preserve">任思瀚  </w:t>
      </w:r>
      <w:r>
        <w:rPr>
          <w:rFonts w:ascii="仿宋" w:eastAsia="仿宋" w:cs="仿宋" w:hint="eastAsia"/>
          <w:sz w:val="32"/>
          <w:szCs w:val="32"/>
          <w:lang w:val="zh-CN"/>
        </w:rPr>
        <w:t>党组成员、副局长</w:t>
      </w:r>
    </w:p>
    <w:p>
      <w:pPr>
        <w:adjustRightInd w:val="0"/>
        <w:snapToGrid w:val="0"/>
        <w:spacing w:line="600" w:lineRule="exact"/>
        <w:ind w:firstLineChars="625" w:firstLine="2000"/>
        <w:rPr>
          <w:rFonts w:ascii="仿宋" w:eastAsia="仿宋" w:cs="仿宋"/>
          <w:sz w:val="32"/>
          <w:szCs w:val="32"/>
          <w:lang w:val="zh-CN"/>
        </w:rPr>
      </w:pPr>
      <w:r>
        <w:rPr>
          <w:rFonts w:ascii="仿宋" w:eastAsia="仿宋" w:cs="仿宋" w:hint="eastAsia"/>
          <w:sz w:val="32"/>
          <w:szCs w:val="32"/>
          <w:lang w:val="zh-CN"/>
        </w:rPr>
        <w:t>李怀志</w:t>
      </w:r>
      <w:r>
        <w:rPr>
          <w:rFonts w:ascii="仿宋" w:eastAsia="仿宋" w:cs="仿宋" w:hint="eastAsia"/>
          <w:sz w:val="32"/>
          <w:szCs w:val="32"/>
        </w:rPr>
        <w:t xml:space="preserve">  </w:t>
      </w:r>
      <w:r>
        <w:rPr>
          <w:rFonts w:ascii="仿宋" w:eastAsia="仿宋" w:cs="仿宋" w:hint="eastAsia"/>
          <w:sz w:val="32"/>
          <w:szCs w:val="32"/>
          <w:lang w:val="zh-CN"/>
        </w:rPr>
        <w:t>党组成员、副局长</w:t>
      </w:r>
    </w:p>
    <w:p>
      <w:pPr>
        <w:adjustRightInd w:val="0"/>
        <w:snapToGrid w:val="0"/>
        <w:spacing w:line="600" w:lineRule="exact"/>
        <w:ind w:firstLineChars="625" w:firstLine="2000"/>
        <w:rPr>
          <w:rFonts w:ascii="仿宋" w:eastAsia="仿宋" w:cs="仿宋"/>
          <w:sz w:val="32"/>
          <w:szCs w:val="32"/>
          <w:lang w:val="zh-CN"/>
        </w:rPr>
      </w:pPr>
      <w:r>
        <w:rPr>
          <w:rFonts w:ascii="仿宋" w:eastAsia="仿宋" w:cs="仿宋" w:hint="eastAsia"/>
          <w:sz w:val="32"/>
          <w:szCs w:val="32"/>
          <w:lang w:val="zh-CN"/>
        </w:rPr>
        <w:t>成</w:t>
      </w:r>
      <w:r>
        <w:rPr>
          <w:rFonts w:ascii="仿宋" w:eastAsia="仿宋" w:cs="仿宋" w:hint="eastAsia"/>
          <w:sz w:val="32"/>
          <w:szCs w:val="32"/>
        </w:rPr>
        <w:t xml:space="preserve">  </w:t>
      </w:r>
      <w:r>
        <w:rPr>
          <w:rFonts w:ascii="仿宋" w:eastAsia="仿宋" w:cs="仿宋" w:hint="eastAsia"/>
          <w:sz w:val="32"/>
          <w:szCs w:val="32"/>
          <w:lang w:val="zh-CN"/>
        </w:rPr>
        <w:t>员：全体干部职工</w:t>
      </w:r>
    </w:p>
    <w:p>
      <w:pPr>
        <w:adjustRightInd w:val="0"/>
        <w:snapToGrid w:val="0"/>
        <w:spacing w:line="600" w:lineRule="exact"/>
        <w:ind w:firstLine="720"/>
        <w:rPr>
          <w:rFonts w:ascii="仿宋" w:eastAsia="仿宋" w:cs="仿宋"/>
          <w:sz w:val="32"/>
          <w:szCs w:val="32"/>
        </w:rPr>
      </w:pPr>
      <w:r>
        <w:rPr>
          <w:rFonts w:ascii="仿宋" w:eastAsia="仿宋" w:cs="仿宋" w:hint="eastAsia"/>
          <w:sz w:val="32"/>
          <w:szCs w:val="32"/>
          <w:lang w:val="zh-CN"/>
        </w:rPr>
        <w:t>领导小组办公室设在局办公室，由李怀志兼任办公室主任，具体负责绩效评价组织实施工作。领导小组实行负责制，全体成员积极配合、通力合作，领导小组办公室协调相关工作，统计业务日常运行及资金管理。统计业务工作由业务股室具体管理，资金由局财务室具体负责支付，按财政支付相关规定对运行经费进行核算，实行“专款专用、专人管理”，不得挤占挪用运行经费。</w:t>
      </w:r>
    </w:p>
    <w:p>
      <w:pPr>
        <w:adjustRightInd w:val="0"/>
        <w:snapToGrid w:val="0"/>
        <w:spacing w:line="578" w:lineRule="exact"/>
        <w:ind w:firstLineChars="200" w:firstLine="640"/>
        <w:rPr>
          <w:rFonts w:ascii="仿宋_GB2312" w:hAnsi="仿宋_GB2312"/>
          <w:sz w:val="32"/>
          <w:szCs w:val="32"/>
          <w:lang w:val="zh-CN"/>
        </w:rPr>
      </w:pPr>
      <w:r>
        <w:rPr>
          <w:rFonts w:ascii="黑体" w:eastAsia="黑体" w:hint="eastAsia"/>
          <w:sz w:val="32"/>
          <w:szCs w:val="32"/>
        </w:rPr>
        <w:t>三、绩效分析</w:t>
      </w:r>
      <w:r>
        <w:rPr>
          <w:rFonts w:ascii="仿宋_GB2312" w:hAnsi="仿宋_GB2312" w:hint="eastAsia"/>
          <w:sz w:val="32"/>
          <w:szCs w:val="32"/>
          <w:lang w:val="zh-CN"/>
        </w:rPr>
        <w:tab/>
      </w:r>
    </w:p>
    <w:p>
      <w:pPr>
        <w:spacing w:line="578" w:lineRule="exact"/>
        <w:ind w:firstLine="640"/>
        <w:rPr>
          <w:rFonts w:eastAsia="仿宋_GB2312"/>
          <w:sz w:val="32"/>
          <w:szCs w:val="32"/>
        </w:rPr>
      </w:pPr>
      <w:r>
        <w:rPr>
          <w:rFonts w:eastAsia="仿宋_GB2312"/>
          <w:sz w:val="32"/>
          <w:szCs w:val="32"/>
          <w:lang w:val="zh-CN"/>
        </w:rPr>
        <w:t>根据</w:t>
      </w:r>
      <w:r>
        <w:rPr>
          <w:rFonts w:eastAsia="仿宋_GB2312" w:hint="eastAsia"/>
          <w:sz w:val="32"/>
          <w:szCs w:val="32"/>
          <w:lang w:val="zh-CN"/>
        </w:rPr>
        <w:t>项目</w:t>
      </w:r>
      <w:r>
        <w:rPr>
          <w:rFonts w:eastAsia="仿宋_GB2312"/>
          <w:sz w:val="32"/>
          <w:szCs w:val="32"/>
          <w:lang w:val="zh-CN"/>
        </w:rPr>
        <w:t>预算绩效评价指标体系“</w:t>
      </w:r>
      <w:r>
        <w:rPr>
          <w:rFonts w:eastAsia="仿宋_GB2312" w:hint="eastAsia"/>
          <w:sz w:val="32"/>
          <w:szCs w:val="32"/>
          <w:lang w:val="zh-CN"/>
        </w:rPr>
        <w:t>通用指标</w:t>
      </w:r>
      <w:r>
        <w:rPr>
          <w:rFonts w:eastAsia="仿宋_GB2312"/>
          <w:sz w:val="32"/>
          <w:szCs w:val="32"/>
          <w:lang w:val="zh-CN"/>
        </w:rPr>
        <w:t>”</w:t>
      </w:r>
      <w:r>
        <w:rPr>
          <w:rFonts w:eastAsia="仿宋_GB2312" w:hint="eastAsia"/>
          <w:sz w:val="32"/>
          <w:szCs w:val="32"/>
          <w:lang w:val="zh-CN"/>
        </w:rPr>
        <w:t>“专用指标”“个性指标”</w:t>
      </w:r>
      <w:r>
        <w:rPr>
          <w:rFonts w:eastAsia="仿宋_GB2312"/>
          <w:sz w:val="32"/>
          <w:szCs w:val="32"/>
          <w:lang w:val="zh-CN"/>
        </w:rPr>
        <w:t>涉及</w:t>
      </w:r>
      <w:r>
        <w:rPr>
          <w:rFonts w:eastAsia="仿宋_GB2312" w:hint="eastAsia"/>
          <w:sz w:val="32"/>
          <w:szCs w:val="32"/>
          <w:lang w:val="zh-CN"/>
        </w:rPr>
        <w:t>二、三级</w:t>
      </w:r>
      <w:r>
        <w:rPr>
          <w:rFonts w:eastAsia="仿宋_GB2312"/>
          <w:sz w:val="32"/>
          <w:szCs w:val="32"/>
          <w:lang w:val="zh-CN"/>
        </w:rPr>
        <w:t>指标进行</w:t>
      </w:r>
      <w:r>
        <w:rPr>
          <w:rFonts w:eastAsia="仿宋_GB2312" w:hint="eastAsia"/>
          <w:sz w:val="32"/>
          <w:szCs w:val="32"/>
          <w:lang w:val="zh-CN"/>
        </w:rPr>
        <w:t>逐项</w:t>
      </w:r>
      <w:r>
        <w:rPr>
          <w:rFonts w:eastAsia="仿宋_GB2312"/>
          <w:sz w:val="32"/>
          <w:szCs w:val="32"/>
          <w:lang w:val="zh-CN"/>
        </w:rPr>
        <w:t>绩效分析</w:t>
      </w:r>
      <w:r>
        <w:rPr>
          <w:rFonts w:eastAsia="仿宋_GB2312" w:hint="eastAsia"/>
          <w:sz w:val="32"/>
          <w:szCs w:val="32"/>
          <w:lang w:val="zh-CN"/>
        </w:rPr>
        <w:t>并评分</w:t>
      </w:r>
      <w:r>
        <w:rPr>
          <w:rFonts w:hint="eastAsia"/>
          <w:sz w:val="32"/>
          <w:szCs w:val="32"/>
        </w:rPr>
        <w:t>。</w:t>
      </w:r>
    </w:p>
    <w:p>
      <w:pPr>
        <w:spacing w:line="578" w:lineRule="exact"/>
        <w:ind w:firstLine="640"/>
        <w:rPr>
          <w:rFonts w:ascii="楷体_GB2312" w:eastAsia="楷体_GB2312"/>
          <w:b/>
          <w:sz w:val="32"/>
          <w:szCs w:val="32"/>
        </w:rPr>
      </w:pPr>
      <w:r>
        <w:rPr>
          <w:rFonts w:ascii="楷体_GB2312" w:eastAsia="楷体_GB2312" w:hint="eastAsia"/>
          <w:b/>
          <w:sz w:val="32"/>
          <w:szCs w:val="32"/>
          <w:lang w:val="zh-CN"/>
        </w:rPr>
        <w:t>（一）</w:t>
      </w:r>
      <w:r>
        <w:rPr>
          <w:rFonts w:ascii="楷体_GB2312" w:eastAsia="楷体_GB2312" w:hint="eastAsia"/>
          <w:b/>
          <w:sz w:val="32"/>
          <w:szCs w:val="32"/>
        </w:rPr>
        <w:t>通用指标</w:t>
      </w:r>
      <w:r>
        <w:rPr>
          <w:rFonts w:eastAsia="楷体_GB2312"/>
          <w:b/>
          <w:bCs/>
          <w:color w:val="000000"/>
          <w:kern w:val="0"/>
          <w:sz w:val="32"/>
          <w:szCs w:val="32"/>
          <w:shd w:val="clear" w:color="auto" w:fill="FFFFFF"/>
          <w:lang w:val="zh-CN"/>
        </w:rPr>
        <w:t>绩效分析。</w:t>
      </w:r>
    </w:p>
    <w:p>
      <w:pPr>
        <w:spacing w:line="578" w:lineRule="exact"/>
        <w:ind w:firstLine="640"/>
        <w:rPr>
          <w:sz w:val="32"/>
          <w:szCs w:val="32"/>
        </w:rPr>
      </w:pPr>
      <w:r>
        <w:rPr>
          <w:rFonts w:ascii="楷体_GB2312" w:eastAsia="楷体_GB2312" w:cs="楷体_GB2312" w:hint="eastAsia"/>
          <w:sz w:val="32"/>
          <w:szCs w:val="32"/>
        </w:rPr>
        <w:t>1.项目决策。（18分）</w:t>
      </w:r>
    </w:p>
    <w:p>
      <w:pPr>
        <w:adjustRightInd w:val="0"/>
        <w:snapToGrid w:val="0"/>
        <w:spacing w:line="578" w:lineRule="exact"/>
        <w:ind w:firstLineChars="200" w:firstLine="640"/>
        <w:contextualSpacing/>
        <w:jc w:val="left"/>
        <w:rPr>
          <w:rFonts w:ascii="仿宋" w:eastAsia="仿宋" w:cs="仿宋"/>
          <w:color w:val="000000"/>
          <w:kern w:val="0"/>
          <w:sz w:val="32"/>
          <w:szCs w:val="32"/>
          <w:shd w:val="clear" w:color="auto" w:fill="FFFFFF"/>
        </w:rPr>
      </w:pPr>
      <w:r>
        <w:rPr>
          <w:rFonts w:ascii="仿宋" w:eastAsia="仿宋" w:cs="仿宋" w:hint="eastAsia"/>
          <w:color w:val="000000"/>
          <w:kern w:val="0"/>
          <w:sz w:val="32"/>
          <w:szCs w:val="32"/>
          <w:shd w:val="clear" w:color="auto" w:fill="FFFFFF"/>
        </w:rPr>
        <w:t>本级预算项目资金是根据上级统计专业要求和单位实际进行预算编制，所有项目都经过领导班子集体研究决定，请示县人民政府同意后纳入财政预算。根据各项目年度要完成的工作任务设置绩效目标和项目事前绩效评估，单位进行项目登记、项目入库申请，财政对口股室审核、财政预算股审核确定项目入库。</w:t>
      </w:r>
    </w:p>
    <w:p>
      <w:pPr>
        <w:adjustRightInd w:val="0"/>
        <w:snapToGrid w:val="0"/>
        <w:spacing w:line="578" w:lineRule="exact"/>
        <w:ind w:firstLineChars="200" w:firstLine="640"/>
        <w:contextualSpacing/>
        <w:jc w:val="left"/>
        <w:rPr>
          <w:rFonts w:ascii="仿宋" w:eastAsia="仿宋" w:cs="仿宋"/>
          <w:color w:val="000000"/>
          <w:kern w:val="0"/>
          <w:sz w:val="32"/>
          <w:szCs w:val="32"/>
          <w:shd w:val="clear" w:color="auto" w:fill="FFFFFF"/>
          <w:lang w:val="zh-CN"/>
        </w:rPr>
      </w:pPr>
      <w:r>
        <w:rPr>
          <w:rFonts w:ascii="仿宋" w:eastAsia="仿宋" w:cs="仿宋" w:hint="eastAsia"/>
          <w:color w:val="000000"/>
          <w:kern w:val="0"/>
          <w:sz w:val="32"/>
          <w:szCs w:val="32"/>
          <w:shd w:val="clear" w:color="auto" w:fill="FFFFFF"/>
          <w:lang w:val="zh-CN"/>
        </w:rPr>
        <w:t>综上，根据评分标准，该项指标，得</w:t>
      </w:r>
      <w:r>
        <w:rPr>
          <w:rFonts w:ascii="仿宋" w:eastAsia="仿宋" w:cs="仿宋" w:hint="eastAsia"/>
          <w:color w:val="000000"/>
          <w:kern w:val="0"/>
          <w:sz w:val="32"/>
          <w:szCs w:val="32"/>
          <w:shd w:val="clear" w:color="auto" w:fill="FFFFFF"/>
        </w:rPr>
        <w:t>18</w:t>
      </w:r>
      <w:r>
        <w:rPr>
          <w:rFonts w:ascii="仿宋" w:eastAsia="仿宋" w:cs="仿宋" w:hint="eastAsia"/>
          <w:color w:val="000000"/>
          <w:kern w:val="0"/>
          <w:sz w:val="32"/>
          <w:szCs w:val="32"/>
          <w:shd w:val="clear" w:color="auto" w:fill="FFFFFF"/>
          <w:lang w:val="zh-CN"/>
        </w:rPr>
        <w:t>分。</w:t>
      </w:r>
    </w:p>
    <w:p>
      <w:pPr>
        <w:spacing w:line="578" w:lineRule="exact"/>
        <w:ind w:firstLine="640"/>
        <w:rPr>
          <w:rFonts w:ascii="楷体_GB2312" w:eastAsia="楷体_GB2312" w:cs="楷体_GB2312"/>
          <w:sz w:val="32"/>
          <w:szCs w:val="32"/>
        </w:rPr>
      </w:pPr>
      <w:r>
        <w:rPr>
          <w:rFonts w:ascii="楷体_GB2312" w:eastAsia="楷体_GB2312" w:cs="楷体_GB2312" w:hint="eastAsia"/>
          <w:sz w:val="32"/>
          <w:szCs w:val="32"/>
        </w:rPr>
        <w:t>2.项目管理。（18分）</w:t>
      </w:r>
    </w:p>
    <w:p>
      <w:pPr>
        <w:spacing w:line="578" w:lineRule="exact"/>
        <w:ind w:firstLine="640"/>
        <w:rPr>
          <w:rFonts w:ascii="仿宋" w:eastAsia="仿宋" w:cs="仿宋"/>
          <w:sz w:val="32"/>
          <w:szCs w:val="32"/>
        </w:rPr>
      </w:pPr>
      <w:r>
        <w:rPr>
          <w:rFonts w:ascii="仿宋" w:eastAsia="仿宋" w:cs="仿宋" w:hint="eastAsia"/>
          <w:sz w:val="32"/>
          <w:szCs w:val="32"/>
        </w:rPr>
        <w:t>制定了《汶川县统计局专项资金管理办法》，根据资金管理制度和工作开展实际情况进行分配资金，按季度通报绩效目标完成情况、资金使用进度、存在的问题，提出了下一步改进措施。</w:t>
      </w:r>
    </w:p>
    <w:p>
      <w:pPr>
        <w:spacing w:line="578" w:lineRule="exact"/>
        <w:ind w:firstLine="640"/>
        <w:rPr>
          <w:rFonts w:ascii="仿宋" w:eastAsia="仿宋" w:cs="仿宋"/>
          <w:sz w:val="32"/>
          <w:szCs w:val="32"/>
        </w:rPr>
      </w:pPr>
      <w:r>
        <w:rPr>
          <w:rFonts w:ascii="仿宋" w:eastAsia="仿宋" w:cs="仿宋" w:hint="eastAsia"/>
          <w:sz w:val="32"/>
          <w:szCs w:val="32"/>
        </w:rPr>
        <w:t>综上所述，该指标得17分。</w:t>
      </w:r>
    </w:p>
    <w:p>
      <w:pPr>
        <w:ind w:firstLineChars="200" w:firstLine="640"/>
        <w:rPr>
          <w:rFonts w:ascii="仿宋" w:eastAsia="仿宋" w:cs="仿宋"/>
          <w:sz w:val="32"/>
          <w:szCs w:val="32"/>
        </w:rPr>
      </w:pPr>
      <w:r>
        <w:rPr>
          <w:rFonts w:ascii="楷体_GB2312" w:eastAsia="楷体_GB2312" w:cs="楷体_GB2312" w:hint="eastAsia"/>
          <w:sz w:val="32"/>
          <w:szCs w:val="32"/>
        </w:rPr>
        <w:t>3.项目实施。（9分）</w:t>
      </w:r>
      <w:r>
        <w:rPr>
          <w:rFonts w:ascii="仿宋" w:eastAsia="仿宋" w:cs="仿宋" w:hint="eastAsia"/>
          <w:sz w:val="32"/>
          <w:szCs w:val="32"/>
        </w:rPr>
        <w:t>围绕预算</w:t>
      </w:r>
      <w:r>
        <w:rPr>
          <w:rFonts w:ascii="仿宋" w:eastAsia="仿宋" w:cs="仿宋" w:hint="eastAsia"/>
          <w:sz w:val="32"/>
          <w:szCs w:val="32"/>
          <w:lang w:val="zh-CN"/>
        </w:rPr>
        <w:t>执行</w:t>
      </w:r>
      <w:r>
        <w:rPr>
          <w:rFonts w:ascii="仿宋" w:eastAsia="仿宋" w:cs="仿宋" w:hint="eastAsia"/>
          <w:sz w:val="32"/>
          <w:szCs w:val="32"/>
        </w:rPr>
        <w:t>、资金使用进行绩效分析。</w:t>
      </w:r>
    </w:p>
    <w:p>
      <w:pPr>
        <w:ind w:firstLineChars="200" w:firstLine="640"/>
        <w:rPr>
          <w:rFonts w:ascii="仿宋" w:eastAsia="仿宋" w:cs="仿宋"/>
          <w:color w:val="000000"/>
          <w:kern w:val="0"/>
          <w:sz w:val="32"/>
          <w:szCs w:val="32"/>
          <w:shd w:val="clear" w:color="auto" w:fill="FFFFFF"/>
        </w:rPr>
      </w:pPr>
      <w:r>
        <w:rPr>
          <w:rFonts w:ascii="仿宋" w:eastAsia="仿宋" w:cs="仿宋" w:hint="eastAsia"/>
          <w:color w:val="000000"/>
          <w:kern w:val="0"/>
          <w:sz w:val="32"/>
          <w:szCs w:val="32"/>
          <w:shd w:val="clear" w:color="auto" w:fill="FFFFFF"/>
        </w:rPr>
        <w:t>《乡镇工作经费》预算项目4万元，该项目资金主要用于保障各镇开展统计业务工作所需的差旅费、办公费等，截至年底，该项目经费全部使用完毕，预算执行率100%。</w:t>
      </w:r>
    </w:p>
    <w:p>
      <w:pPr>
        <w:ind w:firstLineChars="200" w:firstLine="640"/>
        <w:rPr>
          <w:rFonts w:ascii="仿宋" w:eastAsia="仿宋" w:cs="仿宋"/>
          <w:sz w:val="32"/>
          <w:szCs w:val="32"/>
        </w:rPr>
      </w:pPr>
      <w:r>
        <w:rPr>
          <w:rFonts w:ascii="仿宋" w:eastAsia="仿宋" w:cs="仿宋" w:hint="eastAsia"/>
          <w:sz w:val="32"/>
          <w:szCs w:val="32"/>
        </w:rPr>
        <w:t>综上所述，该指标得8分。</w:t>
      </w:r>
    </w:p>
    <w:p>
      <w:pPr>
        <w:ind w:firstLineChars="200" w:firstLine="640"/>
        <w:rPr>
          <w:rFonts w:ascii="楷体_GB2312" w:eastAsia="楷体_GB2312" w:cs="楷体_GB2312"/>
          <w:sz w:val="32"/>
          <w:szCs w:val="32"/>
        </w:rPr>
      </w:pPr>
      <w:r>
        <w:rPr>
          <w:rFonts w:ascii="楷体_GB2312" w:eastAsia="楷体_GB2312" w:cs="楷体_GB2312" w:hint="eastAsia"/>
          <w:sz w:val="32"/>
          <w:szCs w:val="32"/>
        </w:rPr>
        <w:t>4.项目结果。（9分）</w:t>
      </w:r>
    </w:p>
    <w:p>
      <w:pPr>
        <w:ind w:firstLineChars="200" w:firstLine="640"/>
        <w:rPr>
          <w:rFonts w:ascii="仿宋" w:eastAsia="仿宋" w:cs="仿宋"/>
          <w:sz w:val="32"/>
          <w:szCs w:val="32"/>
        </w:rPr>
      </w:pPr>
      <w:r>
        <w:rPr>
          <w:rFonts w:ascii="仿宋" w:eastAsia="仿宋" w:cs="仿宋" w:hint="eastAsia"/>
          <w:sz w:val="32"/>
          <w:szCs w:val="32"/>
        </w:rPr>
        <w:t>2025年度，该项目所有绩效目标全部实现，均在12月初完成，项目资金也全部支付完成。</w:t>
      </w:r>
    </w:p>
    <w:p>
      <w:pPr>
        <w:ind w:firstLineChars="200" w:firstLine="640"/>
        <w:rPr>
          <w:rFonts w:ascii="仿宋" w:eastAsia="仿宋" w:cs="仿宋"/>
          <w:sz w:val="32"/>
          <w:szCs w:val="32"/>
        </w:rPr>
      </w:pPr>
      <w:r>
        <w:rPr>
          <w:rFonts w:ascii="仿宋" w:eastAsia="仿宋" w:cs="仿宋" w:hint="eastAsia"/>
          <w:sz w:val="32"/>
          <w:szCs w:val="32"/>
        </w:rPr>
        <w:t>综上所述，该指标得9分。</w:t>
      </w:r>
    </w:p>
    <w:p>
      <w:pPr>
        <w:spacing w:line="578" w:lineRule="exact"/>
        <w:ind w:firstLineChars="200" w:firstLine="640"/>
        <w:rPr>
          <w:rFonts w:ascii="楷体_GB2312" w:eastAsia="楷体_GB2312" w:cs="楷体_GB2312"/>
          <w:sz w:val="32"/>
          <w:szCs w:val="32"/>
          <w:lang w:val="zh-CN"/>
        </w:rPr>
      </w:pPr>
      <w:r>
        <w:rPr>
          <w:rFonts w:ascii="楷体_GB2312" w:eastAsia="楷体_GB2312" w:hint="eastAsia"/>
          <w:b/>
          <w:sz w:val="32"/>
          <w:szCs w:val="32"/>
          <w:lang w:val="zh-CN"/>
        </w:rPr>
        <w:t>（二）</w:t>
      </w:r>
      <w:r>
        <w:rPr>
          <w:rFonts w:ascii="楷体_GB2312" w:eastAsia="楷体_GB2312" w:hint="eastAsia"/>
          <w:b/>
          <w:sz w:val="32"/>
          <w:szCs w:val="32"/>
        </w:rPr>
        <w:t>专用指标</w:t>
      </w:r>
      <w:r>
        <w:rPr>
          <w:rFonts w:eastAsia="楷体_GB2312"/>
          <w:b/>
          <w:bCs/>
          <w:color w:val="000000"/>
          <w:kern w:val="0"/>
          <w:sz w:val="32"/>
          <w:szCs w:val="32"/>
          <w:shd w:val="clear" w:color="auto" w:fill="FFFFFF"/>
          <w:lang w:val="zh-CN"/>
        </w:rPr>
        <w:t>绩效分析。</w:t>
      </w:r>
    </w:p>
    <w:p>
      <w:pPr>
        <w:spacing w:line="578" w:lineRule="exact"/>
        <w:ind w:firstLineChars="200" w:firstLine="640"/>
        <w:rPr>
          <w:rFonts w:ascii="楷体_GB2312" w:eastAsia="楷体_GB2312" w:cs="楷体_GB2312"/>
          <w:sz w:val="32"/>
          <w:szCs w:val="32"/>
        </w:rPr>
      </w:pPr>
      <w:r>
        <w:rPr>
          <w:rFonts w:ascii="楷体_GB2312" w:eastAsia="楷体_GB2312" w:cs="楷体_GB2312" w:hint="eastAsia"/>
          <w:sz w:val="32"/>
          <w:szCs w:val="32"/>
        </w:rPr>
        <w:t>1.</w:t>
      </w:r>
      <w:r>
        <w:rPr>
          <w:rFonts w:ascii="楷体_GB2312" w:eastAsia="楷体_GB2312" w:cs="楷体_GB2312" w:hint="eastAsia"/>
          <w:sz w:val="32"/>
          <w:szCs w:val="32"/>
          <w:lang w:val="zh-CN"/>
        </w:rPr>
        <w:t>行政运转。</w:t>
      </w:r>
      <w:r>
        <w:rPr>
          <w:rFonts w:ascii="楷体_GB2312" w:eastAsia="楷体_GB2312" w:cs="楷体_GB2312" w:hint="eastAsia"/>
          <w:sz w:val="32"/>
          <w:szCs w:val="32"/>
        </w:rPr>
        <w:t>（30分）</w:t>
      </w:r>
    </w:p>
    <w:p>
      <w:pPr>
        <w:spacing w:line="578" w:lineRule="exact"/>
        <w:ind w:firstLineChars="200" w:firstLine="640"/>
        <w:rPr>
          <w:rFonts w:ascii="仿宋" w:eastAsia="仿宋" w:cs="仿宋"/>
          <w:sz w:val="32"/>
          <w:szCs w:val="32"/>
        </w:rPr>
      </w:pPr>
      <w:r>
        <w:rPr>
          <w:rFonts w:ascii="仿宋" w:eastAsia="仿宋" w:cs="仿宋" w:hint="eastAsia"/>
          <w:sz w:val="32"/>
          <w:szCs w:val="32"/>
          <w:lang w:val="zh-CN"/>
        </w:rPr>
        <w:t>按照乡镇工作经费预算管理规定，该</w:t>
      </w:r>
      <w:r>
        <w:rPr>
          <w:rFonts w:ascii="仿宋" w:eastAsia="仿宋" w:cs="仿宋" w:hint="eastAsia"/>
          <w:sz w:val="32"/>
          <w:szCs w:val="32"/>
        </w:rPr>
        <w:t>项经费可用于各镇开展统计工作产生的办公费、差旅费、业务培训费等，由各镇到县统计局实行报账制。各镇提供的报账资料由专人进行审核，2025年度均未发现违规和超标准支付现象。</w:t>
      </w:r>
    </w:p>
    <w:p>
      <w:pPr>
        <w:spacing w:line="578" w:lineRule="exact"/>
        <w:ind w:firstLineChars="200" w:firstLine="640"/>
        <w:rPr>
          <w:rFonts w:ascii="仿宋" w:eastAsia="仿宋" w:cs="仿宋"/>
          <w:sz w:val="32"/>
          <w:szCs w:val="32"/>
        </w:rPr>
      </w:pPr>
      <w:r>
        <w:rPr>
          <w:rFonts w:ascii="仿宋" w:eastAsia="仿宋" w:cs="仿宋" w:hint="eastAsia"/>
          <w:sz w:val="32"/>
          <w:szCs w:val="32"/>
        </w:rPr>
        <w:t>综上所述，该指标得30分。</w:t>
      </w:r>
    </w:p>
    <w:p>
      <w:pPr>
        <w:spacing w:line="578" w:lineRule="exact"/>
        <w:ind w:firstLine="640"/>
        <w:rPr>
          <w:sz w:val="32"/>
          <w:szCs w:val="32"/>
          <w:lang w:val="zh-CN"/>
        </w:rPr>
      </w:pPr>
      <w:r>
        <w:rPr>
          <w:rFonts w:ascii="楷体_GB2312" w:eastAsia="楷体_GB2312" w:hint="eastAsia"/>
          <w:b/>
          <w:sz w:val="32"/>
          <w:szCs w:val="32"/>
          <w:lang w:val="zh-CN"/>
        </w:rPr>
        <w:t>（三）</w:t>
      </w:r>
      <w:r>
        <w:rPr>
          <w:rFonts w:ascii="楷体_GB2312" w:eastAsia="楷体_GB2312" w:hint="eastAsia"/>
          <w:b/>
          <w:sz w:val="32"/>
          <w:szCs w:val="32"/>
        </w:rPr>
        <w:t>个性指标</w:t>
      </w:r>
      <w:r>
        <w:rPr>
          <w:rFonts w:eastAsia="楷体_GB2312"/>
          <w:b/>
          <w:bCs/>
          <w:color w:val="000000"/>
          <w:kern w:val="0"/>
          <w:sz w:val="32"/>
          <w:szCs w:val="32"/>
          <w:shd w:val="clear" w:color="auto" w:fill="FFFFFF"/>
          <w:lang w:val="zh-CN"/>
        </w:rPr>
        <w:t>绩效分析。</w:t>
      </w:r>
      <w:r>
        <w:rPr>
          <w:rFonts w:eastAsia="楷体_GB2312" w:hint="eastAsia"/>
          <w:b/>
          <w:bCs/>
          <w:color w:val="000000"/>
          <w:kern w:val="0"/>
          <w:sz w:val="32"/>
          <w:szCs w:val="32"/>
          <w:shd w:val="clear" w:color="auto" w:fill="FFFFFF"/>
          <w:lang w:val="zh-CN"/>
        </w:rPr>
        <w:t>（</w:t>
      </w:r>
      <w:r>
        <w:rPr>
          <w:rFonts w:eastAsia="楷体_GB2312" w:hint="eastAsia"/>
          <w:b/>
          <w:bCs/>
          <w:color w:val="000000"/>
          <w:kern w:val="0"/>
          <w:sz w:val="32"/>
          <w:szCs w:val="32"/>
          <w:shd w:val="clear" w:color="auto" w:fill="FFFFFF"/>
        </w:rPr>
        <w:t>16分</w:t>
      </w:r>
      <w:r>
        <w:rPr>
          <w:rFonts w:eastAsia="楷体_GB2312" w:hint="eastAsia"/>
          <w:b/>
          <w:bCs/>
          <w:color w:val="000000"/>
          <w:kern w:val="0"/>
          <w:sz w:val="32"/>
          <w:szCs w:val="32"/>
          <w:shd w:val="clear" w:color="auto" w:fill="FFFFFF"/>
          <w:lang w:val="zh-CN"/>
        </w:rPr>
        <w:t>）</w:t>
      </w:r>
    </w:p>
    <w:p>
      <w:pPr>
        <w:pStyle w:val="16"/>
        <w:tabs>
          <w:tab w:val="left" w:pos="2160"/>
        </w:tabs>
        <w:spacing w:beforeLines="0" w:before="93" w:line="600" w:lineRule="exact"/>
        <w:ind w:firstLineChars="200" w:firstLine="640"/>
        <w:rPr>
          <w:rFonts w:ascii="仿宋" w:eastAsia="仿宋" w:cs="仿宋"/>
          <w:sz w:val="32"/>
          <w:szCs w:val="32"/>
        </w:rPr>
      </w:pPr>
      <w:r>
        <w:rPr>
          <w:rFonts w:ascii="仿宋" w:eastAsia="仿宋" w:cs="仿宋" w:hint="eastAsia"/>
          <w:sz w:val="32"/>
          <w:szCs w:val="32"/>
        </w:rPr>
        <w:t>2025年完成各镇统计业务费用的报销，完成对各镇统计人员的业务指导，存在年末集中报销支付相关费用情况。</w:t>
      </w:r>
    </w:p>
    <w:p>
      <w:pPr>
        <w:pStyle w:val="16"/>
        <w:tabs>
          <w:tab w:val="left" w:pos="2160"/>
        </w:tabs>
        <w:spacing w:beforeLines="0" w:before="93" w:line="600" w:lineRule="exact"/>
        <w:ind w:firstLineChars="200" w:firstLine="640"/>
        <w:rPr>
          <w:rFonts w:ascii="黑体" w:eastAsia="黑体"/>
          <w:sz w:val="32"/>
          <w:szCs w:val="32"/>
        </w:rPr>
      </w:pPr>
      <w:r>
        <w:rPr>
          <w:rFonts w:ascii="黑体" w:eastAsia="黑体" w:hint="eastAsia"/>
          <w:sz w:val="32"/>
          <w:szCs w:val="32"/>
        </w:rPr>
        <w:t>四、评价结论</w:t>
      </w:r>
    </w:p>
    <w:p>
      <w:pPr>
        <w:adjustRightInd w:val="0"/>
        <w:snapToGrid w:val="0"/>
        <w:spacing w:line="578" w:lineRule="exact"/>
        <w:ind w:firstLineChars="200" w:firstLine="640"/>
        <w:rPr>
          <w:rFonts w:eastAsia="仿宋"/>
          <w:sz w:val="32"/>
          <w:szCs w:val="32"/>
        </w:rPr>
      </w:pPr>
      <w:r>
        <w:rPr>
          <w:rFonts w:ascii="仿宋" w:eastAsia="仿宋" w:cs="仿宋" w:hint="eastAsia"/>
          <w:sz w:val="32"/>
          <w:szCs w:val="32"/>
        </w:rPr>
        <w:t>围绕绩效评介指标体系，对该项目绩效进行了客观、公正的评价，自评得分97分，结果为优秀，预期产出和效果能满足需求，实现了年初设定的绩效目标。</w:t>
      </w:r>
    </w:p>
    <w:p>
      <w:pPr>
        <w:pStyle w:val="16"/>
        <w:tabs>
          <w:tab w:val="left" w:pos="2160"/>
        </w:tabs>
        <w:spacing w:beforeLines="0" w:before="93" w:line="600" w:lineRule="exact"/>
        <w:ind w:firstLineChars="200" w:firstLine="640"/>
        <w:rPr>
          <w:rFonts w:ascii="黑体" w:eastAsia="黑体"/>
          <w:sz w:val="32"/>
          <w:szCs w:val="32"/>
        </w:rPr>
      </w:pPr>
      <w:r>
        <w:rPr>
          <w:rFonts w:ascii="黑体" w:eastAsia="黑体" w:cs="黑体" w:hint="eastAsia"/>
          <w:sz w:val="32"/>
          <w:szCs w:val="32"/>
        </w:rPr>
        <w:t>五、</w:t>
      </w:r>
      <w:r>
        <w:rPr>
          <w:rFonts w:ascii="黑体" w:eastAsia="黑体" w:hint="eastAsia"/>
          <w:sz w:val="32"/>
          <w:szCs w:val="32"/>
        </w:rPr>
        <w:t>存在主要问题</w:t>
      </w:r>
    </w:p>
    <w:p>
      <w:pPr>
        <w:pStyle w:val="16"/>
        <w:tabs>
          <w:tab w:val="left" w:pos="2160"/>
        </w:tabs>
        <w:spacing w:beforeLines="0" w:before="93" w:line="600" w:lineRule="exact"/>
        <w:ind w:firstLineChars="200" w:firstLine="640"/>
        <w:rPr>
          <w:rFonts w:cs="仿宋_GB2312"/>
          <w:sz w:val="32"/>
          <w:szCs w:val="32"/>
        </w:rPr>
      </w:pPr>
      <w:r>
        <w:rPr>
          <w:rFonts w:cs="仿宋_GB2312" w:hint="eastAsia"/>
          <w:sz w:val="32"/>
          <w:szCs w:val="32"/>
        </w:rPr>
        <w:t>资金支付进度较慢，集中在年末支付问题突出。</w:t>
      </w:r>
    </w:p>
    <w:p>
      <w:pPr>
        <w:pStyle w:val="16"/>
        <w:tabs>
          <w:tab w:val="left" w:pos="2160"/>
        </w:tabs>
        <w:spacing w:beforeLines="0" w:before="93" w:line="600" w:lineRule="exact"/>
        <w:ind w:firstLineChars="200" w:firstLine="640"/>
        <w:rPr>
          <w:rFonts w:ascii="黑体" w:eastAsia="黑体"/>
          <w:position w:val="3"/>
          <w:sz w:val="32"/>
          <w:szCs w:val="32"/>
          <w:lang w:val="zh-CN"/>
        </w:rPr>
      </w:pPr>
      <w:r>
        <w:rPr>
          <w:rFonts w:ascii="黑体" w:eastAsia="黑体" w:hint="eastAsia"/>
          <w:position w:val="3"/>
          <w:sz w:val="32"/>
          <w:szCs w:val="32"/>
          <w:lang w:val="zh-CN"/>
        </w:rPr>
        <w:t>六、改进建议</w:t>
      </w:r>
    </w:p>
    <w:p>
      <w:pPr>
        <w:tabs>
          <w:tab w:val="left" w:pos="1911"/>
        </w:tabs>
        <w:jc w:val="left"/>
        <w:rPr>
          <w:rFonts w:ascii="仿宋" w:eastAsia="仿宋" w:cs="仿宋"/>
          <w:kern w:val="0"/>
          <w:sz w:val="32"/>
          <w:szCs w:val="32"/>
        </w:rPr>
      </w:pPr>
      <w:r>
        <w:rPr>
          <w:rFonts w:ascii="仿宋_GB2312" w:eastAsia="仿宋_GB2312" w:cs="仿宋_GB2312" w:hint="eastAsia"/>
          <w:kern w:val="0"/>
          <w:sz w:val="32"/>
          <w:szCs w:val="32"/>
          <w:shd w:val="clear" w:color="auto" w:fill="FFFFFF"/>
          <w:lang w:val="zh-CN"/>
        </w:rPr>
        <w:t xml:space="preserve"> </w:t>
      </w:r>
      <w:r>
        <w:rPr>
          <w:rFonts w:ascii="仿宋_GB2312" w:cs="仿宋_GB2312" w:hAnsi="仿宋_GB2312" w:hint="eastAsia"/>
          <w:kern w:val="0"/>
          <w:sz w:val="32"/>
          <w:szCs w:val="32"/>
        </w:rPr>
        <w:t xml:space="preserve">   </w:t>
      </w:r>
      <w:r>
        <w:rPr>
          <w:rFonts w:ascii="仿宋" w:eastAsia="仿宋" w:cs="仿宋" w:hint="eastAsia"/>
          <w:kern w:val="0"/>
          <w:sz w:val="32"/>
          <w:szCs w:val="32"/>
        </w:rPr>
        <w:t>改进资金支付方式，加快资金支付进度。实行按季度给各镇报账制度，改变集中在年末支付现状，提前实现项目绩效目标。</w:t>
      </w:r>
    </w:p>
    <w:p>
      <w:pPr>
        <w:rPr>
          <w:rFonts w:eastAsia="黑体"/>
          <w:sz w:val="32"/>
        </w:rPr>
      </w:pPr>
    </w:p>
    <w:tbl>
      <w:tblPr>
        <w:jc w:val="center"/>
        <w:tblW w:w="10360" w:type="dxa"/>
        <w:tblBorders>
          <w:top w:val="none" w:sz="0" w:space="0" w:color="auto"/>
          <w:left w:val="none" w:sz="0" w:space="0" w:color="auto"/>
          <w:bottom w:val="none" w:sz="0" w:space="0" w:color="auto"/>
          <w:right w:val="none" w:sz="0" w:space="0" w:color="auto"/>
        </w:tblBorders>
        <w:tblLayout w:type="fixed"/>
        <w:tblCellMar>
          <w:top w:w="15" w:type="dxa"/>
          <w:left w:w="15" w:type="dxa"/>
          <w:bottom w:w="15" w:type="dxa"/>
          <w:right w:w="15" w:type="dxa"/>
        </w:tblCellMar>
      </w:tblPr>
      <w:tblGrid>
        <w:gridCol w:w="652"/>
        <w:gridCol w:w="1081"/>
        <w:gridCol w:w="1250"/>
        <w:gridCol w:w="1710"/>
        <w:gridCol w:w="1245"/>
        <w:gridCol w:w="885"/>
        <w:gridCol w:w="990"/>
        <w:gridCol w:w="765"/>
        <w:gridCol w:w="1782"/>
      </w:tblGrid>
      <w:tr>
        <w:trPr>
          <w:trHeight w:val="576"/>
        </w:trPr>
        <w:tc>
          <w:tcPr>
            <w:tcW w:w="10360" w:type="dxa"/>
            <w:gridSpan w:val="9"/>
            <w:noWrap/>
            <w:vAlign w:val="center"/>
          </w:tcPr>
          <w:p>
            <w:pPr>
              <w:widowControl/>
              <w:spacing w:line="600" w:lineRule="exact"/>
              <w:jc w:val="center"/>
              <w:textAlignment w:val="center"/>
              <w:rPr>
                <w:rFonts w:ascii="宋体" w:cs="宋体"/>
                <w:b/>
                <w:bCs/>
                <w:color w:val="000000"/>
                <w:kern w:val="0"/>
                <w:sz w:val="44"/>
                <w:szCs w:val="44"/>
              </w:rPr>
            </w:pPr>
            <w:r>
              <w:rPr>
                <w:rFonts w:ascii="宋体" w:cs="宋体" w:hint="eastAsia"/>
                <w:b/>
                <w:bCs/>
                <w:color w:val="000000"/>
                <w:kern w:val="0"/>
                <w:sz w:val="44"/>
                <w:szCs w:val="44"/>
              </w:rPr>
              <w:t>2025年汶川县统计局乡镇统计工作经费</w:t>
            </w:r>
          </w:p>
          <w:p>
            <w:pPr>
              <w:widowControl/>
              <w:spacing w:line="600" w:lineRule="exact"/>
              <w:jc w:val="center"/>
              <w:textAlignment w:val="center"/>
              <w:rPr>
                <w:rFonts w:ascii="黑体" w:eastAsia="黑体" w:cs="黑体"/>
                <w:color w:val="000000"/>
                <w:sz w:val="30"/>
                <w:szCs w:val="30"/>
              </w:rPr>
            </w:pPr>
            <w:r>
              <w:rPr>
                <w:rFonts w:ascii="宋体" w:cs="宋体" w:hint="eastAsia"/>
                <w:b/>
                <w:bCs/>
                <w:color w:val="000000"/>
                <w:kern w:val="0"/>
                <w:sz w:val="44"/>
                <w:szCs w:val="44"/>
              </w:rPr>
              <w:t>项目支出绩效自评表</w:t>
            </w:r>
          </w:p>
        </w:tc>
      </w:tr>
      <w:tr>
        <w:trPr>
          <w:trHeight w:val="23"/>
        </w:trPr>
        <w:tc>
          <w:tcPr>
            <w:tcW w:w="4693" w:type="dxa"/>
            <w:gridSpan w:val="4"/>
            <w:tcBorders>
              <w:top w:val="single" w:sz="4" w:space="0" w:color="000000"/>
              <w:left w:val="single" w:sz="4" w:space="0" w:color="000000"/>
              <w:bottom w:val="single" w:sz="4" w:space="0" w:color="000000"/>
              <w:right w:val="single" w:sz="4" w:space="0" w:color="000000"/>
            </w:tcBorders>
            <w:noWrap/>
            <w:vAlign w:val="center"/>
          </w:tcPr>
          <w:p>
            <w:pPr>
              <w:widowControl/>
              <w:spacing w:line="300" w:lineRule="exact"/>
              <w:jc w:val="left"/>
              <w:textAlignment w:val="center"/>
              <w:rPr>
                <w:rFonts w:ascii="宋体" w:cs="宋体"/>
                <w:color w:val="000000"/>
                <w:sz w:val="24"/>
              </w:rPr>
            </w:pPr>
            <w:r>
              <w:rPr>
                <w:rFonts w:ascii="宋体" w:cs="宋体"/>
                <w:color w:val="000000"/>
                <w:kern w:val="0"/>
                <w:sz w:val="24"/>
              </w:rPr>
              <w:t>项目名称</w:t>
            </w:r>
          </w:p>
        </w:tc>
        <w:tc>
          <w:tcPr>
            <w:tcW w:w="5667" w:type="dxa"/>
            <w:gridSpan w:val="5"/>
            <w:tcBorders>
              <w:top w:val="single" w:sz="4" w:space="0" w:color="000000"/>
              <w:left w:val="single" w:sz="4" w:space="0" w:color="000000"/>
              <w:bottom w:val="single" w:sz="4" w:space="0" w:color="000000"/>
              <w:right w:val="single" w:sz="4" w:space="0" w:color="000000"/>
            </w:tcBorders>
            <w:noWrap/>
            <w:vAlign w:val="center"/>
          </w:tcPr>
          <w:p>
            <w:pPr>
              <w:spacing w:line="300" w:lineRule="exact"/>
              <w:rPr>
                <w:rFonts w:ascii="宋体" w:cs="宋体"/>
                <w:color w:val="000000"/>
                <w:sz w:val="24"/>
              </w:rPr>
            </w:pPr>
            <w:r>
              <w:rPr>
                <w:rFonts w:ascii="宋体" w:cs="宋体" w:hint="eastAsia"/>
                <w:color w:val="000000"/>
                <w:sz w:val="24"/>
              </w:rPr>
              <w:t>乡镇工作经费</w:t>
            </w:r>
          </w:p>
        </w:tc>
      </w:tr>
      <w:tr>
        <w:trPr>
          <w:trHeight w:val="23"/>
        </w:trPr>
        <w:tc>
          <w:tcPr>
            <w:tcW w:w="4693" w:type="dxa"/>
            <w:gridSpan w:val="4"/>
            <w:tcBorders>
              <w:top w:val="single" w:sz="4" w:space="0" w:color="000000"/>
              <w:left w:val="single" w:sz="4" w:space="0" w:color="000000"/>
              <w:bottom w:val="single" w:sz="4" w:space="0" w:color="000000"/>
              <w:right w:val="single" w:sz="4" w:space="0" w:color="000000"/>
            </w:tcBorders>
            <w:noWrap/>
            <w:vAlign w:val="center"/>
          </w:tcPr>
          <w:p>
            <w:pPr>
              <w:widowControl/>
              <w:spacing w:line="300" w:lineRule="exact"/>
              <w:jc w:val="left"/>
              <w:textAlignment w:val="center"/>
              <w:rPr>
                <w:rFonts w:ascii="宋体" w:cs="宋体"/>
                <w:color w:val="000000"/>
                <w:sz w:val="24"/>
              </w:rPr>
            </w:pPr>
            <w:r>
              <w:rPr>
                <w:rFonts w:ascii="宋体" w:cs="宋体"/>
                <w:color w:val="000000"/>
                <w:kern w:val="0"/>
                <w:sz w:val="24"/>
              </w:rPr>
              <w:t>预算单位</w:t>
            </w:r>
          </w:p>
        </w:tc>
        <w:tc>
          <w:tcPr>
            <w:tcW w:w="5667" w:type="dxa"/>
            <w:gridSpan w:val="5"/>
            <w:tcBorders>
              <w:top w:val="single" w:sz="4" w:space="0" w:color="000000"/>
              <w:left w:val="single" w:sz="4" w:space="0" w:color="000000"/>
              <w:bottom w:val="single" w:sz="4" w:space="0" w:color="000000"/>
              <w:right w:val="single" w:sz="4" w:space="0" w:color="000000"/>
            </w:tcBorders>
            <w:noWrap/>
            <w:vAlign w:val="center"/>
          </w:tcPr>
          <w:p>
            <w:pPr>
              <w:spacing w:line="300" w:lineRule="exact"/>
              <w:rPr>
                <w:rFonts w:ascii="宋体" w:cs="宋体"/>
                <w:color w:val="000000"/>
                <w:sz w:val="24"/>
              </w:rPr>
            </w:pPr>
            <w:r>
              <w:rPr>
                <w:rFonts w:ascii="宋体" w:cs="宋体" w:hint="eastAsia"/>
                <w:color w:val="000000"/>
                <w:sz w:val="24"/>
              </w:rPr>
              <w:t>汶川县统计局</w:t>
            </w:r>
          </w:p>
        </w:tc>
      </w:tr>
      <w:tr>
        <w:trPr>
          <w:trHeight w:val="23"/>
        </w:trPr>
        <w:tc>
          <w:tcPr>
            <w:tcW w:w="4693" w:type="dxa"/>
            <w:gridSpan w:val="4"/>
            <w:tcBorders>
              <w:top w:val="single" w:sz="4" w:space="0" w:color="000000"/>
              <w:left w:val="single" w:sz="4" w:space="0" w:color="000000"/>
              <w:bottom w:val="single" w:sz="4" w:space="0" w:color="000000"/>
              <w:right w:val="single" w:sz="4" w:space="0" w:color="000000"/>
            </w:tcBorders>
            <w:noWrap/>
            <w:vAlign w:val="center"/>
          </w:tcPr>
          <w:p>
            <w:pPr>
              <w:widowControl/>
              <w:spacing w:line="300" w:lineRule="exact"/>
              <w:jc w:val="left"/>
              <w:textAlignment w:val="center"/>
              <w:rPr>
                <w:rFonts w:ascii="宋体" w:cs="宋体"/>
                <w:color w:val="000000"/>
                <w:sz w:val="24"/>
              </w:rPr>
            </w:pPr>
            <w:r>
              <w:rPr>
                <w:rFonts w:ascii="宋体" w:cs="宋体"/>
                <w:color w:val="000000"/>
                <w:kern w:val="0"/>
                <w:sz w:val="24"/>
              </w:rPr>
              <w:t>项目类型</w:t>
            </w:r>
          </w:p>
        </w:tc>
        <w:tc>
          <w:tcPr>
            <w:tcW w:w="5667" w:type="dxa"/>
            <w:gridSpan w:val="5"/>
            <w:tcBorders>
              <w:top w:val="single" w:sz="4" w:space="0" w:color="000000"/>
              <w:left w:val="single" w:sz="4" w:space="0" w:color="000000"/>
              <w:bottom w:val="single" w:sz="4" w:space="0" w:color="000000"/>
              <w:right w:val="single" w:sz="4" w:space="0" w:color="000000"/>
            </w:tcBorders>
            <w:noWrap/>
            <w:vAlign w:val="center"/>
          </w:tcPr>
          <w:p>
            <w:pPr>
              <w:spacing w:line="300" w:lineRule="exact"/>
              <w:jc w:val="left"/>
              <w:rPr>
                <w:rFonts w:ascii="宋体" w:cs="宋体"/>
                <w:color w:val="000000"/>
                <w:sz w:val="24"/>
              </w:rPr>
            </w:pPr>
            <w:r>
              <w:rPr>
                <w:rFonts w:ascii="宋体" w:cs="宋体" w:hint="eastAsia"/>
                <w:color w:val="000000"/>
                <w:sz w:val="24"/>
              </w:rPr>
              <w:t>运转类</w:t>
            </w:r>
          </w:p>
        </w:tc>
      </w:tr>
      <w:tr>
        <w:trPr>
          <w:trHeight w:val="23"/>
        </w:trPr>
        <w:tc>
          <w:tcPr>
            <w:tcW w:w="652" w:type="dxa"/>
            <w:vMerge w:val="restart"/>
            <w:tcBorders>
              <w:top w:val="single" w:sz="4" w:space="0" w:color="000000"/>
              <w:left w:val="single" w:sz="4" w:space="0" w:color="000000"/>
              <w:bottom w:val="single" w:sz="4" w:space="0" w:color="000000"/>
              <w:right w:val="single" w:sz="4" w:space="0" w:color="000000"/>
            </w:tcBorders>
            <w:noWrap/>
            <w:vAlign w:val="center"/>
          </w:tcPr>
          <w:p>
            <w:pPr>
              <w:widowControl/>
              <w:spacing w:line="300" w:lineRule="exact"/>
              <w:jc w:val="center"/>
              <w:textAlignment w:val="center"/>
              <w:rPr>
                <w:rFonts w:ascii="宋体" w:cs="宋体"/>
                <w:color w:val="000000"/>
                <w:sz w:val="24"/>
              </w:rPr>
            </w:pPr>
            <w:r>
              <w:rPr>
                <w:rFonts w:ascii="宋体" w:cs="宋体"/>
                <w:color w:val="000000"/>
                <w:kern w:val="0"/>
                <w:sz w:val="24"/>
              </w:rPr>
              <w:t>项目 概况</w:t>
            </w:r>
          </w:p>
        </w:tc>
        <w:tc>
          <w:tcPr>
            <w:tcW w:w="4041" w:type="dxa"/>
            <w:gridSpan w:val="3"/>
            <w:tcBorders>
              <w:top w:val="single" w:sz="4" w:space="0" w:color="000000"/>
              <w:left w:val="single" w:sz="4" w:space="0" w:color="000000"/>
              <w:bottom w:val="single" w:sz="4" w:space="0" w:color="000000"/>
              <w:right w:val="single" w:sz="4" w:space="0" w:color="000000"/>
            </w:tcBorders>
            <w:noWrap/>
            <w:vAlign w:val="center"/>
          </w:tcPr>
          <w:p>
            <w:pPr>
              <w:widowControl/>
              <w:spacing w:line="300" w:lineRule="exact"/>
              <w:jc w:val="left"/>
              <w:textAlignment w:val="center"/>
              <w:rPr>
                <w:rFonts w:ascii="宋体" w:cs="宋体"/>
                <w:color w:val="000000"/>
                <w:kern w:val="0"/>
                <w:sz w:val="24"/>
              </w:rPr>
            </w:pPr>
            <w:r>
              <w:rPr>
                <w:rFonts w:ascii="宋体" w:cs="宋体"/>
                <w:color w:val="000000"/>
                <w:kern w:val="0"/>
                <w:sz w:val="24"/>
              </w:rPr>
              <w:t>中长期规划（名称、文号，仅指</w:t>
            </w:r>
          </w:p>
          <w:p>
            <w:pPr>
              <w:widowControl/>
              <w:spacing w:line="300" w:lineRule="exact"/>
              <w:jc w:val="left"/>
              <w:textAlignment w:val="center"/>
              <w:rPr>
                <w:rFonts w:ascii="宋体" w:cs="宋体"/>
                <w:color w:val="000000"/>
                <w:sz w:val="24"/>
              </w:rPr>
            </w:pPr>
            <w:r>
              <w:rPr>
                <w:rFonts w:ascii="宋体" w:cs="宋体"/>
                <w:color w:val="000000"/>
                <w:kern w:val="0"/>
                <w:sz w:val="24"/>
              </w:rPr>
              <w:t>常年项目）</w:t>
            </w:r>
          </w:p>
        </w:tc>
        <w:tc>
          <w:tcPr>
            <w:tcW w:w="5667" w:type="dxa"/>
            <w:gridSpan w:val="5"/>
            <w:tcBorders>
              <w:top w:val="single" w:sz="4" w:space="0" w:color="000000"/>
              <w:left w:val="single" w:sz="4" w:space="0" w:color="000000"/>
              <w:bottom w:val="single" w:sz="4" w:space="0" w:color="000000"/>
              <w:right w:val="single" w:sz="4" w:space="0" w:color="000000"/>
            </w:tcBorders>
            <w:noWrap/>
            <w:vAlign w:val="center"/>
          </w:tcPr>
          <w:p>
            <w:pPr>
              <w:spacing w:line="300" w:lineRule="exact"/>
              <w:jc w:val="left"/>
              <w:rPr>
                <w:rFonts w:ascii="宋体" w:cs="宋体"/>
                <w:color w:val="000000"/>
                <w:sz w:val="24"/>
              </w:rPr>
            </w:pPr>
          </w:p>
        </w:tc>
      </w:tr>
      <w:tr>
        <w:trPr>
          <w:trHeight w:val="23"/>
        </w:trPr>
        <w:tc>
          <w:tcPr>
            <w:tcW w:w="652" w:type="dxa"/>
            <w:vMerge/>
            <w:tcBorders>
              <w:top w:val="single" w:sz="4" w:space="0" w:color="000000"/>
              <w:left w:val="single" w:sz="4" w:space="0" w:color="000000"/>
              <w:bottom w:val="single" w:sz="4" w:space="0" w:color="000000"/>
              <w:right w:val="single" w:sz="4" w:space="0" w:color="000000"/>
            </w:tcBorders>
            <w:noWrap/>
            <w:vAlign w:val="center"/>
          </w:tcPr>
          <w:p/>
        </w:tc>
        <w:tc>
          <w:tcPr>
            <w:tcW w:w="4041" w:type="dxa"/>
            <w:gridSpan w:val="3"/>
            <w:tcBorders>
              <w:top w:val="single" w:sz="4" w:space="0" w:color="000000"/>
              <w:left w:val="single" w:sz="4" w:space="0" w:color="000000"/>
              <w:bottom w:val="single" w:sz="4" w:space="0" w:color="000000"/>
              <w:right w:val="single" w:sz="4" w:space="0" w:color="000000"/>
            </w:tcBorders>
            <w:noWrap/>
            <w:vAlign w:val="center"/>
          </w:tcPr>
          <w:p>
            <w:pPr>
              <w:widowControl/>
              <w:spacing w:line="300" w:lineRule="exact"/>
              <w:jc w:val="left"/>
              <w:textAlignment w:val="center"/>
              <w:rPr>
                <w:rFonts w:ascii="宋体" w:cs="宋体"/>
                <w:color w:val="000000"/>
                <w:sz w:val="24"/>
              </w:rPr>
            </w:pPr>
            <w:r>
              <w:rPr>
                <w:rFonts w:ascii="宋体" w:cs="宋体"/>
                <w:color w:val="000000"/>
                <w:kern w:val="0"/>
                <w:sz w:val="24"/>
              </w:rPr>
              <w:t>资金管理办法（名称、文号）</w:t>
            </w:r>
          </w:p>
        </w:tc>
        <w:tc>
          <w:tcPr>
            <w:tcW w:w="5667" w:type="dxa"/>
            <w:gridSpan w:val="5"/>
            <w:tcBorders>
              <w:top w:val="single" w:sz="4" w:space="0" w:color="000000"/>
              <w:left w:val="single" w:sz="4" w:space="0" w:color="000000"/>
              <w:bottom w:val="single" w:sz="4" w:space="0" w:color="000000"/>
              <w:right w:val="single" w:sz="4" w:space="0" w:color="000000"/>
            </w:tcBorders>
            <w:noWrap/>
            <w:vAlign w:val="center"/>
          </w:tcPr>
          <w:p>
            <w:pPr>
              <w:spacing w:line="300" w:lineRule="exact"/>
              <w:jc w:val="left"/>
              <w:rPr>
                <w:rFonts w:ascii="宋体" w:cs="宋体"/>
                <w:color w:val="000000"/>
                <w:sz w:val="24"/>
              </w:rPr>
            </w:pPr>
            <w:r>
              <w:rPr>
                <w:rFonts w:ascii="宋体" w:cs="宋体" w:hint="eastAsia"/>
                <w:color w:val="000000"/>
                <w:sz w:val="24"/>
              </w:rPr>
              <w:t>汶川县统计局专项资金管理办法</w:t>
            </w:r>
          </w:p>
        </w:tc>
      </w:tr>
      <w:tr>
        <w:trPr>
          <w:trHeight w:val="23"/>
        </w:trPr>
        <w:tc>
          <w:tcPr>
            <w:tcW w:w="652" w:type="dxa"/>
            <w:vMerge/>
            <w:tcBorders>
              <w:top w:val="single" w:sz="4" w:space="0" w:color="000000"/>
              <w:left w:val="single" w:sz="4" w:space="0" w:color="000000"/>
              <w:bottom w:val="single" w:sz="4" w:space="0" w:color="000000"/>
              <w:right w:val="single" w:sz="4" w:space="0" w:color="000000"/>
            </w:tcBorders>
            <w:noWrap/>
            <w:vAlign w:val="center"/>
          </w:tcPr>
          <w:p/>
        </w:tc>
        <w:tc>
          <w:tcPr>
            <w:tcW w:w="4041" w:type="dxa"/>
            <w:gridSpan w:val="3"/>
            <w:tcBorders>
              <w:top w:val="single" w:sz="4" w:space="0" w:color="000000"/>
              <w:left w:val="single" w:sz="4" w:space="0" w:color="000000"/>
              <w:bottom w:val="single" w:sz="4" w:space="0" w:color="000000"/>
              <w:right w:val="single" w:sz="4" w:space="0" w:color="000000"/>
            </w:tcBorders>
            <w:noWrap/>
            <w:vAlign w:val="center"/>
          </w:tcPr>
          <w:p>
            <w:pPr>
              <w:widowControl/>
              <w:spacing w:line="300" w:lineRule="exact"/>
              <w:jc w:val="left"/>
              <w:textAlignment w:val="center"/>
              <w:rPr>
                <w:rFonts w:ascii="宋体" w:cs="宋体"/>
                <w:color w:val="000000"/>
                <w:sz w:val="24"/>
              </w:rPr>
            </w:pPr>
            <w:r>
              <w:rPr>
                <w:rFonts w:ascii="宋体" w:cs="宋体"/>
                <w:color w:val="000000"/>
                <w:kern w:val="0"/>
                <w:sz w:val="24"/>
              </w:rPr>
              <w:t>绩效分配方式</w:t>
            </w:r>
          </w:p>
        </w:tc>
        <w:tc>
          <w:tcPr>
            <w:tcW w:w="1245" w:type="dxa"/>
            <w:tcBorders>
              <w:top w:val="single" w:sz="4" w:space="0" w:color="000000"/>
              <w:left w:val="single" w:sz="4" w:space="0" w:color="000000"/>
              <w:bottom w:val="single" w:sz="4" w:space="0" w:color="000000"/>
              <w:right w:val="single" w:sz="4" w:space="0" w:color="000000"/>
            </w:tcBorders>
            <w:noWrap/>
            <w:vAlign w:val="center"/>
          </w:tcPr>
          <w:p>
            <w:pPr>
              <w:widowControl/>
              <w:spacing w:line="300" w:lineRule="exact"/>
              <w:jc w:val="left"/>
              <w:textAlignment w:val="center"/>
              <w:rPr>
                <w:rFonts w:ascii="Wingdings 2" w:eastAsia="Wingdings 2" w:cs="Wingdings 2" w:hAnsi="Wingdings 2"/>
                <w:color w:val="000000"/>
                <w:sz w:val="24"/>
              </w:rPr>
            </w:pPr>
            <w:r>
              <w:rPr>
                <w:rFonts w:ascii="Wingdings 2" w:eastAsia="Wingdings 2" w:cs="Wingdings 2" w:hAnsi="Wingdings 2"/>
                <w:color w:val="000000"/>
                <w:kern w:val="0"/>
                <w:sz w:val="24"/>
              </w:rPr>
              <w:t></w:t>
            </w:r>
            <w:r>
              <w:rPr>
                <w:rFonts w:ascii="宋体" w:cs="宋体"/>
                <w:color w:val="000000"/>
                <w:kern w:val="0"/>
                <w:sz w:val="24"/>
              </w:rPr>
              <w:t>因素法</w:t>
            </w:r>
          </w:p>
        </w:tc>
        <w:tc>
          <w:tcPr>
            <w:tcW w:w="1875" w:type="dxa"/>
            <w:gridSpan w:val="2"/>
            <w:tcBorders>
              <w:top w:val="single" w:sz="4" w:space="0" w:color="000000"/>
              <w:left w:val="single" w:sz="4" w:space="0" w:color="000000"/>
              <w:bottom w:val="single" w:sz="4" w:space="0" w:color="000000"/>
              <w:right w:val="single" w:sz="4" w:space="0" w:color="000000"/>
            </w:tcBorders>
            <w:noWrap/>
            <w:vAlign w:val="center"/>
          </w:tcPr>
          <w:p>
            <w:pPr>
              <w:widowControl/>
              <w:spacing w:line="300" w:lineRule="exact"/>
              <w:jc w:val="center"/>
              <w:textAlignment w:val="center"/>
              <w:rPr>
                <w:rFonts w:ascii="Wingdings 2" w:eastAsia="Wingdings 2" w:cs="Wingdings 2" w:hAnsi="Wingdings 2"/>
                <w:color w:val="000000"/>
                <w:sz w:val="24"/>
              </w:rPr>
            </w:pPr>
            <w:r>
              <w:rPr>
                <w:rFonts w:ascii="Wingdings 2" w:eastAsia="Wingdings 2" w:cs="Wingdings 2" w:hAnsi="Wingdings 2"/>
                <w:color w:val="000000"/>
                <w:kern w:val="0"/>
                <w:sz w:val="24"/>
              </w:rPr>
              <w:t>项目法</w:t>
            </w:r>
          </w:p>
        </w:tc>
        <w:tc>
          <w:tcPr>
            <w:tcW w:w="765" w:type="dxa"/>
            <w:tcBorders>
              <w:top w:val="single" w:sz="4" w:space="0" w:color="000000"/>
              <w:left w:val="single" w:sz="4" w:space="0" w:color="000000"/>
              <w:bottom w:val="single" w:sz="4" w:space="0" w:color="000000"/>
              <w:right w:val="single" w:sz="4" w:space="0" w:color="000000"/>
            </w:tcBorders>
            <w:noWrap/>
            <w:vAlign w:val="center"/>
          </w:tcPr>
          <w:p>
            <w:pPr>
              <w:widowControl/>
              <w:spacing w:line="300" w:lineRule="exact"/>
              <w:jc w:val="center"/>
              <w:textAlignment w:val="center"/>
              <w:rPr>
                <w:rFonts w:ascii="Wingdings 2" w:eastAsia="Wingdings 2" w:cs="Wingdings 2" w:hAnsi="Wingdings 2"/>
                <w:color w:val="000000"/>
                <w:sz w:val="24"/>
              </w:rPr>
            </w:pPr>
            <w:r>
              <w:rPr>
                <w:rFonts w:ascii="Wingdings 2" w:eastAsia="Wingdings 2" w:cs="Wingdings 2" w:hAnsi="Wingdings 2"/>
                <w:color w:val="000000"/>
                <w:kern w:val="0"/>
                <w:sz w:val="24"/>
              </w:rPr>
              <w:t></w:t>
            </w:r>
            <w:r>
              <w:rPr>
                <w:rFonts w:ascii="宋体" w:cs="宋体"/>
                <w:color w:val="000000"/>
                <w:kern w:val="0"/>
                <w:sz w:val="24"/>
              </w:rPr>
              <w:t>据实据效</w:t>
            </w:r>
          </w:p>
        </w:tc>
        <w:tc>
          <w:tcPr>
            <w:tcW w:w="1782" w:type="dxa"/>
            <w:tcBorders>
              <w:top w:val="single" w:sz="4" w:space="0" w:color="000000"/>
              <w:left w:val="single" w:sz="4" w:space="0" w:color="000000"/>
              <w:bottom w:val="single" w:sz="4" w:space="0" w:color="000000"/>
              <w:right w:val="single" w:sz="4" w:space="0" w:color="000000"/>
            </w:tcBorders>
            <w:noWrap/>
            <w:vAlign w:val="center"/>
          </w:tcPr>
          <w:p>
            <w:pPr>
              <w:widowControl/>
              <w:spacing w:line="300" w:lineRule="exact"/>
              <w:jc w:val="center"/>
              <w:textAlignment w:val="center"/>
              <w:rPr>
                <w:rFonts w:ascii="Wingdings 2" w:eastAsia="Wingdings 2" w:cs="Wingdings 2" w:hAnsi="Wingdings 2"/>
                <w:color w:val="000000"/>
                <w:sz w:val="24"/>
              </w:rPr>
            </w:pPr>
            <w:r>
              <w:rPr>
                <w:rFonts w:ascii="Wingdings 2" w:eastAsia="Wingdings 2" w:cs="Wingdings 2" w:hAnsi="Wingdings 2"/>
                <w:color w:val="000000"/>
                <w:kern w:val="0"/>
                <w:sz w:val="24"/>
              </w:rPr>
              <w:sym w:font="Wingdings 2" w:char="52"/>
            </w:r>
            <w:r>
              <w:rPr>
                <w:rFonts w:ascii="宋体" w:cs="宋体"/>
                <w:color w:val="000000"/>
                <w:kern w:val="0"/>
                <w:sz w:val="24"/>
              </w:rPr>
              <w:t>因素法与项目法相结合</w:t>
            </w:r>
          </w:p>
        </w:tc>
      </w:tr>
      <w:tr>
        <w:trPr>
          <w:trHeight w:val="23"/>
        </w:trPr>
        <w:tc>
          <w:tcPr>
            <w:tcW w:w="652" w:type="dxa"/>
            <w:vMerge/>
            <w:tcBorders>
              <w:top w:val="single" w:sz="4" w:space="0" w:color="000000"/>
              <w:left w:val="single" w:sz="4" w:space="0" w:color="000000"/>
              <w:bottom w:val="single" w:sz="4" w:space="0" w:color="000000"/>
              <w:right w:val="single" w:sz="4" w:space="0" w:color="000000"/>
            </w:tcBorders>
            <w:noWrap/>
            <w:vAlign w:val="center"/>
          </w:tcPr>
          <w:p/>
        </w:tc>
        <w:tc>
          <w:tcPr>
            <w:tcW w:w="4041" w:type="dxa"/>
            <w:gridSpan w:val="3"/>
            <w:tcBorders>
              <w:top w:val="single" w:sz="4" w:space="0" w:color="000000"/>
              <w:left w:val="single" w:sz="4" w:space="0" w:color="000000"/>
              <w:bottom w:val="single" w:sz="4" w:space="0" w:color="000000"/>
              <w:right w:val="single" w:sz="4" w:space="0" w:color="000000"/>
            </w:tcBorders>
            <w:noWrap/>
            <w:vAlign w:val="center"/>
          </w:tcPr>
          <w:p>
            <w:pPr>
              <w:widowControl/>
              <w:spacing w:line="300" w:lineRule="exact"/>
              <w:jc w:val="left"/>
              <w:textAlignment w:val="center"/>
              <w:rPr>
                <w:rFonts w:ascii="宋体" w:cs="宋体"/>
                <w:color w:val="000000"/>
                <w:sz w:val="24"/>
              </w:rPr>
            </w:pPr>
            <w:r>
              <w:rPr>
                <w:rFonts w:ascii="宋体" w:cs="宋体"/>
                <w:color w:val="000000"/>
                <w:kern w:val="0"/>
                <w:sz w:val="24"/>
              </w:rPr>
              <w:t>立项依据</w:t>
            </w:r>
          </w:p>
        </w:tc>
        <w:tc>
          <w:tcPr>
            <w:tcW w:w="5667" w:type="dxa"/>
            <w:gridSpan w:val="5"/>
            <w:tcBorders>
              <w:top w:val="single" w:sz="4" w:space="0" w:color="000000"/>
              <w:left w:val="single" w:sz="4" w:space="0" w:color="000000"/>
              <w:bottom w:val="single" w:sz="4" w:space="0" w:color="000000"/>
              <w:right w:val="single" w:sz="4" w:space="0" w:color="000000"/>
            </w:tcBorders>
            <w:noWrap/>
            <w:vAlign w:val="center"/>
          </w:tcPr>
          <w:p>
            <w:pPr>
              <w:spacing w:line="300" w:lineRule="exact"/>
              <w:jc w:val="left"/>
              <w:rPr>
                <w:rFonts w:ascii="宋体" w:cs="宋体"/>
                <w:color w:val="000000"/>
                <w:sz w:val="24"/>
              </w:rPr>
            </w:pPr>
            <w:r>
              <w:rPr>
                <w:rFonts w:ascii="宋体" w:cs="宋体" w:hint="eastAsia"/>
                <w:sz w:val="24"/>
              </w:rPr>
              <w:t>全县乡镇统计工作开展，加大乡村两级统计员的培训力度，切实提高基层统计队伍的素质。</w:t>
            </w:r>
          </w:p>
        </w:tc>
      </w:tr>
      <w:tr>
        <w:trPr>
          <w:trHeight w:val="23"/>
        </w:trPr>
        <w:tc>
          <w:tcPr>
            <w:tcW w:w="652" w:type="dxa"/>
            <w:vMerge/>
            <w:tcBorders>
              <w:top w:val="single" w:sz="4" w:space="0" w:color="000000"/>
              <w:left w:val="single" w:sz="4" w:space="0" w:color="000000"/>
              <w:bottom w:val="single" w:sz="4" w:space="0" w:color="000000"/>
              <w:right w:val="single" w:sz="4" w:space="0" w:color="000000"/>
            </w:tcBorders>
            <w:noWrap/>
            <w:vAlign w:val="center"/>
          </w:tcPr>
          <w:p/>
        </w:tc>
        <w:tc>
          <w:tcPr>
            <w:tcW w:w="4041" w:type="dxa"/>
            <w:gridSpan w:val="3"/>
            <w:tcBorders>
              <w:top w:val="single" w:sz="4" w:space="0" w:color="000000"/>
              <w:left w:val="single" w:sz="4" w:space="0" w:color="000000"/>
              <w:bottom w:val="single" w:sz="4" w:space="0" w:color="000000"/>
              <w:right w:val="single" w:sz="4" w:space="0" w:color="000000"/>
            </w:tcBorders>
            <w:noWrap/>
            <w:vAlign w:val="center"/>
          </w:tcPr>
          <w:p>
            <w:pPr>
              <w:widowControl/>
              <w:spacing w:line="300" w:lineRule="exact"/>
              <w:jc w:val="left"/>
              <w:textAlignment w:val="center"/>
              <w:rPr>
                <w:rFonts w:ascii="宋体" w:cs="宋体"/>
                <w:color w:val="000000"/>
                <w:sz w:val="24"/>
              </w:rPr>
            </w:pPr>
            <w:r>
              <w:rPr>
                <w:rFonts w:ascii="宋体" w:cs="宋体"/>
                <w:color w:val="000000"/>
                <w:kern w:val="0"/>
                <w:sz w:val="24"/>
              </w:rPr>
              <w:t>使用范围</w:t>
            </w:r>
          </w:p>
        </w:tc>
        <w:tc>
          <w:tcPr>
            <w:tcW w:w="5667" w:type="dxa"/>
            <w:gridSpan w:val="5"/>
            <w:tcBorders>
              <w:top w:val="single" w:sz="4" w:space="0" w:color="000000"/>
              <w:left w:val="single" w:sz="4" w:space="0" w:color="000000"/>
              <w:bottom w:val="single" w:sz="4" w:space="0" w:color="000000"/>
              <w:right w:val="single" w:sz="4" w:space="0" w:color="000000"/>
            </w:tcBorders>
            <w:noWrap/>
            <w:vAlign w:val="center"/>
          </w:tcPr>
          <w:p>
            <w:pPr>
              <w:spacing w:line="300" w:lineRule="exact"/>
              <w:jc w:val="left"/>
              <w:rPr>
                <w:rFonts w:ascii="宋体" w:cs="宋体"/>
                <w:color w:val="000000"/>
                <w:sz w:val="24"/>
              </w:rPr>
            </w:pPr>
            <w:r>
              <w:rPr>
                <w:rFonts w:ascii="宋体" w:cs="宋体" w:hint="eastAsia"/>
                <w:color w:val="000000"/>
                <w:sz w:val="24"/>
              </w:rPr>
              <w:t>乡镇开展统计业务工作经费，指导乡镇比诸业务，培训等</w:t>
            </w:r>
          </w:p>
        </w:tc>
      </w:tr>
      <w:tr>
        <w:trPr>
          <w:trHeight w:val="23"/>
        </w:trPr>
        <w:tc>
          <w:tcPr>
            <w:tcW w:w="652" w:type="dxa"/>
            <w:vMerge/>
            <w:tcBorders>
              <w:top w:val="single" w:sz="4" w:space="0" w:color="000000"/>
              <w:left w:val="single" w:sz="4" w:space="0" w:color="000000"/>
              <w:bottom w:val="single" w:sz="4" w:space="0" w:color="000000"/>
              <w:right w:val="single" w:sz="4" w:space="0" w:color="000000"/>
            </w:tcBorders>
            <w:noWrap/>
            <w:vAlign w:val="center"/>
          </w:tcPr>
          <w:p/>
        </w:tc>
        <w:tc>
          <w:tcPr>
            <w:tcW w:w="4041" w:type="dxa"/>
            <w:gridSpan w:val="3"/>
            <w:tcBorders>
              <w:top w:val="single" w:sz="4" w:space="0" w:color="000000"/>
              <w:left w:val="single" w:sz="4" w:space="0" w:color="000000"/>
              <w:bottom w:val="single" w:sz="4" w:space="0" w:color="000000"/>
              <w:right w:val="single" w:sz="4" w:space="0" w:color="000000"/>
            </w:tcBorders>
            <w:noWrap/>
            <w:vAlign w:val="center"/>
          </w:tcPr>
          <w:p>
            <w:pPr>
              <w:widowControl/>
              <w:spacing w:line="300" w:lineRule="exact"/>
              <w:jc w:val="left"/>
              <w:textAlignment w:val="center"/>
              <w:rPr>
                <w:rFonts w:ascii="宋体" w:cs="宋体"/>
                <w:color w:val="000000"/>
                <w:sz w:val="24"/>
              </w:rPr>
            </w:pPr>
            <w:r>
              <w:rPr>
                <w:rFonts w:ascii="宋体" w:cs="宋体"/>
                <w:color w:val="000000"/>
                <w:kern w:val="0"/>
                <w:sz w:val="24"/>
              </w:rPr>
              <w:t>申报（补助）条件</w:t>
            </w:r>
          </w:p>
        </w:tc>
        <w:tc>
          <w:tcPr>
            <w:tcW w:w="5667" w:type="dxa"/>
            <w:gridSpan w:val="5"/>
            <w:tcBorders>
              <w:top w:val="single" w:sz="4" w:space="0" w:color="000000"/>
              <w:left w:val="single" w:sz="4" w:space="0" w:color="000000"/>
              <w:bottom w:val="single" w:sz="4" w:space="0" w:color="000000"/>
              <w:right w:val="single" w:sz="4" w:space="0" w:color="000000"/>
            </w:tcBorders>
            <w:noWrap/>
            <w:vAlign w:val="center"/>
          </w:tcPr>
          <w:p>
            <w:pPr>
              <w:spacing w:line="300" w:lineRule="exact"/>
              <w:jc w:val="left"/>
              <w:rPr>
                <w:rFonts w:ascii="宋体" w:cs="宋体"/>
                <w:color w:val="000000"/>
                <w:sz w:val="24"/>
              </w:rPr>
            </w:pPr>
            <w:r>
              <w:rPr>
                <w:rFonts w:ascii="宋体" w:cs="宋体" w:hint="eastAsia"/>
                <w:color w:val="000000"/>
                <w:sz w:val="24"/>
              </w:rPr>
              <w:t>乡镇统计站无工作经费预算资金</w:t>
            </w:r>
          </w:p>
        </w:tc>
      </w:tr>
      <w:tr>
        <w:trPr>
          <w:trHeight w:val="23"/>
        </w:trPr>
        <w:tc>
          <w:tcPr>
            <w:tcW w:w="652" w:type="dxa"/>
            <w:vMerge/>
            <w:tcBorders>
              <w:top w:val="single" w:sz="4" w:space="0" w:color="000000"/>
              <w:left w:val="single" w:sz="4" w:space="0" w:color="000000"/>
              <w:bottom w:val="single" w:sz="4" w:space="0" w:color="000000"/>
              <w:right w:val="single" w:sz="4" w:space="0" w:color="000000"/>
            </w:tcBorders>
            <w:noWrap/>
            <w:vAlign w:val="center"/>
          </w:tcPr>
          <w:p/>
        </w:tc>
        <w:tc>
          <w:tcPr>
            <w:tcW w:w="4041" w:type="dxa"/>
            <w:gridSpan w:val="3"/>
            <w:tcBorders>
              <w:top w:val="single" w:sz="4" w:space="0" w:color="000000"/>
              <w:left w:val="single" w:sz="4" w:space="0" w:color="000000"/>
              <w:bottom w:val="single" w:sz="4" w:space="0" w:color="000000"/>
              <w:right w:val="single" w:sz="4" w:space="0" w:color="000000"/>
            </w:tcBorders>
            <w:noWrap/>
            <w:vAlign w:val="center"/>
          </w:tcPr>
          <w:p>
            <w:pPr>
              <w:widowControl/>
              <w:spacing w:line="300" w:lineRule="exact"/>
              <w:jc w:val="left"/>
              <w:textAlignment w:val="center"/>
              <w:rPr>
                <w:rFonts w:ascii="宋体" w:cs="宋体"/>
                <w:color w:val="000000"/>
                <w:sz w:val="24"/>
              </w:rPr>
            </w:pPr>
            <w:r>
              <w:rPr>
                <w:rFonts w:ascii="宋体" w:cs="宋体"/>
                <w:color w:val="000000"/>
                <w:kern w:val="0"/>
                <w:sz w:val="24"/>
              </w:rPr>
              <w:t>项目起止年限</w:t>
            </w:r>
          </w:p>
        </w:tc>
        <w:tc>
          <w:tcPr>
            <w:tcW w:w="5667" w:type="dxa"/>
            <w:gridSpan w:val="5"/>
            <w:tcBorders>
              <w:top w:val="single" w:sz="4" w:space="0" w:color="000000"/>
              <w:left w:val="single" w:sz="4" w:space="0" w:color="000000"/>
              <w:bottom w:val="single" w:sz="4" w:space="0" w:color="000000"/>
              <w:right w:val="single" w:sz="4" w:space="0" w:color="000000"/>
            </w:tcBorders>
            <w:noWrap/>
            <w:vAlign w:val="center"/>
          </w:tcPr>
          <w:p>
            <w:pPr>
              <w:spacing w:line="300" w:lineRule="exact"/>
              <w:rPr>
                <w:rFonts w:ascii="宋体" w:cs="宋体"/>
                <w:color w:val="000000"/>
                <w:sz w:val="24"/>
              </w:rPr>
            </w:pPr>
            <w:r>
              <w:rPr>
                <w:rFonts w:ascii="宋体" w:cs="宋体" w:hint="eastAsia"/>
                <w:color w:val="000000"/>
                <w:sz w:val="24"/>
              </w:rPr>
              <w:t>常年预算项目</w:t>
            </w:r>
          </w:p>
        </w:tc>
      </w:tr>
      <w:tr>
        <w:trPr>
          <w:trHeight w:val="23"/>
        </w:trPr>
        <w:tc>
          <w:tcPr>
            <w:tcW w:w="1733" w:type="dxa"/>
            <w:gridSpan w:val="2"/>
            <w:vMerge w:val="restart"/>
            <w:tcBorders>
              <w:top w:val="single" w:sz="4" w:space="0" w:color="000000"/>
              <w:left w:val="single" w:sz="4" w:space="0" w:color="000000"/>
              <w:bottom w:val="single" w:sz="4" w:space="0" w:color="000000"/>
              <w:right w:val="single" w:sz="4" w:space="0" w:color="000000"/>
            </w:tcBorders>
            <w:noWrap/>
            <w:vAlign w:val="center"/>
          </w:tcPr>
          <w:p>
            <w:pPr>
              <w:widowControl/>
              <w:spacing w:line="300" w:lineRule="exact"/>
              <w:jc w:val="center"/>
              <w:textAlignment w:val="center"/>
              <w:rPr>
                <w:rFonts w:ascii="宋体" w:cs="宋体"/>
                <w:color w:val="000000"/>
                <w:kern w:val="0"/>
                <w:sz w:val="24"/>
              </w:rPr>
            </w:pPr>
            <w:r>
              <w:rPr>
                <w:rFonts w:ascii="宋体" w:cs="宋体"/>
                <w:color w:val="000000"/>
                <w:kern w:val="0"/>
                <w:sz w:val="24"/>
              </w:rPr>
              <w:t>项目资金</w:t>
            </w:r>
          </w:p>
          <w:p>
            <w:pPr>
              <w:widowControl/>
              <w:spacing w:line="300" w:lineRule="exact"/>
              <w:jc w:val="center"/>
              <w:textAlignment w:val="center"/>
              <w:rPr>
                <w:rFonts w:ascii="宋体" w:cs="宋体"/>
                <w:color w:val="000000"/>
                <w:sz w:val="24"/>
              </w:rPr>
            </w:pPr>
            <w:r>
              <w:rPr>
                <w:rFonts w:ascii="宋体" w:cs="宋体"/>
                <w:color w:val="000000"/>
                <w:kern w:val="0"/>
                <w:sz w:val="24"/>
              </w:rPr>
              <w:t>（万元）</w:t>
            </w:r>
          </w:p>
        </w:tc>
        <w:tc>
          <w:tcPr>
            <w:tcW w:w="2960" w:type="dxa"/>
            <w:gridSpan w:val="2"/>
            <w:tcBorders>
              <w:top w:val="single" w:sz="4" w:space="0" w:color="000000"/>
              <w:left w:val="single" w:sz="4" w:space="0" w:color="000000"/>
              <w:bottom w:val="single" w:sz="4" w:space="0" w:color="000000"/>
              <w:right w:val="single" w:sz="4" w:space="0" w:color="000000"/>
            </w:tcBorders>
            <w:noWrap/>
            <w:vAlign w:val="center"/>
          </w:tcPr>
          <w:p>
            <w:pPr>
              <w:widowControl/>
              <w:spacing w:line="300" w:lineRule="exact"/>
              <w:jc w:val="left"/>
              <w:textAlignment w:val="center"/>
              <w:rPr>
                <w:rFonts w:ascii="宋体" w:cs="宋体"/>
                <w:color w:val="000000"/>
                <w:sz w:val="24"/>
              </w:rPr>
            </w:pPr>
            <w:r>
              <w:rPr>
                <w:rFonts w:ascii="宋体" w:cs="宋体"/>
                <w:color w:val="000000"/>
                <w:kern w:val="0"/>
                <w:sz w:val="24"/>
              </w:rPr>
              <w:t xml:space="preserve">  年度资金总额：</w:t>
            </w:r>
          </w:p>
        </w:tc>
        <w:tc>
          <w:tcPr>
            <w:tcW w:w="5667" w:type="dxa"/>
            <w:gridSpan w:val="5"/>
            <w:tcBorders>
              <w:top w:val="single" w:sz="4" w:space="0" w:color="000000"/>
              <w:left w:val="single" w:sz="4" w:space="0" w:color="000000"/>
              <w:bottom w:val="single" w:sz="4" w:space="0" w:color="000000"/>
              <w:right w:val="single" w:sz="4" w:space="0" w:color="000000"/>
            </w:tcBorders>
            <w:noWrap/>
            <w:vAlign w:val="center"/>
          </w:tcPr>
          <w:p>
            <w:pPr>
              <w:spacing w:line="300" w:lineRule="exact"/>
              <w:jc w:val="center"/>
              <w:rPr>
                <w:rFonts w:ascii="宋体" w:cs="宋体"/>
                <w:color w:val="000000"/>
                <w:sz w:val="24"/>
              </w:rPr>
            </w:pPr>
            <w:r>
              <w:rPr>
                <w:rFonts w:ascii="宋体" w:cs="宋体" w:hint="eastAsia"/>
                <w:color w:val="000000"/>
                <w:sz w:val="24"/>
              </w:rPr>
              <w:t>4.00</w:t>
            </w:r>
          </w:p>
        </w:tc>
      </w:tr>
      <w:tr>
        <w:trPr>
          <w:trHeight w:val="23"/>
        </w:trPr>
        <w:tc>
          <w:tcPr>
            <w:tcW w:w="1733" w:type="dxa"/>
            <w:gridSpan w:val="2"/>
            <w:vMerge/>
            <w:tcBorders>
              <w:top w:val="single" w:sz="4" w:space="0" w:color="000000"/>
              <w:left w:val="single" w:sz="4" w:space="0" w:color="000000"/>
              <w:bottom w:val="single" w:sz="4" w:space="0" w:color="000000"/>
              <w:right w:val="single" w:sz="4" w:space="0" w:color="000000"/>
            </w:tcBorders>
            <w:noWrap/>
            <w:vAlign w:val="center"/>
          </w:tcPr>
          <w:p/>
        </w:tc>
        <w:tc>
          <w:tcPr>
            <w:tcW w:w="2960" w:type="dxa"/>
            <w:gridSpan w:val="2"/>
            <w:tcBorders>
              <w:top w:val="single" w:sz="4" w:space="0" w:color="000000"/>
              <w:left w:val="single" w:sz="4" w:space="0" w:color="000000"/>
              <w:bottom w:val="single" w:sz="4" w:space="0" w:color="000000"/>
              <w:right w:val="single" w:sz="4" w:space="0" w:color="000000"/>
            </w:tcBorders>
            <w:noWrap/>
            <w:vAlign w:val="center"/>
          </w:tcPr>
          <w:p>
            <w:pPr>
              <w:widowControl/>
              <w:spacing w:line="300" w:lineRule="exact"/>
              <w:jc w:val="left"/>
              <w:textAlignment w:val="center"/>
              <w:rPr>
                <w:rFonts w:ascii="宋体" w:cs="宋体"/>
                <w:color w:val="000000"/>
                <w:sz w:val="24"/>
              </w:rPr>
            </w:pPr>
            <w:r>
              <w:rPr>
                <w:rFonts w:ascii="宋体" w:cs="宋体"/>
                <w:color w:val="000000"/>
                <w:kern w:val="0"/>
                <w:sz w:val="24"/>
              </w:rPr>
              <w:t xml:space="preserve">     </w:t>
            </w:r>
            <w:r>
              <w:rPr>
                <w:rFonts w:ascii="宋体" w:cs="宋体" w:hint="eastAsia"/>
                <w:color w:val="000000"/>
                <w:kern w:val="0"/>
                <w:sz w:val="24"/>
              </w:rPr>
              <w:t xml:space="preserve"> </w:t>
            </w:r>
            <w:r>
              <w:rPr>
                <w:rFonts w:ascii="宋体" w:cs="宋体"/>
                <w:color w:val="000000"/>
                <w:kern w:val="0"/>
                <w:sz w:val="24"/>
              </w:rPr>
              <w:t>其中：财政拨款</w:t>
            </w:r>
          </w:p>
        </w:tc>
        <w:tc>
          <w:tcPr>
            <w:tcW w:w="5667" w:type="dxa"/>
            <w:gridSpan w:val="5"/>
            <w:tcBorders>
              <w:top w:val="single" w:sz="4" w:space="0" w:color="000000"/>
              <w:left w:val="single" w:sz="4" w:space="0" w:color="000000"/>
              <w:bottom w:val="single" w:sz="4" w:space="0" w:color="000000"/>
              <w:right w:val="single" w:sz="4" w:space="0" w:color="000000"/>
            </w:tcBorders>
            <w:noWrap/>
            <w:vAlign w:val="center"/>
          </w:tcPr>
          <w:p>
            <w:pPr>
              <w:spacing w:line="300" w:lineRule="exact"/>
              <w:jc w:val="center"/>
              <w:rPr>
                <w:rFonts w:ascii="宋体" w:cs="宋体"/>
                <w:color w:val="000000"/>
                <w:sz w:val="24"/>
              </w:rPr>
            </w:pPr>
            <w:r>
              <w:rPr>
                <w:rFonts w:ascii="宋体" w:cs="宋体" w:hint="eastAsia"/>
                <w:color w:val="000000"/>
                <w:sz w:val="24"/>
              </w:rPr>
              <w:t>4.00</w:t>
            </w:r>
          </w:p>
        </w:tc>
      </w:tr>
      <w:tr>
        <w:trPr>
          <w:trHeight w:val="23"/>
        </w:trPr>
        <w:tc>
          <w:tcPr>
            <w:tcW w:w="1733" w:type="dxa"/>
            <w:gridSpan w:val="2"/>
            <w:vMerge/>
            <w:tcBorders>
              <w:top w:val="single" w:sz="4" w:space="0" w:color="000000"/>
              <w:left w:val="single" w:sz="4" w:space="0" w:color="000000"/>
              <w:bottom w:val="single" w:sz="4" w:space="0" w:color="000000"/>
              <w:right w:val="single" w:sz="4" w:space="0" w:color="000000"/>
            </w:tcBorders>
            <w:noWrap/>
            <w:vAlign w:val="center"/>
          </w:tcPr>
          <w:p/>
        </w:tc>
        <w:tc>
          <w:tcPr>
            <w:tcW w:w="2960" w:type="dxa"/>
            <w:gridSpan w:val="2"/>
            <w:tcBorders>
              <w:top w:val="single" w:sz="4" w:space="0" w:color="000000"/>
              <w:left w:val="single" w:sz="4" w:space="0" w:color="000000"/>
              <w:bottom w:val="single" w:sz="4" w:space="0" w:color="000000"/>
              <w:right w:val="single" w:sz="4" w:space="0" w:color="000000"/>
            </w:tcBorders>
            <w:noWrap/>
            <w:vAlign w:val="center"/>
          </w:tcPr>
          <w:p>
            <w:pPr>
              <w:widowControl/>
              <w:spacing w:line="300" w:lineRule="exact"/>
              <w:jc w:val="left"/>
              <w:textAlignment w:val="center"/>
              <w:rPr>
                <w:rFonts w:ascii="宋体" w:cs="宋体"/>
                <w:color w:val="000000"/>
                <w:sz w:val="24"/>
              </w:rPr>
            </w:pPr>
            <w:r>
              <w:rPr>
                <w:rFonts w:ascii="宋体" w:cs="宋体"/>
                <w:color w:val="000000"/>
                <w:kern w:val="0"/>
                <w:sz w:val="24"/>
              </w:rPr>
              <w:t xml:space="preserve">            其他资金</w:t>
            </w:r>
          </w:p>
        </w:tc>
        <w:tc>
          <w:tcPr>
            <w:tcW w:w="5667" w:type="dxa"/>
            <w:gridSpan w:val="5"/>
            <w:tcBorders>
              <w:top w:val="single" w:sz="4" w:space="0" w:color="000000"/>
              <w:left w:val="single" w:sz="4" w:space="0" w:color="000000"/>
              <w:bottom w:val="single" w:sz="4" w:space="0" w:color="000000"/>
              <w:right w:val="single" w:sz="4" w:space="0" w:color="000000"/>
            </w:tcBorders>
            <w:noWrap/>
            <w:vAlign w:val="center"/>
          </w:tcPr>
          <w:p>
            <w:pPr>
              <w:spacing w:line="300" w:lineRule="exact"/>
              <w:jc w:val="right"/>
              <w:rPr>
                <w:rFonts w:ascii="宋体" w:cs="宋体"/>
                <w:color w:val="000000"/>
                <w:sz w:val="24"/>
              </w:rPr>
            </w:pPr>
          </w:p>
        </w:tc>
      </w:tr>
      <w:tr>
        <w:trPr>
          <w:trHeight w:val="23"/>
        </w:trPr>
        <w:tc>
          <w:tcPr>
            <w:tcW w:w="652" w:type="dxa"/>
            <w:vMerge w:val="restart"/>
            <w:tcBorders>
              <w:top w:val="single" w:sz="4" w:space="0" w:color="000000"/>
              <w:left w:val="single" w:sz="4" w:space="0" w:color="000000"/>
              <w:bottom w:val="single" w:sz="4" w:space="0" w:color="000000"/>
              <w:right w:val="single" w:sz="4" w:space="0" w:color="000000"/>
            </w:tcBorders>
            <w:noWrap/>
            <w:vAlign w:val="center"/>
          </w:tcPr>
          <w:p>
            <w:pPr>
              <w:widowControl/>
              <w:spacing w:line="300" w:lineRule="exact"/>
              <w:jc w:val="center"/>
              <w:textAlignment w:val="center"/>
              <w:rPr>
                <w:rFonts w:ascii="宋体" w:cs="宋体"/>
                <w:color w:val="000000"/>
                <w:sz w:val="24"/>
              </w:rPr>
            </w:pPr>
            <w:r>
              <w:rPr>
                <w:rFonts w:ascii="宋体" w:cs="宋体"/>
                <w:color w:val="000000"/>
                <w:kern w:val="0"/>
                <w:sz w:val="24"/>
              </w:rPr>
              <w:t>总体 目标</w:t>
            </w:r>
          </w:p>
        </w:tc>
        <w:tc>
          <w:tcPr>
            <w:tcW w:w="9708" w:type="dxa"/>
            <w:gridSpan w:val="8"/>
            <w:tcBorders>
              <w:top w:val="single" w:sz="4" w:space="0" w:color="000000"/>
              <w:left w:val="single" w:sz="4" w:space="0" w:color="000000"/>
              <w:bottom w:val="single" w:sz="4" w:space="0" w:color="000000"/>
              <w:right w:val="single" w:sz="4" w:space="0" w:color="000000"/>
            </w:tcBorders>
            <w:noWrap/>
            <w:vAlign w:val="center"/>
          </w:tcPr>
          <w:p>
            <w:pPr>
              <w:widowControl/>
              <w:spacing w:line="300" w:lineRule="exact"/>
              <w:jc w:val="center"/>
              <w:textAlignment w:val="center"/>
              <w:rPr>
                <w:rFonts w:ascii="宋体" w:cs="宋体"/>
                <w:color w:val="000000"/>
                <w:sz w:val="24"/>
              </w:rPr>
            </w:pPr>
            <w:r>
              <w:rPr>
                <w:rFonts w:ascii="宋体" w:cs="宋体"/>
                <w:color w:val="000000"/>
                <w:kern w:val="0"/>
                <w:sz w:val="24"/>
              </w:rPr>
              <w:t>年度目标</w:t>
            </w:r>
          </w:p>
        </w:tc>
      </w:tr>
      <w:tr>
        <w:trPr>
          <w:trHeight w:val="23"/>
        </w:trPr>
        <w:tc>
          <w:tcPr>
            <w:tcW w:w="652" w:type="dxa"/>
            <w:vMerge/>
            <w:tcBorders>
              <w:top w:val="single" w:sz="4" w:space="0" w:color="000000"/>
              <w:left w:val="single" w:sz="4" w:space="0" w:color="000000"/>
              <w:bottom w:val="single" w:sz="4" w:space="0" w:color="000000"/>
              <w:right w:val="single" w:sz="4" w:space="0" w:color="000000"/>
            </w:tcBorders>
            <w:noWrap/>
            <w:vAlign w:val="center"/>
          </w:tcPr>
          <w:p/>
        </w:tc>
        <w:tc>
          <w:tcPr>
            <w:tcW w:w="9708" w:type="dxa"/>
            <w:gridSpan w:val="8"/>
            <w:tcBorders>
              <w:top w:val="single" w:sz="4" w:space="0" w:color="000000"/>
              <w:left w:val="single" w:sz="4" w:space="0" w:color="000000"/>
              <w:bottom w:val="single" w:sz="4" w:space="0" w:color="000000"/>
              <w:right w:val="single" w:sz="4" w:space="0" w:color="000000"/>
            </w:tcBorders>
            <w:noWrap/>
            <w:vAlign w:val="center"/>
          </w:tcPr>
          <w:p>
            <w:pPr>
              <w:spacing w:line="300" w:lineRule="exact"/>
              <w:rPr>
                <w:rFonts w:ascii="宋体" w:cs="宋体"/>
                <w:color w:val="000000"/>
                <w:sz w:val="24"/>
              </w:rPr>
            </w:pPr>
            <w:r>
              <w:rPr>
                <w:rFonts w:ascii="宋体" w:cs="宋体" w:hint="eastAsia"/>
                <w:color w:val="000000"/>
                <w:sz w:val="24"/>
              </w:rPr>
              <w:t>全年完成对各镇的指导不少于9次，开展统计执法不少于1次，有效提升各镇统计人员业务水平。</w:t>
            </w:r>
          </w:p>
        </w:tc>
      </w:tr>
      <w:tr>
        <w:trPr>
          <w:trHeight w:val="23"/>
        </w:trPr>
        <w:tc>
          <w:tcPr>
            <w:tcW w:w="652" w:type="dxa"/>
            <w:vMerge w:val="restart"/>
            <w:tcBorders>
              <w:top w:val="single" w:sz="4" w:space="0" w:color="000000"/>
              <w:left w:val="single" w:sz="4" w:space="0" w:color="000000"/>
              <w:bottom w:val="single" w:sz="4" w:space="0" w:color="000000"/>
            </w:tcBorders>
            <w:noWrap/>
            <w:vAlign w:val="center"/>
          </w:tcPr>
          <w:p>
            <w:pPr>
              <w:widowControl/>
              <w:spacing w:line="300" w:lineRule="exact"/>
              <w:jc w:val="center"/>
              <w:textAlignment w:val="center"/>
              <w:rPr>
                <w:rFonts w:ascii="宋体" w:cs="宋体"/>
                <w:color w:val="000000"/>
                <w:sz w:val="24"/>
              </w:rPr>
            </w:pPr>
            <w:r>
              <w:rPr>
                <w:rFonts w:ascii="宋体" w:cs="宋体"/>
                <w:color w:val="000000"/>
                <w:kern w:val="0"/>
                <w:sz w:val="24"/>
              </w:rPr>
              <w:t>绩效 指标</w:t>
            </w:r>
          </w:p>
        </w:tc>
        <w:tc>
          <w:tcPr>
            <w:tcW w:w="1081" w:type="dxa"/>
            <w:tcBorders>
              <w:top w:val="single" w:sz="4" w:space="0" w:color="000000"/>
              <w:left w:val="single" w:sz="4" w:space="0" w:color="000000"/>
              <w:bottom w:val="single" w:sz="4" w:space="0" w:color="000000"/>
              <w:right w:val="single" w:sz="4" w:space="0" w:color="000000"/>
            </w:tcBorders>
            <w:noWrap/>
            <w:vAlign w:val="center"/>
          </w:tcPr>
          <w:p>
            <w:pPr>
              <w:widowControl/>
              <w:spacing w:line="300" w:lineRule="exact"/>
              <w:jc w:val="center"/>
              <w:textAlignment w:val="center"/>
              <w:rPr>
                <w:rFonts w:ascii="宋体" w:cs="宋体"/>
                <w:color w:val="000000"/>
                <w:sz w:val="24"/>
              </w:rPr>
            </w:pPr>
            <w:r>
              <w:rPr>
                <w:rFonts w:ascii="宋体" w:cs="宋体"/>
                <w:color w:val="000000"/>
                <w:kern w:val="0"/>
                <w:sz w:val="24"/>
              </w:rPr>
              <w:t>一级指标</w:t>
            </w:r>
          </w:p>
        </w:tc>
        <w:tc>
          <w:tcPr>
            <w:tcW w:w="1250" w:type="dxa"/>
            <w:tcBorders>
              <w:top w:val="single" w:sz="4" w:space="0" w:color="000000"/>
              <w:left w:val="single" w:sz="4" w:space="0" w:color="000000"/>
              <w:bottom w:val="single" w:sz="4" w:space="0" w:color="000000"/>
              <w:right w:val="single" w:sz="4" w:space="0" w:color="000000"/>
            </w:tcBorders>
            <w:noWrap/>
            <w:vAlign w:val="center"/>
          </w:tcPr>
          <w:p>
            <w:pPr>
              <w:widowControl/>
              <w:spacing w:line="300" w:lineRule="exact"/>
              <w:jc w:val="center"/>
              <w:textAlignment w:val="center"/>
              <w:rPr>
                <w:rFonts w:ascii="宋体" w:cs="宋体"/>
                <w:color w:val="000000"/>
                <w:sz w:val="24"/>
              </w:rPr>
            </w:pPr>
            <w:r>
              <w:rPr>
                <w:rFonts w:ascii="宋体" w:cs="宋体"/>
                <w:color w:val="000000"/>
                <w:kern w:val="0"/>
                <w:sz w:val="24"/>
              </w:rPr>
              <w:t>二级指标</w:t>
            </w:r>
          </w:p>
        </w:tc>
        <w:tc>
          <w:tcPr>
            <w:tcW w:w="1710" w:type="dxa"/>
            <w:tcBorders>
              <w:top w:val="single" w:sz="4" w:space="0" w:color="000000"/>
              <w:left w:val="single" w:sz="4" w:space="0" w:color="000000"/>
              <w:bottom w:val="single" w:sz="4" w:space="0" w:color="000000"/>
              <w:right w:val="single" w:sz="4" w:space="0" w:color="000000"/>
            </w:tcBorders>
            <w:noWrap/>
            <w:vAlign w:val="center"/>
          </w:tcPr>
          <w:p>
            <w:pPr>
              <w:widowControl/>
              <w:spacing w:line="300" w:lineRule="exact"/>
              <w:jc w:val="center"/>
              <w:textAlignment w:val="center"/>
              <w:rPr>
                <w:rFonts w:ascii="宋体" w:cs="宋体"/>
                <w:color w:val="000000"/>
                <w:sz w:val="24"/>
              </w:rPr>
            </w:pPr>
            <w:r>
              <w:rPr>
                <w:rFonts w:ascii="宋体" w:cs="宋体"/>
                <w:color w:val="000000"/>
                <w:kern w:val="0"/>
                <w:sz w:val="24"/>
              </w:rPr>
              <w:t>三级指标</w:t>
            </w:r>
          </w:p>
        </w:tc>
        <w:tc>
          <w:tcPr>
            <w:tcW w:w="1245" w:type="dxa"/>
            <w:tcBorders>
              <w:top w:val="single" w:sz="4" w:space="0" w:color="000000"/>
              <w:left w:val="single" w:sz="4" w:space="0" w:color="000000"/>
              <w:bottom w:val="single" w:sz="4" w:space="0" w:color="000000"/>
              <w:right w:val="single" w:sz="4" w:space="0" w:color="000000"/>
            </w:tcBorders>
            <w:noWrap/>
            <w:vAlign w:val="center"/>
          </w:tcPr>
          <w:p>
            <w:pPr>
              <w:widowControl/>
              <w:spacing w:line="300" w:lineRule="exact"/>
              <w:jc w:val="center"/>
              <w:textAlignment w:val="center"/>
              <w:rPr>
                <w:rFonts w:ascii="宋体" w:cs="宋体"/>
                <w:color w:val="000000"/>
                <w:sz w:val="24"/>
              </w:rPr>
            </w:pPr>
            <w:r>
              <w:rPr>
                <w:rFonts w:ascii="宋体" w:cs="宋体"/>
                <w:color w:val="000000"/>
                <w:kern w:val="0"/>
                <w:sz w:val="24"/>
              </w:rPr>
              <w:t>指标性质</w:t>
            </w:r>
          </w:p>
        </w:tc>
        <w:tc>
          <w:tcPr>
            <w:tcW w:w="885" w:type="dxa"/>
            <w:tcBorders>
              <w:top w:val="single" w:sz="4" w:space="0" w:color="000000"/>
              <w:left w:val="single" w:sz="4" w:space="0" w:color="000000"/>
              <w:bottom w:val="single" w:sz="4" w:space="0" w:color="000000"/>
              <w:right w:val="single" w:sz="4" w:space="0" w:color="000000"/>
            </w:tcBorders>
            <w:noWrap/>
            <w:vAlign w:val="center"/>
          </w:tcPr>
          <w:p>
            <w:pPr>
              <w:widowControl/>
              <w:spacing w:line="300" w:lineRule="exact"/>
              <w:jc w:val="center"/>
              <w:textAlignment w:val="center"/>
              <w:rPr>
                <w:rFonts w:ascii="宋体" w:cs="宋体"/>
                <w:color w:val="000000"/>
                <w:sz w:val="24"/>
              </w:rPr>
            </w:pPr>
            <w:r>
              <w:rPr>
                <w:rFonts w:ascii="宋体" w:cs="宋体"/>
                <w:color w:val="000000"/>
                <w:kern w:val="0"/>
                <w:sz w:val="24"/>
              </w:rPr>
              <w:t>指标值</w:t>
            </w:r>
          </w:p>
        </w:tc>
        <w:tc>
          <w:tcPr>
            <w:tcW w:w="990" w:type="dxa"/>
            <w:tcBorders>
              <w:top w:val="single" w:sz="4" w:space="0" w:color="000000"/>
              <w:left w:val="single" w:sz="4" w:space="0" w:color="000000"/>
              <w:bottom w:val="single" w:sz="4" w:space="0" w:color="000000"/>
              <w:right w:val="single" w:sz="4" w:space="0" w:color="000000"/>
            </w:tcBorders>
            <w:noWrap/>
            <w:vAlign w:val="center"/>
          </w:tcPr>
          <w:p>
            <w:pPr>
              <w:widowControl/>
              <w:spacing w:line="300" w:lineRule="exact"/>
              <w:jc w:val="center"/>
              <w:textAlignment w:val="center"/>
              <w:rPr>
                <w:rFonts w:ascii="宋体" w:cs="宋体"/>
                <w:color w:val="000000"/>
                <w:sz w:val="24"/>
              </w:rPr>
            </w:pPr>
            <w:r>
              <w:rPr>
                <w:rFonts w:ascii="宋体" w:cs="宋体"/>
                <w:color w:val="000000"/>
                <w:kern w:val="0"/>
                <w:sz w:val="24"/>
              </w:rPr>
              <w:t>度量单位</w:t>
            </w:r>
          </w:p>
        </w:tc>
        <w:tc>
          <w:tcPr>
            <w:tcW w:w="765" w:type="dxa"/>
            <w:tcBorders>
              <w:top w:val="single" w:sz="4" w:space="0" w:color="000000"/>
              <w:left w:val="single" w:sz="4" w:space="0" w:color="000000"/>
              <w:bottom w:val="single" w:sz="4" w:space="0" w:color="000000"/>
              <w:right w:val="single" w:sz="4" w:space="0" w:color="000000"/>
            </w:tcBorders>
            <w:noWrap/>
            <w:vAlign w:val="center"/>
          </w:tcPr>
          <w:p>
            <w:pPr>
              <w:widowControl/>
              <w:spacing w:line="300" w:lineRule="exact"/>
              <w:jc w:val="center"/>
              <w:textAlignment w:val="center"/>
              <w:rPr>
                <w:rFonts w:ascii="宋体" w:cs="宋体"/>
                <w:color w:val="000000"/>
                <w:sz w:val="24"/>
              </w:rPr>
            </w:pPr>
            <w:r>
              <w:rPr>
                <w:rFonts w:ascii="宋体" w:cs="宋体"/>
                <w:color w:val="000000"/>
                <w:kern w:val="0"/>
                <w:sz w:val="24"/>
              </w:rPr>
              <w:t>权重</w:t>
            </w:r>
          </w:p>
        </w:tc>
        <w:tc>
          <w:tcPr>
            <w:tcW w:w="1782" w:type="dxa"/>
            <w:tcBorders>
              <w:top w:val="single" w:sz="4" w:space="0" w:color="000000"/>
              <w:left w:val="single" w:sz="4" w:space="0" w:color="000000"/>
              <w:bottom w:val="single" w:sz="4" w:space="0" w:color="000000"/>
              <w:right w:val="single" w:sz="4" w:space="0" w:color="000000"/>
            </w:tcBorders>
            <w:noWrap/>
            <w:vAlign w:val="center"/>
          </w:tcPr>
          <w:p>
            <w:pPr>
              <w:widowControl/>
              <w:spacing w:line="300" w:lineRule="exact"/>
              <w:jc w:val="center"/>
              <w:textAlignment w:val="center"/>
              <w:rPr>
                <w:rFonts w:ascii="宋体" w:cs="宋体"/>
                <w:color w:val="000000"/>
                <w:sz w:val="24"/>
              </w:rPr>
            </w:pPr>
            <w:r>
              <w:rPr>
                <w:rFonts w:ascii="宋体" w:cs="宋体"/>
                <w:color w:val="000000"/>
                <w:kern w:val="0"/>
                <w:sz w:val="24"/>
              </w:rPr>
              <w:t>实际完成指标值</w:t>
            </w:r>
          </w:p>
        </w:tc>
      </w:tr>
      <w:tr>
        <w:trPr>
          <w:trHeight w:val="23"/>
        </w:trPr>
        <w:tc>
          <w:tcPr>
            <w:tcW w:w="652" w:type="dxa"/>
            <w:vMerge/>
            <w:tcBorders>
              <w:top w:val="single" w:sz="4" w:space="0" w:color="000000"/>
              <w:left w:val="single" w:sz="4" w:space="0" w:color="000000"/>
              <w:bottom w:val="single" w:sz="4" w:space="0" w:color="000000"/>
            </w:tcBorders>
            <w:noWrap/>
            <w:vAlign w:val="center"/>
          </w:tcPr>
          <w:p/>
        </w:tc>
        <w:tc>
          <w:tcPr>
            <w:tcW w:w="1081" w:type="dxa"/>
            <w:vMerge w:val="restart"/>
            <w:tcBorders>
              <w:top w:val="single" w:sz="4" w:space="0" w:color="000000"/>
              <w:left w:val="single" w:sz="4" w:space="0" w:color="000000"/>
              <w:bottom w:val="single" w:sz="4" w:space="0" w:color="000000"/>
              <w:right w:val="single" w:sz="4" w:space="0" w:color="000000"/>
            </w:tcBorders>
            <w:noWrap/>
            <w:vAlign w:val="center"/>
          </w:tcPr>
          <w:p>
            <w:pPr>
              <w:widowControl/>
              <w:spacing w:line="300" w:lineRule="exact"/>
              <w:jc w:val="center"/>
              <w:textAlignment w:val="center"/>
              <w:rPr>
                <w:rFonts w:ascii="宋体" w:cs="宋体"/>
                <w:color w:val="000000"/>
                <w:sz w:val="24"/>
              </w:rPr>
            </w:pPr>
            <w:r>
              <w:rPr>
                <w:rFonts w:ascii="宋体" w:cs="宋体"/>
                <w:color w:val="000000"/>
                <w:kern w:val="0"/>
                <w:sz w:val="24"/>
              </w:rPr>
              <w:t>产出指标</w:t>
            </w:r>
          </w:p>
        </w:tc>
        <w:tc>
          <w:tcPr>
            <w:tcW w:w="1250" w:type="dxa"/>
            <w:vMerge w:val="restart"/>
            <w:tcBorders>
              <w:top w:val="single" w:sz="4" w:space="0" w:color="000000"/>
              <w:left w:val="single" w:sz="4" w:space="0" w:color="000000"/>
              <w:bottom w:val="single" w:sz="4" w:space="0" w:color="000000"/>
              <w:right w:val="single" w:sz="4" w:space="0" w:color="000000"/>
            </w:tcBorders>
            <w:noWrap/>
            <w:vAlign w:val="center"/>
          </w:tcPr>
          <w:p>
            <w:pPr>
              <w:widowControl/>
              <w:spacing w:line="300" w:lineRule="exact"/>
              <w:jc w:val="center"/>
              <w:textAlignment w:val="center"/>
              <w:rPr>
                <w:rFonts w:ascii="宋体" w:cs="宋体"/>
                <w:color w:val="000000"/>
                <w:sz w:val="24"/>
              </w:rPr>
            </w:pPr>
            <w:r>
              <w:rPr>
                <w:rFonts w:ascii="宋体" w:cs="宋体"/>
                <w:color w:val="000000"/>
                <w:kern w:val="0"/>
                <w:sz w:val="24"/>
              </w:rPr>
              <w:t>数量指标</w:t>
            </w:r>
          </w:p>
        </w:tc>
        <w:tc>
          <w:tcPr>
            <w:tcW w:w="1710" w:type="dxa"/>
            <w:tcBorders>
              <w:top w:val="single" w:sz="4" w:space="0" w:color="000000"/>
              <w:left w:val="single" w:sz="4" w:space="0" w:color="000000"/>
              <w:bottom w:val="single" w:sz="4" w:space="0" w:color="000000"/>
              <w:right w:val="single" w:sz="4" w:space="0" w:color="000000"/>
            </w:tcBorders>
            <w:noWrap/>
            <w:vAlign w:val="center"/>
          </w:tcPr>
          <w:p>
            <w:pPr>
              <w:spacing w:line="300" w:lineRule="exact"/>
              <w:rPr>
                <w:rFonts w:ascii="宋体" w:cs="宋体"/>
                <w:color w:val="000000"/>
                <w:szCs w:val="21"/>
              </w:rPr>
            </w:pPr>
            <w:r>
              <w:rPr>
                <w:rFonts w:ascii="宋体" w:cs="宋体" w:hint="eastAsia"/>
                <w:color w:val="000000"/>
                <w:szCs w:val="21"/>
              </w:rPr>
              <w:t>对各镇的统计人员业务指导及检查</w:t>
            </w:r>
          </w:p>
        </w:tc>
        <w:tc>
          <w:tcPr>
            <w:tcW w:w="1245" w:type="dxa"/>
            <w:tcBorders>
              <w:top w:val="single" w:sz="4" w:space="0" w:color="000000"/>
              <w:left w:val="single" w:sz="4" w:space="0" w:color="000000"/>
              <w:bottom w:val="single" w:sz="4" w:space="0" w:color="000000"/>
              <w:right w:val="single" w:sz="4" w:space="0" w:color="000000"/>
            </w:tcBorders>
            <w:noWrap/>
            <w:vAlign w:val="center"/>
          </w:tcPr>
          <w:p>
            <w:pPr>
              <w:spacing w:line="300" w:lineRule="exact"/>
              <w:jc w:val="center"/>
              <w:rPr>
                <w:rFonts w:ascii="宋体" w:cs="宋体"/>
                <w:color w:val="000000"/>
                <w:sz w:val="24"/>
              </w:rPr>
            </w:pPr>
            <w:r>
              <w:rPr>
                <w:rFonts w:ascii="Arial" w:cs="Arial" w:hAnsi="Arial"/>
                <w:color w:val="000000"/>
                <w:sz w:val="24"/>
              </w:rPr>
              <w:t>≥</w:t>
            </w:r>
          </w:p>
        </w:tc>
        <w:tc>
          <w:tcPr>
            <w:tcW w:w="885" w:type="dxa"/>
            <w:tcBorders>
              <w:top w:val="single" w:sz="4" w:space="0" w:color="000000"/>
              <w:left w:val="single" w:sz="4" w:space="0" w:color="000000"/>
              <w:bottom w:val="single" w:sz="4" w:space="0" w:color="000000"/>
              <w:right w:val="single" w:sz="4" w:space="0" w:color="000000"/>
            </w:tcBorders>
            <w:noWrap/>
            <w:vAlign w:val="center"/>
          </w:tcPr>
          <w:p>
            <w:pPr>
              <w:spacing w:line="300" w:lineRule="exact"/>
              <w:jc w:val="center"/>
              <w:rPr>
                <w:rFonts w:ascii="宋体" w:cs="宋体"/>
                <w:color w:val="000000"/>
                <w:sz w:val="24"/>
              </w:rPr>
            </w:pPr>
            <w:r>
              <w:rPr>
                <w:rFonts w:ascii="宋体" w:cs="宋体" w:hint="eastAsia"/>
                <w:color w:val="000000"/>
                <w:sz w:val="24"/>
              </w:rPr>
              <w:t>9</w:t>
            </w:r>
          </w:p>
        </w:tc>
        <w:tc>
          <w:tcPr>
            <w:tcW w:w="990" w:type="dxa"/>
            <w:tcBorders>
              <w:top w:val="single" w:sz="4" w:space="0" w:color="000000"/>
              <w:left w:val="single" w:sz="4" w:space="0" w:color="000000"/>
              <w:bottom w:val="single" w:sz="4" w:space="0" w:color="000000"/>
              <w:right w:val="single" w:sz="4" w:space="0" w:color="000000"/>
            </w:tcBorders>
            <w:noWrap/>
            <w:vAlign w:val="center"/>
          </w:tcPr>
          <w:p>
            <w:pPr>
              <w:spacing w:line="300" w:lineRule="exact"/>
              <w:jc w:val="center"/>
              <w:rPr>
                <w:rFonts w:ascii="宋体" w:cs="宋体"/>
                <w:color w:val="000000"/>
                <w:sz w:val="24"/>
              </w:rPr>
            </w:pPr>
            <w:r>
              <w:rPr>
                <w:rFonts w:ascii="宋体" w:cs="宋体" w:hint="eastAsia"/>
                <w:color w:val="000000"/>
                <w:sz w:val="24"/>
              </w:rPr>
              <w:t>次</w:t>
            </w:r>
          </w:p>
        </w:tc>
        <w:tc>
          <w:tcPr>
            <w:tcW w:w="765" w:type="dxa"/>
            <w:tcBorders>
              <w:top w:val="single" w:sz="4" w:space="0" w:color="000000"/>
              <w:left w:val="single" w:sz="4" w:space="0" w:color="000000"/>
              <w:bottom w:val="single" w:sz="4" w:space="0" w:color="000000"/>
              <w:right w:val="single" w:sz="4" w:space="0" w:color="000000"/>
            </w:tcBorders>
            <w:noWrap/>
            <w:vAlign w:val="center"/>
          </w:tcPr>
          <w:p>
            <w:pPr>
              <w:spacing w:line="300" w:lineRule="exact"/>
              <w:jc w:val="center"/>
              <w:rPr>
                <w:rFonts w:ascii="宋体" w:cs="宋体"/>
                <w:color w:val="000000"/>
                <w:sz w:val="24"/>
              </w:rPr>
            </w:pPr>
            <w:r>
              <w:rPr>
                <w:rFonts w:ascii="宋体" w:cs="宋体" w:hint="eastAsia"/>
                <w:color w:val="000000"/>
                <w:sz w:val="24"/>
              </w:rPr>
              <w:t>15</w:t>
            </w:r>
          </w:p>
        </w:tc>
        <w:tc>
          <w:tcPr>
            <w:tcW w:w="1782" w:type="dxa"/>
            <w:tcBorders>
              <w:top w:val="single" w:sz="4" w:space="0" w:color="000000"/>
              <w:left w:val="single" w:sz="4" w:space="0" w:color="000000"/>
              <w:bottom w:val="single" w:sz="4" w:space="0" w:color="000000"/>
              <w:right w:val="single" w:sz="4" w:space="0" w:color="000000"/>
            </w:tcBorders>
            <w:noWrap/>
            <w:vAlign w:val="center"/>
          </w:tcPr>
          <w:p>
            <w:pPr>
              <w:spacing w:line="300" w:lineRule="exact"/>
              <w:jc w:val="center"/>
              <w:rPr>
                <w:rFonts w:ascii="宋体" w:cs="宋体"/>
                <w:color w:val="000000"/>
                <w:sz w:val="24"/>
              </w:rPr>
            </w:pPr>
            <w:r>
              <w:rPr>
                <w:rFonts w:ascii="宋体" w:cs="宋体" w:hint="eastAsia"/>
                <w:color w:val="000000"/>
                <w:sz w:val="24"/>
              </w:rPr>
              <w:t>12次</w:t>
            </w:r>
          </w:p>
        </w:tc>
      </w:tr>
      <w:tr>
        <w:trPr>
          <w:trHeight w:val="23"/>
        </w:trPr>
        <w:tc>
          <w:tcPr>
            <w:tcW w:w="652" w:type="dxa"/>
            <w:vMerge/>
            <w:tcBorders>
              <w:top w:val="single" w:sz="4" w:space="0" w:color="000000"/>
              <w:left w:val="single" w:sz="4" w:space="0" w:color="000000"/>
              <w:bottom w:val="single" w:sz="4" w:space="0" w:color="000000"/>
            </w:tcBorders>
            <w:noWrap/>
            <w:vAlign w:val="center"/>
          </w:tcPr>
          <w:p/>
        </w:tc>
        <w:tc>
          <w:tcPr>
            <w:tcW w:w="1081" w:type="dxa"/>
            <w:vMerge/>
            <w:tcBorders>
              <w:top w:val="single" w:sz="4" w:space="0" w:color="000000"/>
              <w:left w:val="single" w:sz="4" w:space="0" w:color="000000"/>
              <w:bottom w:val="single" w:sz="4" w:space="0" w:color="000000"/>
              <w:right w:val="single" w:sz="4" w:space="0" w:color="000000"/>
            </w:tcBorders>
            <w:noWrap/>
            <w:vAlign w:val="center"/>
          </w:tcPr>
          <w:p/>
        </w:tc>
        <w:tc>
          <w:tcPr>
            <w:tcW w:w="1250" w:type="dxa"/>
            <w:vMerge/>
            <w:tcBorders>
              <w:top w:val="single" w:sz="4" w:space="0" w:color="000000"/>
              <w:left w:val="single" w:sz="4" w:space="0" w:color="000000"/>
              <w:bottom w:val="single" w:sz="4" w:space="0" w:color="000000"/>
              <w:right w:val="single" w:sz="4" w:space="0" w:color="000000"/>
            </w:tcBorders>
            <w:noWrap/>
            <w:vAlign w:val="center"/>
          </w:tcPr>
          <w:p/>
        </w:tc>
        <w:tc>
          <w:tcPr>
            <w:tcW w:w="1710" w:type="dxa"/>
            <w:tcBorders>
              <w:top w:val="single" w:sz="4" w:space="0" w:color="000000"/>
              <w:left w:val="single" w:sz="4" w:space="0" w:color="000000"/>
              <w:bottom w:val="single" w:sz="4" w:space="0" w:color="000000"/>
              <w:right w:val="single" w:sz="4" w:space="0" w:color="000000"/>
            </w:tcBorders>
            <w:noWrap/>
            <w:vAlign w:val="center"/>
          </w:tcPr>
          <w:p>
            <w:pPr>
              <w:spacing w:line="300" w:lineRule="exact"/>
              <w:rPr>
                <w:rFonts w:ascii="宋体" w:cs="宋体"/>
                <w:color w:val="000000"/>
                <w:szCs w:val="21"/>
              </w:rPr>
            </w:pPr>
            <w:r>
              <w:rPr>
                <w:rFonts w:ascii="宋体" w:cs="宋体" w:hint="eastAsia"/>
                <w:color w:val="000000"/>
                <w:szCs w:val="21"/>
              </w:rPr>
              <w:t>开展统计执法检查</w:t>
            </w:r>
          </w:p>
        </w:tc>
        <w:tc>
          <w:tcPr>
            <w:tcW w:w="1245" w:type="dxa"/>
            <w:tcBorders>
              <w:top w:val="single" w:sz="4" w:space="0" w:color="000000"/>
              <w:left w:val="single" w:sz="4" w:space="0" w:color="000000"/>
              <w:bottom w:val="single" w:sz="4" w:space="0" w:color="000000"/>
              <w:right w:val="single" w:sz="4" w:space="0" w:color="000000"/>
            </w:tcBorders>
            <w:noWrap/>
            <w:vAlign w:val="center"/>
          </w:tcPr>
          <w:p>
            <w:pPr>
              <w:spacing w:line="300" w:lineRule="exact"/>
              <w:jc w:val="center"/>
              <w:rPr>
                <w:rFonts w:ascii="宋体" w:cs="宋体"/>
                <w:color w:val="000000"/>
                <w:sz w:val="24"/>
              </w:rPr>
            </w:pPr>
            <w:r>
              <w:rPr>
                <w:rFonts w:ascii="Arial" w:cs="Arial" w:hAnsi="Arial"/>
                <w:color w:val="000000"/>
                <w:sz w:val="24"/>
              </w:rPr>
              <w:t>≥</w:t>
            </w:r>
          </w:p>
        </w:tc>
        <w:tc>
          <w:tcPr>
            <w:tcW w:w="885" w:type="dxa"/>
            <w:tcBorders>
              <w:top w:val="single" w:sz="4" w:space="0" w:color="000000"/>
              <w:left w:val="single" w:sz="4" w:space="0" w:color="000000"/>
              <w:bottom w:val="single" w:sz="4" w:space="0" w:color="000000"/>
              <w:right w:val="single" w:sz="4" w:space="0" w:color="000000"/>
            </w:tcBorders>
            <w:noWrap/>
            <w:vAlign w:val="center"/>
          </w:tcPr>
          <w:p>
            <w:pPr>
              <w:spacing w:line="300" w:lineRule="exact"/>
              <w:jc w:val="center"/>
              <w:rPr>
                <w:rFonts w:ascii="宋体" w:cs="宋体"/>
                <w:color w:val="000000"/>
                <w:sz w:val="24"/>
              </w:rPr>
            </w:pPr>
            <w:r>
              <w:rPr>
                <w:rFonts w:ascii="宋体" w:cs="宋体" w:hint="eastAsia"/>
                <w:color w:val="000000"/>
                <w:sz w:val="24"/>
              </w:rPr>
              <w:t>1</w:t>
            </w:r>
          </w:p>
        </w:tc>
        <w:tc>
          <w:tcPr>
            <w:tcW w:w="990" w:type="dxa"/>
            <w:tcBorders>
              <w:top w:val="single" w:sz="4" w:space="0" w:color="000000"/>
              <w:left w:val="single" w:sz="4" w:space="0" w:color="000000"/>
              <w:bottom w:val="single" w:sz="4" w:space="0" w:color="000000"/>
              <w:right w:val="single" w:sz="4" w:space="0" w:color="000000"/>
            </w:tcBorders>
            <w:noWrap/>
            <w:vAlign w:val="center"/>
          </w:tcPr>
          <w:p>
            <w:pPr>
              <w:spacing w:line="300" w:lineRule="exact"/>
              <w:jc w:val="center"/>
              <w:rPr>
                <w:rFonts w:ascii="宋体" w:cs="宋体"/>
                <w:color w:val="000000"/>
                <w:sz w:val="24"/>
              </w:rPr>
            </w:pPr>
            <w:r>
              <w:rPr>
                <w:rFonts w:ascii="宋体" w:cs="宋体" w:hint="eastAsia"/>
                <w:color w:val="000000"/>
                <w:sz w:val="24"/>
              </w:rPr>
              <w:t>次</w:t>
            </w:r>
          </w:p>
        </w:tc>
        <w:tc>
          <w:tcPr>
            <w:tcW w:w="765" w:type="dxa"/>
            <w:tcBorders>
              <w:top w:val="single" w:sz="4" w:space="0" w:color="000000"/>
              <w:left w:val="single" w:sz="4" w:space="0" w:color="000000"/>
              <w:bottom w:val="single" w:sz="4" w:space="0" w:color="000000"/>
              <w:right w:val="single" w:sz="4" w:space="0" w:color="000000"/>
            </w:tcBorders>
            <w:noWrap/>
            <w:vAlign w:val="center"/>
          </w:tcPr>
          <w:p>
            <w:pPr>
              <w:spacing w:line="300" w:lineRule="exact"/>
              <w:jc w:val="center"/>
              <w:rPr>
                <w:rFonts w:ascii="宋体" w:cs="宋体"/>
                <w:color w:val="000000"/>
                <w:sz w:val="24"/>
              </w:rPr>
            </w:pPr>
            <w:r>
              <w:rPr>
                <w:rFonts w:ascii="宋体" w:cs="宋体" w:hint="eastAsia"/>
                <w:color w:val="000000"/>
                <w:sz w:val="24"/>
              </w:rPr>
              <w:t>5</w:t>
            </w:r>
          </w:p>
        </w:tc>
        <w:tc>
          <w:tcPr>
            <w:tcW w:w="1782" w:type="dxa"/>
            <w:tcBorders>
              <w:top w:val="single" w:sz="4" w:space="0" w:color="000000"/>
              <w:left w:val="single" w:sz="4" w:space="0" w:color="000000"/>
              <w:bottom w:val="single" w:sz="4" w:space="0" w:color="000000"/>
              <w:right w:val="single" w:sz="4" w:space="0" w:color="000000"/>
            </w:tcBorders>
            <w:noWrap/>
            <w:vAlign w:val="center"/>
          </w:tcPr>
          <w:p>
            <w:pPr>
              <w:spacing w:line="300" w:lineRule="exact"/>
              <w:jc w:val="center"/>
              <w:rPr>
                <w:rFonts w:ascii="宋体" w:cs="宋体"/>
                <w:color w:val="000000"/>
                <w:sz w:val="24"/>
              </w:rPr>
            </w:pPr>
            <w:r>
              <w:rPr>
                <w:rFonts w:ascii="宋体" w:cs="宋体" w:hint="eastAsia"/>
                <w:color w:val="000000"/>
                <w:sz w:val="24"/>
              </w:rPr>
              <w:t>1次</w:t>
            </w:r>
          </w:p>
        </w:tc>
      </w:tr>
      <w:tr>
        <w:trPr>
          <w:trHeight w:val="23"/>
        </w:trPr>
        <w:tc>
          <w:tcPr>
            <w:tcW w:w="652" w:type="dxa"/>
            <w:vMerge/>
            <w:tcBorders>
              <w:top w:val="single" w:sz="4" w:space="0" w:color="000000"/>
              <w:left w:val="single" w:sz="4" w:space="0" w:color="000000"/>
              <w:bottom w:val="single" w:sz="4" w:space="0" w:color="000000"/>
            </w:tcBorders>
            <w:noWrap/>
            <w:vAlign w:val="center"/>
          </w:tcPr>
          <w:p/>
        </w:tc>
        <w:tc>
          <w:tcPr>
            <w:tcW w:w="1081" w:type="dxa"/>
            <w:vMerge/>
            <w:tcBorders>
              <w:top w:val="single" w:sz="4" w:space="0" w:color="000000"/>
              <w:left w:val="single" w:sz="4" w:space="0" w:color="000000"/>
              <w:bottom w:val="single" w:sz="4" w:space="0" w:color="000000"/>
              <w:right w:val="single" w:sz="4" w:space="0" w:color="000000"/>
            </w:tcBorders>
            <w:noWrap/>
            <w:vAlign w:val="center"/>
          </w:tcPr>
          <w:p/>
        </w:tc>
        <w:tc>
          <w:tcPr>
            <w:tcW w:w="1250" w:type="dxa"/>
            <w:tcBorders>
              <w:top w:val="single" w:sz="4" w:space="0" w:color="000000"/>
              <w:left w:val="single" w:sz="4" w:space="0" w:color="000000"/>
              <w:bottom w:val="single" w:sz="4" w:space="0" w:color="000000"/>
              <w:right w:val="single" w:sz="4" w:space="0" w:color="000000"/>
            </w:tcBorders>
            <w:noWrap/>
            <w:vAlign w:val="center"/>
          </w:tcPr>
          <w:p>
            <w:pPr>
              <w:widowControl/>
              <w:spacing w:line="300" w:lineRule="exact"/>
              <w:jc w:val="center"/>
              <w:textAlignment w:val="center"/>
              <w:rPr>
                <w:rFonts w:ascii="宋体" w:cs="宋体"/>
                <w:color w:val="000000"/>
                <w:sz w:val="24"/>
              </w:rPr>
            </w:pPr>
            <w:r>
              <w:rPr>
                <w:rFonts w:ascii="宋体" w:cs="宋体"/>
                <w:color w:val="000000"/>
                <w:kern w:val="0"/>
                <w:sz w:val="24"/>
              </w:rPr>
              <w:t>质量指标</w:t>
            </w:r>
          </w:p>
        </w:tc>
        <w:tc>
          <w:tcPr>
            <w:tcW w:w="1710" w:type="dxa"/>
            <w:tcBorders>
              <w:top w:val="single" w:sz="4" w:space="0" w:color="000000"/>
              <w:left w:val="single" w:sz="4" w:space="0" w:color="000000"/>
              <w:bottom w:val="single" w:sz="4" w:space="0" w:color="000000"/>
              <w:right w:val="single" w:sz="4" w:space="0" w:color="000000"/>
            </w:tcBorders>
            <w:noWrap/>
            <w:vAlign w:val="center"/>
          </w:tcPr>
          <w:p>
            <w:pPr>
              <w:spacing w:line="300" w:lineRule="exact"/>
              <w:rPr>
                <w:rFonts w:ascii="宋体" w:cs="宋体"/>
                <w:color w:val="000000"/>
                <w:sz w:val="24"/>
              </w:rPr>
            </w:pPr>
            <w:r>
              <w:rPr>
                <w:rFonts w:ascii="宋体" w:cs="宋体" w:hint="eastAsia"/>
                <w:color w:val="000000"/>
                <w:sz w:val="24"/>
              </w:rPr>
              <w:t>提升各镇统计人员业务能力</w:t>
            </w:r>
          </w:p>
        </w:tc>
        <w:tc>
          <w:tcPr>
            <w:tcW w:w="1245" w:type="dxa"/>
            <w:tcBorders>
              <w:top w:val="single" w:sz="4" w:space="0" w:color="000000"/>
              <w:left w:val="single" w:sz="4" w:space="0" w:color="000000"/>
              <w:bottom w:val="single" w:sz="4" w:space="0" w:color="000000"/>
              <w:right w:val="single" w:sz="4" w:space="0" w:color="000000"/>
            </w:tcBorders>
            <w:noWrap/>
            <w:vAlign w:val="center"/>
          </w:tcPr>
          <w:p>
            <w:pPr>
              <w:spacing w:line="300" w:lineRule="exact"/>
              <w:jc w:val="center"/>
              <w:rPr>
                <w:rFonts w:ascii="宋体" w:cs="宋体"/>
                <w:color w:val="000000"/>
                <w:sz w:val="24"/>
              </w:rPr>
            </w:pPr>
            <w:r>
              <w:rPr>
                <w:rFonts w:ascii="宋体" w:cs="宋体" w:hint="eastAsia"/>
                <w:color w:val="000000"/>
                <w:sz w:val="24"/>
              </w:rPr>
              <w:t>定性</w:t>
            </w:r>
          </w:p>
        </w:tc>
        <w:tc>
          <w:tcPr>
            <w:tcW w:w="885" w:type="dxa"/>
            <w:tcBorders>
              <w:top w:val="single" w:sz="4" w:space="0" w:color="000000"/>
              <w:left w:val="single" w:sz="4" w:space="0" w:color="000000"/>
              <w:bottom w:val="single" w:sz="4" w:space="0" w:color="000000"/>
              <w:right w:val="single" w:sz="4" w:space="0" w:color="000000"/>
            </w:tcBorders>
            <w:noWrap/>
            <w:vAlign w:val="center"/>
          </w:tcPr>
          <w:p>
            <w:pPr>
              <w:spacing w:line="300" w:lineRule="exact"/>
              <w:jc w:val="center"/>
              <w:rPr>
                <w:rFonts w:ascii="宋体" w:cs="宋体"/>
                <w:color w:val="000000"/>
                <w:sz w:val="24"/>
              </w:rPr>
            </w:pPr>
            <w:r>
              <w:rPr>
                <w:rFonts w:ascii="宋体" w:cs="宋体" w:hint="eastAsia"/>
                <w:color w:val="000000"/>
                <w:sz w:val="24"/>
              </w:rPr>
              <w:t>有效提升</w:t>
            </w:r>
          </w:p>
        </w:tc>
        <w:tc>
          <w:tcPr>
            <w:tcW w:w="990" w:type="dxa"/>
            <w:tcBorders>
              <w:top w:val="single" w:sz="4" w:space="0" w:color="000000"/>
              <w:left w:val="single" w:sz="4" w:space="0" w:color="000000"/>
              <w:bottom w:val="single" w:sz="4" w:space="0" w:color="000000"/>
              <w:right w:val="single" w:sz="4" w:space="0" w:color="000000"/>
            </w:tcBorders>
            <w:noWrap/>
            <w:vAlign w:val="center"/>
          </w:tcPr>
          <w:p>
            <w:pPr>
              <w:spacing w:line="300" w:lineRule="exact"/>
              <w:jc w:val="center"/>
              <w:rPr>
                <w:rFonts w:ascii="宋体" w:cs="宋体"/>
                <w:color w:val="000000"/>
                <w:sz w:val="24"/>
              </w:rPr>
            </w:pPr>
          </w:p>
        </w:tc>
        <w:tc>
          <w:tcPr>
            <w:tcW w:w="765" w:type="dxa"/>
            <w:tcBorders>
              <w:top w:val="single" w:sz="4" w:space="0" w:color="000000"/>
              <w:left w:val="single" w:sz="4" w:space="0" w:color="000000"/>
              <w:bottom w:val="single" w:sz="4" w:space="0" w:color="000000"/>
              <w:right w:val="single" w:sz="4" w:space="0" w:color="000000"/>
            </w:tcBorders>
            <w:noWrap/>
            <w:vAlign w:val="center"/>
          </w:tcPr>
          <w:p>
            <w:pPr>
              <w:spacing w:line="300" w:lineRule="exact"/>
              <w:jc w:val="center"/>
              <w:rPr>
                <w:rFonts w:ascii="宋体" w:cs="宋体"/>
                <w:color w:val="000000"/>
                <w:sz w:val="24"/>
              </w:rPr>
            </w:pPr>
            <w:r>
              <w:rPr>
                <w:rFonts w:ascii="宋体" w:cs="宋体" w:hint="eastAsia"/>
                <w:color w:val="000000"/>
                <w:sz w:val="24"/>
              </w:rPr>
              <w:t>15</w:t>
            </w:r>
          </w:p>
        </w:tc>
        <w:tc>
          <w:tcPr>
            <w:tcW w:w="1782" w:type="dxa"/>
            <w:tcBorders>
              <w:top w:val="single" w:sz="4" w:space="0" w:color="000000"/>
              <w:left w:val="single" w:sz="4" w:space="0" w:color="000000"/>
              <w:bottom w:val="single" w:sz="4" w:space="0" w:color="000000"/>
              <w:right w:val="single" w:sz="4" w:space="0" w:color="000000"/>
            </w:tcBorders>
            <w:noWrap/>
            <w:vAlign w:val="center"/>
          </w:tcPr>
          <w:p>
            <w:pPr>
              <w:spacing w:line="300" w:lineRule="exact"/>
              <w:jc w:val="center"/>
              <w:rPr>
                <w:rFonts w:ascii="宋体" w:cs="宋体"/>
                <w:color w:val="000000"/>
                <w:sz w:val="24"/>
              </w:rPr>
            </w:pPr>
            <w:r>
              <w:rPr>
                <w:rFonts w:ascii="宋体" w:cs="宋体" w:hint="eastAsia"/>
                <w:color w:val="000000"/>
                <w:sz w:val="24"/>
              </w:rPr>
              <w:t>完成</w:t>
            </w:r>
          </w:p>
        </w:tc>
      </w:tr>
      <w:tr>
        <w:trPr>
          <w:trHeight w:val="23"/>
        </w:trPr>
        <w:tc>
          <w:tcPr>
            <w:tcW w:w="652" w:type="dxa"/>
            <w:vMerge/>
            <w:tcBorders>
              <w:top w:val="single" w:sz="4" w:space="0" w:color="000000"/>
              <w:left w:val="single" w:sz="4" w:space="0" w:color="000000"/>
              <w:bottom w:val="single" w:sz="4" w:space="0" w:color="000000"/>
            </w:tcBorders>
            <w:noWrap/>
            <w:vAlign w:val="center"/>
          </w:tcPr>
          <w:p/>
        </w:tc>
        <w:tc>
          <w:tcPr>
            <w:tcW w:w="1081" w:type="dxa"/>
            <w:vMerge/>
            <w:tcBorders>
              <w:top w:val="single" w:sz="4" w:space="0" w:color="000000"/>
              <w:left w:val="single" w:sz="4" w:space="0" w:color="000000"/>
              <w:bottom w:val="single" w:sz="4" w:space="0" w:color="auto"/>
              <w:right w:val="single" w:sz="4" w:space="0" w:color="000000"/>
            </w:tcBorders>
            <w:noWrap/>
            <w:vAlign w:val="center"/>
          </w:tcPr>
          <w:p/>
        </w:tc>
        <w:tc>
          <w:tcPr>
            <w:tcW w:w="1250" w:type="dxa"/>
            <w:tcBorders>
              <w:top w:val="single" w:sz="4" w:space="0" w:color="000000"/>
              <w:left w:val="single" w:sz="4" w:space="0" w:color="000000"/>
              <w:bottom w:val="single" w:sz="4" w:space="0" w:color="000000"/>
              <w:right w:val="single" w:sz="4" w:space="0" w:color="000000"/>
            </w:tcBorders>
            <w:noWrap/>
            <w:vAlign w:val="center"/>
          </w:tcPr>
          <w:p>
            <w:pPr>
              <w:widowControl/>
              <w:spacing w:line="300" w:lineRule="exact"/>
              <w:jc w:val="center"/>
              <w:textAlignment w:val="center"/>
              <w:rPr>
                <w:rFonts w:ascii="宋体" w:cs="宋体"/>
                <w:color w:val="000000"/>
                <w:sz w:val="24"/>
              </w:rPr>
            </w:pPr>
            <w:r>
              <w:rPr>
                <w:rFonts w:ascii="宋体" w:cs="宋体"/>
                <w:color w:val="000000"/>
                <w:kern w:val="0"/>
                <w:sz w:val="24"/>
              </w:rPr>
              <w:t>时效指标</w:t>
            </w:r>
          </w:p>
        </w:tc>
        <w:tc>
          <w:tcPr>
            <w:tcW w:w="1710" w:type="dxa"/>
            <w:tcBorders>
              <w:top w:val="single" w:sz="4" w:space="0" w:color="000000"/>
              <w:left w:val="single" w:sz="4" w:space="0" w:color="000000"/>
              <w:bottom w:val="single" w:sz="4" w:space="0" w:color="000000"/>
              <w:right w:val="single" w:sz="4" w:space="0" w:color="000000"/>
            </w:tcBorders>
            <w:noWrap/>
            <w:vAlign w:val="center"/>
          </w:tcPr>
          <w:p>
            <w:pPr>
              <w:spacing w:line="300" w:lineRule="exact"/>
              <w:rPr>
                <w:rFonts w:ascii="宋体" w:cs="宋体"/>
                <w:color w:val="000000"/>
                <w:sz w:val="24"/>
              </w:rPr>
            </w:pPr>
            <w:r>
              <w:rPr>
                <w:rFonts w:ascii="宋体" w:cs="宋体" w:hint="eastAsia"/>
                <w:color w:val="000000"/>
                <w:sz w:val="24"/>
              </w:rPr>
              <w:t>完成时限</w:t>
            </w:r>
          </w:p>
        </w:tc>
        <w:tc>
          <w:tcPr>
            <w:tcW w:w="1245" w:type="dxa"/>
            <w:tcBorders>
              <w:top w:val="single" w:sz="4" w:space="0" w:color="000000"/>
              <w:left w:val="single" w:sz="4" w:space="0" w:color="000000"/>
              <w:bottom w:val="single" w:sz="4" w:space="0" w:color="000000"/>
              <w:right w:val="single" w:sz="4" w:space="0" w:color="000000"/>
            </w:tcBorders>
            <w:noWrap/>
            <w:vAlign w:val="center"/>
          </w:tcPr>
          <w:p>
            <w:pPr>
              <w:spacing w:line="300" w:lineRule="exact"/>
              <w:jc w:val="center"/>
              <w:rPr>
                <w:rFonts w:ascii="宋体" w:cs="宋体"/>
                <w:color w:val="000000"/>
                <w:sz w:val="24"/>
              </w:rPr>
            </w:pPr>
            <w:r>
              <w:rPr>
                <w:rFonts w:ascii="宋体" w:cs="宋体" w:hint="eastAsia"/>
                <w:color w:val="000000"/>
                <w:sz w:val="24"/>
              </w:rPr>
              <w:t>≤</w:t>
            </w:r>
          </w:p>
        </w:tc>
        <w:tc>
          <w:tcPr>
            <w:tcW w:w="885" w:type="dxa"/>
            <w:tcBorders>
              <w:top w:val="single" w:sz="4" w:space="0" w:color="000000"/>
              <w:left w:val="single" w:sz="4" w:space="0" w:color="000000"/>
              <w:bottom w:val="single" w:sz="4" w:space="0" w:color="000000"/>
              <w:right w:val="single" w:sz="4" w:space="0" w:color="000000"/>
            </w:tcBorders>
            <w:noWrap/>
            <w:vAlign w:val="center"/>
          </w:tcPr>
          <w:p>
            <w:pPr>
              <w:spacing w:line="300" w:lineRule="exact"/>
              <w:jc w:val="center"/>
              <w:rPr>
                <w:rFonts w:ascii="宋体" w:cs="宋体"/>
                <w:color w:val="000000"/>
                <w:sz w:val="24"/>
              </w:rPr>
            </w:pPr>
            <w:r>
              <w:rPr>
                <w:rFonts w:ascii="宋体" w:cs="宋体" w:hint="eastAsia"/>
                <w:color w:val="000000"/>
                <w:sz w:val="24"/>
              </w:rPr>
              <w:t>12</w:t>
            </w:r>
          </w:p>
        </w:tc>
        <w:tc>
          <w:tcPr>
            <w:tcW w:w="990" w:type="dxa"/>
            <w:tcBorders>
              <w:top w:val="single" w:sz="4" w:space="0" w:color="000000"/>
              <w:left w:val="single" w:sz="4" w:space="0" w:color="000000"/>
              <w:bottom w:val="single" w:sz="4" w:space="0" w:color="000000"/>
              <w:right w:val="single" w:sz="4" w:space="0" w:color="000000"/>
            </w:tcBorders>
            <w:noWrap/>
            <w:vAlign w:val="center"/>
          </w:tcPr>
          <w:p>
            <w:pPr>
              <w:spacing w:line="300" w:lineRule="exact"/>
              <w:jc w:val="center"/>
              <w:rPr>
                <w:rFonts w:ascii="宋体" w:cs="宋体"/>
                <w:color w:val="000000"/>
                <w:sz w:val="24"/>
              </w:rPr>
            </w:pPr>
            <w:r>
              <w:rPr>
                <w:rFonts w:ascii="宋体" w:cs="宋体" w:hint="eastAsia"/>
                <w:color w:val="000000"/>
                <w:sz w:val="24"/>
              </w:rPr>
              <w:t>月</w:t>
            </w:r>
          </w:p>
        </w:tc>
        <w:tc>
          <w:tcPr>
            <w:tcW w:w="765" w:type="dxa"/>
            <w:tcBorders>
              <w:top w:val="single" w:sz="4" w:space="0" w:color="000000"/>
              <w:left w:val="single" w:sz="4" w:space="0" w:color="000000"/>
              <w:bottom w:val="single" w:sz="4" w:space="0" w:color="000000"/>
              <w:right w:val="single" w:sz="4" w:space="0" w:color="000000"/>
            </w:tcBorders>
            <w:noWrap/>
            <w:vAlign w:val="center"/>
          </w:tcPr>
          <w:p>
            <w:pPr>
              <w:spacing w:line="300" w:lineRule="exact"/>
              <w:jc w:val="center"/>
              <w:rPr>
                <w:rFonts w:ascii="宋体" w:cs="宋体"/>
                <w:color w:val="000000"/>
                <w:sz w:val="24"/>
              </w:rPr>
            </w:pPr>
            <w:r>
              <w:rPr>
                <w:rFonts w:ascii="宋体" w:cs="宋体" w:hint="eastAsia"/>
                <w:color w:val="000000"/>
                <w:sz w:val="24"/>
              </w:rPr>
              <w:t>10</w:t>
            </w:r>
          </w:p>
        </w:tc>
        <w:tc>
          <w:tcPr>
            <w:tcW w:w="1782" w:type="dxa"/>
            <w:tcBorders>
              <w:top w:val="single" w:sz="4" w:space="0" w:color="000000"/>
              <w:left w:val="single" w:sz="4" w:space="0" w:color="000000"/>
              <w:bottom w:val="single" w:sz="4" w:space="0" w:color="000000"/>
              <w:right w:val="single" w:sz="4" w:space="0" w:color="000000"/>
            </w:tcBorders>
            <w:noWrap/>
            <w:vAlign w:val="center"/>
          </w:tcPr>
          <w:p>
            <w:pPr>
              <w:spacing w:line="300" w:lineRule="exact"/>
              <w:jc w:val="center"/>
              <w:rPr>
                <w:rFonts w:ascii="宋体" w:cs="宋体"/>
                <w:color w:val="000000"/>
                <w:sz w:val="24"/>
              </w:rPr>
            </w:pPr>
            <w:r>
              <w:rPr>
                <w:rFonts w:ascii="宋体" w:cs="宋体" w:hint="eastAsia"/>
                <w:color w:val="000000"/>
                <w:sz w:val="24"/>
              </w:rPr>
              <w:t>12月完成</w:t>
            </w:r>
          </w:p>
        </w:tc>
      </w:tr>
      <w:tr>
        <w:trPr>
          <w:trHeight w:val="23"/>
        </w:trPr>
        <w:tc>
          <w:tcPr>
            <w:tcW w:w="652" w:type="dxa"/>
            <w:vMerge/>
            <w:tcBorders>
              <w:top w:val="single" w:sz="4" w:space="0" w:color="000000"/>
              <w:left w:val="single" w:sz="4" w:space="0" w:color="000000"/>
              <w:bottom w:val="single" w:sz="4" w:space="0" w:color="000000"/>
            </w:tcBorders>
            <w:noWrap/>
            <w:vAlign w:val="center"/>
          </w:tcPr>
          <w:p/>
        </w:tc>
        <w:tc>
          <w:tcPr>
            <w:tcW w:w="1081" w:type="dxa"/>
            <w:vMerge w:val="restart"/>
            <w:tcBorders>
              <w:top w:val="single" w:sz="4" w:space="0" w:color="auto"/>
              <w:left w:val="single" w:sz="4" w:space="0" w:color="000000"/>
              <w:right w:val="single" w:sz="4" w:space="0" w:color="000000"/>
            </w:tcBorders>
            <w:noWrap/>
            <w:vAlign w:val="center"/>
          </w:tcPr>
          <w:p>
            <w:pPr>
              <w:widowControl/>
              <w:spacing w:line="300" w:lineRule="exact"/>
              <w:jc w:val="center"/>
              <w:textAlignment w:val="center"/>
              <w:rPr>
                <w:rFonts w:ascii="宋体" w:cs="宋体"/>
                <w:color w:val="000000"/>
                <w:kern w:val="0"/>
                <w:sz w:val="24"/>
              </w:rPr>
            </w:pPr>
            <w:r>
              <w:rPr>
                <w:rFonts w:ascii="宋体" w:cs="宋体"/>
                <w:color w:val="000000"/>
                <w:kern w:val="0"/>
                <w:sz w:val="24"/>
              </w:rPr>
              <w:t>效益</w:t>
            </w:r>
          </w:p>
          <w:p>
            <w:pPr>
              <w:spacing w:line="300" w:lineRule="exact"/>
              <w:jc w:val="center"/>
              <w:rPr>
                <w:rFonts w:ascii="宋体" w:cs="宋体"/>
                <w:color w:val="000000"/>
                <w:sz w:val="24"/>
              </w:rPr>
            </w:pPr>
            <w:r>
              <w:rPr>
                <w:rFonts w:ascii="宋体" w:cs="宋体"/>
                <w:color w:val="000000"/>
                <w:kern w:val="0"/>
                <w:sz w:val="24"/>
              </w:rPr>
              <w:t>指标</w:t>
            </w:r>
          </w:p>
        </w:tc>
        <w:tc>
          <w:tcPr>
            <w:tcW w:w="1250" w:type="dxa"/>
            <w:tcBorders>
              <w:top w:val="single" w:sz="4" w:space="0" w:color="000000"/>
              <w:left w:val="single" w:sz="4" w:space="0" w:color="000000"/>
              <w:right w:val="single" w:sz="4" w:space="0" w:color="000000"/>
            </w:tcBorders>
            <w:noWrap/>
            <w:vAlign w:val="center"/>
          </w:tcPr>
          <w:p>
            <w:pPr>
              <w:widowControl/>
              <w:spacing w:line="300" w:lineRule="exact"/>
              <w:jc w:val="center"/>
              <w:textAlignment w:val="center"/>
              <w:rPr>
                <w:rFonts w:ascii="宋体" w:cs="宋体"/>
                <w:color w:val="000000"/>
                <w:kern w:val="0"/>
                <w:sz w:val="24"/>
              </w:rPr>
            </w:pPr>
            <w:r>
              <w:rPr>
                <w:rFonts w:ascii="宋体" w:cs="宋体"/>
                <w:color w:val="000000"/>
                <w:kern w:val="0"/>
                <w:sz w:val="24"/>
              </w:rPr>
              <w:t>社会效益</w:t>
            </w:r>
          </w:p>
          <w:p>
            <w:pPr>
              <w:widowControl/>
              <w:spacing w:line="300" w:lineRule="exact"/>
              <w:jc w:val="center"/>
              <w:textAlignment w:val="center"/>
              <w:rPr>
                <w:rFonts w:ascii="宋体" w:cs="宋体"/>
                <w:color w:val="000000"/>
                <w:sz w:val="24"/>
              </w:rPr>
            </w:pPr>
            <w:r>
              <w:rPr>
                <w:rFonts w:ascii="宋体" w:cs="宋体"/>
                <w:color w:val="000000"/>
                <w:kern w:val="0"/>
                <w:sz w:val="24"/>
              </w:rPr>
              <w:t>指标</w:t>
            </w:r>
          </w:p>
        </w:tc>
        <w:tc>
          <w:tcPr>
            <w:tcW w:w="1710" w:type="dxa"/>
            <w:tcBorders>
              <w:top w:val="single" w:sz="4" w:space="0" w:color="000000"/>
              <w:left w:val="single" w:sz="4" w:space="0" w:color="000000"/>
              <w:bottom w:val="single" w:sz="4" w:space="0" w:color="000000"/>
              <w:right w:val="single" w:sz="4" w:space="0" w:color="000000"/>
            </w:tcBorders>
            <w:noWrap/>
            <w:vAlign w:val="center"/>
          </w:tcPr>
          <w:p>
            <w:pPr>
              <w:spacing w:line="300" w:lineRule="exact"/>
              <w:rPr>
                <w:rFonts w:ascii="宋体" w:cs="宋体"/>
                <w:color w:val="000000"/>
                <w:sz w:val="24"/>
              </w:rPr>
            </w:pPr>
            <w:r>
              <w:rPr>
                <w:rFonts w:ascii="宋体" w:cs="宋体" w:hint="eastAsia"/>
                <w:color w:val="000000"/>
                <w:sz w:val="24"/>
              </w:rPr>
              <w:t>提升数据质量和公信力</w:t>
            </w:r>
          </w:p>
        </w:tc>
        <w:tc>
          <w:tcPr>
            <w:tcW w:w="1245" w:type="dxa"/>
            <w:tcBorders>
              <w:top w:val="single" w:sz="4" w:space="0" w:color="000000"/>
              <w:left w:val="single" w:sz="4" w:space="0" w:color="000000"/>
              <w:bottom w:val="single" w:sz="4" w:space="0" w:color="000000"/>
              <w:right w:val="single" w:sz="4" w:space="0" w:color="000000"/>
            </w:tcBorders>
            <w:noWrap/>
            <w:vAlign w:val="center"/>
          </w:tcPr>
          <w:p>
            <w:pPr>
              <w:spacing w:line="300" w:lineRule="exact"/>
              <w:jc w:val="center"/>
              <w:rPr>
                <w:rFonts w:ascii="宋体" w:cs="宋体"/>
                <w:color w:val="000000"/>
                <w:sz w:val="24"/>
              </w:rPr>
            </w:pPr>
            <w:r>
              <w:rPr>
                <w:rFonts w:ascii="Arial" w:cs="Arial" w:hAnsi="Arial" w:hint="eastAsia"/>
                <w:color w:val="000000"/>
                <w:sz w:val="24"/>
              </w:rPr>
              <w:t>定性</w:t>
            </w:r>
          </w:p>
        </w:tc>
        <w:tc>
          <w:tcPr>
            <w:tcW w:w="885" w:type="dxa"/>
            <w:tcBorders>
              <w:top w:val="single" w:sz="4" w:space="0" w:color="000000"/>
              <w:left w:val="single" w:sz="4" w:space="0" w:color="000000"/>
              <w:bottom w:val="single" w:sz="4" w:space="0" w:color="000000"/>
              <w:right w:val="single" w:sz="4" w:space="0" w:color="000000"/>
            </w:tcBorders>
            <w:noWrap/>
            <w:vAlign w:val="center"/>
          </w:tcPr>
          <w:p>
            <w:pPr>
              <w:spacing w:line="300" w:lineRule="exact"/>
              <w:jc w:val="center"/>
              <w:rPr>
                <w:rFonts w:ascii="宋体" w:cs="宋体"/>
                <w:color w:val="000000"/>
                <w:sz w:val="24"/>
              </w:rPr>
            </w:pPr>
            <w:r>
              <w:rPr>
                <w:rFonts w:ascii="宋体" w:cs="宋体" w:hint="eastAsia"/>
                <w:color w:val="000000"/>
                <w:sz w:val="24"/>
              </w:rPr>
              <w:t>有效提升</w:t>
            </w:r>
          </w:p>
        </w:tc>
        <w:tc>
          <w:tcPr>
            <w:tcW w:w="990" w:type="dxa"/>
            <w:tcBorders>
              <w:top w:val="single" w:sz="4" w:space="0" w:color="000000"/>
              <w:left w:val="single" w:sz="4" w:space="0" w:color="000000"/>
              <w:bottom w:val="single" w:sz="4" w:space="0" w:color="000000"/>
              <w:right w:val="single" w:sz="4" w:space="0" w:color="000000"/>
            </w:tcBorders>
            <w:noWrap/>
            <w:vAlign w:val="center"/>
          </w:tcPr>
          <w:p>
            <w:pPr>
              <w:spacing w:line="300" w:lineRule="exact"/>
              <w:jc w:val="center"/>
              <w:rPr>
                <w:rFonts w:ascii="宋体" w:cs="宋体"/>
                <w:color w:val="000000"/>
                <w:sz w:val="24"/>
              </w:rPr>
            </w:pPr>
          </w:p>
        </w:tc>
        <w:tc>
          <w:tcPr>
            <w:tcW w:w="765" w:type="dxa"/>
            <w:tcBorders>
              <w:top w:val="single" w:sz="4" w:space="0" w:color="000000"/>
              <w:left w:val="single" w:sz="4" w:space="0" w:color="000000"/>
              <w:bottom w:val="single" w:sz="4" w:space="0" w:color="000000"/>
              <w:right w:val="single" w:sz="4" w:space="0" w:color="000000"/>
            </w:tcBorders>
            <w:noWrap/>
            <w:vAlign w:val="center"/>
          </w:tcPr>
          <w:p>
            <w:pPr>
              <w:spacing w:line="300" w:lineRule="exact"/>
              <w:jc w:val="center"/>
              <w:rPr>
                <w:rFonts w:ascii="宋体" w:cs="宋体"/>
                <w:color w:val="000000"/>
                <w:sz w:val="24"/>
              </w:rPr>
            </w:pPr>
            <w:r>
              <w:rPr>
                <w:rFonts w:ascii="宋体" w:cs="宋体" w:hint="eastAsia"/>
                <w:color w:val="000000"/>
                <w:sz w:val="24"/>
              </w:rPr>
              <w:t>20</w:t>
            </w:r>
          </w:p>
        </w:tc>
        <w:tc>
          <w:tcPr>
            <w:tcW w:w="1782" w:type="dxa"/>
            <w:tcBorders>
              <w:top w:val="single" w:sz="4" w:space="0" w:color="000000"/>
              <w:left w:val="single" w:sz="4" w:space="0" w:color="000000"/>
              <w:bottom w:val="single" w:sz="4" w:space="0" w:color="000000"/>
              <w:right w:val="single" w:sz="4" w:space="0" w:color="000000"/>
            </w:tcBorders>
            <w:noWrap/>
            <w:vAlign w:val="center"/>
          </w:tcPr>
          <w:p>
            <w:pPr>
              <w:spacing w:line="300" w:lineRule="exact"/>
              <w:jc w:val="center"/>
              <w:rPr>
                <w:rFonts w:ascii="宋体" w:cs="宋体"/>
                <w:color w:val="000000"/>
                <w:sz w:val="24"/>
              </w:rPr>
            </w:pPr>
            <w:r>
              <w:rPr>
                <w:rFonts w:ascii="宋体" w:cs="宋体" w:hint="eastAsia"/>
                <w:color w:val="000000"/>
                <w:sz w:val="24"/>
              </w:rPr>
              <w:t>完成</w:t>
            </w:r>
          </w:p>
        </w:tc>
      </w:tr>
      <w:tr>
        <w:trPr>
          <w:trHeight w:val="670"/>
        </w:trPr>
        <w:tc>
          <w:tcPr>
            <w:tcW w:w="652" w:type="dxa"/>
            <w:vMerge/>
            <w:tcBorders>
              <w:top w:val="single" w:sz="4" w:space="0" w:color="000000"/>
              <w:left w:val="single" w:sz="4" w:space="0" w:color="000000"/>
              <w:bottom w:val="single" w:sz="4" w:space="0" w:color="000000"/>
            </w:tcBorders>
            <w:noWrap/>
            <w:vAlign w:val="center"/>
          </w:tcPr>
          <w:p/>
        </w:tc>
        <w:tc>
          <w:tcPr>
            <w:tcW w:w="1081" w:type="dxa"/>
            <w:vMerge/>
            <w:tcBorders>
              <w:left w:val="single" w:sz="4" w:space="0" w:color="000000"/>
              <w:right w:val="single" w:sz="4" w:space="0" w:color="000000"/>
            </w:tcBorders>
            <w:noWrap/>
            <w:vAlign w:val="center"/>
          </w:tcPr>
          <w:p/>
        </w:tc>
        <w:tc>
          <w:tcPr>
            <w:tcW w:w="1250" w:type="dxa"/>
            <w:tcBorders>
              <w:top w:val="single" w:sz="4" w:space="0" w:color="000000"/>
              <w:left w:val="single" w:sz="4" w:space="0" w:color="000000"/>
              <w:right w:val="single" w:sz="4" w:space="0" w:color="000000"/>
            </w:tcBorders>
            <w:noWrap/>
            <w:vAlign w:val="center"/>
          </w:tcPr>
          <w:p>
            <w:pPr>
              <w:widowControl/>
              <w:spacing w:line="300" w:lineRule="exact"/>
              <w:jc w:val="center"/>
              <w:textAlignment w:val="center"/>
              <w:rPr>
                <w:rFonts w:ascii="宋体" w:cs="宋体"/>
                <w:color w:val="000000"/>
                <w:kern w:val="0"/>
                <w:sz w:val="24"/>
              </w:rPr>
            </w:pPr>
            <w:r>
              <w:rPr>
                <w:rFonts w:ascii="宋体" w:cs="宋体" w:hint="eastAsia"/>
                <w:color w:val="000000"/>
                <w:kern w:val="0"/>
                <w:sz w:val="24"/>
              </w:rPr>
              <w:t>可持续影响指标</w:t>
            </w:r>
          </w:p>
        </w:tc>
        <w:tc>
          <w:tcPr>
            <w:tcW w:w="1710" w:type="dxa"/>
            <w:tcBorders>
              <w:top w:val="single" w:sz="4" w:space="0" w:color="000000"/>
              <w:left w:val="single" w:sz="4" w:space="0" w:color="000000"/>
              <w:bottom w:val="single" w:sz="4" w:space="0" w:color="000000"/>
              <w:right w:val="single" w:sz="4" w:space="0" w:color="000000"/>
            </w:tcBorders>
            <w:noWrap/>
            <w:vAlign w:val="center"/>
          </w:tcPr>
          <w:p>
            <w:pPr>
              <w:spacing w:line="300" w:lineRule="exact"/>
              <w:rPr>
                <w:rFonts w:ascii="宋体" w:cs="宋体"/>
                <w:color w:val="000000"/>
                <w:sz w:val="24"/>
              </w:rPr>
            </w:pPr>
            <w:r>
              <w:rPr>
                <w:rFonts w:ascii="宋体" w:cs="宋体" w:hint="eastAsia"/>
                <w:color w:val="000000"/>
                <w:sz w:val="24"/>
              </w:rPr>
              <w:t>各镇下一年统计工作的推进</w:t>
            </w:r>
          </w:p>
        </w:tc>
        <w:tc>
          <w:tcPr>
            <w:tcW w:w="1245" w:type="dxa"/>
            <w:tcBorders>
              <w:top w:val="single" w:sz="4" w:space="0" w:color="000000"/>
              <w:left w:val="single" w:sz="4" w:space="0" w:color="000000"/>
              <w:bottom w:val="single" w:sz="4" w:space="0" w:color="000000"/>
              <w:right w:val="single" w:sz="4" w:space="0" w:color="000000"/>
            </w:tcBorders>
            <w:noWrap/>
            <w:vAlign w:val="center"/>
          </w:tcPr>
          <w:p>
            <w:pPr>
              <w:spacing w:line="300" w:lineRule="exact"/>
              <w:jc w:val="center"/>
              <w:rPr>
                <w:rFonts w:ascii="Arial" w:cs="Arial" w:hAnsi="Arial"/>
                <w:color w:val="000000"/>
                <w:sz w:val="24"/>
              </w:rPr>
            </w:pPr>
            <w:r>
              <w:rPr>
                <w:rFonts w:ascii="Arial" w:cs="Arial" w:hAnsi="Arial" w:hint="eastAsia"/>
                <w:color w:val="000000"/>
                <w:sz w:val="24"/>
              </w:rPr>
              <w:t>定性</w:t>
            </w:r>
          </w:p>
        </w:tc>
        <w:tc>
          <w:tcPr>
            <w:tcW w:w="885" w:type="dxa"/>
            <w:tcBorders>
              <w:top w:val="single" w:sz="4" w:space="0" w:color="000000"/>
              <w:left w:val="single" w:sz="4" w:space="0" w:color="000000"/>
              <w:bottom w:val="single" w:sz="4" w:space="0" w:color="000000"/>
              <w:right w:val="single" w:sz="4" w:space="0" w:color="000000"/>
            </w:tcBorders>
            <w:noWrap/>
            <w:vAlign w:val="center"/>
          </w:tcPr>
          <w:p>
            <w:pPr>
              <w:spacing w:line="300" w:lineRule="exact"/>
              <w:jc w:val="center"/>
              <w:rPr>
                <w:rFonts w:ascii="宋体" w:cs="宋体"/>
                <w:color w:val="000000"/>
                <w:sz w:val="24"/>
              </w:rPr>
            </w:pPr>
            <w:r>
              <w:rPr>
                <w:rFonts w:ascii="宋体" w:cs="宋体" w:hint="eastAsia"/>
                <w:color w:val="000000"/>
                <w:sz w:val="24"/>
              </w:rPr>
              <w:t>有效提升</w:t>
            </w:r>
          </w:p>
        </w:tc>
        <w:tc>
          <w:tcPr>
            <w:tcW w:w="990" w:type="dxa"/>
            <w:tcBorders>
              <w:top w:val="single" w:sz="4" w:space="0" w:color="000000"/>
              <w:left w:val="single" w:sz="4" w:space="0" w:color="000000"/>
              <w:bottom w:val="single" w:sz="4" w:space="0" w:color="000000"/>
              <w:right w:val="single" w:sz="4" w:space="0" w:color="000000"/>
            </w:tcBorders>
            <w:noWrap/>
            <w:vAlign w:val="center"/>
          </w:tcPr>
          <w:p>
            <w:pPr>
              <w:spacing w:line="300" w:lineRule="exact"/>
              <w:jc w:val="center"/>
              <w:rPr>
                <w:rFonts w:ascii="宋体" w:cs="宋体"/>
                <w:color w:val="000000"/>
                <w:sz w:val="24"/>
              </w:rPr>
            </w:pPr>
          </w:p>
        </w:tc>
        <w:tc>
          <w:tcPr>
            <w:tcW w:w="765" w:type="dxa"/>
            <w:tcBorders>
              <w:top w:val="single" w:sz="4" w:space="0" w:color="000000"/>
              <w:left w:val="single" w:sz="4" w:space="0" w:color="000000"/>
              <w:bottom w:val="single" w:sz="4" w:space="0" w:color="000000"/>
              <w:right w:val="single" w:sz="4" w:space="0" w:color="000000"/>
            </w:tcBorders>
            <w:noWrap/>
            <w:vAlign w:val="center"/>
          </w:tcPr>
          <w:p>
            <w:pPr>
              <w:spacing w:line="300" w:lineRule="exact"/>
              <w:jc w:val="center"/>
              <w:rPr>
                <w:rFonts w:ascii="宋体" w:cs="宋体"/>
                <w:color w:val="000000"/>
                <w:sz w:val="24"/>
              </w:rPr>
            </w:pPr>
            <w:r>
              <w:rPr>
                <w:rFonts w:ascii="宋体" w:cs="宋体" w:hint="eastAsia"/>
                <w:color w:val="000000"/>
                <w:sz w:val="24"/>
              </w:rPr>
              <w:t>5</w:t>
            </w:r>
          </w:p>
        </w:tc>
        <w:tc>
          <w:tcPr>
            <w:tcW w:w="1782" w:type="dxa"/>
            <w:tcBorders>
              <w:top w:val="single" w:sz="4" w:space="0" w:color="000000"/>
              <w:left w:val="single" w:sz="4" w:space="0" w:color="000000"/>
              <w:bottom w:val="single" w:sz="4" w:space="0" w:color="000000"/>
              <w:right w:val="single" w:sz="4" w:space="0" w:color="000000"/>
            </w:tcBorders>
            <w:noWrap/>
            <w:vAlign w:val="center"/>
          </w:tcPr>
          <w:p>
            <w:pPr>
              <w:spacing w:line="300" w:lineRule="exact"/>
              <w:jc w:val="center"/>
              <w:rPr>
                <w:rFonts w:ascii="宋体" w:cs="宋体"/>
                <w:color w:val="000000"/>
                <w:sz w:val="24"/>
              </w:rPr>
            </w:pPr>
            <w:r>
              <w:rPr>
                <w:rFonts w:ascii="宋体" w:cs="宋体" w:hint="eastAsia"/>
                <w:color w:val="000000"/>
                <w:sz w:val="24"/>
              </w:rPr>
              <w:t>完成</w:t>
            </w:r>
          </w:p>
        </w:tc>
      </w:tr>
      <w:tr>
        <w:trPr>
          <w:trHeight w:val="670"/>
        </w:trPr>
        <w:tc>
          <w:tcPr>
            <w:tcW w:w="652" w:type="dxa"/>
            <w:vMerge/>
            <w:tcBorders>
              <w:top w:val="single" w:sz="4" w:space="0" w:color="000000"/>
              <w:left w:val="single" w:sz="4" w:space="0" w:color="000000"/>
              <w:bottom w:val="single" w:sz="4" w:space="0" w:color="000000"/>
            </w:tcBorders>
            <w:noWrap/>
            <w:vAlign w:val="center"/>
          </w:tcPr>
          <w:p/>
        </w:tc>
        <w:tc>
          <w:tcPr>
            <w:tcW w:w="1081" w:type="dxa"/>
            <w:tcBorders>
              <w:top w:val="single" w:sz="4" w:space="0" w:color="000000"/>
              <w:left w:val="single" w:sz="4" w:space="0" w:color="000000"/>
              <w:right w:val="single" w:sz="4" w:space="0" w:color="000000"/>
            </w:tcBorders>
            <w:noWrap/>
            <w:vAlign w:val="center"/>
          </w:tcPr>
          <w:p>
            <w:pPr>
              <w:widowControl/>
              <w:spacing w:line="300" w:lineRule="exact"/>
              <w:jc w:val="center"/>
              <w:textAlignment w:val="center"/>
              <w:rPr>
                <w:rFonts w:ascii="宋体" w:cs="宋体"/>
                <w:color w:val="000000"/>
                <w:kern w:val="0"/>
                <w:sz w:val="24"/>
              </w:rPr>
            </w:pPr>
            <w:r>
              <w:rPr>
                <w:rFonts w:ascii="宋体" w:cs="宋体"/>
                <w:color w:val="000000"/>
                <w:kern w:val="0"/>
                <w:sz w:val="24"/>
              </w:rPr>
              <w:t>满意度</w:t>
            </w:r>
          </w:p>
          <w:p>
            <w:pPr>
              <w:widowControl/>
              <w:spacing w:line="300" w:lineRule="exact"/>
              <w:jc w:val="center"/>
              <w:textAlignment w:val="center"/>
              <w:rPr>
                <w:rFonts w:ascii="宋体" w:cs="宋体"/>
                <w:color w:val="000000"/>
                <w:sz w:val="24"/>
              </w:rPr>
            </w:pPr>
            <w:r>
              <w:rPr>
                <w:rFonts w:ascii="宋体" w:cs="宋体"/>
                <w:color w:val="000000"/>
                <w:kern w:val="0"/>
                <w:sz w:val="24"/>
              </w:rPr>
              <w:t>指标</w:t>
            </w:r>
          </w:p>
        </w:tc>
        <w:tc>
          <w:tcPr>
            <w:tcW w:w="1250" w:type="dxa"/>
            <w:tcBorders>
              <w:top w:val="single" w:sz="4" w:space="0" w:color="000000"/>
              <w:left w:val="single" w:sz="4" w:space="0" w:color="000000"/>
              <w:right w:val="single" w:sz="4" w:space="0" w:color="000000"/>
            </w:tcBorders>
            <w:noWrap/>
            <w:vAlign w:val="center"/>
          </w:tcPr>
          <w:p>
            <w:pPr>
              <w:widowControl/>
              <w:spacing w:line="300" w:lineRule="exact"/>
              <w:jc w:val="center"/>
              <w:textAlignment w:val="center"/>
              <w:rPr>
                <w:rFonts w:ascii="宋体" w:cs="宋体"/>
                <w:color w:val="000000"/>
                <w:kern w:val="0"/>
                <w:sz w:val="24"/>
              </w:rPr>
            </w:pPr>
            <w:r>
              <w:rPr>
                <w:rFonts w:ascii="宋体" w:cs="宋体"/>
                <w:color w:val="000000"/>
                <w:kern w:val="0"/>
                <w:sz w:val="24"/>
              </w:rPr>
              <w:t>服务对象</w:t>
            </w:r>
          </w:p>
          <w:p>
            <w:pPr>
              <w:widowControl/>
              <w:spacing w:line="300" w:lineRule="exact"/>
              <w:jc w:val="center"/>
              <w:textAlignment w:val="center"/>
              <w:rPr>
                <w:rFonts w:ascii="宋体" w:cs="宋体"/>
                <w:color w:val="000000"/>
                <w:sz w:val="24"/>
              </w:rPr>
            </w:pPr>
            <w:r>
              <w:rPr>
                <w:rFonts w:ascii="宋体" w:cs="宋体"/>
                <w:color w:val="000000"/>
                <w:kern w:val="0"/>
                <w:sz w:val="24"/>
              </w:rPr>
              <w:t>满意度指标</w:t>
            </w:r>
          </w:p>
        </w:tc>
        <w:tc>
          <w:tcPr>
            <w:tcW w:w="1710" w:type="dxa"/>
            <w:tcBorders>
              <w:top w:val="single" w:sz="4" w:space="0" w:color="000000"/>
              <w:left w:val="single" w:sz="4" w:space="0" w:color="000000"/>
              <w:bottom w:val="single" w:sz="4" w:space="0" w:color="000000"/>
              <w:right w:val="single" w:sz="4" w:space="0" w:color="000000"/>
            </w:tcBorders>
            <w:noWrap/>
            <w:vAlign w:val="center"/>
          </w:tcPr>
          <w:p>
            <w:pPr>
              <w:spacing w:line="300" w:lineRule="exact"/>
              <w:rPr>
                <w:rFonts w:ascii="宋体" w:cs="宋体"/>
                <w:color w:val="000000"/>
                <w:sz w:val="24"/>
              </w:rPr>
            </w:pPr>
            <w:r>
              <w:rPr>
                <w:rFonts w:ascii="宋体" w:cs="宋体" w:hint="eastAsia"/>
                <w:color w:val="000000"/>
                <w:sz w:val="24"/>
              </w:rPr>
              <w:t>各镇统计人中对业务指导的满意度</w:t>
            </w:r>
          </w:p>
        </w:tc>
        <w:tc>
          <w:tcPr>
            <w:tcW w:w="1245" w:type="dxa"/>
            <w:tcBorders>
              <w:top w:val="single" w:sz="4" w:space="0" w:color="000000"/>
              <w:left w:val="single" w:sz="4" w:space="0" w:color="000000"/>
              <w:bottom w:val="single" w:sz="4" w:space="0" w:color="000000"/>
              <w:right w:val="single" w:sz="4" w:space="0" w:color="000000"/>
            </w:tcBorders>
            <w:noWrap/>
            <w:vAlign w:val="center"/>
          </w:tcPr>
          <w:p>
            <w:pPr>
              <w:spacing w:line="300" w:lineRule="exact"/>
              <w:jc w:val="center"/>
              <w:rPr>
                <w:rFonts w:ascii="宋体" w:cs="宋体"/>
                <w:color w:val="000000"/>
                <w:sz w:val="24"/>
              </w:rPr>
            </w:pPr>
            <w:r>
              <w:rPr>
                <w:rFonts w:ascii="Arial" w:cs="Arial" w:hAnsi="Arial"/>
                <w:color w:val="000000"/>
                <w:sz w:val="24"/>
              </w:rPr>
              <w:t>≥</w:t>
            </w:r>
          </w:p>
        </w:tc>
        <w:tc>
          <w:tcPr>
            <w:tcW w:w="885" w:type="dxa"/>
            <w:tcBorders>
              <w:top w:val="single" w:sz="4" w:space="0" w:color="000000"/>
              <w:left w:val="single" w:sz="4" w:space="0" w:color="000000"/>
              <w:bottom w:val="single" w:sz="4" w:space="0" w:color="000000"/>
              <w:right w:val="single" w:sz="4" w:space="0" w:color="000000"/>
            </w:tcBorders>
            <w:noWrap/>
            <w:vAlign w:val="center"/>
          </w:tcPr>
          <w:p>
            <w:pPr>
              <w:spacing w:line="300" w:lineRule="exact"/>
              <w:jc w:val="center"/>
              <w:rPr>
                <w:rFonts w:ascii="宋体" w:cs="宋体"/>
                <w:color w:val="000000"/>
                <w:sz w:val="24"/>
              </w:rPr>
            </w:pPr>
            <w:r>
              <w:rPr>
                <w:rFonts w:ascii="宋体" w:cs="宋体" w:hint="eastAsia"/>
                <w:color w:val="000000"/>
                <w:sz w:val="24"/>
              </w:rPr>
              <w:t>99</w:t>
            </w:r>
          </w:p>
        </w:tc>
        <w:tc>
          <w:tcPr>
            <w:tcW w:w="990" w:type="dxa"/>
            <w:tcBorders>
              <w:top w:val="single" w:sz="4" w:space="0" w:color="000000"/>
              <w:left w:val="single" w:sz="4" w:space="0" w:color="000000"/>
              <w:bottom w:val="single" w:sz="4" w:space="0" w:color="000000"/>
              <w:right w:val="single" w:sz="4" w:space="0" w:color="000000"/>
            </w:tcBorders>
            <w:noWrap/>
            <w:vAlign w:val="center"/>
          </w:tcPr>
          <w:p>
            <w:pPr>
              <w:spacing w:line="300" w:lineRule="exact"/>
              <w:jc w:val="center"/>
              <w:rPr>
                <w:rFonts w:ascii="宋体" w:cs="宋体"/>
                <w:color w:val="000000"/>
                <w:sz w:val="24"/>
              </w:rPr>
            </w:pPr>
            <w:r>
              <w:rPr>
                <w:rFonts w:ascii="宋体" w:cs="宋体" w:hint="eastAsia"/>
                <w:color w:val="000000"/>
                <w:sz w:val="24"/>
              </w:rPr>
              <w:t>%</w:t>
            </w:r>
          </w:p>
        </w:tc>
        <w:tc>
          <w:tcPr>
            <w:tcW w:w="765" w:type="dxa"/>
            <w:tcBorders>
              <w:top w:val="single" w:sz="4" w:space="0" w:color="000000"/>
              <w:left w:val="single" w:sz="4" w:space="0" w:color="000000"/>
              <w:bottom w:val="single" w:sz="4" w:space="0" w:color="000000"/>
              <w:right w:val="single" w:sz="4" w:space="0" w:color="000000"/>
            </w:tcBorders>
            <w:noWrap/>
            <w:vAlign w:val="center"/>
          </w:tcPr>
          <w:p>
            <w:pPr>
              <w:spacing w:line="300" w:lineRule="exact"/>
              <w:jc w:val="center"/>
              <w:rPr>
                <w:rFonts w:ascii="宋体" w:cs="宋体"/>
                <w:color w:val="000000"/>
                <w:sz w:val="24"/>
              </w:rPr>
            </w:pPr>
            <w:r>
              <w:rPr>
                <w:rFonts w:ascii="宋体" w:cs="宋体" w:hint="eastAsia"/>
                <w:color w:val="000000"/>
                <w:sz w:val="24"/>
              </w:rPr>
              <w:t>10</w:t>
            </w:r>
          </w:p>
        </w:tc>
        <w:tc>
          <w:tcPr>
            <w:tcW w:w="1782" w:type="dxa"/>
            <w:tcBorders>
              <w:top w:val="single" w:sz="4" w:space="0" w:color="000000"/>
              <w:left w:val="single" w:sz="4" w:space="0" w:color="000000"/>
              <w:bottom w:val="single" w:sz="4" w:space="0" w:color="000000"/>
              <w:right w:val="single" w:sz="4" w:space="0" w:color="000000"/>
            </w:tcBorders>
            <w:noWrap/>
            <w:vAlign w:val="center"/>
          </w:tcPr>
          <w:p>
            <w:pPr>
              <w:spacing w:line="300" w:lineRule="exact"/>
              <w:jc w:val="center"/>
              <w:rPr>
                <w:rFonts w:ascii="宋体" w:cs="宋体"/>
                <w:color w:val="000000"/>
                <w:sz w:val="24"/>
              </w:rPr>
            </w:pPr>
            <w:r>
              <w:rPr>
                <w:rFonts w:ascii="宋体" w:cs="宋体" w:hint="eastAsia"/>
                <w:color w:val="000000"/>
                <w:sz w:val="24"/>
              </w:rPr>
              <w:t>100</w:t>
            </w:r>
          </w:p>
        </w:tc>
      </w:tr>
      <w:tr>
        <w:trPr>
          <w:trHeight w:val="23"/>
        </w:trPr>
        <w:tc>
          <w:tcPr>
            <w:tcW w:w="652" w:type="dxa"/>
            <w:vMerge/>
            <w:tcBorders>
              <w:top w:val="single" w:sz="4" w:space="0" w:color="000000"/>
              <w:left w:val="single" w:sz="4" w:space="0" w:color="000000"/>
              <w:bottom w:val="single" w:sz="4" w:space="0" w:color="000000"/>
            </w:tcBorders>
            <w:noWrap/>
            <w:vAlign w:val="center"/>
          </w:tcPr>
          <w:p/>
        </w:tc>
        <w:tc>
          <w:tcPr>
            <w:tcW w:w="1081" w:type="dxa"/>
            <w:tcBorders>
              <w:top w:val="single" w:sz="4" w:space="0" w:color="000000"/>
              <w:left w:val="single" w:sz="4" w:space="0" w:color="000000"/>
              <w:bottom w:val="single" w:sz="4" w:space="0" w:color="000000"/>
              <w:right w:val="single" w:sz="4" w:space="0" w:color="000000"/>
            </w:tcBorders>
            <w:noWrap/>
            <w:vAlign w:val="center"/>
          </w:tcPr>
          <w:p>
            <w:pPr>
              <w:widowControl/>
              <w:spacing w:line="300" w:lineRule="exact"/>
              <w:jc w:val="center"/>
              <w:textAlignment w:val="center"/>
              <w:rPr>
                <w:rFonts w:ascii="宋体" w:cs="宋体"/>
                <w:color w:val="000000"/>
                <w:sz w:val="24"/>
              </w:rPr>
            </w:pPr>
            <w:r>
              <w:rPr>
                <w:rFonts w:ascii="宋体" w:cs="宋体"/>
                <w:color w:val="000000"/>
                <w:kern w:val="0"/>
                <w:sz w:val="24"/>
              </w:rPr>
              <w:t>成本指标</w:t>
            </w:r>
          </w:p>
        </w:tc>
        <w:tc>
          <w:tcPr>
            <w:tcW w:w="1250" w:type="dxa"/>
            <w:tcBorders>
              <w:top w:val="single" w:sz="4" w:space="0" w:color="000000"/>
              <w:left w:val="single" w:sz="4" w:space="0" w:color="000000"/>
              <w:bottom w:val="single" w:sz="4" w:space="0" w:color="000000"/>
              <w:right w:val="single" w:sz="4" w:space="0" w:color="000000"/>
            </w:tcBorders>
            <w:noWrap/>
            <w:vAlign w:val="center"/>
          </w:tcPr>
          <w:p>
            <w:pPr>
              <w:widowControl/>
              <w:spacing w:line="300" w:lineRule="exact"/>
              <w:jc w:val="center"/>
              <w:textAlignment w:val="center"/>
              <w:rPr>
                <w:rFonts w:ascii="宋体" w:cs="宋体"/>
                <w:color w:val="000000"/>
                <w:kern w:val="0"/>
                <w:sz w:val="24"/>
              </w:rPr>
            </w:pPr>
            <w:r>
              <w:rPr>
                <w:rFonts w:ascii="宋体" w:cs="宋体"/>
                <w:color w:val="000000"/>
                <w:kern w:val="0"/>
                <w:sz w:val="24"/>
              </w:rPr>
              <w:t>经济成本</w:t>
            </w:r>
          </w:p>
          <w:p>
            <w:pPr>
              <w:widowControl/>
              <w:spacing w:line="300" w:lineRule="exact"/>
              <w:jc w:val="center"/>
              <w:textAlignment w:val="center"/>
              <w:rPr>
                <w:rFonts w:ascii="宋体" w:cs="宋体"/>
                <w:color w:val="000000"/>
                <w:sz w:val="24"/>
              </w:rPr>
            </w:pPr>
            <w:r>
              <w:rPr>
                <w:rFonts w:ascii="宋体" w:cs="宋体"/>
                <w:color w:val="000000"/>
                <w:kern w:val="0"/>
                <w:sz w:val="24"/>
              </w:rPr>
              <w:t>指标</w:t>
            </w:r>
          </w:p>
        </w:tc>
        <w:tc>
          <w:tcPr>
            <w:tcW w:w="1710" w:type="dxa"/>
            <w:tcBorders>
              <w:top w:val="single" w:sz="4" w:space="0" w:color="000000"/>
              <w:bottom w:val="single" w:sz="4" w:space="0" w:color="000000"/>
              <w:right w:val="single" w:sz="4" w:space="0" w:color="000000"/>
            </w:tcBorders>
            <w:noWrap/>
            <w:vAlign w:val="center"/>
          </w:tcPr>
          <w:p>
            <w:pPr>
              <w:spacing w:line="300" w:lineRule="exact"/>
              <w:rPr>
                <w:rFonts w:ascii="宋体" w:cs="宋体"/>
                <w:color w:val="000000"/>
                <w:sz w:val="24"/>
              </w:rPr>
            </w:pPr>
            <w:r>
              <w:rPr>
                <w:rFonts w:ascii="宋体" w:cs="宋体" w:hint="eastAsia"/>
                <w:color w:val="000000"/>
                <w:sz w:val="24"/>
              </w:rPr>
              <w:t>开展乡镇统计工作成本</w:t>
            </w:r>
          </w:p>
        </w:tc>
        <w:tc>
          <w:tcPr>
            <w:tcW w:w="1245" w:type="dxa"/>
            <w:tcBorders>
              <w:top w:val="single" w:sz="4" w:space="0" w:color="000000"/>
              <w:left w:val="single" w:sz="4" w:space="0" w:color="000000"/>
              <w:bottom w:val="single" w:sz="4" w:space="0" w:color="000000"/>
              <w:right w:val="single" w:sz="4" w:space="0" w:color="000000"/>
            </w:tcBorders>
            <w:noWrap/>
            <w:vAlign w:val="center"/>
          </w:tcPr>
          <w:p>
            <w:pPr>
              <w:spacing w:line="300" w:lineRule="exact"/>
              <w:jc w:val="center"/>
              <w:rPr>
                <w:rFonts w:ascii="宋体" w:cs="宋体"/>
                <w:color w:val="000000"/>
                <w:sz w:val="24"/>
              </w:rPr>
            </w:pPr>
            <w:r>
              <w:rPr>
                <w:rFonts w:ascii="Arial" w:cs="Arial" w:hAnsi="Arial"/>
                <w:color w:val="000000"/>
                <w:sz w:val="24"/>
              </w:rPr>
              <w:t>≤</w:t>
            </w:r>
          </w:p>
        </w:tc>
        <w:tc>
          <w:tcPr>
            <w:tcW w:w="885" w:type="dxa"/>
            <w:tcBorders>
              <w:top w:val="single" w:sz="4" w:space="0" w:color="000000"/>
              <w:left w:val="single" w:sz="4" w:space="0" w:color="000000"/>
              <w:bottom w:val="single" w:sz="4" w:space="0" w:color="000000"/>
              <w:right w:val="single" w:sz="4" w:space="0" w:color="000000"/>
            </w:tcBorders>
            <w:noWrap/>
            <w:vAlign w:val="center"/>
          </w:tcPr>
          <w:p>
            <w:pPr>
              <w:spacing w:line="300" w:lineRule="exact"/>
              <w:jc w:val="center"/>
              <w:rPr>
                <w:rFonts w:ascii="宋体" w:cs="宋体"/>
                <w:color w:val="000000"/>
                <w:sz w:val="24"/>
              </w:rPr>
            </w:pPr>
            <w:r>
              <w:rPr>
                <w:rFonts w:ascii="宋体" w:cs="宋体" w:hint="eastAsia"/>
                <w:color w:val="000000"/>
                <w:sz w:val="24"/>
              </w:rPr>
              <w:t>4</w:t>
            </w:r>
          </w:p>
        </w:tc>
        <w:tc>
          <w:tcPr>
            <w:tcW w:w="990" w:type="dxa"/>
            <w:tcBorders>
              <w:top w:val="single" w:sz="4" w:space="0" w:color="000000"/>
              <w:left w:val="single" w:sz="4" w:space="0" w:color="000000"/>
              <w:bottom w:val="single" w:sz="4" w:space="0" w:color="000000"/>
              <w:right w:val="single" w:sz="4" w:space="0" w:color="000000"/>
            </w:tcBorders>
            <w:noWrap/>
            <w:vAlign w:val="center"/>
          </w:tcPr>
          <w:p>
            <w:pPr>
              <w:spacing w:line="300" w:lineRule="exact"/>
              <w:jc w:val="center"/>
              <w:rPr>
                <w:rFonts w:ascii="宋体" w:cs="宋体"/>
                <w:color w:val="000000"/>
                <w:sz w:val="24"/>
              </w:rPr>
            </w:pPr>
            <w:r>
              <w:rPr>
                <w:rFonts w:ascii="宋体" w:cs="宋体" w:hint="eastAsia"/>
                <w:color w:val="000000"/>
                <w:sz w:val="24"/>
              </w:rPr>
              <w:t>万元</w:t>
            </w:r>
          </w:p>
        </w:tc>
        <w:tc>
          <w:tcPr>
            <w:tcW w:w="765" w:type="dxa"/>
            <w:tcBorders>
              <w:top w:val="single" w:sz="4" w:space="0" w:color="000000"/>
              <w:left w:val="single" w:sz="4" w:space="0" w:color="000000"/>
              <w:bottom w:val="single" w:sz="4" w:space="0" w:color="000000"/>
              <w:right w:val="single" w:sz="4" w:space="0" w:color="000000"/>
            </w:tcBorders>
            <w:noWrap/>
            <w:vAlign w:val="center"/>
          </w:tcPr>
          <w:p>
            <w:pPr>
              <w:spacing w:line="300" w:lineRule="exact"/>
              <w:jc w:val="center"/>
              <w:rPr>
                <w:rFonts w:ascii="宋体" w:cs="宋体"/>
                <w:color w:val="000000"/>
                <w:sz w:val="24"/>
              </w:rPr>
            </w:pPr>
            <w:r>
              <w:rPr>
                <w:rFonts w:ascii="宋体" w:cs="宋体" w:hint="eastAsia"/>
                <w:color w:val="000000"/>
                <w:sz w:val="24"/>
              </w:rPr>
              <w:t>10</w:t>
            </w:r>
          </w:p>
        </w:tc>
        <w:tc>
          <w:tcPr>
            <w:tcW w:w="1782" w:type="dxa"/>
            <w:tcBorders>
              <w:top w:val="single" w:sz="4" w:space="0" w:color="000000"/>
              <w:left w:val="single" w:sz="4" w:space="0" w:color="000000"/>
              <w:bottom w:val="single" w:sz="4" w:space="0" w:color="000000"/>
              <w:right w:val="single" w:sz="4" w:space="0" w:color="000000"/>
            </w:tcBorders>
            <w:noWrap/>
            <w:vAlign w:val="center"/>
          </w:tcPr>
          <w:p>
            <w:pPr>
              <w:spacing w:line="300" w:lineRule="exact"/>
              <w:jc w:val="center"/>
              <w:rPr>
                <w:rFonts w:ascii="宋体" w:cs="宋体"/>
                <w:color w:val="000000"/>
                <w:sz w:val="24"/>
              </w:rPr>
            </w:pPr>
            <w:r>
              <w:rPr>
                <w:rFonts w:ascii="宋体" w:cs="宋体" w:hint="eastAsia"/>
                <w:color w:val="000000"/>
                <w:sz w:val="24"/>
              </w:rPr>
              <w:t>4万元</w:t>
            </w:r>
          </w:p>
        </w:tc>
      </w:tr>
    </w:tbl>
    <w:p>
      <w:pPr>
        <w:jc w:val="center"/>
        <w:rPr>
          <w:b/>
          <w:bCs/>
          <w:sz w:val="44"/>
          <w:szCs w:val="44"/>
        </w:rPr>
      </w:pPr>
      <w:r>
        <w:rPr>
          <w:rFonts w:hint="eastAsia"/>
          <w:b/>
          <w:bCs/>
          <w:sz w:val="44"/>
          <w:szCs w:val="44"/>
        </w:rPr>
        <w:t>2025年汶川县第五次全国经济普查经费</w:t>
      </w:r>
    </w:p>
    <w:p>
      <w:pPr>
        <w:jc w:val="center"/>
        <w:rPr>
          <w:b/>
          <w:bCs/>
          <w:sz w:val="44"/>
          <w:szCs w:val="44"/>
        </w:rPr>
      </w:pPr>
      <w:r>
        <w:rPr>
          <w:rFonts w:hint="eastAsia"/>
          <w:b/>
          <w:bCs/>
          <w:sz w:val="44"/>
          <w:szCs w:val="44"/>
        </w:rPr>
        <w:t>项目绩效评价报告</w:t>
      </w:r>
    </w:p>
    <w:p>
      <w:pPr>
        <w:adjustRightInd w:val="0"/>
        <w:snapToGrid w:val="0"/>
        <w:spacing w:line="578" w:lineRule="exact"/>
        <w:ind w:firstLineChars="200" w:firstLine="640"/>
        <w:rPr>
          <w:rFonts w:ascii="黑体" w:eastAsia="黑体"/>
          <w:sz w:val="32"/>
          <w:szCs w:val="32"/>
          <w:lang w:val="zh-CN"/>
        </w:rPr>
      </w:pPr>
      <w:r>
        <w:rPr>
          <w:rFonts w:ascii="黑体" w:eastAsia="黑体" w:hint="eastAsia"/>
          <w:sz w:val="32"/>
          <w:szCs w:val="32"/>
        </w:rPr>
        <w:t>一、</w:t>
      </w:r>
      <w:r>
        <w:rPr>
          <w:rFonts w:ascii="黑体" w:eastAsia="黑体" w:hint="eastAsia"/>
          <w:sz w:val="32"/>
          <w:szCs w:val="32"/>
          <w:lang w:val="zh-CN"/>
        </w:rPr>
        <w:t>项目概况</w:t>
      </w:r>
    </w:p>
    <w:p>
      <w:pPr>
        <w:ind w:firstLineChars="200" w:firstLine="640"/>
        <w:rPr>
          <w:rFonts w:ascii="楷体_GB2312" w:eastAsia="楷体_GB2312"/>
          <w:b/>
          <w:sz w:val="32"/>
          <w:szCs w:val="32"/>
          <w:lang w:val="zh-CN"/>
        </w:rPr>
      </w:pPr>
      <w:r>
        <w:rPr>
          <w:rFonts w:ascii="楷体_GB2312" w:eastAsia="楷体_GB2312" w:hint="eastAsia"/>
          <w:b/>
          <w:sz w:val="32"/>
          <w:szCs w:val="32"/>
          <w:lang w:val="zh-CN"/>
        </w:rPr>
        <w:t>（一）设立背景及基本情况</w:t>
      </w:r>
    </w:p>
    <w:p>
      <w:pPr>
        <w:adjustRightInd w:val="0"/>
        <w:snapToGrid w:val="0"/>
        <w:spacing w:line="578" w:lineRule="exact"/>
        <w:ind w:firstLineChars="200" w:firstLine="640"/>
        <w:rPr>
          <w:rFonts w:ascii="仿宋_GB2312" w:cs="仿宋_GB2312" w:hAnsi="仿宋_GB2312"/>
          <w:spacing w:val="8"/>
          <w:sz w:val="32"/>
          <w:szCs w:val="32"/>
          <w:shd w:val="clear" w:color="auto" w:fill="FFFFFF"/>
        </w:rPr>
      </w:pPr>
      <w:r>
        <w:rPr>
          <w:rFonts w:ascii="仿宋" w:eastAsia="仿宋" w:cs="仿宋" w:hint="eastAsia"/>
          <w:sz w:val="32"/>
          <w:szCs w:val="32"/>
        </w:rPr>
        <w:t>汶川县第五次全国经济</w:t>
      </w:r>
      <w:r>
        <w:rPr>
          <w:rFonts w:ascii="仿宋" w:eastAsia="仿宋" w:cs="仿宋" w:hint="eastAsia"/>
          <w:spacing w:val="8"/>
          <w:sz w:val="32"/>
          <w:szCs w:val="32"/>
          <w:shd w:val="clear" w:color="auto" w:fill="FFFFFF"/>
        </w:rPr>
        <w:t>普查</w:t>
      </w:r>
      <w:r>
        <w:rPr>
          <w:rFonts w:ascii="仿宋_GB2312" w:eastAsia="仿宋_GB2312" w:cs="仿宋_GB2312" w:hint="eastAsia"/>
          <w:spacing w:val="8"/>
          <w:sz w:val="32"/>
          <w:szCs w:val="32"/>
          <w:shd w:val="clear" w:color="auto" w:fill="FFFFFF"/>
        </w:rPr>
        <w:t>主要分三个阶段进行：一是准备阶段。这一阶段的主要工作是：组建各级普查机构，制定普查方案和工作计划，进行普查试点，落实普查经费和物资，开展普查宣传，选聘培训普查指导员和普查员，普查区域划分和制图，开展摸底等。二是普查登记阶段。这一阶段的主要工作是：普查员入户登记，进行比对复查，开展事后质量抽查等。这是整个普查工作中最为关键的环节，也是工作量最大、动员力量最多、直接决定普查数据质量的重要阶段。三是数据汇总和发布阶段。这一阶段的主要工作是：数据处理、评估、汇总，发布主要数据公报，普查资料开发利用等。</w:t>
      </w:r>
      <w:r>
        <w:rPr>
          <w:rFonts w:ascii="仿宋_GB2312" w:cs="仿宋_GB2312" w:hAnsi="仿宋_GB2312" w:hint="eastAsia"/>
          <w:spacing w:val="8"/>
          <w:sz w:val="32"/>
          <w:szCs w:val="32"/>
          <w:shd w:val="clear" w:color="auto" w:fill="FFFFFF"/>
        </w:rPr>
        <w:t xml:space="preserve">  </w:t>
      </w:r>
    </w:p>
    <w:p>
      <w:pPr>
        <w:adjustRightInd w:val="0"/>
        <w:snapToGrid w:val="0"/>
        <w:spacing w:line="578" w:lineRule="exact"/>
        <w:ind w:firstLineChars="200" w:firstLine="640"/>
        <w:rPr>
          <w:rFonts w:ascii="仿宋_GB2312" w:eastAsia="仿宋_GB2312" w:cs="仿宋_GB2312"/>
          <w:kern w:val="0"/>
          <w:sz w:val="32"/>
          <w:szCs w:val="32"/>
          <w:shd w:val="clear" w:color="auto" w:fill="FFFFFF"/>
          <w:lang w:val="zh-CN"/>
        </w:rPr>
      </w:pPr>
      <w:r>
        <w:rPr>
          <w:rFonts w:ascii="楷体_GB2312" w:eastAsia="楷体_GB2312" w:hint="eastAsia"/>
          <w:b/>
          <w:sz w:val="32"/>
          <w:szCs w:val="32"/>
          <w:lang w:val="zh-CN"/>
        </w:rPr>
        <w:t>（二）</w:t>
      </w:r>
      <w:r>
        <w:rPr>
          <w:rFonts w:ascii="楷体_GB2312" w:eastAsia="楷体_GB2312"/>
          <w:b/>
          <w:sz w:val="32"/>
          <w:szCs w:val="32"/>
        </w:rPr>
        <w:t>实施目的及支持方向</w:t>
      </w:r>
      <w:r>
        <w:rPr>
          <w:rFonts w:ascii="楷体_GB2312" w:eastAsia="楷体_GB2312" w:hint="eastAsia"/>
          <w:b/>
          <w:sz w:val="32"/>
          <w:szCs w:val="32"/>
        </w:rPr>
        <w:t>。</w:t>
      </w:r>
    </w:p>
    <w:p>
      <w:pPr>
        <w:widowControl/>
        <w:adjustRightInd w:val="0"/>
        <w:snapToGrid w:val="0"/>
        <w:spacing w:line="578" w:lineRule="exact"/>
        <w:ind w:firstLineChars="200" w:firstLine="640"/>
        <w:contextualSpacing/>
        <w:jc w:val="left"/>
        <w:rPr>
          <w:rFonts w:ascii="仿宋" w:eastAsia="仿宋" w:cs="仿宋"/>
          <w:kern w:val="0"/>
          <w:sz w:val="32"/>
          <w:szCs w:val="32"/>
          <w:shd w:val="clear" w:color="auto" w:fill="FFFFFF"/>
          <w:lang w:val="zh-CN"/>
        </w:rPr>
      </w:pPr>
      <w:r>
        <w:rPr>
          <w:rFonts w:ascii="仿宋" w:eastAsia="仿宋" w:cs="仿宋" w:hint="eastAsia"/>
          <w:kern w:val="0"/>
          <w:sz w:val="32"/>
          <w:szCs w:val="32"/>
          <w:shd w:val="clear" w:color="auto" w:fill="FFFFFF"/>
          <w:lang w:val="zh-CN"/>
        </w:rPr>
        <w:t>根据《第五次全国经济普查方案》，旨在查实第二产业和第三产业各类单位的基本情况，客观反映我国第二产业和第三产业发展规模、结构和效益，反映经济结构优化调整、产业转型升级和经济发展新动能培育等方面的新进展，推进完善统计体制，完善基本单位名录库以及部门共建共享、持续维护更新的机制，深化国民经济核算改革，推动加快构建新时代现代化统计调查体系。为加强和改善宏观调控，推进国家治理体系和治理能力现代化提供科学准确的统计信息支持。</w:t>
      </w:r>
    </w:p>
    <w:p>
      <w:pPr>
        <w:widowControl/>
        <w:adjustRightInd w:val="0"/>
        <w:snapToGrid w:val="0"/>
        <w:spacing w:line="578" w:lineRule="exact"/>
        <w:ind w:firstLineChars="200" w:firstLine="640"/>
        <w:contextualSpacing/>
        <w:jc w:val="left"/>
        <w:rPr>
          <w:rFonts w:ascii="仿宋_GB2312" w:cs="仿宋_GB2312" w:hAnsi="仿宋_GB2312"/>
          <w:kern w:val="0"/>
          <w:sz w:val="32"/>
          <w:szCs w:val="32"/>
          <w:shd w:val="clear" w:color="auto" w:fill="FFFFFF"/>
          <w:lang w:val="zh-CN"/>
        </w:rPr>
      </w:pPr>
      <w:r>
        <w:rPr>
          <w:rFonts w:ascii="楷体_GB2312" w:eastAsia="楷体_GB2312" w:hint="eastAsia"/>
          <w:b/>
          <w:sz w:val="32"/>
          <w:szCs w:val="32"/>
          <w:lang w:val="zh-CN"/>
        </w:rPr>
        <w:t>（三）</w:t>
      </w:r>
      <w:r>
        <w:rPr>
          <w:rFonts w:ascii="楷体_GB2312" w:eastAsia="楷体_GB2312"/>
          <w:b/>
          <w:sz w:val="32"/>
          <w:szCs w:val="32"/>
        </w:rPr>
        <w:t>预算安排及分配管理</w:t>
      </w:r>
      <w:r>
        <w:rPr>
          <w:rFonts w:ascii="楷体_GB2312" w:eastAsia="楷体_GB2312" w:hint="eastAsia"/>
          <w:b/>
          <w:sz w:val="32"/>
          <w:szCs w:val="32"/>
          <w:lang w:val="zh-CN"/>
        </w:rPr>
        <w:t>。</w:t>
      </w:r>
    </w:p>
    <w:p>
      <w:pPr>
        <w:widowControl/>
        <w:adjustRightInd w:val="0"/>
        <w:snapToGrid w:val="0"/>
        <w:spacing w:line="578" w:lineRule="exact"/>
        <w:ind w:firstLineChars="200" w:firstLine="640"/>
        <w:contextualSpacing/>
        <w:jc w:val="left"/>
        <w:rPr>
          <w:rFonts w:ascii="仿宋" w:eastAsia="仿宋" w:cs="仿宋"/>
          <w:kern w:val="0"/>
          <w:sz w:val="32"/>
          <w:szCs w:val="32"/>
          <w:shd w:val="clear" w:color="auto" w:fill="FFFFFF"/>
        </w:rPr>
      </w:pPr>
      <w:r>
        <w:rPr>
          <w:rFonts w:ascii="仿宋" w:eastAsia="仿宋" w:cs="仿宋" w:hint="eastAsia"/>
          <w:kern w:val="0"/>
          <w:sz w:val="32"/>
          <w:szCs w:val="32"/>
          <w:shd w:val="clear" w:color="auto" w:fill="FFFFFF"/>
          <w:lang w:val="zh-CN"/>
        </w:rPr>
        <w:t>经请示县人民政府同意，县财政</w:t>
      </w:r>
      <w:r>
        <w:rPr>
          <w:rFonts w:ascii="仿宋" w:eastAsia="仿宋" w:cs="仿宋" w:hint="eastAsia"/>
          <w:kern w:val="0"/>
          <w:sz w:val="32"/>
          <w:szCs w:val="32"/>
          <w:shd w:val="clear" w:color="auto" w:fill="FFFFFF"/>
        </w:rPr>
        <w:t>2025年</w:t>
      </w:r>
      <w:r>
        <w:rPr>
          <w:rFonts w:ascii="仿宋" w:eastAsia="仿宋" w:cs="仿宋" w:hint="eastAsia"/>
          <w:kern w:val="0"/>
          <w:sz w:val="32"/>
          <w:szCs w:val="32"/>
          <w:shd w:val="clear" w:color="auto" w:fill="FFFFFF"/>
          <w:lang w:val="zh-CN"/>
        </w:rPr>
        <w:t>给予安排预算</w:t>
      </w:r>
      <w:r>
        <w:rPr>
          <w:rFonts w:ascii="仿宋" w:eastAsia="仿宋" w:cs="仿宋" w:hint="eastAsia"/>
          <w:kern w:val="0"/>
          <w:sz w:val="32"/>
          <w:szCs w:val="32"/>
          <w:shd w:val="clear" w:color="auto" w:fill="FFFFFF"/>
        </w:rPr>
        <w:t>4.20万元。充分考虑各项工作开展情况，年初预算时将项目资金具体细化为差旅费1.69万元，印刷费1.44万元，会议费1.07万元、会议费1.10万元，其他交通费3.0万元，在支付过程中根据各项资金使用情况，对部门支出经济分类作了相关调整。</w:t>
      </w:r>
    </w:p>
    <w:p>
      <w:pPr>
        <w:adjustRightInd w:val="0"/>
        <w:snapToGrid w:val="0"/>
        <w:spacing w:line="578" w:lineRule="exact"/>
        <w:ind w:firstLineChars="200" w:firstLine="640"/>
        <w:rPr>
          <w:rFonts w:ascii="仿宋_GB2312" w:cs="仿宋_GB2312" w:hAnsi="仿宋_GB2312"/>
          <w:kern w:val="0"/>
          <w:sz w:val="32"/>
          <w:szCs w:val="32"/>
          <w:shd w:val="clear" w:color="auto" w:fill="FFFFFF"/>
          <w:lang w:val="zh-CN"/>
        </w:rPr>
      </w:pPr>
      <w:r>
        <w:rPr>
          <w:rFonts w:ascii="楷体_GB2312" w:eastAsia="楷体_GB2312" w:hint="eastAsia"/>
          <w:b/>
          <w:sz w:val="32"/>
          <w:szCs w:val="32"/>
          <w:lang w:val="zh-CN"/>
        </w:rPr>
        <w:t>（四）项目绩效目标设置。</w:t>
      </w:r>
    </w:p>
    <w:p>
      <w:pPr>
        <w:adjustRightInd w:val="0"/>
        <w:snapToGrid w:val="0"/>
        <w:spacing w:line="578" w:lineRule="exact"/>
        <w:ind w:firstLineChars="200" w:firstLine="640"/>
        <w:rPr>
          <w:rFonts w:ascii="仿宋" w:eastAsia="仿宋" w:cs="仿宋"/>
          <w:kern w:val="0"/>
          <w:sz w:val="32"/>
          <w:szCs w:val="32"/>
          <w:shd w:val="clear" w:color="auto" w:fill="FFFFFF"/>
        </w:rPr>
      </w:pPr>
      <w:r>
        <w:rPr>
          <w:rFonts w:ascii="仿宋" w:eastAsia="仿宋" w:cs="仿宋" w:hint="eastAsia"/>
          <w:sz w:val="32"/>
          <w:szCs w:val="32"/>
        </w:rPr>
        <w:t>通过项目实施，</w:t>
      </w:r>
      <w:r>
        <w:rPr>
          <w:rFonts w:ascii="仿宋" w:eastAsia="仿宋" w:cs="仿宋" w:hint="eastAsia"/>
          <w:spacing w:val="8"/>
          <w:sz w:val="32"/>
          <w:szCs w:val="32"/>
          <w:shd w:val="clear" w:color="auto" w:fill="FFFFFF"/>
        </w:rPr>
        <w:t>配备齐全县各镇指导员和普查员，夯实基础普查工作队伍，充分保障经济普查所需要的工作经费。具体绩效目标设置为一级指标产出指标、效益指标、满意度指标，二级指标数量指标、可持续影响指标、满意度指标，三级指标对法人单位和产业活动单位开展调查摸底工作、对正式普查工作提供基础资料、社会人员结经济普查工作的满意度为大于等于98%。</w:t>
      </w:r>
    </w:p>
    <w:p>
      <w:pPr>
        <w:adjustRightInd w:val="0"/>
        <w:snapToGrid w:val="0"/>
        <w:spacing w:line="578" w:lineRule="exact"/>
        <w:ind w:firstLineChars="200" w:firstLine="640"/>
        <w:rPr>
          <w:rFonts w:ascii="黑体" w:eastAsia="黑体"/>
          <w:sz w:val="32"/>
          <w:szCs w:val="32"/>
        </w:rPr>
      </w:pPr>
      <w:r>
        <w:rPr>
          <w:rFonts w:ascii="黑体" w:eastAsia="黑体" w:hint="eastAsia"/>
          <w:sz w:val="32"/>
          <w:szCs w:val="32"/>
        </w:rPr>
        <w:t>二、评价实施</w:t>
      </w:r>
    </w:p>
    <w:p>
      <w:pPr>
        <w:spacing w:line="578" w:lineRule="exact"/>
        <w:ind w:firstLine="640"/>
        <w:rPr>
          <w:rFonts w:ascii="楷体_GB2312" w:eastAsia="楷体_GB2312"/>
          <w:b/>
          <w:sz w:val="32"/>
          <w:szCs w:val="32"/>
          <w:lang w:val="zh-CN"/>
        </w:rPr>
      </w:pPr>
      <w:r>
        <w:rPr>
          <w:rFonts w:ascii="楷体_GB2312" w:eastAsia="楷体_GB2312" w:hint="eastAsia"/>
          <w:b/>
          <w:sz w:val="32"/>
          <w:szCs w:val="32"/>
          <w:lang w:val="zh-CN"/>
        </w:rPr>
        <w:t>（一）评价目的</w:t>
      </w:r>
    </w:p>
    <w:p>
      <w:pPr>
        <w:spacing w:line="578" w:lineRule="exact"/>
        <w:ind w:firstLine="640"/>
        <w:rPr>
          <w:rFonts w:ascii="楷体_GB2312" w:eastAsia="楷体_GB2312"/>
          <w:b/>
          <w:sz w:val="32"/>
          <w:szCs w:val="32"/>
          <w:lang w:val="zh-CN"/>
        </w:rPr>
      </w:pPr>
      <w:r>
        <w:rPr>
          <w:rFonts w:ascii="仿宋" w:eastAsia="仿宋" w:cs="仿宋" w:hint="eastAsia"/>
          <w:sz w:val="32"/>
          <w:szCs w:val="32"/>
          <w:shd w:val="clear" w:color="auto" w:fill="FFFFFF"/>
        </w:rPr>
        <w:t>一是指明该项目实施的状态，即说明该项目的现实状态是否偏离目标。二是总结经验，为改善政府管理、纠正目标与实际的偏差提供依据。</w:t>
      </w:r>
      <w:r>
        <w:rPr>
          <w:rFonts w:ascii="Arial" w:cs="Arial" w:hAnsi="Arial" w:hint="eastAsia"/>
          <w:color w:val="5A5A5A"/>
          <w:sz w:val="32"/>
          <w:szCs w:val="32"/>
        </w:rPr>
        <w:t> </w:t>
      </w:r>
    </w:p>
    <w:p>
      <w:pPr>
        <w:adjustRightInd w:val="0"/>
        <w:snapToGrid w:val="0"/>
        <w:spacing w:line="578" w:lineRule="exact"/>
        <w:ind w:firstLineChars="200" w:firstLine="640"/>
        <w:rPr>
          <w:rFonts w:eastAsia="仿宋_GB2312"/>
          <w:sz w:val="32"/>
          <w:szCs w:val="32"/>
        </w:rPr>
      </w:pPr>
      <w:r>
        <w:rPr>
          <w:rFonts w:ascii="楷体_GB2312" w:eastAsia="楷体_GB2312" w:hint="eastAsia"/>
          <w:b/>
          <w:sz w:val="32"/>
          <w:szCs w:val="32"/>
          <w:lang w:val="zh-CN"/>
        </w:rPr>
        <w:t>（二）预设问题及评价重点。</w:t>
      </w:r>
      <w:r>
        <w:rPr>
          <w:rFonts w:eastAsia="仿宋_GB2312" w:hint="eastAsia"/>
          <w:sz w:val="32"/>
          <w:szCs w:val="32"/>
        </w:rPr>
        <w:t>按照绩效评价指标体系，对资金支出使用全过程及其实施效果进行综合评价和判断。</w:t>
      </w:r>
    </w:p>
    <w:p>
      <w:pPr>
        <w:adjustRightInd w:val="0"/>
        <w:snapToGrid w:val="0"/>
        <w:spacing w:line="578" w:lineRule="exact"/>
        <w:ind w:firstLineChars="200" w:firstLine="640"/>
        <w:rPr>
          <w:rFonts w:eastAsia="仿宋_GB2312"/>
          <w:sz w:val="32"/>
          <w:szCs w:val="32"/>
        </w:rPr>
      </w:pPr>
      <w:r>
        <w:rPr>
          <w:rFonts w:ascii="仿宋" w:eastAsia="仿宋" w:cs="仿宋" w:hint="eastAsia"/>
          <w:sz w:val="32"/>
          <w:szCs w:val="32"/>
        </w:rPr>
        <w:t>该项目在资金使用过程中，严格按照财务规章制度报销相关费用，资金使用方向与预算编制一致，截至年末，该项目资金使用4.20万元，预算执行率为100%。通过该项目的实施，保障了我局五经普工作的顺利开展、确保了”两员补助按时发放、保障了基本单位清查工作顺利开展，为下一步正式普查提供坚实的基础数据。</w:t>
      </w:r>
    </w:p>
    <w:p>
      <w:pPr>
        <w:adjustRightInd w:val="0"/>
        <w:snapToGrid w:val="0"/>
        <w:spacing w:line="578" w:lineRule="exact"/>
        <w:ind w:firstLineChars="200" w:firstLine="640"/>
        <w:rPr>
          <w:sz w:val="32"/>
          <w:szCs w:val="32"/>
          <w:lang w:val="zh-CN"/>
        </w:rPr>
      </w:pPr>
      <w:r>
        <w:rPr>
          <w:rFonts w:ascii="楷体_GB2312" w:eastAsia="楷体_GB2312" w:hint="eastAsia"/>
          <w:b/>
          <w:sz w:val="32"/>
          <w:szCs w:val="32"/>
          <w:lang w:val="zh-CN"/>
        </w:rPr>
        <w:t>（三）评价选点。</w:t>
      </w:r>
    </w:p>
    <w:p>
      <w:pPr>
        <w:adjustRightInd w:val="0"/>
        <w:snapToGrid w:val="0"/>
        <w:spacing w:line="578" w:lineRule="exact"/>
        <w:ind w:firstLineChars="200" w:firstLine="640"/>
        <w:rPr>
          <w:rFonts w:ascii="仿宋" w:eastAsia="仿宋" w:cs="仿宋"/>
          <w:sz w:val="32"/>
          <w:szCs w:val="32"/>
          <w:lang w:val="zh-CN"/>
        </w:rPr>
      </w:pPr>
      <w:r>
        <w:rPr>
          <w:rFonts w:ascii="仿宋" w:eastAsia="仿宋" w:cs="仿宋" w:hint="eastAsia"/>
          <w:sz w:val="32"/>
          <w:szCs w:val="32"/>
          <w:lang w:val="zh-CN"/>
        </w:rPr>
        <w:t>项目资金执行进度、资金使用方向、资金使用合法性合规性作为此次绩效评价的选点。</w:t>
      </w:r>
    </w:p>
    <w:p>
      <w:pPr>
        <w:spacing w:line="578" w:lineRule="exact"/>
        <w:ind w:firstLine="640"/>
        <w:rPr>
          <w:sz w:val="32"/>
          <w:szCs w:val="32"/>
        </w:rPr>
      </w:pPr>
      <w:r>
        <w:rPr>
          <w:rFonts w:ascii="楷体_GB2312" w:eastAsia="楷体_GB2312" w:hint="eastAsia"/>
          <w:b/>
          <w:sz w:val="32"/>
          <w:szCs w:val="32"/>
          <w:lang w:val="zh-CN"/>
        </w:rPr>
        <w:t>（四）评价方法。</w:t>
      </w:r>
      <w:r>
        <w:rPr>
          <w:rFonts w:ascii="仿宋" w:eastAsia="仿宋" w:cs="仿宋" w:hint="eastAsia"/>
          <w:sz w:val="32"/>
          <w:szCs w:val="32"/>
        </w:rPr>
        <w:t>根据项目情况和评价重点，用来收集相关材料和开展具体评价的方法。包括：</w:t>
      </w:r>
      <w:r>
        <w:rPr>
          <w:rFonts w:eastAsia="仿宋_GB2312"/>
          <w:sz w:val="32"/>
          <w:szCs w:val="32"/>
        </w:rPr>
        <w:t>采用</w:t>
      </w:r>
      <w:r>
        <w:rPr>
          <w:rFonts w:eastAsia="仿宋_GB2312" w:hint="eastAsia"/>
          <w:sz w:val="32"/>
          <w:szCs w:val="32"/>
        </w:rPr>
        <w:t>成本效益分析法、标杆管理法、</w:t>
      </w:r>
      <w:r>
        <w:rPr>
          <w:rFonts w:eastAsia="仿宋_GB2312"/>
          <w:sz w:val="32"/>
          <w:szCs w:val="32"/>
        </w:rPr>
        <w:t>案卷研究法、单位自评法、实地勘察法、问卷调查法、座谈调研法等多种方法</w:t>
      </w:r>
      <w:r>
        <w:rPr>
          <w:rFonts w:hint="eastAsia"/>
          <w:sz w:val="32"/>
          <w:szCs w:val="32"/>
        </w:rPr>
        <w:t>。</w:t>
      </w:r>
    </w:p>
    <w:p>
      <w:pPr>
        <w:spacing w:line="578" w:lineRule="exact"/>
        <w:ind w:firstLine="640"/>
        <w:rPr>
          <w:rFonts w:ascii="仿宋" w:eastAsia="仿宋" w:cs="仿宋"/>
          <w:sz w:val="32"/>
          <w:szCs w:val="32"/>
        </w:rPr>
      </w:pPr>
      <w:r>
        <w:rPr>
          <w:rFonts w:ascii="仿宋" w:eastAsia="仿宋" w:cs="仿宋" w:hint="eastAsia"/>
          <w:sz w:val="32"/>
          <w:szCs w:val="32"/>
        </w:rPr>
        <w:t>我单位主要采取单位自评法开展荐绩效评价。通过查看项目预算编制是否合理、是否制定项目资金管理办法、项目资金分配方案是否合理、资金预算执行进度是否达标、资金使用过程中的原始票据是否规范完整等相关资料，综合评价项目实施绩效结果。</w:t>
      </w:r>
    </w:p>
    <w:p>
      <w:pPr>
        <w:spacing w:line="578" w:lineRule="exact"/>
        <w:ind w:firstLine="640"/>
        <w:rPr>
          <w:sz w:val="32"/>
          <w:szCs w:val="32"/>
        </w:rPr>
      </w:pPr>
      <w:r>
        <w:rPr>
          <w:rFonts w:ascii="楷体_GB2312" w:eastAsia="楷体_GB2312" w:hint="eastAsia"/>
          <w:b/>
          <w:sz w:val="32"/>
          <w:szCs w:val="32"/>
          <w:lang w:val="zh-CN"/>
        </w:rPr>
        <w:t>（五）评价组织。</w:t>
      </w:r>
    </w:p>
    <w:p>
      <w:pPr>
        <w:adjustRightInd w:val="0"/>
        <w:snapToGrid w:val="0"/>
        <w:spacing w:line="600" w:lineRule="exact"/>
        <w:ind w:firstLine="720"/>
        <w:rPr>
          <w:rFonts w:ascii="仿宋" w:eastAsia="仿宋" w:cs="仿宋"/>
          <w:sz w:val="32"/>
          <w:szCs w:val="32"/>
          <w:lang w:val="zh-CN"/>
        </w:rPr>
      </w:pPr>
      <w:r>
        <w:rPr>
          <w:rFonts w:ascii="仿宋" w:eastAsia="仿宋" w:cs="仿宋" w:hint="eastAsia"/>
          <w:sz w:val="32"/>
          <w:szCs w:val="32"/>
          <w:lang w:val="zh-CN"/>
        </w:rPr>
        <w:t>汶川县统计局党组高度重视统计业务工作，根据工作需要成立绩效评价工作领导小组。</w:t>
      </w:r>
    </w:p>
    <w:p>
      <w:pPr>
        <w:adjustRightInd w:val="0"/>
        <w:snapToGrid w:val="0"/>
        <w:spacing w:line="600" w:lineRule="exact"/>
        <w:ind w:firstLine="720"/>
        <w:rPr>
          <w:rFonts w:ascii="仿宋" w:eastAsia="仿宋" w:cs="仿宋"/>
          <w:sz w:val="32"/>
          <w:szCs w:val="32"/>
          <w:lang w:val="zh-CN"/>
        </w:rPr>
      </w:pPr>
      <w:r>
        <w:rPr>
          <w:rFonts w:ascii="仿宋" w:eastAsia="仿宋" w:cs="仿宋" w:hint="eastAsia"/>
          <w:sz w:val="32"/>
          <w:szCs w:val="32"/>
          <w:lang w:val="zh-CN"/>
        </w:rPr>
        <w:t>组</w:t>
      </w:r>
      <w:r>
        <w:rPr>
          <w:rFonts w:ascii="仿宋" w:eastAsia="仿宋" w:cs="仿宋" w:hint="eastAsia"/>
          <w:sz w:val="32"/>
          <w:szCs w:val="32"/>
        </w:rPr>
        <w:t xml:space="preserve">  </w:t>
      </w:r>
      <w:r>
        <w:rPr>
          <w:rFonts w:ascii="仿宋" w:eastAsia="仿宋" w:cs="仿宋" w:hint="eastAsia"/>
          <w:sz w:val="32"/>
          <w:szCs w:val="32"/>
          <w:lang w:val="zh-CN"/>
        </w:rPr>
        <w:t>长：陈</w:t>
      </w:r>
      <w:r>
        <w:rPr>
          <w:rFonts w:ascii="仿宋" w:eastAsia="仿宋" w:cs="仿宋" w:hint="eastAsia"/>
          <w:sz w:val="32"/>
          <w:szCs w:val="32"/>
        </w:rPr>
        <w:t xml:space="preserve">  </w:t>
      </w:r>
      <w:r>
        <w:rPr>
          <w:rFonts w:ascii="仿宋" w:eastAsia="仿宋" w:cs="仿宋" w:hint="eastAsia"/>
          <w:sz w:val="32"/>
          <w:szCs w:val="32"/>
          <w:lang w:val="zh-CN"/>
        </w:rPr>
        <w:t>康</w:t>
      </w:r>
      <w:r>
        <w:rPr>
          <w:rFonts w:ascii="仿宋" w:eastAsia="仿宋" w:cs="仿宋" w:hint="eastAsia"/>
          <w:sz w:val="32"/>
          <w:szCs w:val="32"/>
        </w:rPr>
        <w:t xml:space="preserve">  </w:t>
      </w:r>
      <w:r>
        <w:rPr>
          <w:rFonts w:ascii="仿宋" w:eastAsia="仿宋" w:cs="仿宋" w:hint="eastAsia"/>
          <w:sz w:val="32"/>
          <w:szCs w:val="32"/>
          <w:lang w:val="zh-CN"/>
        </w:rPr>
        <w:t>党组书记、局长</w:t>
      </w:r>
    </w:p>
    <w:p>
      <w:pPr>
        <w:adjustRightInd w:val="0"/>
        <w:snapToGrid w:val="0"/>
        <w:spacing w:line="600" w:lineRule="exact"/>
        <w:ind w:firstLine="720"/>
        <w:rPr>
          <w:rFonts w:ascii="仿宋" w:eastAsia="仿宋" w:cs="仿宋"/>
          <w:sz w:val="32"/>
          <w:szCs w:val="32"/>
        </w:rPr>
      </w:pPr>
      <w:r>
        <w:rPr>
          <w:rFonts w:ascii="仿宋" w:eastAsia="仿宋" w:cs="仿宋" w:hint="eastAsia"/>
          <w:sz w:val="32"/>
          <w:szCs w:val="32"/>
          <w:lang w:val="zh-CN"/>
        </w:rPr>
        <w:t>副组长：</w:t>
      </w:r>
      <w:r>
        <w:rPr>
          <w:rFonts w:ascii="仿宋" w:eastAsia="仿宋" w:cs="仿宋" w:hint="eastAsia"/>
          <w:sz w:val="32"/>
          <w:szCs w:val="32"/>
        </w:rPr>
        <w:t xml:space="preserve">任思瀚  </w:t>
      </w:r>
      <w:r>
        <w:rPr>
          <w:rFonts w:ascii="仿宋" w:eastAsia="仿宋" w:cs="仿宋" w:hint="eastAsia"/>
          <w:sz w:val="32"/>
          <w:szCs w:val="32"/>
          <w:lang w:val="zh-CN"/>
        </w:rPr>
        <w:t>党组成员、副局长</w:t>
      </w:r>
    </w:p>
    <w:p>
      <w:pPr>
        <w:adjustRightInd w:val="0"/>
        <w:snapToGrid w:val="0"/>
        <w:spacing w:line="600" w:lineRule="exact"/>
        <w:ind w:firstLineChars="625" w:firstLine="2000"/>
        <w:rPr>
          <w:rFonts w:ascii="仿宋" w:eastAsia="仿宋" w:cs="仿宋"/>
          <w:sz w:val="32"/>
          <w:szCs w:val="32"/>
          <w:lang w:val="zh-CN"/>
        </w:rPr>
      </w:pPr>
      <w:bookmarkStart w:id="61" w:name="OLE_LINK6"/>
      <w:r>
        <w:rPr>
          <w:rFonts w:ascii="仿宋" w:eastAsia="仿宋" w:cs="仿宋" w:hint="eastAsia"/>
          <w:sz w:val="32"/>
          <w:szCs w:val="32"/>
          <w:lang w:val="zh-CN"/>
        </w:rPr>
        <w:t>李怀志</w:t>
      </w:r>
      <w:bookmarkEnd w:id="61"/>
      <w:r>
        <w:rPr>
          <w:rFonts w:ascii="仿宋" w:eastAsia="仿宋" w:cs="仿宋" w:hint="eastAsia"/>
          <w:sz w:val="32"/>
          <w:szCs w:val="32"/>
        </w:rPr>
        <w:t xml:space="preserve">  </w:t>
      </w:r>
      <w:r>
        <w:rPr>
          <w:rFonts w:ascii="仿宋" w:eastAsia="仿宋" w:cs="仿宋" w:hint="eastAsia"/>
          <w:sz w:val="32"/>
          <w:szCs w:val="32"/>
          <w:lang w:val="zh-CN"/>
        </w:rPr>
        <w:t>党组成员、副局长</w:t>
      </w:r>
    </w:p>
    <w:p>
      <w:pPr>
        <w:adjustRightInd w:val="0"/>
        <w:snapToGrid w:val="0"/>
        <w:spacing w:line="600" w:lineRule="exact"/>
        <w:ind w:firstLineChars="625" w:firstLine="2000"/>
        <w:rPr>
          <w:rFonts w:ascii="仿宋" w:eastAsia="仿宋" w:cs="仿宋"/>
          <w:sz w:val="32"/>
          <w:szCs w:val="32"/>
          <w:lang w:val="zh-CN"/>
        </w:rPr>
      </w:pPr>
      <w:r>
        <w:rPr>
          <w:rFonts w:ascii="仿宋" w:eastAsia="仿宋" w:cs="仿宋" w:hint="eastAsia"/>
          <w:sz w:val="32"/>
          <w:szCs w:val="32"/>
          <w:lang w:val="zh-CN"/>
        </w:rPr>
        <w:t>成</w:t>
      </w:r>
      <w:r>
        <w:rPr>
          <w:rFonts w:ascii="仿宋" w:eastAsia="仿宋" w:cs="仿宋" w:hint="eastAsia"/>
          <w:sz w:val="32"/>
          <w:szCs w:val="32"/>
        </w:rPr>
        <w:t xml:space="preserve">  </w:t>
      </w:r>
      <w:r>
        <w:rPr>
          <w:rFonts w:ascii="仿宋" w:eastAsia="仿宋" w:cs="仿宋" w:hint="eastAsia"/>
          <w:sz w:val="32"/>
          <w:szCs w:val="32"/>
          <w:lang w:val="zh-CN"/>
        </w:rPr>
        <w:t>员：全体干部职工</w:t>
      </w:r>
    </w:p>
    <w:p>
      <w:pPr>
        <w:adjustRightInd w:val="0"/>
        <w:snapToGrid w:val="0"/>
        <w:spacing w:line="600" w:lineRule="exact"/>
        <w:ind w:firstLine="720"/>
        <w:rPr>
          <w:rFonts w:ascii="仿宋" w:eastAsia="仿宋" w:cs="仿宋"/>
          <w:sz w:val="32"/>
          <w:szCs w:val="32"/>
        </w:rPr>
      </w:pPr>
      <w:r>
        <w:rPr>
          <w:rFonts w:ascii="仿宋" w:eastAsia="仿宋" w:cs="仿宋" w:hint="eastAsia"/>
          <w:sz w:val="32"/>
          <w:szCs w:val="32"/>
          <w:lang w:val="zh-CN"/>
        </w:rPr>
        <w:t>领导小组办公室设在局办公室，由李怀志兼任办公室主任，具体负责绩效评价组织实施工作。领导小组实行负责制，全体成员积极配合、通力合作，领导小组办公室协调相关工作，统计业务日常运行及资金管理。普查业务工作由业务股室具体管理，资金由局财务室具体负责支付，按财政支付相关规定对运行经费进行核算，实行“专款专用、专人管理”，不得挤占挪用运行经费。</w:t>
      </w:r>
    </w:p>
    <w:p>
      <w:pPr>
        <w:adjustRightInd w:val="0"/>
        <w:snapToGrid w:val="0"/>
        <w:spacing w:line="578" w:lineRule="exact"/>
        <w:ind w:firstLineChars="200" w:firstLine="640"/>
        <w:rPr>
          <w:rFonts w:ascii="仿宋_GB2312" w:hAnsi="仿宋_GB2312"/>
          <w:sz w:val="32"/>
          <w:szCs w:val="32"/>
          <w:lang w:val="zh-CN"/>
        </w:rPr>
      </w:pPr>
      <w:r>
        <w:rPr>
          <w:rFonts w:ascii="黑体" w:eastAsia="黑体" w:hint="eastAsia"/>
          <w:sz w:val="32"/>
          <w:szCs w:val="32"/>
        </w:rPr>
        <w:t>三、绩效分析</w:t>
      </w:r>
      <w:r>
        <w:rPr>
          <w:rFonts w:ascii="仿宋_GB2312" w:hAnsi="仿宋_GB2312" w:hint="eastAsia"/>
          <w:sz w:val="32"/>
          <w:szCs w:val="32"/>
          <w:lang w:val="zh-CN"/>
        </w:rPr>
        <w:tab/>
      </w:r>
    </w:p>
    <w:p>
      <w:pPr>
        <w:spacing w:line="578" w:lineRule="exact"/>
        <w:ind w:firstLine="640"/>
        <w:rPr>
          <w:rFonts w:eastAsia="仿宋_GB2312"/>
          <w:sz w:val="32"/>
          <w:szCs w:val="32"/>
        </w:rPr>
      </w:pPr>
      <w:r>
        <w:rPr>
          <w:rFonts w:eastAsia="仿宋_GB2312"/>
          <w:sz w:val="32"/>
          <w:szCs w:val="32"/>
          <w:lang w:val="zh-CN"/>
        </w:rPr>
        <w:t>根据</w:t>
      </w:r>
      <w:r>
        <w:rPr>
          <w:rFonts w:eastAsia="仿宋_GB2312" w:hint="eastAsia"/>
          <w:sz w:val="32"/>
          <w:szCs w:val="32"/>
          <w:lang w:val="zh-CN"/>
        </w:rPr>
        <w:t>项目</w:t>
      </w:r>
      <w:r>
        <w:rPr>
          <w:rFonts w:eastAsia="仿宋_GB2312"/>
          <w:sz w:val="32"/>
          <w:szCs w:val="32"/>
          <w:lang w:val="zh-CN"/>
        </w:rPr>
        <w:t>预算绩效评价指标体系“</w:t>
      </w:r>
      <w:r>
        <w:rPr>
          <w:rFonts w:eastAsia="仿宋_GB2312" w:hint="eastAsia"/>
          <w:sz w:val="32"/>
          <w:szCs w:val="32"/>
          <w:lang w:val="zh-CN"/>
        </w:rPr>
        <w:t>通用指标</w:t>
      </w:r>
      <w:r>
        <w:rPr>
          <w:rFonts w:eastAsia="仿宋_GB2312"/>
          <w:sz w:val="32"/>
          <w:szCs w:val="32"/>
          <w:lang w:val="zh-CN"/>
        </w:rPr>
        <w:t>”</w:t>
      </w:r>
      <w:r>
        <w:rPr>
          <w:rFonts w:eastAsia="仿宋_GB2312" w:hint="eastAsia"/>
          <w:sz w:val="32"/>
          <w:szCs w:val="32"/>
          <w:lang w:val="zh-CN"/>
        </w:rPr>
        <w:t>“专用指标”“个性指标”</w:t>
      </w:r>
      <w:r>
        <w:rPr>
          <w:rFonts w:eastAsia="仿宋_GB2312"/>
          <w:sz w:val="32"/>
          <w:szCs w:val="32"/>
          <w:lang w:val="zh-CN"/>
        </w:rPr>
        <w:t>涉及</w:t>
      </w:r>
      <w:r>
        <w:rPr>
          <w:rFonts w:eastAsia="仿宋_GB2312" w:hint="eastAsia"/>
          <w:sz w:val="32"/>
          <w:szCs w:val="32"/>
          <w:lang w:val="zh-CN"/>
        </w:rPr>
        <w:t>二、三级</w:t>
      </w:r>
      <w:r>
        <w:rPr>
          <w:rFonts w:eastAsia="仿宋_GB2312"/>
          <w:sz w:val="32"/>
          <w:szCs w:val="32"/>
          <w:lang w:val="zh-CN"/>
        </w:rPr>
        <w:t>指标进行</w:t>
      </w:r>
      <w:r>
        <w:rPr>
          <w:rFonts w:eastAsia="仿宋_GB2312" w:hint="eastAsia"/>
          <w:sz w:val="32"/>
          <w:szCs w:val="32"/>
          <w:lang w:val="zh-CN"/>
        </w:rPr>
        <w:t>逐项</w:t>
      </w:r>
      <w:r>
        <w:rPr>
          <w:rFonts w:eastAsia="仿宋_GB2312"/>
          <w:sz w:val="32"/>
          <w:szCs w:val="32"/>
          <w:lang w:val="zh-CN"/>
        </w:rPr>
        <w:t>绩效分析</w:t>
      </w:r>
      <w:r>
        <w:rPr>
          <w:rFonts w:eastAsia="仿宋_GB2312" w:hint="eastAsia"/>
          <w:sz w:val="32"/>
          <w:szCs w:val="32"/>
          <w:lang w:val="zh-CN"/>
        </w:rPr>
        <w:t>并评分</w:t>
      </w:r>
      <w:r>
        <w:rPr>
          <w:rFonts w:hint="eastAsia"/>
          <w:sz w:val="32"/>
          <w:szCs w:val="32"/>
        </w:rPr>
        <w:t>。</w:t>
      </w:r>
    </w:p>
    <w:p>
      <w:pPr>
        <w:spacing w:line="578" w:lineRule="exact"/>
        <w:ind w:firstLine="640"/>
        <w:rPr>
          <w:rFonts w:ascii="楷体_GB2312" w:eastAsia="楷体_GB2312"/>
          <w:b/>
          <w:sz w:val="32"/>
          <w:szCs w:val="32"/>
        </w:rPr>
      </w:pPr>
      <w:r>
        <w:rPr>
          <w:rFonts w:ascii="楷体_GB2312" w:eastAsia="楷体_GB2312" w:hint="eastAsia"/>
          <w:b/>
          <w:sz w:val="32"/>
          <w:szCs w:val="32"/>
          <w:lang w:val="zh-CN"/>
        </w:rPr>
        <w:t>（一）</w:t>
      </w:r>
      <w:r>
        <w:rPr>
          <w:rFonts w:ascii="楷体_GB2312" w:eastAsia="楷体_GB2312" w:hint="eastAsia"/>
          <w:b/>
          <w:sz w:val="32"/>
          <w:szCs w:val="32"/>
        </w:rPr>
        <w:t>通用指标</w:t>
      </w:r>
      <w:r>
        <w:rPr>
          <w:rFonts w:eastAsia="楷体_GB2312"/>
          <w:b/>
          <w:bCs/>
          <w:color w:val="000000"/>
          <w:kern w:val="0"/>
          <w:sz w:val="32"/>
          <w:szCs w:val="32"/>
          <w:shd w:val="clear" w:color="auto" w:fill="FFFFFF"/>
          <w:lang w:val="zh-CN"/>
        </w:rPr>
        <w:t>绩效分析。</w:t>
      </w:r>
    </w:p>
    <w:p>
      <w:pPr>
        <w:spacing w:line="578" w:lineRule="exact"/>
        <w:ind w:firstLine="640"/>
        <w:rPr>
          <w:sz w:val="32"/>
          <w:szCs w:val="32"/>
        </w:rPr>
      </w:pPr>
      <w:r>
        <w:rPr>
          <w:rFonts w:ascii="楷体_GB2312" w:eastAsia="楷体_GB2312" w:cs="楷体_GB2312" w:hint="eastAsia"/>
          <w:sz w:val="32"/>
          <w:szCs w:val="32"/>
        </w:rPr>
        <w:t>1.项目决策。（18分）</w:t>
      </w:r>
    </w:p>
    <w:p>
      <w:pPr>
        <w:adjustRightInd w:val="0"/>
        <w:snapToGrid w:val="0"/>
        <w:spacing w:line="578" w:lineRule="exact"/>
        <w:ind w:firstLineChars="200" w:firstLine="640"/>
        <w:contextualSpacing/>
        <w:jc w:val="left"/>
        <w:rPr>
          <w:rFonts w:ascii="仿宋" w:eastAsia="仿宋" w:cs="仿宋"/>
          <w:color w:val="000000"/>
          <w:kern w:val="0"/>
          <w:sz w:val="32"/>
          <w:szCs w:val="32"/>
          <w:shd w:val="clear" w:color="auto" w:fill="FFFFFF"/>
        </w:rPr>
      </w:pPr>
      <w:r>
        <w:rPr>
          <w:rFonts w:ascii="仿宋" w:eastAsia="仿宋" w:cs="仿宋" w:hint="eastAsia"/>
          <w:color w:val="000000"/>
          <w:kern w:val="0"/>
          <w:sz w:val="32"/>
          <w:szCs w:val="32"/>
          <w:shd w:val="clear" w:color="auto" w:fill="FFFFFF"/>
        </w:rPr>
        <w:t>本级预算项目资金是根据上级经济普查要求和单位实际进行预算编制，所有项目都经过领导班子集体研究决定，请示县人民政府同意后纳入财政预算。根据各项目年度要完成的工作任务设置绩效目标和项目事前绩效评估，单位进行项目登记、项目入库申请，财政对口股室审核、财政预算股审核确定项目入库。</w:t>
      </w:r>
    </w:p>
    <w:p>
      <w:pPr>
        <w:adjustRightInd w:val="0"/>
        <w:snapToGrid w:val="0"/>
        <w:spacing w:line="578" w:lineRule="exact"/>
        <w:ind w:firstLineChars="200" w:firstLine="640"/>
        <w:contextualSpacing/>
        <w:jc w:val="left"/>
        <w:rPr>
          <w:rFonts w:ascii="楷体_GB2312" w:eastAsia="楷体_GB2312" w:cs="楷体_GB2312"/>
          <w:color w:val="000000"/>
          <w:kern w:val="0"/>
          <w:sz w:val="32"/>
          <w:szCs w:val="32"/>
          <w:shd w:val="clear" w:color="auto" w:fill="FFFFFF"/>
          <w:lang w:val="zh-CN"/>
        </w:rPr>
      </w:pPr>
      <w:r>
        <w:rPr>
          <w:rFonts w:ascii="仿宋" w:eastAsia="仿宋" w:cs="仿宋" w:hint="eastAsia"/>
          <w:color w:val="000000"/>
          <w:kern w:val="0"/>
          <w:sz w:val="32"/>
          <w:szCs w:val="32"/>
          <w:shd w:val="clear" w:color="auto" w:fill="FFFFFF"/>
          <w:lang w:val="zh-CN"/>
        </w:rPr>
        <w:t>综上，根据评分标准，该项指标，得</w:t>
      </w:r>
      <w:r>
        <w:rPr>
          <w:rFonts w:ascii="仿宋" w:eastAsia="仿宋" w:cs="仿宋" w:hint="eastAsia"/>
          <w:color w:val="000000"/>
          <w:kern w:val="0"/>
          <w:sz w:val="32"/>
          <w:szCs w:val="32"/>
          <w:shd w:val="clear" w:color="auto" w:fill="FFFFFF"/>
        </w:rPr>
        <w:t>18</w:t>
      </w:r>
      <w:r>
        <w:rPr>
          <w:rFonts w:ascii="仿宋" w:eastAsia="仿宋" w:cs="仿宋" w:hint="eastAsia"/>
          <w:color w:val="000000"/>
          <w:kern w:val="0"/>
          <w:sz w:val="32"/>
          <w:szCs w:val="32"/>
          <w:shd w:val="clear" w:color="auto" w:fill="FFFFFF"/>
          <w:lang w:val="zh-CN"/>
        </w:rPr>
        <w:t>分。</w:t>
      </w:r>
    </w:p>
    <w:p>
      <w:pPr>
        <w:spacing w:line="578" w:lineRule="exact"/>
        <w:ind w:firstLine="640"/>
        <w:rPr>
          <w:rFonts w:ascii="楷体_GB2312" w:eastAsia="楷体_GB2312" w:cs="楷体_GB2312"/>
          <w:sz w:val="32"/>
          <w:szCs w:val="32"/>
        </w:rPr>
      </w:pPr>
      <w:r>
        <w:rPr>
          <w:rFonts w:ascii="楷体_GB2312" w:eastAsia="楷体_GB2312" w:cs="楷体_GB2312" w:hint="eastAsia"/>
          <w:sz w:val="32"/>
          <w:szCs w:val="32"/>
        </w:rPr>
        <w:t>2.项目管理。（18分）</w:t>
      </w:r>
    </w:p>
    <w:p>
      <w:pPr>
        <w:spacing w:line="578" w:lineRule="exact"/>
        <w:ind w:firstLine="640"/>
        <w:rPr>
          <w:rFonts w:ascii="仿宋" w:eastAsia="仿宋" w:cs="仿宋"/>
          <w:sz w:val="32"/>
          <w:szCs w:val="32"/>
        </w:rPr>
      </w:pPr>
      <w:r>
        <w:rPr>
          <w:rFonts w:ascii="仿宋" w:eastAsia="仿宋" w:cs="仿宋" w:hint="eastAsia"/>
          <w:sz w:val="32"/>
          <w:szCs w:val="32"/>
        </w:rPr>
        <w:t>根据国家、省、州经济普查有关规定，结合汶川实际，制定了《汶川县统计局专项资金管理办法》，根据资金管理制度和工作开展实际情况进行分配资金，按季度通报绩效目标完成情况、资金使用进度、存在的问题，提出了下一步改进措施。</w:t>
      </w:r>
    </w:p>
    <w:p>
      <w:pPr>
        <w:spacing w:line="578" w:lineRule="exact"/>
        <w:ind w:firstLine="640"/>
        <w:rPr>
          <w:rFonts w:ascii="仿宋" w:eastAsia="仿宋" w:cs="仿宋"/>
          <w:sz w:val="32"/>
          <w:szCs w:val="32"/>
        </w:rPr>
      </w:pPr>
      <w:r>
        <w:rPr>
          <w:rFonts w:ascii="仿宋" w:eastAsia="仿宋" w:cs="仿宋" w:hint="eastAsia"/>
          <w:sz w:val="32"/>
          <w:szCs w:val="32"/>
        </w:rPr>
        <w:t>综上所述，该指标得17分。</w:t>
      </w:r>
    </w:p>
    <w:p>
      <w:pPr>
        <w:ind w:firstLineChars="200" w:firstLine="640"/>
        <w:rPr>
          <w:rFonts w:ascii="楷体_GB2312" w:eastAsia="楷体_GB2312" w:cs="楷体_GB2312"/>
          <w:sz w:val="32"/>
          <w:szCs w:val="32"/>
        </w:rPr>
      </w:pPr>
      <w:r>
        <w:rPr>
          <w:rFonts w:ascii="楷体_GB2312" w:eastAsia="楷体_GB2312" w:cs="楷体_GB2312" w:hint="eastAsia"/>
          <w:sz w:val="32"/>
          <w:szCs w:val="32"/>
        </w:rPr>
        <w:t>3.项目实施。（9分）</w:t>
      </w:r>
    </w:p>
    <w:p>
      <w:pPr>
        <w:ind w:firstLineChars="200" w:firstLine="640"/>
        <w:rPr>
          <w:rFonts w:ascii="仿宋" w:eastAsia="仿宋" w:cs="仿宋"/>
          <w:color w:val="000000"/>
          <w:kern w:val="0"/>
          <w:sz w:val="32"/>
          <w:szCs w:val="32"/>
          <w:shd w:val="clear" w:color="auto" w:fill="FFFFFF"/>
        </w:rPr>
      </w:pPr>
      <w:r>
        <w:rPr>
          <w:rFonts w:ascii="仿宋" w:eastAsia="仿宋" w:cs="仿宋" w:hint="eastAsia"/>
          <w:color w:val="000000"/>
          <w:kern w:val="0"/>
          <w:sz w:val="32"/>
          <w:szCs w:val="32"/>
          <w:shd w:val="clear" w:color="auto" w:fill="FFFFFF"/>
        </w:rPr>
        <w:t>《</w:t>
      </w:r>
      <w:r>
        <w:rPr>
          <w:rFonts w:ascii="仿宋" w:eastAsia="仿宋" w:cs="仿宋" w:hint="eastAsia"/>
          <w:sz w:val="32"/>
          <w:szCs w:val="32"/>
        </w:rPr>
        <w:t>汶川县第五次全国经济普查经费</w:t>
      </w:r>
      <w:r>
        <w:rPr>
          <w:rFonts w:ascii="仿宋" w:eastAsia="仿宋" w:cs="仿宋" w:hint="eastAsia"/>
          <w:color w:val="000000"/>
          <w:kern w:val="0"/>
          <w:sz w:val="32"/>
          <w:szCs w:val="32"/>
          <w:shd w:val="clear" w:color="auto" w:fill="FFFFFF"/>
        </w:rPr>
        <w:t>》预算项目4.20万元，该项目资金主要用于保障</w:t>
      </w:r>
      <w:r>
        <w:rPr>
          <w:rFonts w:ascii="仿宋" w:eastAsia="仿宋" w:cs="仿宋" w:hint="eastAsia"/>
          <w:sz w:val="32"/>
          <w:szCs w:val="32"/>
        </w:rPr>
        <w:t>汶川县第五次全国经济普查工作</w:t>
      </w:r>
      <w:r>
        <w:rPr>
          <w:rFonts w:ascii="仿宋" w:eastAsia="仿宋" w:cs="仿宋" w:hint="eastAsia"/>
          <w:color w:val="000000"/>
          <w:kern w:val="0"/>
          <w:sz w:val="32"/>
          <w:szCs w:val="32"/>
          <w:shd w:val="clear" w:color="auto" w:fill="FFFFFF"/>
        </w:rPr>
        <w:t>正常运行，开展五经普正式普查工作所需的差旅费、办公费、培训费、会议费、劳务费、交通费等，截至年底，该项目经费使用4.20万元，预算执行率100%。</w:t>
      </w:r>
    </w:p>
    <w:p>
      <w:pPr>
        <w:ind w:firstLineChars="200" w:firstLine="640"/>
        <w:rPr>
          <w:sz w:val="32"/>
          <w:szCs w:val="32"/>
        </w:rPr>
      </w:pPr>
      <w:r>
        <w:rPr>
          <w:rFonts w:ascii="仿宋" w:eastAsia="仿宋" w:cs="仿宋" w:hint="eastAsia"/>
          <w:sz w:val="32"/>
          <w:szCs w:val="32"/>
        </w:rPr>
        <w:t>综上所述，该指标得8分</w:t>
      </w:r>
      <w:r>
        <w:rPr>
          <w:rFonts w:hint="eastAsia"/>
          <w:sz w:val="32"/>
          <w:szCs w:val="32"/>
        </w:rPr>
        <w:t>。</w:t>
      </w:r>
    </w:p>
    <w:p>
      <w:pPr>
        <w:ind w:firstLineChars="200" w:firstLine="640"/>
        <w:rPr>
          <w:rFonts w:ascii="楷体_GB2312" w:eastAsia="楷体_GB2312" w:cs="楷体_GB2312"/>
          <w:sz w:val="32"/>
          <w:szCs w:val="32"/>
        </w:rPr>
      </w:pPr>
      <w:r>
        <w:rPr>
          <w:rFonts w:ascii="楷体_GB2312" w:eastAsia="楷体_GB2312" w:cs="楷体_GB2312" w:hint="eastAsia"/>
          <w:sz w:val="32"/>
          <w:szCs w:val="32"/>
        </w:rPr>
        <w:t>4.项目结果。（9分）</w:t>
      </w:r>
    </w:p>
    <w:p>
      <w:pPr>
        <w:ind w:firstLineChars="200" w:firstLine="640"/>
        <w:rPr>
          <w:rFonts w:ascii="仿宋" w:eastAsia="仿宋" w:cs="仿宋"/>
          <w:sz w:val="32"/>
          <w:szCs w:val="32"/>
        </w:rPr>
      </w:pPr>
      <w:r>
        <w:rPr>
          <w:rFonts w:ascii="仿宋" w:eastAsia="仿宋" w:cs="仿宋" w:hint="eastAsia"/>
          <w:sz w:val="32"/>
          <w:szCs w:val="32"/>
        </w:rPr>
        <w:t>2025年度，该项目所有绩效目标全部实现，均在12月初完成，项目资金也全部支付完成。</w:t>
      </w:r>
    </w:p>
    <w:p>
      <w:pPr>
        <w:ind w:firstLineChars="200" w:firstLine="640"/>
        <w:rPr>
          <w:rFonts w:ascii="仿宋" w:eastAsia="仿宋" w:cs="仿宋"/>
          <w:sz w:val="32"/>
          <w:szCs w:val="32"/>
        </w:rPr>
      </w:pPr>
      <w:r>
        <w:rPr>
          <w:rFonts w:ascii="仿宋" w:eastAsia="仿宋" w:cs="仿宋" w:hint="eastAsia"/>
          <w:sz w:val="32"/>
          <w:szCs w:val="32"/>
        </w:rPr>
        <w:t>综上所述，该指标得9分。</w:t>
      </w:r>
    </w:p>
    <w:p>
      <w:pPr>
        <w:spacing w:line="578" w:lineRule="exact"/>
        <w:ind w:firstLineChars="200" w:firstLine="640"/>
        <w:rPr>
          <w:rFonts w:ascii="楷体_GB2312" w:eastAsia="楷体_GB2312" w:cs="楷体_GB2312"/>
          <w:sz w:val="32"/>
          <w:szCs w:val="32"/>
          <w:lang w:val="zh-CN"/>
        </w:rPr>
      </w:pPr>
      <w:r>
        <w:rPr>
          <w:rFonts w:ascii="楷体_GB2312" w:eastAsia="楷体_GB2312" w:hint="eastAsia"/>
          <w:b/>
          <w:sz w:val="32"/>
          <w:szCs w:val="32"/>
          <w:lang w:val="zh-CN"/>
        </w:rPr>
        <w:t>（二）</w:t>
      </w:r>
      <w:r>
        <w:rPr>
          <w:rFonts w:ascii="楷体_GB2312" w:eastAsia="楷体_GB2312" w:hint="eastAsia"/>
          <w:b/>
          <w:sz w:val="32"/>
          <w:szCs w:val="32"/>
        </w:rPr>
        <w:t>专用指标</w:t>
      </w:r>
      <w:r>
        <w:rPr>
          <w:rFonts w:eastAsia="楷体_GB2312"/>
          <w:b/>
          <w:bCs/>
          <w:color w:val="000000"/>
          <w:kern w:val="0"/>
          <w:sz w:val="32"/>
          <w:szCs w:val="32"/>
          <w:shd w:val="clear" w:color="auto" w:fill="FFFFFF"/>
          <w:lang w:val="zh-CN"/>
        </w:rPr>
        <w:t>绩效分析。</w:t>
      </w:r>
    </w:p>
    <w:p>
      <w:pPr>
        <w:spacing w:line="578" w:lineRule="exact"/>
        <w:ind w:firstLineChars="200" w:firstLine="640"/>
        <w:rPr>
          <w:rFonts w:ascii="楷体_GB2312" w:eastAsia="楷体_GB2312" w:cs="楷体_GB2312"/>
          <w:sz w:val="32"/>
          <w:szCs w:val="32"/>
        </w:rPr>
      </w:pPr>
      <w:r>
        <w:rPr>
          <w:rFonts w:ascii="楷体_GB2312" w:eastAsia="楷体_GB2312" w:cs="楷体_GB2312" w:hint="eastAsia"/>
          <w:sz w:val="32"/>
          <w:szCs w:val="32"/>
        </w:rPr>
        <w:t>1.</w:t>
      </w:r>
      <w:r>
        <w:rPr>
          <w:rFonts w:ascii="楷体_GB2312" w:eastAsia="楷体_GB2312" w:cs="楷体_GB2312" w:hint="eastAsia"/>
          <w:sz w:val="32"/>
          <w:szCs w:val="32"/>
          <w:lang w:val="zh-CN"/>
        </w:rPr>
        <w:t>行政运转。</w:t>
      </w:r>
      <w:r>
        <w:rPr>
          <w:rFonts w:ascii="楷体_GB2312" w:eastAsia="楷体_GB2312" w:cs="楷体_GB2312" w:hint="eastAsia"/>
          <w:sz w:val="32"/>
          <w:szCs w:val="32"/>
        </w:rPr>
        <w:t>（30分）</w:t>
      </w:r>
    </w:p>
    <w:p>
      <w:pPr>
        <w:spacing w:line="578" w:lineRule="exact"/>
        <w:ind w:firstLineChars="200" w:firstLine="640"/>
        <w:rPr>
          <w:rFonts w:ascii="仿宋" w:eastAsia="仿宋" w:cs="仿宋"/>
          <w:sz w:val="32"/>
          <w:szCs w:val="32"/>
          <w:lang w:val="zh-CN"/>
        </w:rPr>
      </w:pPr>
      <w:r>
        <w:rPr>
          <w:rFonts w:ascii="仿宋" w:eastAsia="仿宋" w:cs="仿宋" w:hint="eastAsia"/>
          <w:sz w:val="32"/>
          <w:szCs w:val="32"/>
          <w:lang w:val="zh-CN"/>
        </w:rPr>
        <w:t>按照</w:t>
      </w:r>
      <w:r>
        <w:rPr>
          <w:rFonts w:ascii="仿宋" w:eastAsia="仿宋" w:cs="仿宋" w:hint="eastAsia"/>
          <w:sz w:val="32"/>
          <w:szCs w:val="32"/>
        </w:rPr>
        <w:t>汶川县第五次全国经济普查</w:t>
      </w:r>
      <w:r>
        <w:rPr>
          <w:rFonts w:ascii="仿宋" w:eastAsia="仿宋" w:cs="仿宋" w:hint="eastAsia"/>
          <w:sz w:val="32"/>
          <w:szCs w:val="32"/>
          <w:lang w:val="zh-CN"/>
        </w:rPr>
        <w:t>经费预算管理规定，该</w:t>
      </w:r>
      <w:r>
        <w:rPr>
          <w:rFonts w:ascii="仿宋" w:eastAsia="仿宋" w:cs="仿宋" w:hint="eastAsia"/>
          <w:sz w:val="32"/>
          <w:szCs w:val="32"/>
        </w:rPr>
        <w:t>项经费可用于开展经济普查工作产生的办公费、差旅费、业务培训费、会议费、交通费等，实行按月报账制度（次月报销上月发生的费用）。各专业股室进行初审，再由出纳进行审核会计复核，经分管领导签字确认支付，2025年度均未发现违规和超标准支付现象。</w:t>
      </w:r>
    </w:p>
    <w:p>
      <w:pPr>
        <w:spacing w:line="578" w:lineRule="exact"/>
        <w:ind w:firstLineChars="200" w:firstLine="640"/>
        <w:rPr>
          <w:rFonts w:ascii="仿宋" w:eastAsia="仿宋" w:cs="仿宋"/>
          <w:sz w:val="32"/>
          <w:szCs w:val="32"/>
        </w:rPr>
      </w:pPr>
      <w:r>
        <w:rPr>
          <w:rFonts w:ascii="仿宋" w:eastAsia="仿宋" w:cs="仿宋" w:hint="eastAsia"/>
          <w:sz w:val="32"/>
          <w:szCs w:val="32"/>
        </w:rPr>
        <w:t>综上所述，该指标得30分。</w:t>
      </w:r>
    </w:p>
    <w:p>
      <w:pPr>
        <w:spacing w:line="578" w:lineRule="exact"/>
        <w:ind w:firstLine="640"/>
        <w:rPr>
          <w:rFonts w:eastAsia="楷体_GB2312"/>
          <w:b/>
          <w:bCs/>
          <w:color w:val="000000"/>
          <w:kern w:val="0"/>
          <w:sz w:val="32"/>
          <w:szCs w:val="32"/>
          <w:shd w:val="clear" w:color="auto" w:fill="FFFFFF"/>
          <w:lang w:val="zh-CN"/>
        </w:rPr>
      </w:pPr>
      <w:r>
        <w:rPr>
          <w:rFonts w:ascii="楷体_GB2312" w:eastAsia="楷体_GB2312" w:hint="eastAsia"/>
          <w:b/>
          <w:sz w:val="32"/>
          <w:szCs w:val="32"/>
          <w:lang w:val="zh-CN"/>
        </w:rPr>
        <w:t>（三）</w:t>
      </w:r>
      <w:r>
        <w:rPr>
          <w:rFonts w:ascii="楷体_GB2312" w:eastAsia="楷体_GB2312" w:hint="eastAsia"/>
          <w:b/>
          <w:sz w:val="32"/>
          <w:szCs w:val="32"/>
        </w:rPr>
        <w:t>个性指标</w:t>
      </w:r>
      <w:r>
        <w:rPr>
          <w:rFonts w:eastAsia="楷体_GB2312"/>
          <w:b/>
          <w:bCs/>
          <w:color w:val="000000"/>
          <w:kern w:val="0"/>
          <w:sz w:val="32"/>
          <w:szCs w:val="32"/>
          <w:shd w:val="clear" w:color="auto" w:fill="FFFFFF"/>
          <w:lang w:val="zh-CN"/>
        </w:rPr>
        <w:t>绩效分析。</w:t>
      </w:r>
      <w:r>
        <w:rPr>
          <w:rFonts w:eastAsia="楷体_GB2312" w:hint="eastAsia"/>
          <w:b/>
          <w:bCs/>
          <w:color w:val="000000"/>
          <w:kern w:val="0"/>
          <w:sz w:val="32"/>
          <w:szCs w:val="32"/>
          <w:shd w:val="clear" w:color="auto" w:fill="FFFFFF"/>
          <w:lang w:val="zh-CN"/>
        </w:rPr>
        <w:t>（</w:t>
      </w:r>
      <w:r>
        <w:rPr>
          <w:rFonts w:eastAsia="楷体_GB2312" w:hint="eastAsia"/>
          <w:b/>
          <w:bCs/>
          <w:color w:val="000000"/>
          <w:kern w:val="0"/>
          <w:sz w:val="32"/>
          <w:szCs w:val="32"/>
          <w:shd w:val="clear" w:color="auto" w:fill="FFFFFF"/>
        </w:rPr>
        <w:t>16分）</w:t>
      </w:r>
      <w:r>
        <w:rPr>
          <w:rFonts w:eastAsia="楷体_GB2312" w:hint="eastAsia"/>
          <w:b/>
          <w:bCs/>
          <w:color w:val="000000"/>
          <w:kern w:val="0"/>
          <w:sz w:val="32"/>
          <w:szCs w:val="32"/>
          <w:shd w:val="clear" w:color="auto" w:fill="FFFFFF"/>
          <w:lang w:val="zh-CN"/>
        </w:rPr>
        <w:t>）</w:t>
      </w:r>
    </w:p>
    <w:p>
      <w:pPr>
        <w:spacing w:line="578" w:lineRule="exact"/>
        <w:ind w:firstLine="640"/>
        <w:rPr>
          <w:rFonts w:ascii="仿宋" w:eastAsia="仿宋" w:cs="仿宋"/>
          <w:sz w:val="32"/>
          <w:szCs w:val="32"/>
        </w:rPr>
      </w:pPr>
      <w:r>
        <w:rPr>
          <w:rFonts w:ascii="仿宋" w:eastAsia="仿宋" w:cs="仿宋" w:hint="eastAsia"/>
          <w:sz w:val="32"/>
          <w:szCs w:val="32"/>
        </w:rPr>
        <w:t>2025年全面完成五经普正式入户普查阶段工作，年度内预算资金4.20万元，年底全部支付完成。</w:t>
      </w:r>
    </w:p>
    <w:p>
      <w:pPr>
        <w:spacing w:line="578" w:lineRule="exact"/>
        <w:ind w:firstLine="640"/>
        <w:rPr>
          <w:sz w:val="32"/>
          <w:szCs w:val="32"/>
        </w:rPr>
      </w:pPr>
      <w:r>
        <w:rPr>
          <w:rFonts w:ascii="仿宋" w:eastAsia="仿宋" w:cs="仿宋" w:hint="eastAsia"/>
          <w:sz w:val="32"/>
          <w:szCs w:val="32"/>
        </w:rPr>
        <w:t>综上所述，该指标得14分。</w:t>
      </w:r>
    </w:p>
    <w:p>
      <w:pPr>
        <w:pStyle w:val="16"/>
        <w:tabs>
          <w:tab w:val="left" w:pos="2160"/>
        </w:tabs>
        <w:spacing w:beforeLines="0" w:before="93" w:line="600" w:lineRule="exact"/>
        <w:ind w:firstLineChars="200" w:firstLine="640"/>
        <w:rPr>
          <w:rFonts w:ascii="黑体" w:eastAsia="黑体"/>
          <w:sz w:val="32"/>
          <w:szCs w:val="32"/>
        </w:rPr>
      </w:pPr>
      <w:r>
        <w:rPr>
          <w:rFonts w:ascii="黑体" w:eastAsia="黑体" w:hint="eastAsia"/>
          <w:sz w:val="32"/>
          <w:szCs w:val="32"/>
        </w:rPr>
        <w:t>四、评价结论</w:t>
      </w:r>
    </w:p>
    <w:p>
      <w:pPr>
        <w:pStyle w:val="16"/>
        <w:tabs>
          <w:tab w:val="left" w:pos="2160"/>
        </w:tabs>
        <w:spacing w:beforeLines="0" w:before="93" w:line="600" w:lineRule="exact"/>
        <w:ind w:firstLineChars="200" w:firstLine="640"/>
        <w:rPr>
          <w:rFonts w:cs="仿宋_GB2312"/>
          <w:sz w:val="32"/>
          <w:szCs w:val="32"/>
        </w:rPr>
      </w:pPr>
      <w:r>
        <w:rPr>
          <w:rFonts w:ascii="仿宋" w:eastAsia="仿宋" w:cs="仿宋" w:hint="eastAsia"/>
          <w:sz w:val="32"/>
          <w:szCs w:val="32"/>
        </w:rPr>
        <w:t>围绕绩效评介指标体系，对该项目绩效进行了客观、公正的评价，自评得分96分，结果为优秀，预期产出和效果能满足需求。</w:t>
      </w:r>
    </w:p>
    <w:p>
      <w:pPr>
        <w:pStyle w:val="16"/>
        <w:tabs>
          <w:tab w:val="left" w:pos="2160"/>
        </w:tabs>
        <w:spacing w:beforeLines="0" w:before="93" w:line="600" w:lineRule="exact"/>
        <w:ind w:firstLineChars="200" w:firstLine="640"/>
        <w:rPr>
          <w:rFonts w:ascii="黑体" w:eastAsia="黑体"/>
          <w:sz w:val="32"/>
          <w:szCs w:val="32"/>
        </w:rPr>
      </w:pPr>
      <w:r>
        <w:rPr>
          <w:rFonts w:ascii="黑体" w:eastAsia="黑体" w:cs="黑体" w:hint="eastAsia"/>
          <w:sz w:val="32"/>
          <w:szCs w:val="32"/>
        </w:rPr>
        <w:t>五、</w:t>
      </w:r>
      <w:r>
        <w:rPr>
          <w:rFonts w:ascii="黑体" w:eastAsia="黑体" w:hint="eastAsia"/>
          <w:sz w:val="32"/>
          <w:szCs w:val="32"/>
        </w:rPr>
        <w:t>存在主要问题</w:t>
      </w:r>
    </w:p>
    <w:p>
      <w:pPr>
        <w:pStyle w:val="16"/>
        <w:tabs>
          <w:tab w:val="left" w:pos="2160"/>
        </w:tabs>
        <w:spacing w:beforeLines="0" w:before="93" w:line="600" w:lineRule="exact"/>
        <w:ind w:firstLineChars="200" w:firstLine="640"/>
        <w:rPr>
          <w:rFonts w:cs="仿宋_GB2312"/>
          <w:sz w:val="32"/>
          <w:szCs w:val="32"/>
        </w:rPr>
      </w:pPr>
      <w:r>
        <w:rPr>
          <w:rFonts w:cs="仿宋_GB2312" w:hint="eastAsia"/>
          <w:sz w:val="32"/>
          <w:szCs w:val="32"/>
        </w:rPr>
        <w:t>1.年初预算资金分配还不够准确，致使年末支付调整科目次数过多。</w:t>
      </w:r>
    </w:p>
    <w:p>
      <w:pPr>
        <w:pStyle w:val="16"/>
        <w:tabs>
          <w:tab w:val="left" w:pos="2160"/>
        </w:tabs>
        <w:spacing w:beforeLines="0" w:before="93" w:line="600" w:lineRule="exact"/>
        <w:ind w:firstLineChars="200" w:firstLine="640"/>
        <w:rPr>
          <w:rFonts w:cs="仿宋_GB2312"/>
          <w:sz w:val="32"/>
          <w:szCs w:val="32"/>
        </w:rPr>
      </w:pPr>
      <w:r>
        <w:rPr>
          <w:rFonts w:cs="仿宋_GB2312" w:hint="eastAsia"/>
          <w:sz w:val="32"/>
          <w:szCs w:val="32"/>
        </w:rPr>
        <w:t>2.项目管理人员对绩效目标认识不够，致部分绩效目标不能按时实现。</w:t>
      </w:r>
    </w:p>
    <w:p>
      <w:pPr>
        <w:pStyle w:val="16"/>
        <w:tabs>
          <w:tab w:val="left" w:pos="2160"/>
        </w:tabs>
        <w:spacing w:beforeLines="0" w:before="93" w:line="600" w:lineRule="exact"/>
        <w:ind w:firstLineChars="200" w:firstLine="640"/>
        <w:rPr>
          <w:rFonts w:ascii="黑体" w:eastAsia="黑体"/>
          <w:position w:val="3"/>
          <w:sz w:val="32"/>
          <w:szCs w:val="32"/>
          <w:lang w:val="zh-CN"/>
        </w:rPr>
      </w:pPr>
      <w:r>
        <w:rPr>
          <w:rFonts w:ascii="黑体" w:eastAsia="黑体" w:hint="eastAsia"/>
          <w:position w:val="3"/>
          <w:sz w:val="32"/>
          <w:szCs w:val="32"/>
          <w:lang w:val="zh-CN"/>
        </w:rPr>
        <w:t>六、改进建议</w:t>
      </w:r>
    </w:p>
    <w:p>
      <w:pPr>
        <w:tabs>
          <w:tab w:val="left" w:pos="1911"/>
        </w:tabs>
        <w:ind w:firstLine="640"/>
        <w:jc w:val="left"/>
        <w:rPr>
          <w:rFonts w:ascii="仿宋" w:eastAsia="仿宋" w:cs="仿宋"/>
          <w:kern w:val="0"/>
          <w:sz w:val="32"/>
          <w:szCs w:val="32"/>
        </w:rPr>
      </w:pPr>
      <w:r>
        <w:rPr>
          <w:rFonts w:ascii="仿宋" w:eastAsia="仿宋" w:cs="仿宋" w:hint="eastAsia"/>
          <w:kern w:val="0"/>
          <w:sz w:val="32"/>
          <w:szCs w:val="32"/>
        </w:rPr>
        <w:t>1.提高资金预算分配准确率，减少年末科目调整次数。结合单位工作实际情况，尽量做资金分配准确。</w:t>
      </w:r>
    </w:p>
    <w:p>
      <w:pPr>
        <w:tabs>
          <w:tab w:val="left" w:pos="1911"/>
        </w:tabs>
        <w:ind w:firstLine="640"/>
        <w:jc w:val="left"/>
        <w:rPr>
          <w:rFonts w:ascii="仿宋" w:eastAsia="仿宋" w:cs="仿宋"/>
          <w:kern w:val="0"/>
          <w:sz w:val="32"/>
          <w:szCs w:val="32"/>
        </w:rPr>
      </w:pPr>
      <w:r>
        <w:rPr>
          <w:rFonts w:ascii="仿宋" w:eastAsia="仿宋" w:cs="仿宋" w:hint="eastAsia"/>
          <w:kern w:val="0"/>
          <w:sz w:val="32"/>
          <w:szCs w:val="32"/>
        </w:rPr>
        <w:t>2.加强对项目管理人员的业务培训，提高项目管理人员对绩效目标管理的认识和业务能力，促进绩效目标完成。</w:t>
      </w:r>
    </w:p>
    <w:p>
      <w:pPr>
        <w:snapToGrid w:val="0"/>
        <w:spacing w:line="578" w:lineRule="exact"/>
        <w:ind w:firstLineChars="200" w:firstLine="420"/>
        <w:rPr>
          <w:color w:val="000000"/>
          <w:kern w:val="0"/>
          <w:szCs w:val="32"/>
          <w:shd w:val="clear" w:color="auto" w:fill="FFFFFF"/>
          <w:lang w:val="zh-CN"/>
        </w:rPr>
      </w:pPr>
    </w:p>
    <w:p>
      <w:pPr>
        <w:pStyle w:val="25"/>
        <w:spacing w:after="0" w:line="578" w:lineRule="exact"/>
        <w:ind w:leftChars="0" w:left="0" w:firstLineChars="0" w:firstLine="0"/>
        <w:rPr>
          <w:rFonts w:eastAsia="黑体"/>
          <w:sz w:val="32"/>
        </w:rPr>
      </w:pPr>
    </w:p>
    <w:tbl>
      <w:tblPr>
        <w:jc w:val="center"/>
        <w:tblW w:w="10390" w:type="dxa"/>
        <w:tblBorders>
          <w:top w:val="none" w:sz="0" w:space="0" w:color="auto"/>
          <w:left w:val="none" w:sz="0" w:space="0" w:color="auto"/>
          <w:bottom w:val="none" w:sz="0" w:space="0" w:color="auto"/>
          <w:right w:val="none" w:sz="0" w:space="0" w:color="auto"/>
        </w:tblBorders>
        <w:tblLayout w:type="fixed"/>
        <w:tblCellMar>
          <w:top w:w="15" w:type="dxa"/>
          <w:left w:w="15" w:type="dxa"/>
          <w:bottom w:w="15" w:type="dxa"/>
          <w:right w:w="15" w:type="dxa"/>
        </w:tblCellMar>
      </w:tblPr>
      <w:tblGrid>
        <w:gridCol w:w="652"/>
        <w:gridCol w:w="1081"/>
        <w:gridCol w:w="1250"/>
        <w:gridCol w:w="1140"/>
        <w:gridCol w:w="1635"/>
        <w:gridCol w:w="930"/>
        <w:gridCol w:w="1140"/>
        <w:gridCol w:w="795"/>
        <w:gridCol w:w="1767"/>
      </w:tblGrid>
      <w:tr>
        <w:trPr>
          <w:trHeight w:val="576"/>
        </w:trPr>
        <w:tc>
          <w:tcPr>
            <w:tcW w:w="10390" w:type="dxa"/>
            <w:gridSpan w:val="9"/>
            <w:noWrap/>
            <w:vAlign w:val="center"/>
          </w:tcPr>
          <w:p>
            <w:pPr>
              <w:widowControl/>
              <w:spacing w:line="600" w:lineRule="exact"/>
              <w:jc w:val="center"/>
              <w:textAlignment w:val="center"/>
              <w:rPr>
                <w:rFonts w:ascii="宋体" w:cs="宋体"/>
                <w:b/>
                <w:bCs/>
                <w:color w:val="000000"/>
                <w:kern w:val="0"/>
                <w:sz w:val="40"/>
                <w:szCs w:val="40"/>
              </w:rPr>
            </w:pPr>
            <w:r>
              <w:rPr>
                <w:rFonts w:ascii="宋体" w:cs="宋体" w:hint="eastAsia"/>
                <w:b/>
                <w:bCs/>
                <w:color w:val="000000"/>
                <w:kern w:val="0"/>
                <w:sz w:val="40"/>
                <w:szCs w:val="40"/>
              </w:rPr>
              <w:t>2025年汶川县第五次全国经济普查经费</w:t>
            </w:r>
          </w:p>
          <w:p>
            <w:pPr>
              <w:widowControl/>
              <w:spacing w:line="600" w:lineRule="exact"/>
              <w:jc w:val="center"/>
              <w:textAlignment w:val="center"/>
              <w:rPr>
                <w:rFonts w:ascii="黑体" w:eastAsia="黑体" w:cs="黑体"/>
                <w:color w:val="000000"/>
                <w:sz w:val="30"/>
                <w:szCs w:val="30"/>
              </w:rPr>
            </w:pPr>
            <w:r>
              <w:rPr>
                <w:rFonts w:ascii="宋体" w:cs="宋体" w:hint="eastAsia"/>
                <w:b/>
                <w:bCs/>
                <w:color w:val="000000"/>
                <w:kern w:val="0"/>
                <w:sz w:val="40"/>
                <w:szCs w:val="40"/>
              </w:rPr>
              <w:t>项目支出绩效自评表</w:t>
            </w:r>
          </w:p>
        </w:tc>
      </w:tr>
      <w:tr>
        <w:trPr>
          <w:trHeight w:val="23"/>
        </w:trPr>
        <w:tc>
          <w:tcPr>
            <w:tcW w:w="4123" w:type="dxa"/>
            <w:gridSpan w:val="4"/>
            <w:tcBorders>
              <w:top w:val="single" w:sz="4" w:space="0" w:color="000000"/>
              <w:left w:val="single" w:sz="4" w:space="0" w:color="000000"/>
              <w:bottom w:val="single" w:sz="4" w:space="0" w:color="000000"/>
              <w:right w:val="single" w:sz="4" w:space="0" w:color="000000"/>
            </w:tcBorders>
            <w:noWrap/>
            <w:vAlign w:val="center"/>
          </w:tcPr>
          <w:p>
            <w:pPr>
              <w:widowControl/>
              <w:spacing w:line="300" w:lineRule="exact"/>
              <w:jc w:val="left"/>
              <w:textAlignment w:val="center"/>
              <w:rPr>
                <w:rFonts w:ascii="宋体" w:cs="宋体"/>
                <w:color w:val="000000"/>
                <w:sz w:val="24"/>
              </w:rPr>
            </w:pPr>
            <w:r>
              <w:rPr>
                <w:rFonts w:ascii="宋体" w:cs="宋体"/>
                <w:color w:val="000000"/>
                <w:kern w:val="0"/>
                <w:sz w:val="24"/>
              </w:rPr>
              <w:t>项目名称</w:t>
            </w:r>
          </w:p>
        </w:tc>
        <w:tc>
          <w:tcPr>
            <w:tcW w:w="6267" w:type="dxa"/>
            <w:gridSpan w:val="5"/>
            <w:tcBorders>
              <w:top w:val="single" w:sz="4" w:space="0" w:color="000000"/>
              <w:left w:val="single" w:sz="4" w:space="0" w:color="000000"/>
              <w:bottom w:val="single" w:sz="4" w:space="0" w:color="000000"/>
              <w:right w:val="single" w:sz="4" w:space="0" w:color="000000"/>
            </w:tcBorders>
            <w:noWrap/>
            <w:vAlign w:val="center"/>
          </w:tcPr>
          <w:p>
            <w:pPr>
              <w:spacing w:line="300" w:lineRule="exact"/>
              <w:rPr>
                <w:rFonts w:ascii="宋体" w:cs="宋体"/>
                <w:color w:val="000000"/>
                <w:sz w:val="24"/>
              </w:rPr>
            </w:pPr>
            <w:r>
              <w:rPr>
                <w:rFonts w:ascii="宋体" w:cs="宋体" w:hint="eastAsia"/>
                <w:spacing w:val="-20"/>
                <w:sz w:val="24"/>
              </w:rPr>
              <w:t>汶川县第五次全国经济普查经费（2024）</w:t>
            </w:r>
          </w:p>
        </w:tc>
      </w:tr>
      <w:tr>
        <w:trPr>
          <w:trHeight w:val="23"/>
        </w:trPr>
        <w:tc>
          <w:tcPr>
            <w:tcW w:w="4123" w:type="dxa"/>
            <w:gridSpan w:val="4"/>
            <w:tcBorders>
              <w:top w:val="single" w:sz="4" w:space="0" w:color="000000"/>
              <w:left w:val="single" w:sz="4" w:space="0" w:color="000000"/>
              <w:bottom w:val="single" w:sz="4" w:space="0" w:color="000000"/>
              <w:right w:val="single" w:sz="4" w:space="0" w:color="000000"/>
            </w:tcBorders>
            <w:noWrap/>
            <w:vAlign w:val="center"/>
          </w:tcPr>
          <w:p>
            <w:pPr>
              <w:widowControl/>
              <w:spacing w:line="300" w:lineRule="exact"/>
              <w:jc w:val="left"/>
              <w:textAlignment w:val="center"/>
              <w:rPr>
                <w:rFonts w:ascii="宋体" w:cs="宋体"/>
                <w:color w:val="000000"/>
                <w:sz w:val="24"/>
              </w:rPr>
            </w:pPr>
            <w:r>
              <w:rPr>
                <w:rFonts w:ascii="宋体" w:cs="宋体"/>
                <w:color w:val="000000"/>
                <w:kern w:val="0"/>
                <w:sz w:val="24"/>
              </w:rPr>
              <w:t>预算单位</w:t>
            </w:r>
          </w:p>
        </w:tc>
        <w:tc>
          <w:tcPr>
            <w:tcW w:w="6267" w:type="dxa"/>
            <w:gridSpan w:val="5"/>
            <w:tcBorders>
              <w:top w:val="single" w:sz="4" w:space="0" w:color="000000"/>
              <w:left w:val="single" w:sz="4" w:space="0" w:color="000000"/>
              <w:bottom w:val="single" w:sz="4" w:space="0" w:color="000000"/>
              <w:right w:val="single" w:sz="4" w:space="0" w:color="000000"/>
            </w:tcBorders>
            <w:noWrap/>
            <w:vAlign w:val="center"/>
          </w:tcPr>
          <w:p>
            <w:pPr>
              <w:spacing w:line="300" w:lineRule="exact"/>
              <w:rPr>
                <w:rFonts w:ascii="宋体" w:cs="宋体"/>
                <w:color w:val="000000"/>
                <w:sz w:val="24"/>
              </w:rPr>
            </w:pPr>
            <w:r>
              <w:rPr>
                <w:rFonts w:ascii="宋体" w:cs="宋体" w:hint="eastAsia"/>
                <w:color w:val="000000"/>
                <w:sz w:val="24"/>
              </w:rPr>
              <w:t>汶川县统计局</w:t>
            </w:r>
          </w:p>
        </w:tc>
      </w:tr>
      <w:tr>
        <w:trPr>
          <w:trHeight w:val="23"/>
        </w:trPr>
        <w:tc>
          <w:tcPr>
            <w:tcW w:w="4123" w:type="dxa"/>
            <w:gridSpan w:val="4"/>
            <w:tcBorders>
              <w:top w:val="single" w:sz="4" w:space="0" w:color="000000"/>
              <w:left w:val="single" w:sz="4" w:space="0" w:color="000000"/>
              <w:bottom w:val="single" w:sz="4" w:space="0" w:color="000000"/>
              <w:right w:val="single" w:sz="4" w:space="0" w:color="000000"/>
            </w:tcBorders>
            <w:noWrap/>
            <w:vAlign w:val="center"/>
          </w:tcPr>
          <w:p>
            <w:pPr>
              <w:widowControl/>
              <w:spacing w:line="300" w:lineRule="exact"/>
              <w:jc w:val="left"/>
              <w:textAlignment w:val="center"/>
              <w:rPr>
                <w:rFonts w:ascii="宋体" w:cs="宋体"/>
                <w:color w:val="000000"/>
                <w:sz w:val="24"/>
              </w:rPr>
            </w:pPr>
            <w:r>
              <w:rPr>
                <w:rFonts w:ascii="宋体" w:cs="宋体"/>
                <w:color w:val="000000"/>
                <w:kern w:val="0"/>
                <w:sz w:val="24"/>
              </w:rPr>
              <w:t>项目类型</w:t>
            </w:r>
          </w:p>
        </w:tc>
        <w:tc>
          <w:tcPr>
            <w:tcW w:w="6267" w:type="dxa"/>
            <w:gridSpan w:val="5"/>
            <w:tcBorders>
              <w:top w:val="single" w:sz="4" w:space="0" w:color="000000"/>
              <w:left w:val="single" w:sz="4" w:space="0" w:color="000000"/>
              <w:bottom w:val="single" w:sz="4" w:space="0" w:color="000000"/>
              <w:right w:val="single" w:sz="4" w:space="0" w:color="000000"/>
            </w:tcBorders>
            <w:noWrap/>
            <w:vAlign w:val="center"/>
          </w:tcPr>
          <w:p>
            <w:pPr>
              <w:spacing w:line="300" w:lineRule="exact"/>
              <w:jc w:val="left"/>
              <w:rPr>
                <w:rFonts w:ascii="宋体" w:cs="宋体"/>
                <w:color w:val="000000"/>
                <w:sz w:val="24"/>
              </w:rPr>
            </w:pPr>
            <w:r>
              <w:rPr>
                <w:rFonts w:ascii="宋体" w:cs="宋体" w:hint="eastAsia"/>
                <w:color w:val="000000"/>
                <w:sz w:val="24"/>
              </w:rPr>
              <w:t>运转类</w:t>
            </w:r>
          </w:p>
        </w:tc>
      </w:tr>
      <w:tr>
        <w:trPr>
          <w:trHeight w:val="23"/>
        </w:trPr>
        <w:tc>
          <w:tcPr>
            <w:tcW w:w="652" w:type="dxa"/>
            <w:vMerge w:val="restart"/>
            <w:tcBorders>
              <w:top w:val="single" w:sz="4" w:space="0" w:color="000000"/>
              <w:left w:val="single" w:sz="4" w:space="0" w:color="000000"/>
              <w:bottom w:val="single" w:sz="4" w:space="0" w:color="000000"/>
              <w:right w:val="single" w:sz="4" w:space="0" w:color="000000"/>
            </w:tcBorders>
            <w:noWrap/>
            <w:vAlign w:val="center"/>
          </w:tcPr>
          <w:p>
            <w:pPr>
              <w:widowControl/>
              <w:spacing w:line="300" w:lineRule="exact"/>
              <w:jc w:val="center"/>
              <w:textAlignment w:val="center"/>
              <w:rPr>
                <w:rFonts w:ascii="宋体" w:cs="宋体"/>
                <w:color w:val="000000"/>
                <w:sz w:val="24"/>
              </w:rPr>
            </w:pPr>
            <w:r>
              <w:rPr>
                <w:rFonts w:ascii="宋体" w:cs="宋体"/>
                <w:color w:val="000000"/>
                <w:kern w:val="0"/>
                <w:sz w:val="24"/>
              </w:rPr>
              <w:t>项目 概况</w:t>
            </w:r>
          </w:p>
        </w:tc>
        <w:tc>
          <w:tcPr>
            <w:tcW w:w="3471" w:type="dxa"/>
            <w:gridSpan w:val="3"/>
            <w:tcBorders>
              <w:top w:val="single" w:sz="4" w:space="0" w:color="000000"/>
              <w:left w:val="single" w:sz="4" w:space="0" w:color="000000"/>
              <w:bottom w:val="single" w:sz="4" w:space="0" w:color="000000"/>
              <w:right w:val="single" w:sz="4" w:space="0" w:color="000000"/>
            </w:tcBorders>
            <w:noWrap/>
            <w:vAlign w:val="center"/>
          </w:tcPr>
          <w:p>
            <w:pPr>
              <w:widowControl/>
              <w:spacing w:line="300" w:lineRule="exact"/>
              <w:jc w:val="left"/>
              <w:textAlignment w:val="center"/>
              <w:rPr>
                <w:rFonts w:ascii="宋体" w:cs="宋体"/>
                <w:color w:val="000000"/>
                <w:kern w:val="0"/>
                <w:sz w:val="24"/>
              </w:rPr>
            </w:pPr>
            <w:r>
              <w:rPr>
                <w:rFonts w:ascii="宋体" w:cs="宋体"/>
                <w:color w:val="000000"/>
                <w:kern w:val="0"/>
                <w:sz w:val="24"/>
              </w:rPr>
              <w:t>中长期规划（名称、文号，仅指</w:t>
            </w:r>
          </w:p>
          <w:p>
            <w:pPr>
              <w:widowControl/>
              <w:spacing w:line="300" w:lineRule="exact"/>
              <w:jc w:val="left"/>
              <w:textAlignment w:val="center"/>
              <w:rPr>
                <w:rFonts w:ascii="宋体" w:cs="宋体"/>
                <w:color w:val="000000"/>
                <w:sz w:val="24"/>
              </w:rPr>
            </w:pPr>
            <w:r>
              <w:rPr>
                <w:rFonts w:ascii="宋体" w:cs="宋体"/>
                <w:color w:val="000000"/>
                <w:kern w:val="0"/>
                <w:sz w:val="24"/>
              </w:rPr>
              <w:t>常年项目）</w:t>
            </w:r>
          </w:p>
        </w:tc>
        <w:tc>
          <w:tcPr>
            <w:tcW w:w="6267" w:type="dxa"/>
            <w:gridSpan w:val="5"/>
            <w:tcBorders>
              <w:top w:val="single" w:sz="4" w:space="0" w:color="000000"/>
              <w:left w:val="single" w:sz="4" w:space="0" w:color="000000"/>
              <w:bottom w:val="single" w:sz="4" w:space="0" w:color="000000"/>
              <w:right w:val="single" w:sz="4" w:space="0" w:color="000000"/>
            </w:tcBorders>
            <w:noWrap/>
            <w:vAlign w:val="center"/>
          </w:tcPr>
          <w:p>
            <w:pPr>
              <w:spacing w:line="300" w:lineRule="exact"/>
              <w:jc w:val="left"/>
              <w:rPr>
                <w:rFonts w:ascii="宋体" w:cs="宋体"/>
                <w:color w:val="000000"/>
                <w:sz w:val="24"/>
              </w:rPr>
            </w:pPr>
          </w:p>
        </w:tc>
      </w:tr>
      <w:tr>
        <w:trPr>
          <w:trHeight w:val="23"/>
        </w:trPr>
        <w:tc>
          <w:tcPr>
            <w:tcW w:w="652" w:type="dxa"/>
            <w:vMerge/>
            <w:tcBorders>
              <w:top w:val="single" w:sz="4" w:space="0" w:color="000000"/>
              <w:left w:val="single" w:sz="4" w:space="0" w:color="000000"/>
              <w:bottom w:val="single" w:sz="4" w:space="0" w:color="000000"/>
              <w:right w:val="single" w:sz="4" w:space="0" w:color="000000"/>
            </w:tcBorders>
            <w:noWrap/>
            <w:vAlign w:val="center"/>
          </w:tcPr>
          <w:p/>
        </w:tc>
        <w:tc>
          <w:tcPr>
            <w:tcW w:w="3471" w:type="dxa"/>
            <w:gridSpan w:val="3"/>
            <w:tcBorders>
              <w:top w:val="single" w:sz="4" w:space="0" w:color="000000"/>
              <w:left w:val="single" w:sz="4" w:space="0" w:color="000000"/>
              <w:bottom w:val="single" w:sz="4" w:space="0" w:color="000000"/>
              <w:right w:val="single" w:sz="4" w:space="0" w:color="000000"/>
            </w:tcBorders>
            <w:noWrap/>
            <w:vAlign w:val="center"/>
          </w:tcPr>
          <w:p>
            <w:pPr>
              <w:widowControl/>
              <w:spacing w:line="300" w:lineRule="exact"/>
              <w:jc w:val="left"/>
              <w:textAlignment w:val="center"/>
              <w:rPr>
                <w:rFonts w:ascii="宋体" w:cs="宋体"/>
                <w:color w:val="000000"/>
                <w:sz w:val="24"/>
              </w:rPr>
            </w:pPr>
            <w:r>
              <w:rPr>
                <w:rFonts w:ascii="宋体" w:cs="宋体"/>
                <w:color w:val="000000"/>
                <w:kern w:val="0"/>
                <w:sz w:val="24"/>
              </w:rPr>
              <w:t>资金管理办法（名称、文号）</w:t>
            </w:r>
          </w:p>
        </w:tc>
        <w:tc>
          <w:tcPr>
            <w:tcW w:w="6267" w:type="dxa"/>
            <w:gridSpan w:val="5"/>
            <w:tcBorders>
              <w:top w:val="single" w:sz="4" w:space="0" w:color="000000"/>
              <w:left w:val="single" w:sz="4" w:space="0" w:color="000000"/>
              <w:bottom w:val="single" w:sz="4" w:space="0" w:color="000000"/>
              <w:right w:val="single" w:sz="4" w:space="0" w:color="000000"/>
            </w:tcBorders>
            <w:noWrap/>
            <w:vAlign w:val="center"/>
          </w:tcPr>
          <w:p>
            <w:pPr>
              <w:spacing w:line="300" w:lineRule="exact"/>
              <w:jc w:val="left"/>
              <w:rPr>
                <w:rFonts w:ascii="宋体" w:cs="宋体"/>
                <w:color w:val="000000"/>
                <w:sz w:val="24"/>
              </w:rPr>
            </w:pPr>
            <w:r>
              <w:rPr>
                <w:rFonts w:ascii="宋体" w:cs="宋体" w:hint="eastAsia"/>
                <w:color w:val="000000"/>
                <w:sz w:val="24"/>
              </w:rPr>
              <w:t>汶川县统计局专项资金管理办法</w:t>
            </w:r>
          </w:p>
        </w:tc>
      </w:tr>
      <w:tr>
        <w:trPr>
          <w:trHeight w:val="23"/>
        </w:trPr>
        <w:tc>
          <w:tcPr>
            <w:tcW w:w="652" w:type="dxa"/>
            <w:vMerge/>
            <w:tcBorders>
              <w:top w:val="single" w:sz="4" w:space="0" w:color="000000"/>
              <w:left w:val="single" w:sz="4" w:space="0" w:color="000000"/>
              <w:bottom w:val="single" w:sz="4" w:space="0" w:color="000000"/>
              <w:right w:val="single" w:sz="4" w:space="0" w:color="000000"/>
            </w:tcBorders>
            <w:noWrap/>
            <w:vAlign w:val="center"/>
          </w:tcPr>
          <w:p/>
        </w:tc>
        <w:tc>
          <w:tcPr>
            <w:tcW w:w="3471" w:type="dxa"/>
            <w:gridSpan w:val="3"/>
            <w:tcBorders>
              <w:top w:val="single" w:sz="4" w:space="0" w:color="000000"/>
              <w:left w:val="single" w:sz="4" w:space="0" w:color="000000"/>
              <w:bottom w:val="single" w:sz="4" w:space="0" w:color="000000"/>
              <w:right w:val="single" w:sz="4" w:space="0" w:color="000000"/>
            </w:tcBorders>
            <w:noWrap/>
            <w:vAlign w:val="center"/>
          </w:tcPr>
          <w:p>
            <w:pPr>
              <w:widowControl/>
              <w:spacing w:line="300" w:lineRule="exact"/>
              <w:jc w:val="left"/>
              <w:textAlignment w:val="center"/>
              <w:rPr>
                <w:rFonts w:ascii="宋体" w:cs="宋体"/>
                <w:color w:val="000000"/>
                <w:sz w:val="24"/>
              </w:rPr>
            </w:pPr>
            <w:r>
              <w:rPr>
                <w:rFonts w:ascii="宋体" w:cs="宋体"/>
                <w:color w:val="000000"/>
                <w:kern w:val="0"/>
                <w:sz w:val="24"/>
              </w:rPr>
              <w:t>绩效分配方式</w:t>
            </w:r>
          </w:p>
        </w:tc>
        <w:tc>
          <w:tcPr>
            <w:tcW w:w="1635" w:type="dxa"/>
            <w:tcBorders>
              <w:top w:val="single" w:sz="4" w:space="0" w:color="000000"/>
              <w:left w:val="single" w:sz="4" w:space="0" w:color="000000"/>
              <w:bottom w:val="single" w:sz="4" w:space="0" w:color="000000"/>
              <w:right w:val="single" w:sz="4" w:space="0" w:color="000000"/>
            </w:tcBorders>
            <w:noWrap/>
            <w:vAlign w:val="center"/>
          </w:tcPr>
          <w:p>
            <w:pPr>
              <w:widowControl/>
              <w:spacing w:line="300" w:lineRule="exact"/>
              <w:jc w:val="left"/>
              <w:textAlignment w:val="center"/>
              <w:rPr>
                <w:rFonts w:ascii="Wingdings 2" w:eastAsia="Wingdings 2" w:cs="Wingdings 2" w:hAnsi="Wingdings 2"/>
                <w:color w:val="000000"/>
                <w:sz w:val="24"/>
              </w:rPr>
            </w:pPr>
            <w:r>
              <w:rPr>
                <w:rFonts w:ascii="Wingdings 2" w:eastAsia="Wingdings 2" w:cs="Wingdings 2" w:hAnsi="Wingdings 2"/>
                <w:color w:val="000000"/>
                <w:kern w:val="0"/>
                <w:sz w:val="24"/>
              </w:rPr>
              <w:t></w:t>
            </w:r>
            <w:r>
              <w:rPr>
                <w:rFonts w:ascii="宋体" w:cs="宋体"/>
                <w:color w:val="000000"/>
                <w:kern w:val="0"/>
                <w:sz w:val="24"/>
              </w:rPr>
              <w:t>因素法</w:t>
            </w:r>
          </w:p>
        </w:tc>
        <w:tc>
          <w:tcPr>
            <w:tcW w:w="2070" w:type="dxa"/>
            <w:gridSpan w:val="2"/>
            <w:tcBorders>
              <w:top w:val="single" w:sz="4" w:space="0" w:color="000000"/>
              <w:left w:val="single" w:sz="4" w:space="0" w:color="000000"/>
              <w:bottom w:val="single" w:sz="4" w:space="0" w:color="000000"/>
              <w:right w:val="single" w:sz="4" w:space="0" w:color="000000"/>
            </w:tcBorders>
            <w:noWrap/>
            <w:vAlign w:val="center"/>
          </w:tcPr>
          <w:p>
            <w:pPr>
              <w:widowControl/>
              <w:spacing w:line="300" w:lineRule="exact"/>
              <w:jc w:val="center"/>
              <w:textAlignment w:val="center"/>
              <w:rPr>
                <w:rFonts w:ascii="Wingdings 2" w:eastAsia="Wingdings 2" w:cs="Wingdings 2" w:hAnsi="Wingdings 2"/>
                <w:color w:val="000000"/>
                <w:sz w:val="24"/>
              </w:rPr>
            </w:pPr>
            <w:r>
              <w:rPr>
                <w:rFonts w:ascii="Wingdings 2" w:eastAsia="Wingdings 2" w:cs="Wingdings 2" w:hAnsi="Wingdings 2"/>
                <w:color w:val="000000"/>
                <w:kern w:val="0"/>
                <w:sz w:val="24"/>
              </w:rPr>
              <w:t>项目法</w:t>
            </w:r>
          </w:p>
        </w:tc>
        <w:tc>
          <w:tcPr>
            <w:tcW w:w="795" w:type="dxa"/>
            <w:tcBorders>
              <w:top w:val="single" w:sz="4" w:space="0" w:color="000000"/>
              <w:left w:val="single" w:sz="4" w:space="0" w:color="000000"/>
              <w:bottom w:val="single" w:sz="4" w:space="0" w:color="000000"/>
              <w:right w:val="single" w:sz="4" w:space="0" w:color="000000"/>
            </w:tcBorders>
            <w:noWrap/>
            <w:vAlign w:val="center"/>
          </w:tcPr>
          <w:p>
            <w:pPr>
              <w:widowControl/>
              <w:spacing w:line="300" w:lineRule="exact"/>
              <w:jc w:val="center"/>
              <w:textAlignment w:val="center"/>
              <w:rPr>
                <w:rFonts w:ascii="Wingdings 2" w:eastAsia="Wingdings 2" w:cs="Wingdings 2" w:hAnsi="Wingdings 2"/>
                <w:color w:val="000000"/>
                <w:sz w:val="24"/>
              </w:rPr>
            </w:pPr>
            <w:r>
              <w:rPr>
                <w:rFonts w:ascii="Wingdings 2" w:eastAsia="Wingdings 2" w:cs="Wingdings 2" w:hAnsi="Wingdings 2"/>
                <w:color w:val="000000"/>
                <w:kern w:val="0"/>
                <w:sz w:val="24"/>
              </w:rPr>
              <w:t></w:t>
            </w:r>
            <w:r>
              <w:rPr>
                <w:rFonts w:ascii="宋体" w:cs="宋体"/>
                <w:color w:val="000000"/>
                <w:kern w:val="0"/>
                <w:sz w:val="24"/>
              </w:rPr>
              <w:t>据实据效</w:t>
            </w:r>
          </w:p>
        </w:tc>
        <w:tc>
          <w:tcPr>
            <w:tcW w:w="1767" w:type="dxa"/>
            <w:tcBorders>
              <w:top w:val="single" w:sz="4" w:space="0" w:color="000000"/>
              <w:left w:val="single" w:sz="4" w:space="0" w:color="000000"/>
              <w:bottom w:val="single" w:sz="4" w:space="0" w:color="000000"/>
              <w:right w:val="single" w:sz="4" w:space="0" w:color="000000"/>
            </w:tcBorders>
            <w:noWrap/>
            <w:vAlign w:val="center"/>
          </w:tcPr>
          <w:p>
            <w:pPr>
              <w:widowControl/>
              <w:spacing w:line="300" w:lineRule="exact"/>
              <w:jc w:val="center"/>
              <w:textAlignment w:val="center"/>
              <w:rPr>
                <w:rFonts w:ascii="Wingdings 2" w:eastAsia="Wingdings 2" w:cs="Wingdings 2" w:hAnsi="Wingdings 2"/>
                <w:color w:val="000000"/>
                <w:sz w:val="24"/>
              </w:rPr>
            </w:pPr>
            <w:r>
              <w:rPr>
                <w:rFonts w:ascii="Wingdings 2" w:eastAsia="Wingdings 2" w:cs="Wingdings 2" w:hAnsi="Wingdings 2"/>
                <w:color w:val="000000"/>
                <w:kern w:val="0"/>
                <w:sz w:val="24"/>
              </w:rPr>
              <w:sym w:font="Wingdings" w:char="FE"/>
            </w:r>
            <w:r>
              <w:rPr>
                <w:rFonts w:ascii="宋体" w:cs="宋体"/>
                <w:color w:val="000000"/>
                <w:kern w:val="0"/>
                <w:sz w:val="24"/>
              </w:rPr>
              <w:t>因素法与项目法相结合</w:t>
            </w:r>
          </w:p>
        </w:tc>
      </w:tr>
      <w:tr>
        <w:trPr>
          <w:trHeight w:val="23"/>
        </w:trPr>
        <w:tc>
          <w:tcPr>
            <w:tcW w:w="652" w:type="dxa"/>
            <w:vMerge/>
            <w:tcBorders>
              <w:top w:val="single" w:sz="4" w:space="0" w:color="000000"/>
              <w:left w:val="single" w:sz="4" w:space="0" w:color="000000"/>
              <w:bottom w:val="single" w:sz="4" w:space="0" w:color="000000"/>
              <w:right w:val="single" w:sz="4" w:space="0" w:color="000000"/>
            </w:tcBorders>
            <w:noWrap/>
            <w:vAlign w:val="center"/>
          </w:tcPr>
          <w:p/>
        </w:tc>
        <w:tc>
          <w:tcPr>
            <w:tcW w:w="3471" w:type="dxa"/>
            <w:gridSpan w:val="3"/>
            <w:tcBorders>
              <w:top w:val="single" w:sz="4" w:space="0" w:color="000000"/>
              <w:left w:val="single" w:sz="4" w:space="0" w:color="000000"/>
              <w:bottom w:val="single" w:sz="4" w:space="0" w:color="000000"/>
              <w:right w:val="single" w:sz="4" w:space="0" w:color="000000"/>
            </w:tcBorders>
            <w:noWrap/>
            <w:vAlign w:val="center"/>
          </w:tcPr>
          <w:p>
            <w:pPr>
              <w:widowControl/>
              <w:spacing w:line="300" w:lineRule="exact"/>
              <w:jc w:val="left"/>
              <w:textAlignment w:val="center"/>
              <w:rPr>
                <w:rFonts w:ascii="宋体" w:cs="宋体"/>
                <w:color w:val="000000"/>
                <w:sz w:val="24"/>
              </w:rPr>
            </w:pPr>
            <w:r>
              <w:rPr>
                <w:rFonts w:ascii="宋体" w:cs="宋体"/>
                <w:color w:val="000000"/>
                <w:kern w:val="0"/>
                <w:sz w:val="24"/>
              </w:rPr>
              <w:t>立项依据</w:t>
            </w:r>
          </w:p>
        </w:tc>
        <w:tc>
          <w:tcPr>
            <w:tcW w:w="6267" w:type="dxa"/>
            <w:gridSpan w:val="5"/>
            <w:tcBorders>
              <w:top w:val="single" w:sz="4" w:space="0" w:color="000000"/>
              <w:left w:val="single" w:sz="4" w:space="0" w:color="000000"/>
              <w:bottom w:val="single" w:sz="4" w:space="0" w:color="000000"/>
              <w:right w:val="single" w:sz="4" w:space="0" w:color="000000"/>
            </w:tcBorders>
            <w:noWrap/>
            <w:vAlign w:val="center"/>
          </w:tcPr>
          <w:p>
            <w:pPr>
              <w:adjustRightInd w:val="0"/>
              <w:snapToGrid w:val="0"/>
              <w:spacing w:line="360" w:lineRule="exact"/>
              <w:rPr>
                <w:rFonts w:ascii="宋体" w:cs="宋体"/>
                <w:bCs/>
                <w:sz w:val="24"/>
              </w:rPr>
            </w:pPr>
            <w:r>
              <w:rPr>
                <w:rFonts w:ascii="宋体" w:cs="宋体" w:hint="eastAsia"/>
                <w:bCs/>
                <w:sz w:val="24"/>
              </w:rPr>
              <w:t>汶川县统计局关于解决汶川县全国第五次经济普查经费的请示</w:t>
            </w:r>
          </w:p>
          <w:p>
            <w:pPr>
              <w:spacing w:line="300" w:lineRule="exact"/>
              <w:jc w:val="left"/>
              <w:rPr>
                <w:rFonts w:ascii="宋体" w:cs="宋体"/>
                <w:color w:val="000000"/>
                <w:sz w:val="24"/>
              </w:rPr>
            </w:pPr>
          </w:p>
        </w:tc>
      </w:tr>
      <w:tr>
        <w:trPr>
          <w:trHeight w:val="23"/>
        </w:trPr>
        <w:tc>
          <w:tcPr>
            <w:tcW w:w="652" w:type="dxa"/>
            <w:vMerge/>
            <w:tcBorders>
              <w:top w:val="single" w:sz="4" w:space="0" w:color="000000"/>
              <w:left w:val="single" w:sz="4" w:space="0" w:color="000000"/>
              <w:bottom w:val="single" w:sz="4" w:space="0" w:color="000000"/>
              <w:right w:val="single" w:sz="4" w:space="0" w:color="000000"/>
            </w:tcBorders>
            <w:noWrap/>
            <w:vAlign w:val="center"/>
          </w:tcPr>
          <w:p/>
        </w:tc>
        <w:tc>
          <w:tcPr>
            <w:tcW w:w="3471" w:type="dxa"/>
            <w:gridSpan w:val="3"/>
            <w:tcBorders>
              <w:top w:val="single" w:sz="4" w:space="0" w:color="000000"/>
              <w:left w:val="single" w:sz="4" w:space="0" w:color="000000"/>
              <w:bottom w:val="single" w:sz="4" w:space="0" w:color="000000"/>
              <w:right w:val="single" w:sz="4" w:space="0" w:color="000000"/>
            </w:tcBorders>
            <w:noWrap/>
            <w:vAlign w:val="center"/>
          </w:tcPr>
          <w:p>
            <w:pPr>
              <w:widowControl/>
              <w:spacing w:line="300" w:lineRule="exact"/>
              <w:jc w:val="left"/>
              <w:textAlignment w:val="center"/>
              <w:rPr>
                <w:rFonts w:ascii="宋体" w:cs="宋体"/>
                <w:color w:val="000000"/>
                <w:sz w:val="24"/>
              </w:rPr>
            </w:pPr>
            <w:r>
              <w:rPr>
                <w:rFonts w:ascii="宋体" w:cs="宋体"/>
                <w:color w:val="000000"/>
                <w:kern w:val="0"/>
                <w:sz w:val="24"/>
              </w:rPr>
              <w:t>使用范围</w:t>
            </w:r>
          </w:p>
        </w:tc>
        <w:tc>
          <w:tcPr>
            <w:tcW w:w="6267" w:type="dxa"/>
            <w:gridSpan w:val="5"/>
            <w:tcBorders>
              <w:top w:val="single" w:sz="4" w:space="0" w:color="000000"/>
              <w:left w:val="single" w:sz="4" w:space="0" w:color="000000"/>
              <w:bottom w:val="single" w:sz="4" w:space="0" w:color="000000"/>
              <w:right w:val="single" w:sz="4" w:space="0" w:color="000000"/>
            </w:tcBorders>
            <w:noWrap/>
            <w:vAlign w:val="center"/>
          </w:tcPr>
          <w:p>
            <w:pPr>
              <w:spacing w:line="300" w:lineRule="exact"/>
              <w:jc w:val="left"/>
              <w:rPr>
                <w:rFonts w:ascii="宋体" w:cs="宋体"/>
                <w:color w:val="000000"/>
                <w:sz w:val="24"/>
              </w:rPr>
            </w:pPr>
            <w:r>
              <w:rPr>
                <w:rFonts w:ascii="宋体" w:cs="宋体" w:hint="eastAsia"/>
                <w:color w:val="000000"/>
                <w:sz w:val="24"/>
              </w:rPr>
              <w:t>开展“五经普”资料开发所需的差旅费、印刷费、会议费等</w:t>
            </w:r>
          </w:p>
        </w:tc>
      </w:tr>
      <w:tr>
        <w:trPr>
          <w:trHeight w:val="23"/>
        </w:trPr>
        <w:tc>
          <w:tcPr>
            <w:tcW w:w="652" w:type="dxa"/>
            <w:vMerge/>
            <w:tcBorders>
              <w:top w:val="single" w:sz="4" w:space="0" w:color="000000"/>
              <w:left w:val="single" w:sz="4" w:space="0" w:color="000000"/>
              <w:bottom w:val="single" w:sz="4" w:space="0" w:color="000000"/>
              <w:right w:val="single" w:sz="4" w:space="0" w:color="000000"/>
            </w:tcBorders>
            <w:noWrap/>
            <w:vAlign w:val="center"/>
          </w:tcPr>
          <w:p/>
        </w:tc>
        <w:tc>
          <w:tcPr>
            <w:tcW w:w="3471" w:type="dxa"/>
            <w:gridSpan w:val="3"/>
            <w:tcBorders>
              <w:top w:val="single" w:sz="4" w:space="0" w:color="000000"/>
              <w:left w:val="single" w:sz="4" w:space="0" w:color="000000"/>
              <w:bottom w:val="single" w:sz="4" w:space="0" w:color="000000"/>
              <w:right w:val="single" w:sz="4" w:space="0" w:color="000000"/>
            </w:tcBorders>
            <w:noWrap/>
            <w:vAlign w:val="center"/>
          </w:tcPr>
          <w:p>
            <w:pPr>
              <w:widowControl/>
              <w:spacing w:line="300" w:lineRule="exact"/>
              <w:jc w:val="left"/>
              <w:textAlignment w:val="center"/>
              <w:rPr>
                <w:rFonts w:ascii="宋体" w:cs="宋体"/>
                <w:color w:val="000000"/>
                <w:sz w:val="24"/>
              </w:rPr>
            </w:pPr>
            <w:r>
              <w:rPr>
                <w:rFonts w:ascii="宋体" w:cs="宋体"/>
                <w:color w:val="000000"/>
                <w:kern w:val="0"/>
                <w:sz w:val="24"/>
              </w:rPr>
              <w:t>申报（补助）条件</w:t>
            </w:r>
          </w:p>
        </w:tc>
        <w:tc>
          <w:tcPr>
            <w:tcW w:w="6267" w:type="dxa"/>
            <w:gridSpan w:val="5"/>
            <w:tcBorders>
              <w:top w:val="single" w:sz="4" w:space="0" w:color="000000"/>
              <w:left w:val="single" w:sz="4" w:space="0" w:color="000000"/>
              <w:bottom w:val="single" w:sz="4" w:space="0" w:color="000000"/>
              <w:right w:val="single" w:sz="4" w:space="0" w:color="000000"/>
            </w:tcBorders>
            <w:noWrap/>
            <w:vAlign w:val="center"/>
          </w:tcPr>
          <w:p>
            <w:pPr>
              <w:spacing w:line="300" w:lineRule="exact"/>
              <w:jc w:val="left"/>
              <w:rPr>
                <w:rFonts w:ascii="宋体" w:cs="宋体"/>
                <w:color w:val="000000"/>
                <w:sz w:val="24"/>
              </w:rPr>
            </w:pPr>
          </w:p>
        </w:tc>
      </w:tr>
      <w:tr>
        <w:trPr>
          <w:trHeight w:val="23"/>
        </w:trPr>
        <w:tc>
          <w:tcPr>
            <w:tcW w:w="652" w:type="dxa"/>
            <w:vMerge/>
            <w:tcBorders>
              <w:top w:val="single" w:sz="4" w:space="0" w:color="000000"/>
              <w:left w:val="single" w:sz="4" w:space="0" w:color="000000"/>
              <w:bottom w:val="single" w:sz="4" w:space="0" w:color="000000"/>
              <w:right w:val="single" w:sz="4" w:space="0" w:color="000000"/>
            </w:tcBorders>
            <w:noWrap/>
            <w:vAlign w:val="center"/>
          </w:tcPr>
          <w:p/>
        </w:tc>
        <w:tc>
          <w:tcPr>
            <w:tcW w:w="3471" w:type="dxa"/>
            <w:gridSpan w:val="3"/>
            <w:tcBorders>
              <w:top w:val="single" w:sz="4" w:space="0" w:color="000000"/>
              <w:left w:val="single" w:sz="4" w:space="0" w:color="000000"/>
              <w:bottom w:val="single" w:sz="4" w:space="0" w:color="000000"/>
              <w:right w:val="single" w:sz="4" w:space="0" w:color="000000"/>
            </w:tcBorders>
            <w:noWrap/>
            <w:vAlign w:val="center"/>
          </w:tcPr>
          <w:p>
            <w:pPr>
              <w:widowControl/>
              <w:spacing w:line="300" w:lineRule="exact"/>
              <w:jc w:val="left"/>
              <w:textAlignment w:val="center"/>
              <w:rPr>
                <w:rFonts w:ascii="宋体" w:cs="宋体"/>
                <w:color w:val="000000"/>
                <w:sz w:val="24"/>
              </w:rPr>
            </w:pPr>
            <w:r>
              <w:rPr>
                <w:rFonts w:ascii="宋体" w:cs="宋体"/>
                <w:color w:val="000000"/>
                <w:kern w:val="0"/>
                <w:sz w:val="24"/>
              </w:rPr>
              <w:t>项目起止年限</w:t>
            </w:r>
          </w:p>
        </w:tc>
        <w:tc>
          <w:tcPr>
            <w:tcW w:w="6267" w:type="dxa"/>
            <w:gridSpan w:val="5"/>
            <w:tcBorders>
              <w:top w:val="single" w:sz="4" w:space="0" w:color="000000"/>
              <w:left w:val="single" w:sz="4" w:space="0" w:color="000000"/>
              <w:bottom w:val="single" w:sz="4" w:space="0" w:color="000000"/>
              <w:right w:val="single" w:sz="4" w:space="0" w:color="000000"/>
            </w:tcBorders>
            <w:noWrap/>
            <w:vAlign w:val="center"/>
          </w:tcPr>
          <w:p>
            <w:pPr>
              <w:spacing w:line="300" w:lineRule="exact"/>
              <w:rPr>
                <w:rFonts w:ascii="宋体" w:cs="宋体"/>
                <w:color w:val="000000"/>
                <w:sz w:val="24"/>
              </w:rPr>
            </w:pPr>
            <w:r>
              <w:rPr>
                <w:rFonts w:ascii="宋体" w:cs="宋体" w:hint="eastAsia"/>
                <w:color w:val="000000"/>
                <w:sz w:val="24"/>
              </w:rPr>
              <w:t>2025年</w:t>
            </w:r>
          </w:p>
        </w:tc>
      </w:tr>
      <w:tr>
        <w:trPr>
          <w:trHeight w:val="23"/>
        </w:trPr>
        <w:tc>
          <w:tcPr>
            <w:tcW w:w="1733" w:type="dxa"/>
            <w:gridSpan w:val="2"/>
            <w:vMerge w:val="restart"/>
            <w:tcBorders>
              <w:top w:val="single" w:sz="4" w:space="0" w:color="000000"/>
              <w:left w:val="single" w:sz="4" w:space="0" w:color="000000"/>
              <w:bottom w:val="single" w:sz="4" w:space="0" w:color="000000"/>
              <w:right w:val="single" w:sz="4" w:space="0" w:color="000000"/>
            </w:tcBorders>
            <w:noWrap/>
            <w:vAlign w:val="center"/>
          </w:tcPr>
          <w:p>
            <w:pPr>
              <w:widowControl/>
              <w:spacing w:line="300" w:lineRule="exact"/>
              <w:jc w:val="center"/>
              <w:textAlignment w:val="center"/>
              <w:rPr>
                <w:rFonts w:ascii="宋体" w:cs="宋体"/>
                <w:color w:val="000000"/>
                <w:kern w:val="0"/>
                <w:sz w:val="24"/>
              </w:rPr>
            </w:pPr>
            <w:r>
              <w:rPr>
                <w:rFonts w:ascii="宋体" w:cs="宋体"/>
                <w:color w:val="000000"/>
                <w:kern w:val="0"/>
                <w:sz w:val="24"/>
              </w:rPr>
              <w:t>项目资金</w:t>
            </w:r>
          </w:p>
          <w:p>
            <w:pPr>
              <w:widowControl/>
              <w:spacing w:line="300" w:lineRule="exact"/>
              <w:jc w:val="center"/>
              <w:textAlignment w:val="center"/>
              <w:rPr>
                <w:rFonts w:ascii="宋体" w:cs="宋体"/>
                <w:color w:val="000000"/>
                <w:sz w:val="24"/>
              </w:rPr>
            </w:pPr>
            <w:r>
              <w:rPr>
                <w:rFonts w:ascii="宋体" w:cs="宋体"/>
                <w:color w:val="000000"/>
                <w:kern w:val="0"/>
                <w:sz w:val="24"/>
              </w:rPr>
              <w:t>（万元）</w:t>
            </w:r>
          </w:p>
        </w:tc>
        <w:tc>
          <w:tcPr>
            <w:tcW w:w="2390" w:type="dxa"/>
            <w:gridSpan w:val="2"/>
            <w:tcBorders>
              <w:top w:val="single" w:sz="4" w:space="0" w:color="000000"/>
              <w:left w:val="single" w:sz="4" w:space="0" w:color="000000"/>
              <w:bottom w:val="single" w:sz="4" w:space="0" w:color="000000"/>
              <w:right w:val="single" w:sz="4" w:space="0" w:color="000000"/>
            </w:tcBorders>
            <w:noWrap/>
            <w:vAlign w:val="center"/>
          </w:tcPr>
          <w:p>
            <w:pPr>
              <w:widowControl/>
              <w:spacing w:line="300" w:lineRule="exact"/>
              <w:jc w:val="left"/>
              <w:textAlignment w:val="center"/>
              <w:rPr>
                <w:rFonts w:ascii="宋体" w:cs="宋体"/>
                <w:color w:val="000000"/>
                <w:sz w:val="24"/>
              </w:rPr>
            </w:pPr>
            <w:r>
              <w:rPr>
                <w:rFonts w:ascii="宋体" w:cs="宋体"/>
                <w:color w:val="000000"/>
                <w:kern w:val="0"/>
                <w:sz w:val="24"/>
              </w:rPr>
              <w:t xml:space="preserve">  年度资金总额：</w:t>
            </w:r>
          </w:p>
        </w:tc>
        <w:tc>
          <w:tcPr>
            <w:tcW w:w="6267" w:type="dxa"/>
            <w:gridSpan w:val="5"/>
            <w:tcBorders>
              <w:top w:val="single" w:sz="4" w:space="0" w:color="000000"/>
              <w:left w:val="single" w:sz="4" w:space="0" w:color="000000"/>
              <w:bottom w:val="single" w:sz="4" w:space="0" w:color="000000"/>
              <w:right w:val="single" w:sz="4" w:space="0" w:color="000000"/>
            </w:tcBorders>
            <w:noWrap/>
            <w:vAlign w:val="center"/>
          </w:tcPr>
          <w:p>
            <w:pPr>
              <w:spacing w:line="300" w:lineRule="exact"/>
              <w:jc w:val="center"/>
              <w:rPr>
                <w:rFonts w:ascii="宋体" w:cs="宋体"/>
                <w:color w:val="000000"/>
                <w:sz w:val="24"/>
              </w:rPr>
            </w:pPr>
            <w:r>
              <w:rPr>
                <w:rFonts w:ascii="宋体" w:cs="宋体" w:hint="eastAsia"/>
                <w:color w:val="000000"/>
                <w:sz w:val="24"/>
              </w:rPr>
              <w:t>4.20</w:t>
            </w:r>
          </w:p>
        </w:tc>
      </w:tr>
      <w:tr>
        <w:trPr>
          <w:trHeight w:val="23"/>
        </w:trPr>
        <w:tc>
          <w:tcPr>
            <w:tcW w:w="1733" w:type="dxa"/>
            <w:gridSpan w:val="2"/>
            <w:vMerge/>
            <w:tcBorders>
              <w:top w:val="single" w:sz="4" w:space="0" w:color="000000"/>
              <w:left w:val="single" w:sz="4" w:space="0" w:color="000000"/>
              <w:bottom w:val="single" w:sz="4" w:space="0" w:color="000000"/>
              <w:right w:val="single" w:sz="4" w:space="0" w:color="000000"/>
            </w:tcBorders>
            <w:noWrap/>
            <w:vAlign w:val="center"/>
          </w:tcPr>
          <w:p/>
        </w:tc>
        <w:tc>
          <w:tcPr>
            <w:tcW w:w="2390" w:type="dxa"/>
            <w:gridSpan w:val="2"/>
            <w:tcBorders>
              <w:top w:val="single" w:sz="4" w:space="0" w:color="000000"/>
              <w:left w:val="single" w:sz="4" w:space="0" w:color="000000"/>
              <w:bottom w:val="single" w:sz="4" w:space="0" w:color="000000"/>
              <w:right w:val="single" w:sz="4" w:space="0" w:color="000000"/>
            </w:tcBorders>
            <w:noWrap/>
            <w:vAlign w:val="center"/>
          </w:tcPr>
          <w:p>
            <w:pPr>
              <w:widowControl/>
              <w:spacing w:line="300" w:lineRule="exact"/>
              <w:jc w:val="left"/>
              <w:textAlignment w:val="center"/>
              <w:rPr>
                <w:rFonts w:ascii="宋体" w:cs="宋体"/>
                <w:color w:val="000000"/>
                <w:sz w:val="24"/>
              </w:rPr>
            </w:pPr>
            <w:r>
              <w:rPr>
                <w:rFonts w:ascii="宋体" w:cs="宋体"/>
                <w:color w:val="000000"/>
                <w:kern w:val="0"/>
                <w:sz w:val="24"/>
              </w:rPr>
              <w:t xml:space="preserve">     </w:t>
            </w:r>
            <w:r>
              <w:rPr>
                <w:rFonts w:ascii="宋体" w:cs="宋体" w:hint="eastAsia"/>
                <w:color w:val="000000"/>
                <w:kern w:val="0"/>
                <w:sz w:val="24"/>
              </w:rPr>
              <w:t xml:space="preserve"> </w:t>
            </w:r>
            <w:r>
              <w:rPr>
                <w:rFonts w:ascii="宋体" w:cs="宋体"/>
                <w:color w:val="000000"/>
                <w:kern w:val="0"/>
                <w:sz w:val="24"/>
              </w:rPr>
              <w:t>其中：财政拨款</w:t>
            </w:r>
          </w:p>
        </w:tc>
        <w:tc>
          <w:tcPr>
            <w:tcW w:w="6267" w:type="dxa"/>
            <w:gridSpan w:val="5"/>
            <w:tcBorders>
              <w:top w:val="single" w:sz="4" w:space="0" w:color="000000"/>
              <w:left w:val="single" w:sz="4" w:space="0" w:color="000000"/>
              <w:bottom w:val="single" w:sz="4" w:space="0" w:color="000000"/>
              <w:right w:val="single" w:sz="4" w:space="0" w:color="000000"/>
            </w:tcBorders>
            <w:noWrap/>
            <w:vAlign w:val="center"/>
          </w:tcPr>
          <w:p>
            <w:pPr>
              <w:spacing w:line="300" w:lineRule="exact"/>
              <w:jc w:val="center"/>
              <w:rPr>
                <w:rFonts w:ascii="宋体" w:cs="宋体"/>
                <w:color w:val="000000"/>
                <w:sz w:val="24"/>
              </w:rPr>
            </w:pPr>
            <w:r>
              <w:rPr>
                <w:rFonts w:ascii="宋体" w:cs="宋体" w:hint="eastAsia"/>
                <w:color w:val="000000"/>
                <w:sz w:val="24"/>
              </w:rPr>
              <w:t>4.20</w:t>
            </w:r>
          </w:p>
        </w:tc>
      </w:tr>
      <w:tr>
        <w:trPr>
          <w:trHeight w:val="23"/>
        </w:trPr>
        <w:tc>
          <w:tcPr>
            <w:tcW w:w="1733" w:type="dxa"/>
            <w:gridSpan w:val="2"/>
            <w:vMerge/>
            <w:tcBorders>
              <w:top w:val="single" w:sz="4" w:space="0" w:color="000000"/>
              <w:left w:val="single" w:sz="4" w:space="0" w:color="000000"/>
              <w:bottom w:val="single" w:sz="4" w:space="0" w:color="000000"/>
              <w:right w:val="single" w:sz="4" w:space="0" w:color="000000"/>
            </w:tcBorders>
            <w:noWrap/>
            <w:vAlign w:val="center"/>
          </w:tcPr>
          <w:p/>
        </w:tc>
        <w:tc>
          <w:tcPr>
            <w:tcW w:w="2390" w:type="dxa"/>
            <w:gridSpan w:val="2"/>
            <w:tcBorders>
              <w:top w:val="single" w:sz="4" w:space="0" w:color="000000"/>
              <w:left w:val="single" w:sz="4" w:space="0" w:color="000000"/>
              <w:bottom w:val="single" w:sz="4" w:space="0" w:color="000000"/>
              <w:right w:val="single" w:sz="4" w:space="0" w:color="000000"/>
            </w:tcBorders>
            <w:noWrap/>
            <w:vAlign w:val="center"/>
          </w:tcPr>
          <w:p>
            <w:pPr>
              <w:widowControl/>
              <w:spacing w:line="300" w:lineRule="exact"/>
              <w:jc w:val="left"/>
              <w:textAlignment w:val="center"/>
              <w:rPr>
                <w:rFonts w:ascii="宋体" w:cs="宋体"/>
                <w:color w:val="000000"/>
                <w:sz w:val="24"/>
              </w:rPr>
            </w:pPr>
            <w:r>
              <w:rPr>
                <w:rFonts w:ascii="宋体" w:cs="宋体"/>
                <w:color w:val="000000"/>
                <w:kern w:val="0"/>
                <w:sz w:val="24"/>
              </w:rPr>
              <w:t xml:space="preserve">           其他资金</w:t>
            </w:r>
          </w:p>
        </w:tc>
        <w:tc>
          <w:tcPr>
            <w:tcW w:w="6267" w:type="dxa"/>
            <w:gridSpan w:val="5"/>
            <w:tcBorders>
              <w:top w:val="single" w:sz="4" w:space="0" w:color="000000"/>
              <w:left w:val="single" w:sz="4" w:space="0" w:color="000000"/>
              <w:bottom w:val="single" w:sz="4" w:space="0" w:color="000000"/>
              <w:right w:val="single" w:sz="4" w:space="0" w:color="000000"/>
            </w:tcBorders>
            <w:noWrap/>
            <w:vAlign w:val="center"/>
          </w:tcPr>
          <w:p>
            <w:pPr>
              <w:spacing w:line="300" w:lineRule="exact"/>
              <w:jc w:val="right"/>
              <w:rPr>
                <w:rFonts w:ascii="宋体" w:cs="宋体"/>
                <w:color w:val="000000"/>
                <w:sz w:val="24"/>
              </w:rPr>
            </w:pPr>
          </w:p>
        </w:tc>
      </w:tr>
      <w:tr>
        <w:trPr>
          <w:trHeight w:val="23"/>
        </w:trPr>
        <w:tc>
          <w:tcPr>
            <w:tcW w:w="652" w:type="dxa"/>
            <w:vMerge w:val="restart"/>
            <w:tcBorders>
              <w:top w:val="single" w:sz="4" w:space="0" w:color="000000"/>
              <w:left w:val="single" w:sz="4" w:space="0" w:color="000000"/>
              <w:bottom w:val="single" w:sz="4" w:space="0" w:color="000000"/>
              <w:right w:val="single" w:sz="4" w:space="0" w:color="000000"/>
            </w:tcBorders>
            <w:noWrap/>
            <w:vAlign w:val="center"/>
          </w:tcPr>
          <w:p>
            <w:pPr>
              <w:widowControl/>
              <w:spacing w:line="300" w:lineRule="exact"/>
              <w:jc w:val="center"/>
              <w:textAlignment w:val="center"/>
              <w:rPr>
                <w:rFonts w:ascii="宋体" w:cs="宋体"/>
                <w:color w:val="000000"/>
                <w:sz w:val="24"/>
              </w:rPr>
            </w:pPr>
            <w:r>
              <w:rPr>
                <w:rFonts w:ascii="宋体" w:cs="宋体"/>
                <w:color w:val="000000"/>
                <w:kern w:val="0"/>
                <w:sz w:val="24"/>
              </w:rPr>
              <w:t>总体 目标</w:t>
            </w:r>
          </w:p>
        </w:tc>
        <w:tc>
          <w:tcPr>
            <w:tcW w:w="9738" w:type="dxa"/>
            <w:gridSpan w:val="8"/>
            <w:tcBorders>
              <w:top w:val="single" w:sz="4" w:space="0" w:color="000000"/>
              <w:left w:val="single" w:sz="4" w:space="0" w:color="000000"/>
              <w:bottom w:val="single" w:sz="4" w:space="0" w:color="000000"/>
              <w:right w:val="single" w:sz="4" w:space="0" w:color="000000"/>
            </w:tcBorders>
            <w:noWrap/>
            <w:vAlign w:val="center"/>
          </w:tcPr>
          <w:p>
            <w:pPr>
              <w:widowControl/>
              <w:spacing w:line="300" w:lineRule="exact"/>
              <w:jc w:val="center"/>
              <w:textAlignment w:val="center"/>
              <w:rPr>
                <w:rFonts w:ascii="宋体" w:cs="宋体"/>
                <w:color w:val="000000"/>
                <w:sz w:val="24"/>
              </w:rPr>
            </w:pPr>
            <w:r>
              <w:rPr>
                <w:rFonts w:ascii="宋体" w:cs="宋体"/>
                <w:color w:val="000000"/>
                <w:kern w:val="0"/>
                <w:sz w:val="24"/>
              </w:rPr>
              <w:t>年度目标</w:t>
            </w:r>
          </w:p>
        </w:tc>
      </w:tr>
      <w:tr>
        <w:trPr>
          <w:trHeight w:val="23"/>
        </w:trPr>
        <w:tc>
          <w:tcPr>
            <w:tcW w:w="652" w:type="dxa"/>
            <w:vMerge/>
            <w:tcBorders>
              <w:top w:val="single" w:sz="4" w:space="0" w:color="000000"/>
              <w:left w:val="single" w:sz="4" w:space="0" w:color="000000"/>
              <w:bottom w:val="single" w:sz="4" w:space="0" w:color="000000"/>
              <w:right w:val="single" w:sz="4" w:space="0" w:color="000000"/>
            </w:tcBorders>
            <w:noWrap/>
            <w:vAlign w:val="center"/>
          </w:tcPr>
          <w:p/>
        </w:tc>
        <w:tc>
          <w:tcPr>
            <w:tcW w:w="9738" w:type="dxa"/>
            <w:gridSpan w:val="8"/>
            <w:tcBorders>
              <w:top w:val="single" w:sz="4" w:space="0" w:color="000000"/>
              <w:left w:val="single" w:sz="4" w:space="0" w:color="000000"/>
              <w:bottom w:val="single" w:sz="4" w:space="0" w:color="000000"/>
              <w:right w:val="single" w:sz="4" w:space="0" w:color="000000"/>
            </w:tcBorders>
            <w:noWrap/>
            <w:vAlign w:val="center"/>
          </w:tcPr>
          <w:p>
            <w:pPr>
              <w:spacing w:line="300" w:lineRule="exact"/>
              <w:rPr>
                <w:rFonts w:ascii="宋体" w:cs="宋体"/>
                <w:color w:val="000000"/>
                <w:sz w:val="24"/>
              </w:rPr>
            </w:pPr>
            <w:r>
              <w:rPr>
                <w:rFonts w:ascii="宋体" w:cs="宋体" w:hint="eastAsia"/>
                <w:color w:val="000000"/>
                <w:sz w:val="24"/>
              </w:rPr>
              <w:t>对普查员和指导员开展工作业务培训及指导,及时开展入户调查,总结工作中的经验和不足。</w:t>
            </w:r>
          </w:p>
        </w:tc>
      </w:tr>
      <w:tr>
        <w:trPr>
          <w:trHeight w:val="23"/>
        </w:trPr>
        <w:tc>
          <w:tcPr>
            <w:tcW w:w="652" w:type="dxa"/>
            <w:vMerge w:val="restart"/>
            <w:tcBorders>
              <w:top w:val="single" w:sz="4" w:space="0" w:color="000000"/>
              <w:left w:val="single" w:sz="4" w:space="0" w:color="000000"/>
              <w:bottom w:val="single" w:sz="4" w:space="0" w:color="000000"/>
            </w:tcBorders>
            <w:noWrap/>
            <w:vAlign w:val="center"/>
          </w:tcPr>
          <w:p>
            <w:pPr>
              <w:widowControl/>
              <w:spacing w:line="300" w:lineRule="exact"/>
              <w:jc w:val="center"/>
              <w:textAlignment w:val="center"/>
              <w:rPr>
                <w:rFonts w:ascii="宋体" w:cs="宋体"/>
                <w:color w:val="000000"/>
                <w:sz w:val="24"/>
              </w:rPr>
            </w:pPr>
            <w:r>
              <w:rPr>
                <w:rFonts w:ascii="宋体" w:cs="宋体"/>
                <w:color w:val="000000"/>
                <w:kern w:val="0"/>
                <w:sz w:val="24"/>
              </w:rPr>
              <w:t>绩效 指标</w:t>
            </w:r>
          </w:p>
        </w:tc>
        <w:tc>
          <w:tcPr>
            <w:tcW w:w="1081" w:type="dxa"/>
            <w:tcBorders>
              <w:top w:val="single" w:sz="4" w:space="0" w:color="000000"/>
              <w:left w:val="single" w:sz="4" w:space="0" w:color="000000"/>
              <w:bottom w:val="single" w:sz="4" w:space="0" w:color="000000"/>
              <w:right w:val="single" w:sz="4" w:space="0" w:color="000000"/>
            </w:tcBorders>
            <w:noWrap/>
            <w:vAlign w:val="center"/>
          </w:tcPr>
          <w:p>
            <w:pPr>
              <w:widowControl/>
              <w:spacing w:line="300" w:lineRule="exact"/>
              <w:jc w:val="center"/>
              <w:textAlignment w:val="center"/>
              <w:rPr>
                <w:rFonts w:ascii="宋体" w:cs="宋体"/>
                <w:color w:val="000000"/>
                <w:sz w:val="24"/>
              </w:rPr>
            </w:pPr>
            <w:r>
              <w:rPr>
                <w:rFonts w:ascii="宋体" w:cs="宋体"/>
                <w:color w:val="000000"/>
                <w:kern w:val="0"/>
                <w:sz w:val="24"/>
              </w:rPr>
              <w:t>一级指标</w:t>
            </w:r>
          </w:p>
        </w:tc>
        <w:tc>
          <w:tcPr>
            <w:tcW w:w="1250" w:type="dxa"/>
            <w:tcBorders>
              <w:top w:val="single" w:sz="4" w:space="0" w:color="000000"/>
              <w:left w:val="single" w:sz="4" w:space="0" w:color="000000"/>
              <w:bottom w:val="single" w:sz="4" w:space="0" w:color="000000"/>
              <w:right w:val="single" w:sz="4" w:space="0" w:color="000000"/>
            </w:tcBorders>
            <w:noWrap/>
            <w:vAlign w:val="center"/>
          </w:tcPr>
          <w:p>
            <w:pPr>
              <w:widowControl/>
              <w:spacing w:line="300" w:lineRule="exact"/>
              <w:jc w:val="center"/>
              <w:textAlignment w:val="center"/>
              <w:rPr>
                <w:rFonts w:ascii="宋体" w:cs="宋体"/>
                <w:color w:val="000000"/>
                <w:sz w:val="24"/>
              </w:rPr>
            </w:pPr>
            <w:r>
              <w:rPr>
                <w:rFonts w:ascii="宋体" w:cs="宋体"/>
                <w:color w:val="000000"/>
                <w:kern w:val="0"/>
                <w:sz w:val="24"/>
              </w:rPr>
              <w:t>二级指标</w:t>
            </w:r>
          </w:p>
        </w:tc>
        <w:tc>
          <w:tcPr>
            <w:tcW w:w="1140" w:type="dxa"/>
            <w:tcBorders>
              <w:top w:val="single" w:sz="4" w:space="0" w:color="000000"/>
              <w:left w:val="single" w:sz="4" w:space="0" w:color="000000"/>
              <w:bottom w:val="single" w:sz="4" w:space="0" w:color="000000"/>
              <w:right w:val="single" w:sz="4" w:space="0" w:color="000000"/>
            </w:tcBorders>
            <w:noWrap/>
            <w:vAlign w:val="center"/>
          </w:tcPr>
          <w:p>
            <w:pPr>
              <w:widowControl/>
              <w:spacing w:line="300" w:lineRule="exact"/>
              <w:jc w:val="center"/>
              <w:textAlignment w:val="center"/>
              <w:rPr>
                <w:rFonts w:ascii="宋体" w:cs="宋体"/>
                <w:color w:val="000000"/>
                <w:sz w:val="24"/>
              </w:rPr>
            </w:pPr>
            <w:r>
              <w:rPr>
                <w:rFonts w:ascii="宋体" w:cs="宋体"/>
                <w:color w:val="000000"/>
                <w:kern w:val="0"/>
                <w:sz w:val="24"/>
              </w:rPr>
              <w:t>三级指标</w:t>
            </w:r>
          </w:p>
        </w:tc>
        <w:tc>
          <w:tcPr>
            <w:tcW w:w="1635" w:type="dxa"/>
            <w:tcBorders>
              <w:top w:val="single" w:sz="4" w:space="0" w:color="000000"/>
              <w:left w:val="single" w:sz="4" w:space="0" w:color="000000"/>
              <w:bottom w:val="single" w:sz="4" w:space="0" w:color="000000"/>
              <w:right w:val="single" w:sz="4" w:space="0" w:color="000000"/>
            </w:tcBorders>
            <w:noWrap/>
            <w:vAlign w:val="center"/>
          </w:tcPr>
          <w:p>
            <w:pPr>
              <w:widowControl/>
              <w:spacing w:line="300" w:lineRule="exact"/>
              <w:jc w:val="center"/>
              <w:textAlignment w:val="center"/>
              <w:rPr>
                <w:rFonts w:ascii="宋体" w:cs="宋体"/>
                <w:color w:val="000000"/>
                <w:sz w:val="24"/>
              </w:rPr>
            </w:pPr>
            <w:r>
              <w:rPr>
                <w:rFonts w:ascii="宋体" w:cs="宋体"/>
                <w:color w:val="000000"/>
                <w:kern w:val="0"/>
                <w:sz w:val="24"/>
              </w:rPr>
              <w:t>指标性质</w:t>
            </w:r>
          </w:p>
        </w:tc>
        <w:tc>
          <w:tcPr>
            <w:tcW w:w="930" w:type="dxa"/>
            <w:tcBorders>
              <w:top w:val="single" w:sz="4" w:space="0" w:color="000000"/>
              <w:left w:val="single" w:sz="4" w:space="0" w:color="000000"/>
              <w:bottom w:val="single" w:sz="4" w:space="0" w:color="000000"/>
              <w:right w:val="single" w:sz="4" w:space="0" w:color="000000"/>
            </w:tcBorders>
            <w:noWrap/>
            <w:vAlign w:val="center"/>
          </w:tcPr>
          <w:p>
            <w:pPr>
              <w:widowControl/>
              <w:spacing w:line="300" w:lineRule="exact"/>
              <w:jc w:val="center"/>
              <w:textAlignment w:val="center"/>
              <w:rPr>
                <w:rFonts w:ascii="宋体" w:cs="宋体"/>
                <w:color w:val="000000"/>
                <w:sz w:val="24"/>
              </w:rPr>
            </w:pPr>
            <w:r>
              <w:rPr>
                <w:rFonts w:ascii="宋体" w:cs="宋体"/>
                <w:color w:val="000000"/>
                <w:kern w:val="0"/>
                <w:sz w:val="24"/>
              </w:rPr>
              <w:t>指标值</w:t>
            </w:r>
          </w:p>
        </w:tc>
        <w:tc>
          <w:tcPr>
            <w:tcW w:w="1140" w:type="dxa"/>
            <w:tcBorders>
              <w:top w:val="single" w:sz="4" w:space="0" w:color="000000"/>
              <w:left w:val="single" w:sz="4" w:space="0" w:color="000000"/>
              <w:bottom w:val="single" w:sz="4" w:space="0" w:color="000000"/>
              <w:right w:val="single" w:sz="4" w:space="0" w:color="000000"/>
            </w:tcBorders>
            <w:noWrap/>
            <w:vAlign w:val="center"/>
          </w:tcPr>
          <w:p>
            <w:pPr>
              <w:widowControl/>
              <w:spacing w:line="300" w:lineRule="exact"/>
              <w:jc w:val="center"/>
              <w:textAlignment w:val="center"/>
              <w:rPr>
                <w:rFonts w:ascii="宋体" w:cs="宋体"/>
                <w:color w:val="000000"/>
                <w:sz w:val="24"/>
              </w:rPr>
            </w:pPr>
            <w:r>
              <w:rPr>
                <w:rFonts w:ascii="宋体" w:cs="宋体"/>
                <w:color w:val="000000"/>
                <w:kern w:val="0"/>
                <w:sz w:val="24"/>
              </w:rPr>
              <w:t>度量单位</w:t>
            </w:r>
          </w:p>
        </w:tc>
        <w:tc>
          <w:tcPr>
            <w:tcW w:w="795" w:type="dxa"/>
            <w:tcBorders>
              <w:top w:val="single" w:sz="4" w:space="0" w:color="000000"/>
              <w:left w:val="single" w:sz="4" w:space="0" w:color="000000"/>
              <w:bottom w:val="single" w:sz="4" w:space="0" w:color="000000"/>
              <w:right w:val="single" w:sz="4" w:space="0" w:color="000000"/>
            </w:tcBorders>
            <w:noWrap/>
            <w:vAlign w:val="center"/>
          </w:tcPr>
          <w:p>
            <w:pPr>
              <w:widowControl/>
              <w:spacing w:line="300" w:lineRule="exact"/>
              <w:jc w:val="center"/>
              <w:textAlignment w:val="center"/>
              <w:rPr>
                <w:rFonts w:ascii="宋体" w:cs="宋体"/>
                <w:color w:val="000000"/>
                <w:sz w:val="24"/>
              </w:rPr>
            </w:pPr>
            <w:r>
              <w:rPr>
                <w:rFonts w:ascii="宋体" w:cs="宋体"/>
                <w:color w:val="000000"/>
                <w:kern w:val="0"/>
                <w:sz w:val="24"/>
              </w:rPr>
              <w:t>权重</w:t>
            </w:r>
          </w:p>
        </w:tc>
        <w:tc>
          <w:tcPr>
            <w:tcW w:w="1767" w:type="dxa"/>
            <w:tcBorders>
              <w:top w:val="single" w:sz="4" w:space="0" w:color="000000"/>
              <w:left w:val="single" w:sz="4" w:space="0" w:color="000000"/>
              <w:bottom w:val="single" w:sz="4" w:space="0" w:color="000000"/>
              <w:right w:val="single" w:sz="4" w:space="0" w:color="000000"/>
            </w:tcBorders>
            <w:noWrap/>
            <w:vAlign w:val="center"/>
          </w:tcPr>
          <w:p>
            <w:pPr>
              <w:widowControl/>
              <w:spacing w:line="300" w:lineRule="exact"/>
              <w:jc w:val="center"/>
              <w:textAlignment w:val="center"/>
              <w:rPr>
                <w:rFonts w:ascii="宋体" w:cs="宋体"/>
                <w:color w:val="000000"/>
                <w:sz w:val="24"/>
              </w:rPr>
            </w:pPr>
            <w:r>
              <w:rPr>
                <w:rFonts w:ascii="宋体" w:cs="宋体"/>
                <w:color w:val="000000"/>
                <w:kern w:val="0"/>
                <w:sz w:val="24"/>
              </w:rPr>
              <w:t>实际完成指标值</w:t>
            </w:r>
          </w:p>
        </w:tc>
      </w:tr>
      <w:tr>
        <w:trPr>
          <w:trHeight w:val="23"/>
        </w:trPr>
        <w:tc>
          <w:tcPr>
            <w:tcW w:w="652" w:type="dxa"/>
            <w:vMerge/>
            <w:tcBorders>
              <w:top w:val="single" w:sz="4" w:space="0" w:color="000000"/>
              <w:left w:val="single" w:sz="4" w:space="0" w:color="000000"/>
              <w:bottom w:val="single" w:sz="4" w:space="0" w:color="000000"/>
            </w:tcBorders>
            <w:noWrap/>
            <w:vAlign w:val="center"/>
          </w:tcPr>
          <w:p/>
        </w:tc>
        <w:tc>
          <w:tcPr>
            <w:tcW w:w="1081" w:type="dxa"/>
            <w:vMerge w:val="restart"/>
            <w:tcBorders>
              <w:top w:val="single" w:sz="4" w:space="0" w:color="000000"/>
              <w:left w:val="single" w:sz="4" w:space="0" w:color="000000"/>
              <w:bottom w:val="single" w:sz="4" w:space="0" w:color="000000"/>
              <w:right w:val="single" w:sz="4" w:space="0" w:color="000000"/>
            </w:tcBorders>
            <w:noWrap/>
            <w:vAlign w:val="center"/>
          </w:tcPr>
          <w:p>
            <w:pPr>
              <w:widowControl/>
              <w:spacing w:line="300" w:lineRule="exact"/>
              <w:jc w:val="center"/>
              <w:textAlignment w:val="center"/>
              <w:rPr>
                <w:rFonts w:ascii="宋体" w:cs="宋体"/>
                <w:color w:val="000000"/>
                <w:sz w:val="24"/>
              </w:rPr>
            </w:pPr>
            <w:r>
              <w:rPr>
                <w:rFonts w:ascii="宋体" w:cs="宋体"/>
                <w:color w:val="000000"/>
                <w:kern w:val="0"/>
                <w:sz w:val="24"/>
              </w:rPr>
              <w:t>产出指标</w:t>
            </w:r>
          </w:p>
        </w:tc>
        <w:tc>
          <w:tcPr>
            <w:tcW w:w="1250" w:type="dxa"/>
            <w:tcBorders>
              <w:top w:val="single" w:sz="4" w:space="0" w:color="000000"/>
              <w:left w:val="single" w:sz="4" w:space="0" w:color="000000"/>
              <w:right w:val="single" w:sz="4" w:space="0" w:color="00000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ascii="宋体" w:cs="宋体"/>
                <w:color w:val="000000"/>
                <w:sz w:val="24"/>
              </w:rPr>
            </w:pPr>
            <w:r>
              <w:rPr>
                <w:rFonts w:ascii="宋体" w:eastAsia="宋体" w:cs="宋体"/>
                <w:i w:val="0"/>
                <w:color w:val="000000"/>
                <w:kern w:val="0"/>
                <w:sz w:val="21"/>
                <w:szCs w:val="21"/>
                <w:u w:val="none"/>
                <w:lang w:val="en-US" w:eastAsia="zh-CN"/>
              </w:rPr>
              <w:t>数量指标</w:t>
            </w:r>
          </w:p>
        </w:tc>
        <w:tc>
          <w:tcPr>
            <w:tcW w:w="1140"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val="0"/>
              <w:kinsoku/>
              <w:wordWrap/>
              <w:overflowPunct/>
              <w:topLinePunct w:val="0"/>
              <w:autoSpaceDE/>
              <w:autoSpaceDN/>
              <w:bidi w:val="0"/>
              <w:adjustRightInd/>
              <w:snapToGrid/>
              <w:spacing w:line="280" w:lineRule="exact"/>
              <w:ind w:left="0"/>
              <w:rPr>
                <w:rFonts w:ascii="宋体" w:cs="宋体"/>
                <w:color w:val="000000"/>
                <w:sz w:val="24"/>
              </w:rPr>
            </w:pPr>
            <w:r>
              <w:rPr>
                <w:rFonts w:ascii="宋体" w:eastAsia="宋体" w:cs="宋体" w:hint="eastAsia"/>
                <w:i w:val="0"/>
                <w:color w:val="000000"/>
                <w:sz w:val="21"/>
                <w:szCs w:val="21"/>
                <w:u w:val="none"/>
                <w:lang w:eastAsia="zh-CN"/>
              </w:rPr>
              <w:t>资料汇编印刷数量</w:t>
            </w:r>
          </w:p>
        </w:tc>
        <w:tc>
          <w:tcPr>
            <w:tcW w:w="1635"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val="0"/>
              <w:kinsoku/>
              <w:wordWrap/>
              <w:overflowPunct/>
              <w:topLinePunct w:val="0"/>
              <w:autoSpaceDE/>
              <w:autoSpaceDN/>
              <w:bidi w:val="0"/>
              <w:adjustRightInd/>
              <w:snapToGrid/>
              <w:spacing w:line="280" w:lineRule="exact"/>
              <w:ind w:left="0"/>
              <w:jc w:val="center"/>
              <w:rPr>
                <w:rFonts w:ascii="宋体" w:cs="宋体"/>
                <w:color w:val="000000"/>
                <w:sz w:val="24"/>
              </w:rPr>
            </w:pPr>
            <w:r>
              <w:rPr>
                <w:rFonts w:ascii="Arial" w:eastAsia="宋体" w:cs="Arial" w:hAnsi="Arial"/>
                <w:i w:val="0"/>
                <w:color w:val="000000"/>
                <w:sz w:val="21"/>
                <w:szCs w:val="21"/>
                <w:u w:val="none"/>
              </w:rPr>
              <w:t>≥</w:t>
            </w:r>
          </w:p>
        </w:tc>
        <w:tc>
          <w:tcPr>
            <w:tcW w:w="930"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val="0"/>
              <w:kinsoku/>
              <w:wordWrap/>
              <w:overflowPunct/>
              <w:topLinePunct w:val="0"/>
              <w:autoSpaceDE/>
              <w:autoSpaceDN/>
              <w:bidi w:val="0"/>
              <w:adjustRightInd/>
              <w:snapToGrid/>
              <w:spacing w:line="280" w:lineRule="exact"/>
              <w:ind w:left="0"/>
              <w:jc w:val="center"/>
              <w:rPr>
                <w:rFonts w:ascii="宋体" w:cs="宋体"/>
                <w:color w:val="000000"/>
                <w:sz w:val="24"/>
              </w:rPr>
            </w:pPr>
            <w:r>
              <w:rPr>
                <w:rFonts w:ascii="宋体" w:eastAsia="宋体" w:cs="宋体" w:hint="eastAsia"/>
                <w:i w:val="0"/>
                <w:color w:val="000000"/>
                <w:sz w:val="21"/>
                <w:szCs w:val="21"/>
                <w:u w:val="none"/>
                <w:lang w:val="en-US" w:eastAsia="zh-CN"/>
              </w:rPr>
              <w:t>120</w:t>
            </w:r>
          </w:p>
        </w:tc>
        <w:tc>
          <w:tcPr>
            <w:tcW w:w="1140"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ascii="宋体" w:cs="宋体"/>
                <w:color w:val="000000"/>
                <w:sz w:val="24"/>
              </w:rPr>
            </w:pPr>
            <w:r>
              <w:rPr>
                <w:rFonts w:ascii="宋体" w:cs="宋体" w:hint="eastAsia"/>
                <w:i w:val="0"/>
                <w:color w:val="000000"/>
                <w:sz w:val="21"/>
                <w:szCs w:val="21"/>
                <w:u w:val="none"/>
                <w:lang w:val="en-US" w:eastAsia="zh-CN"/>
              </w:rPr>
              <w:t>册</w:t>
            </w:r>
          </w:p>
        </w:tc>
        <w:tc>
          <w:tcPr>
            <w:tcW w:w="795"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ascii="宋体" w:cs="宋体"/>
                <w:color w:val="000000"/>
                <w:sz w:val="24"/>
              </w:rPr>
            </w:pPr>
            <w:r>
              <w:rPr>
                <w:rFonts w:ascii="宋体" w:cs="宋体" w:hint="eastAsia"/>
                <w:i w:val="0"/>
                <w:color w:val="000000"/>
                <w:sz w:val="21"/>
                <w:szCs w:val="21"/>
                <w:u w:val="none"/>
                <w:lang w:val="en-US" w:eastAsia="zh-CN"/>
              </w:rPr>
              <w:t>10</w:t>
            </w:r>
          </w:p>
        </w:tc>
        <w:tc>
          <w:tcPr>
            <w:tcW w:w="1767"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ascii="宋体" w:cs="宋体"/>
                <w:color w:val="000000"/>
                <w:sz w:val="24"/>
              </w:rPr>
            </w:pPr>
            <w:r>
              <w:rPr>
                <w:rFonts w:ascii="宋体" w:cs="宋体" w:hint="eastAsia"/>
                <w:i w:val="0"/>
                <w:color w:val="000000"/>
                <w:sz w:val="24"/>
                <w:szCs w:val="24"/>
                <w:u w:val="none"/>
                <w:lang w:val="en-US" w:eastAsia="zh-CN"/>
              </w:rPr>
              <w:t>120</w:t>
            </w:r>
          </w:p>
        </w:tc>
      </w:tr>
      <w:tr>
        <w:trPr>
          <w:trHeight w:val="23"/>
        </w:trPr>
        <w:tc>
          <w:tcPr>
            <w:tcW w:w="652" w:type="dxa"/>
            <w:vMerge/>
            <w:tcBorders>
              <w:top w:val="single" w:sz="4" w:space="0" w:color="000000"/>
              <w:left w:val="single" w:sz="4" w:space="0" w:color="000000"/>
              <w:bottom w:val="single" w:sz="4" w:space="0" w:color="000000"/>
            </w:tcBorders>
            <w:noWrap/>
            <w:vAlign w:val="center"/>
          </w:tcPr>
          <w:p/>
        </w:tc>
        <w:tc>
          <w:tcPr>
            <w:tcW w:w="1081" w:type="dxa"/>
            <w:vMerge/>
            <w:tcBorders>
              <w:top w:val="single" w:sz="4" w:space="0" w:color="000000"/>
              <w:left w:val="single" w:sz="4" w:space="0" w:color="000000"/>
              <w:bottom w:val="single" w:sz="4" w:space="0" w:color="000000"/>
              <w:right w:val="single" w:sz="4" w:space="0" w:color="000000"/>
            </w:tcBorders>
            <w:noWrap/>
            <w:vAlign w:val="center"/>
          </w:tcPr>
          <w:p/>
        </w:tc>
        <w:tc>
          <w:tcPr>
            <w:tcW w:w="1250" w:type="dxa"/>
            <w:tcBorders>
              <w:left w:val="single" w:sz="4" w:space="0" w:color="000000"/>
              <w:bottom w:val="single" w:sz="4" w:space="0" w:color="auto"/>
              <w:right w:val="single" w:sz="4" w:space="0" w:color="000000"/>
            </w:tcBorders>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ascii="宋体" w:cs="宋体"/>
                <w:color w:val="000000"/>
                <w:sz w:val="24"/>
              </w:rPr>
            </w:pPr>
            <w:r>
              <w:rPr>
                <w:rFonts w:ascii="宋体" w:eastAsia="宋体" w:cs="宋体"/>
                <w:i w:val="0"/>
                <w:color w:val="000000"/>
                <w:kern w:val="0"/>
                <w:sz w:val="21"/>
                <w:szCs w:val="21"/>
                <w:u w:val="none"/>
                <w:lang w:val="en-US" w:eastAsia="zh-CN"/>
              </w:rPr>
              <w:t>数量指标</w:t>
            </w:r>
          </w:p>
        </w:tc>
        <w:tc>
          <w:tcPr>
            <w:tcW w:w="1140"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val="0"/>
              <w:kinsoku/>
              <w:wordWrap/>
              <w:overflowPunct/>
              <w:topLinePunct w:val="0"/>
              <w:autoSpaceDE/>
              <w:autoSpaceDN/>
              <w:bidi w:val="0"/>
              <w:adjustRightInd/>
              <w:snapToGrid/>
              <w:spacing w:line="280" w:lineRule="exact"/>
              <w:ind w:left="0"/>
              <w:rPr>
                <w:rFonts w:ascii="宋体" w:cs="宋体"/>
                <w:color w:val="000000"/>
                <w:sz w:val="24"/>
              </w:rPr>
            </w:pPr>
            <w:r>
              <w:rPr>
                <w:rFonts w:ascii="宋体" w:eastAsia="宋体" w:cs="宋体" w:hint="eastAsia"/>
                <w:i w:val="0"/>
                <w:color w:val="000000"/>
                <w:sz w:val="21"/>
                <w:szCs w:val="21"/>
                <w:u w:val="none"/>
                <w:lang w:eastAsia="zh-CN"/>
              </w:rPr>
              <w:t>统计公报印制数量</w:t>
            </w:r>
          </w:p>
        </w:tc>
        <w:tc>
          <w:tcPr>
            <w:tcW w:w="1635"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val="0"/>
              <w:kinsoku/>
              <w:wordWrap/>
              <w:overflowPunct/>
              <w:topLinePunct w:val="0"/>
              <w:autoSpaceDE/>
              <w:autoSpaceDN/>
              <w:bidi w:val="0"/>
              <w:adjustRightInd/>
              <w:snapToGrid/>
              <w:spacing w:line="280" w:lineRule="exact"/>
              <w:ind w:left="0"/>
              <w:jc w:val="center"/>
              <w:rPr>
                <w:rFonts w:ascii="宋体" w:cs="宋体"/>
                <w:color w:val="000000"/>
                <w:sz w:val="24"/>
              </w:rPr>
            </w:pPr>
            <w:r>
              <w:rPr>
                <w:rFonts w:ascii="Arial" w:eastAsia="宋体" w:cs="Arial" w:hAnsi="Arial"/>
                <w:i w:val="0"/>
                <w:color w:val="000000"/>
                <w:sz w:val="21"/>
                <w:szCs w:val="21"/>
                <w:u w:val="none"/>
              </w:rPr>
              <w:t>≥</w:t>
            </w:r>
          </w:p>
        </w:tc>
        <w:tc>
          <w:tcPr>
            <w:tcW w:w="930"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val="0"/>
              <w:kinsoku/>
              <w:wordWrap/>
              <w:overflowPunct/>
              <w:topLinePunct w:val="0"/>
              <w:autoSpaceDE/>
              <w:autoSpaceDN/>
              <w:bidi w:val="0"/>
              <w:adjustRightInd/>
              <w:snapToGrid/>
              <w:spacing w:line="280" w:lineRule="exact"/>
              <w:ind w:left="0"/>
              <w:jc w:val="center"/>
              <w:rPr>
                <w:rFonts w:ascii="宋体" w:cs="宋体"/>
                <w:color w:val="000000"/>
                <w:sz w:val="24"/>
              </w:rPr>
            </w:pPr>
            <w:r>
              <w:rPr>
                <w:rFonts w:ascii="宋体" w:eastAsia="宋体" w:cs="宋体" w:hint="eastAsia"/>
                <w:i w:val="0"/>
                <w:color w:val="000000"/>
                <w:sz w:val="21"/>
                <w:szCs w:val="21"/>
                <w:u w:val="none"/>
                <w:lang w:val="en-US" w:eastAsia="zh-CN"/>
              </w:rPr>
              <w:t>9</w:t>
            </w:r>
          </w:p>
        </w:tc>
        <w:tc>
          <w:tcPr>
            <w:tcW w:w="1140"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ascii="宋体" w:cs="宋体"/>
                <w:color w:val="000000"/>
                <w:sz w:val="24"/>
              </w:rPr>
            </w:pPr>
            <w:r>
              <w:rPr>
                <w:rFonts w:ascii="宋体" w:eastAsia="宋体" w:cs="宋体" w:hint="eastAsia"/>
                <w:i w:val="0"/>
                <w:color w:val="000000"/>
                <w:sz w:val="21"/>
                <w:szCs w:val="21"/>
                <w:u w:val="none"/>
                <w:lang w:eastAsia="zh-CN"/>
              </w:rPr>
              <w:t>张</w:t>
            </w:r>
          </w:p>
        </w:tc>
        <w:tc>
          <w:tcPr>
            <w:tcW w:w="795"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ascii="宋体" w:cs="宋体"/>
                <w:color w:val="000000"/>
                <w:sz w:val="24"/>
              </w:rPr>
            </w:pPr>
            <w:r>
              <w:rPr>
                <w:rFonts w:ascii="宋体" w:eastAsia="宋体" w:cs="宋体" w:hint="eastAsia"/>
                <w:i w:val="0"/>
                <w:color w:val="000000"/>
                <w:sz w:val="21"/>
                <w:szCs w:val="21"/>
                <w:u w:val="none"/>
                <w:lang w:val="en-US" w:eastAsia="zh-CN"/>
              </w:rPr>
              <w:t>10</w:t>
            </w:r>
          </w:p>
        </w:tc>
        <w:tc>
          <w:tcPr>
            <w:tcW w:w="1767"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ascii="宋体" w:cs="宋体"/>
                <w:color w:val="000000"/>
                <w:sz w:val="24"/>
              </w:rPr>
            </w:pPr>
            <w:r>
              <w:rPr>
                <w:rFonts w:ascii="宋体" w:cs="宋体" w:hint="eastAsia"/>
                <w:i w:val="0"/>
                <w:color w:val="000000"/>
                <w:sz w:val="24"/>
                <w:szCs w:val="24"/>
                <w:u w:val="none"/>
                <w:lang w:val="en-US" w:eastAsia="zh-CN"/>
              </w:rPr>
              <w:t>9</w:t>
            </w:r>
          </w:p>
        </w:tc>
      </w:tr>
      <w:tr>
        <w:trPr>
          <w:trHeight w:val="23"/>
        </w:trPr>
        <w:tc>
          <w:tcPr>
            <w:tcW w:w="652" w:type="dxa"/>
            <w:vMerge/>
            <w:tcBorders>
              <w:top w:val="single" w:sz="4" w:space="0" w:color="000000"/>
              <w:left w:val="single" w:sz="4" w:space="0" w:color="000000"/>
              <w:bottom w:val="single" w:sz="4" w:space="0" w:color="000000"/>
            </w:tcBorders>
            <w:noWrap/>
            <w:vAlign w:val="center"/>
          </w:tcPr>
          <w:p/>
        </w:tc>
        <w:tc>
          <w:tcPr>
            <w:tcW w:w="1081" w:type="dxa"/>
            <w:vMerge/>
            <w:tcBorders>
              <w:top w:val="single" w:sz="4" w:space="0" w:color="000000"/>
              <w:left w:val="single" w:sz="4" w:space="0" w:color="000000"/>
              <w:bottom w:val="single" w:sz="4" w:space="0" w:color="000000"/>
              <w:right w:val="single" w:sz="4" w:space="0" w:color="000000"/>
            </w:tcBorders>
            <w:noWrap/>
            <w:vAlign w:val="center"/>
          </w:tcPr>
          <w:p/>
        </w:tc>
        <w:tc>
          <w:tcPr>
            <w:tcW w:w="1250" w:type="dxa"/>
            <w:tcBorders>
              <w:top w:val="single" w:sz="4" w:space="0" w:color="auto"/>
              <w:left w:val="single" w:sz="4" w:space="0" w:color="000000"/>
              <w:bottom w:val="single" w:sz="4" w:space="0" w:color="000000"/>
              <w:right w:val="single" w:sz="4" w:space="0" w:color="000000"/>
            </w:tcBorders>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ascii="宋体" w:cs="宋体"/>
                <w:color w:val="000000"/>
                <w:sz w:val="24"/>
              </w:rPr>
            </w:pPr>
            <w:r>
              <w:rPr>
                <w:rFonts w:ascii="宋体" w:eastAsia="宋体" w:cs="宋体"/>
                <w:i w:val="0"/>
                <w:color w:val="000000"/>
                <w:kern w:val="0"/>
                <w:sz w:val="21"/>
                <w:szCs w:val="21"/>
                <w:u w:val="none"/>
                <w:lang w:val="en-US" w:eastAsia="zh-CN"/>
              </w:rPr>
              <w:t>质量指标</w:t>
            </w:r>
          </w:p>
        </w:tc>
        <w:tc>
          <w:tcPr>
            <w:tcW w:w="1140"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val="0"/>
              <w:kinsoku/>
              <w:wordWrap/>
              <w:overflowPunct/>
              <w:topLinePunct w:val="0"/>
              <w:autoSpaceDE/>
              <w:autoSpaceDN/>
              <w:bidi w:val="0"/>
              <w:adjustRightInd/>
              <w:snapToGrid/>
              <w:spacing w:line="280" w:lineRule="exact"/>
              <w:ind w:left="0"/>
              <w:rPr>
                <w:rFonts w:ascii="宋体" w:cs="宋体"/>
                <w:color w:val="000000"/>
                <w:sz w:val="24"/>
              </w:rPr>
            </w:pPr>
            <w:r>
              <w:rPr>
                <w:rFonts w:ascii="宋体" w:eastAsia="宋体" w:cs="宋体" w:hint="eastAsia"/>
                <w:i w:val="0"/>
                <w:color w:val="000000"/>
                <w:sz w:val="21"/>
                <w:szCs w:val="21"/>
                <w:u w:val="none"/>
                <w:lang w:eastAsia="zh-CN"/>
              </w:rPr>
              <w:t>资料汇编印刷质量达标率</w:t>
            </w:r>
          </w:p>
        </w:tc>
        <w:tc>
          <w:tcPr>
            <w:tcW w:w="1635"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val="0"/>
              <w:kinsoku/>
              <w:wordWrap/>
              <w:overflowPunct/>
              <w:topLinePunct w:val="0"/>
              <w:autoSpaceDE/>
              <w:autoSpaceDN/>
              <w:bidi w:val="0"/>
              <w:adjustRightInd/>
              <w:snapToGrid/>
              <w:spacing w:line="280" w:lineRule="exact"/>
              <w:ind w:left="0"/>
              <w:jc w:val="center"/>
              <w:rPr>
                <w:rFonts w:ascii="Arial" w:cs="Arial" w:hAnsi="Arial"/>
                <w:color w:val="000000"/>
                <w:sz w:val="24"/>
              </w:rPr>
            </w:pPr>
            <w:r>
              <w:rPr>
                <w:rFonts w:ascii="Arial" w:eastAsia="宋体" w:cs="Arial" w:hAnsi="Arial"/>
                <w:i w:val="0"/>
                <w:color w:val="000000"/>
                <w:sz w:val="21"/>
                <w:szCs w:val="21"/>
                <w:u w:val="none"/>
              </w:rPr>
              <w:t>≥</w:t>
            </w:r>
          </w:p>
        </w:tc>
        <w:tc>
          <w:tcPr>
            <w:tcW w:w="930"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val="0"/>
              <w:kinsoku/>
              <w:wordWrap/>
              <w:overflowPunct/>
              <w:topLinePunct w:val="0"/>
              <w:autoSpaceDE/>
              <w:autoSpaceDN/>
              <w:bidi w:val="0"/>
              <w:adjustRightInd/>
              <w:snapToGrid/>
              <w:spacing w:line="280" w:lineRule="exact"/>
              <w:ind w:left="0"/>
              <w:jc w:val="center"/>
              <w:rPr>
                <w:rFonts w:ascii="宋体" w:cs="宋体"/>
                <w:color w:val="000000"/>
                <w:sz w:val="24"/>
              </w:rPr>
            </w:pPr>
            <w:r>
              <w:rPr>
                <w:rFonts w:ascii="宋体" w:eastAsia="宋体" w:cs="宋体" w:hint="eastAsia"/>
                <w:i w:val="0"/>
                <w:color w:val="000000"/>
                <w:sz w:val="21"/>
                <w:szCs w:val="21"/>
                <w:u w:val="none"/>
                <w:lang w:val="en-US" w:eastAsia="zh-CN"/>
              </w:rPr>
              <w:t>99</w:t>
            </w:r>
          </w:p>
        </w:tc>
        <w:tc>
          <w:tcPr>
            <w:tcW w:w="1140"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ascii="宋体" w:cs="宋体"/>
                <w:color w:val="000000"/>
                <w:sz w:val="24"/>
              </w:rPr>
            </w:pPr>
            <w:r>
              <w:rPr>
                <w:rFonts w:ascii="宋体" w:eastAsia="宋体" w:cs="宋体" w:hint="eastAsia"/>
                <w:i w:val="0"/>
                <w:color w:val="000000"/>
                <w:sz w:val="21"/>
                <w:szCs w:val="21"/>
                <w:u w:val="none"/>
                <w:lang w:val="en-US" w:eastAsia="zh-CN"/>
              </w:rPr>
              <w:t>%</w:t>
            </w:r>
          </w:p>
        </w:tc>
        <w:tc>
          <w:tcPr>
            <w:tcW w:w="795"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ascii="宋体" w:cs="宋体"/>
                <w:color w:val="000000"/>
                <w:sz w:val="24"/>
              </w:rPr>
            </w:pPr>
            <w:r>
              <w:rPr>
                <w:rFonts w:ascii="宋体" w:eastAsia="宋体" w:cs="宋体" w:hint="eastAsia"/>
                <w:i w:val="0"/>
                <w:color w:val="000000"/>
                <w:sz w:val="21"/>
                <w:szCs w:val="21"/>
                <w:u w:val="none"/>
                <w:lang w:val="en-US" w:eastAsia="zh-CN"/>
              </w:rPr>
              <w:t>10</w:t>
            </w:r>
          </w:p>
        </w:tc>
        <w:tc>
          <w:tcPr>
            <w:tcW w:w="1767"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ascii="宋体" w:cs="宋体"/>
                <w:color w:val="000000"/>
                <w:sz w:val="24"/>
              </w:rPr>
            </w:pPr>
            <w:r>
              <w:rPr>
                <w:rFonts w:ascii="宋体" w:cs="宋体" w:hint="eastAsia"/>
                <w:i w:val="0"/>
                <w:color w:val="000000"/>
                <w:sz w:val="24"/>
                <w:szCs w:val="24"/>
                <w:u w:val="none"/>
                <w:lang w:val="en-US" w:eastAsia="zh-CN"/>
              </w:rPr>
              <w:t>100</w:t>
            </w:r>
          </w:p>
        </w:tc>
      </w:tr>
      <w:tr>
        <w:trPr>
          <w:trHeight w:val="23"/>
        </w:trPr>
        <w:tc>
          <w:tcPr>
            <w:tcW w:w="652" w:type="dxa"/>
            <w:vMerge/>
            <w:tcBorders>
              <w:top w:val="single" w:sz="4" w:space="0" w:color="000000"/>
              <w:left w:val="single" w:sz="4" w:space="0" w:color="000000"/>
              <w:bottom w:val="single" w:sz="4" w:space="0" w:color="000000"/>
            </w:tcBorders>
            <w:noWrap/>
            <w:vAlign w:val="center"/>
          </w:tcPr>
          <w:p/>
        </w:tc>
        <w:tc>
          <w:tcPr>
            <w:tcW w:w="1081" w:type="dxa"/>
            <w:vMerge/>
            <w:tcBorders>
              <w:top w:val="single" w:sz="4" w:space="0" w:color="000000"/>
              <w:left w:val="single" w:sz="4" w:space="0" w:color="000000"/>
              <w:bottom w:val="single" w:sz="4" w:space="0" w:color="000000"/>
              <w:right w:val="single" w:sz="4" w:space="0" w:color="000000"/>
            </w:tcBorders>
            <w:noWrap/>
            <w:vAlign w:val="center"/>
          </w:tcPr>
          <w:p/>
        </w:tc>
        <w:tc>
          <w:tcPr>
            <w:tcW w:w="1250"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ascii="宋体" w:cs="宋体"/>
                <w:color w:val="000000"/>
                <w:sz w:val="24"/>
              </w:rPr>
            </w:pPr>
            <w:r>
              <w:rPr>
                <w:rFonts w:ascii="宋体" w:eastAsia="宋体" w:cs="宋体"/>
                <w:i w:val="0"/>
                <w:color w:val="000000"/>
                <w:kern w:val="0"/>
                <w:sz w:val="21"/>
                <w:szCs w:val="21"/>
                <w:u w:val="none"/>
                <w:lang w:val="en-US" w:eastAsia="zh-CN"/>
              </w:rPr>
              <w:t>质量指标</w:t>
            </w:r>
          </w:p>
        </w:tc>
        <w:tc>
          <w:tcPr>
            <w:tcW w:w="1140"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val="0"/>
              <w:kinsoku/>
              <w:wordWrap/>
              <w:overflowPunct/>
              <w:topLinePunct w:val="0"/>
              <w:autoSpaceDE/>
              <w:autoSpaceDN/>
              <w:bidi w:val="0"/>
              <w:adjustRightInd/>
              <w:snapToGrid/>
              <w:spacing w:line="280" w:lineRule="exact"/>
              <w:ind w:left="0"/>
              <w:rPr>
                <w:rFonts w:ascii="宋体" w:cs="宋体"/>
                <w:color w:val="000000"/>
                <w:sz w:val="24"/>
              </w:rPr>
            </w:pPr>
            <w:r>
              <w:rPr>
                <w:rFonts w:ascii="宋体" w:eastAsia="宋体" w:cs="宋体" w:hint="eastAsia"/>
                <w:i w:val="0"/>
                <w:color w:val="000000"/>
                <w:sz w:val="21"/>
                <w:szCs w:val="21"/>
                <w:u w:val="none"/>
                <w:lang w:eastAsia="zh-CN"/>
              </w:rPr>
              <w:t>统计公报印制达标率</w:t>
            </w:r>
          </w:p>
        </w:tc>
        <w:tc>
          <w:tcPr>
            <w:tcW w:w="1635"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val="0"/>
              <w:kinsoku/>
              <w:wordWrap/>
              <w:overflowPunct/>
              <w:topLinePunct w:val="0"/>
              <w:autoSpaceDE/>
              <w:autoSpaceDN/>
              <w:bidi w:val="0"/>
              <w:adjustRightInd/>
              <w:snapToGrid/>
              <w:spacing w:line="280" w:lineRule="exact"/>
              <w:ind w:left="0"/>
              <w:jc w:val="center"/>
              <w:rPr>
                <w:rFonts w:ascii="宋体" w:cs="宋体"/>
                <w:color w:val="000000"/>
                <w:sz w:val="24"/>
              </w:rPr>
            </w:pPr>
            <w:bookmarkStart w:id="62" w:name="OLE_LINK5"/>
            <w:r>
              <w:rPr>
                <w:rFonts w:ascii="Arial" w:eastAsia="宋体" w:cs="Arial" w:hAnsi="Arial"/>
                <w:i w:val="0"/>
                <w:color w:val="000000"/>
                <w:sz w:val="21"/>
                <w:szCs w:val="21"/>
                <w:u w:val="none"/>
              </w:rPr>
              <w:t>≥</w:t>
            </w:r>
          </w:p>
        </w:tc>
        <w:tc>
          <w:tcPr>
            <w:tcW w:w="930"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val="0"/>
              <w:kinsoku/>
              <w:wordWrap/>
              <w:overflowPunct/>
              <w:topLinePunct w:val="0"/>
              <w:autoSpaceDE/>
              <w:autoSpaceDN/>
              <w:bidi w:val="0"/>
              <w:adjustRightInd/>
              <w:snapToGrid/>
              <w:spacing w:line="280" w:lineRule="exact"/>
              <w:ind w:left="0"/>
              <w:jc w:val="center"/>
              <w:rPr>
                <w:rFonts w:ascii="宋体" w:cs="宋体"/>
                <w:color w:val="000000"/>
                <w:sz w:val="24"/>
              </w:rPr>
            </w:pPr>
            <w:r>
              <w:rPr>
                <w:rFonts w:ascii="宋体" w:eastAsia="宋体" w:cs="宋体" w:hint="eastAsia"/>
                <w:i w:val="0"/>
                <w:color w:val="000000"/>
                <w:sz w:val="21"/>
                <w:szCs w:val="21"/>
                <w:u w:val="none"/>
                <w:lang w:val="en-US" w:eastAsia="zh-CN"/>
              </w:rPr>
              <w:t>99</w:t>
            </w:r>
          </w:p>
        </w:tc>
        <w:tc>
          <w:tcPr>
            <w:tcW w:w="1140"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ascii="宋体" w:cs="宋体"/>
                <w:color w:val="000000"/>
                <w:sz w:val="24"/>
              </w:rPr>
            </w:pPr>
            <w:r>
              <w:rPr>
                <w:rFonts w:ascii="宋体" w:eastAsia="宋体" w:cs="宋体" w:hint="eastAsia"/>
                <w:i w:val="0"/>
                <w:color w:val="000000"/>
                <w:sz w:val="21"/>
                <w:szCs w:val="21"/>
                <w:u w:val="none"/>
                <w:lang w:val="en-US" w:eastAsia="zh-CN"/>
              </w:rPr>
              <w:t>%</w:t>
            </w:r>
          </w:p>
        </w:tc>
        <w:tc>
          <w:tcPr>
            <w:tcW w:w="795"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ascii="宋体" w:cs="宋体"/>
                <w:color w:val="000000"/>
                <w:sz w:val="24"/>
              </w:rPr>
            </w:pPr>
            <w:bookmarkEnd w:id="62"/>
            <w:r>
              <w:rPr>
                <w:rFonts w:ascii="宋体" w:eastAsia="宋体" w:cs="宋体" w:hint="eastAsia"/>
                <w:i w:val="0"/>
                <w:color w:val="000000"/>
                <w:sz w:val="21"/>
                <w:szCs w:val="21"/>
                <w:u w:val="none"/>
                <w:lang w:val="en-US" w:eastAsia="zh-CN"/>
              </w:rPr>
              <w:t>10</w:t>
            </w:r>
          </w:p>
        </w:tc>
        <w:tc>
          <w:tcPr>
            <w:tcW w:w="1767"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ascii="宋体" w:cs="宋体"/>
                <w:color w:val="000000"/>
                <w:sz w:val="24"/>
              </w:rPr>
            </w:pPr>
            <w:r>
              <w:rPr>
                <w:rFonts w:ascii="宋体" w:cs="宋体" w:hint="eastAsia"/>
                <w:i w:val="0"/>
                <w:color w:val="000000"/>
                <w:sz w:val="24"/>
                <w:szCs w:val="24"/>
                <w:u w:val="none"/>
                <w:lang w:val="en-US" w:eastAsia="zh-CN"/>
              </w:rPr>
              <w:t>100</w:t>
            </w:r>
          </w:p>
        </w:tc>
      </w:tr>
      <w:tr>
        <w:trPr>
          <w:trHeight w:val="23"/>
        </w:trPr>
        <w:tc>
          <w:tcPr>
            <w:tcW w:w="652" w:type="dxa"/>
            <w:vMerge/>
            <w:tcBorders>
              <w:top w:val="single" w:sz="4" w:space="0" w:color="000000"/>
              <w:left w:val="single" w:sz="4" w:space="0" w:color="000000"/>
              <w:bottom w:val="single" w:sz="4" w:space="0" w:color="000000"/>
            </w:tcBorders>
            <w:noWrap/>
            <w:vAlign w:val="center"/>
          </w:tcPr>
          <w:p/>
        </w:tc>
        <w:tc>
          <w:tcPr>
            <w:tcW w:w="1081" w:type="dxa"/>
            <w:vMerge/>
            <w:tcBorders>
              <w:top w:val="single" w:sz="4" w:space="0" w:color="000000"/>
              <w:left w:val="single" w:sz="4" w:space="0" w:color="000000"/>
              <w:bottom w:val="single" w:sz="4" w:space="0" w:color="auto"/>
              <w:right w:val="single" w:sz="4" w:space="0" w:color="000000"/>
            </w:tcBorders>
            <w:noWrap/>
            <w:vAlign w:val="center"/>
          </w:tcPr>
          <w:p/>
        </w:tc>
        <w:tc>
          <w:tcPr>
            <w:tcW w:w="1250"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ascii="宋体" w:cs="宋体"/>
                <w:color w:val="000000"/>
                <w:sz w:val="24"/>
              </w:rPr>
            </w:pPr>
            <w:r>
              <w:rPr>
                <w:rFonts w:ascii="宋体" w:eastAsia="宋体" w:cs="宋体"/>
                <w:i w:val="0"/>
                <w:color w:val="000000"/>
                <w:kern w:val="0"/>
                <w:sz w:val="21"/>
                <w:szCs w:val="21"/>
                <w:u w:val="none"/>
                <w:lang w:val="en-US" w:eastAsia="zh-CN"/>
              </w:rPr>
              <w:t>时效指标</w:t>
            </w:r>
          </w:p>
        </w:tc>
        <w:tc>
          <w:tcPr>
            <w:tcW w:w="1140"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val="0"/>
              <w:kinsoku/>
              <w:wordWrap/>
              <w:overflowPunct/>
              <w:topLinePunct w:val="0"/>
              <w:autoSpaceDE/>
              <w:autoSpaceDN/>
              <w:bidi w:val="0"/>
              <w:adjustRightInd/>
              <w:snapToGrid/>
              <w:spacing w:line="280" w:lineRule="exact"/>
              <w:ind w:left="0"/>
              <w:rPr>
                <w:rFonts w:ascii="宋体" w:cs="宋体"/>
                <w:color w:val="000000"/>
                <w:sz w:val="24"/>
              </w:rPr>
            </w:pPr>
            <w:r>
              <w:rPr>
                <w:rFonts w:ascii="宋体" w:eastAsia="宋体" w:cs="宋体" w:hint="eastAsia"/>
                <w:i w:val="0"/>
                <w:color w:val="000000"/>
                <w:sz w:val="21"/>
                <w:szCs w:val="21"/>
                <w:u w:val="none"/>
                <w:lang w:eastAsia="zh-CN"/>
              </w:rPr>
              <w:t>完成时间</w:t>
            </w:r>
          </w:p>
        </w:tc>
        <w:tc>
          <w:tcPr>
            <w:tcW w:w="1635"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val="0"/>
              <w:kinsoku/>
              <w:wordWrap/>
              <w:overflowPunct/>
              <w:topLinePunct w:val="0"/>
              <w:autoSpaceDE/>
              <w:autoSpaceDN/>
              <w:bidi w:val="0"/>
              <w:adjustRightInd/>
              <w:snapToGrid/>
              <w:spacing w:line="280" w:lineRule="exact"/>
              <w:ind w:left="0"/>
              <w:jc w:val="center"/>
              <w:rPr>
                <w:rFonts w:ascii="宋体" w:cs="宋体"/>
                <w:color w:val="000000"/>
                <w:sz w:val="24"/>
              </w:rPr>
            </w:pPr>
            <w:r>
              <w:rPr>
                <w:rFonts w:ascii="宋体" w:eastAsia="宋体" w:cs="宋体" w:hint="eastAsia"/>
                <w:i w:val="0"/>
                <w:color w:val="000000"/>
                <w:sz w:val="21"/>
                <w:szCs w:val="21"/>
                <w:u w:val="none"/>
                <w:lang w:eastAsia="zh-CN"/>
              </w:rPr>
              <w:t>定性</w:t>
            </w:r>
          </w:p>
        </w:tc>
        <w:tc>
          <w:tcPr>
            <w:tcW w:w="930"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val="0"/>
              <w:kinsoku/>
              <w:wordWrap/>
              <w:overflowPunct/>
              <w:topLinePunct w:val="0"/>
              <w:autoSpaceDE/>
              <w:autoSpaceDN/>
              <w:bidi w:val="0"/>
              <w:adjustRightInd/>
              <w:snapToGrid/>
              <w:spacing w:line="280" w:lineRule="exact"/>
              <w:ind w:left="0"/>
              <w:jc w:val="center"/>
              <w:rPr>
                <w:rFonts w:ascii="宋体" w:cs="宋体"/>
                <w:color w:val="000000"/>
                <w:sz w:val="24"/>
              </w:rPr>
            </w:pPr>
            <w:r>
              <w:rPr>
                <w:rFonts w:ascii="宋体" w:eastAsia="宋体" w:cs="宋体" w:hint="eastAsia"/>
                <w:i w:val="0"/>
                <w:color w:val="000000"/>
                <w:sz w:val="21"/>
                <w:szCs w:val="21"/>
                <w:u w:val="none"/>
                <w:lang w:eastAsia="zh-CN"/>
              </w:rPr>
              <w:t>能完成</w:t>
            </w:r>
          </w:p>
        </w:tc>
        <w:tc>
          <w:tcPr>
            <w:tcW w:w="1140"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ascii="宋体" w:cs="宋体"/>
                <w:color w:val="000000"/>
                <w:sz w:val="24"/>
              </w:rPr>
            </w:pPr>
          </w:p>
        </w:tc>
        <w:tc>
          <w:tcPr>
            <w:tcW w:w="795"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ascii="宋体" w:cs="宋体"/>
                <w:color w:val="000000"/>
                <w:sz w:val="24"/>
              </w:rPr>
            </w:pPr>
            <w:r>
              <w:rPr>
                <w:rFonts w:ascii="宋体" w:eastAsia="宋体" w:cs="宋体" w:hint="eastAsia"/>
                <w:i w:val="0"/>
                <w:color w:val="000000"/>
                <w:sz w:val="21"/>
                <w:szCs w:val="21"/>
                <w:u w:val="none"/>
                <w:lang w:val="en-US" w:eastAsia="zh-CN"/>
              </w:rPr>
              <w:t>10</w:t>
            </w:r>
          </w:p>
        </w:tc>
        <w:tc>
          <w:tcPr>
            <w:tcW w:w="1767"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ascii="宋体" w:cs="宋体"/>
                <w:color w:val="000000"/>
                <w:sz w:val="24"/>
              </w:rPr>
            </w:pPr>
            <w:r>
              <w:rPr>
                <w:rFonts w:ascii="宋体" w:cs="宋体" w:hint="eastAsia"/>
                <w:i w:val="0"/>
                <w:color w:val="000000"/>
                <w:sz w:val="24"/>
                <w:szCs w:val="24"/>
                <w:u w:val="none"/>
                <w:lang w:eastAsia="zh-CN"/>
              </w:rPr>
              <w:t>能</w:t>
            </w:r>
          </w:p>
        </w:tc>
      </w:tr>
      <w:tr>
        <w:trPr>
          <w:trHeight w:val="23"/>
        </w:trPr>
        <w:tc>
          <w:tcPr>
            <w:tcW w:w="652" w:type="dxa"/>
            <w:vMerge/>
            <w:tcBorders>
              <w:top w:val="single" w:sz="4" w:space="0" w:color="000000"/>
              <w:left w:val="single" w:sz="4" w:space="0" w:color="000000"/>
              <w:bottom w:val="single" w:sz="4" w:space="0" w:color="000000"/>
            </w:tcBorders>
            <w:noWrap/>
            <w:vAlign w:val="center"/>
          </w:tcPr>
          <w:p/>
        </w:tc>
        <w:tc>
          <w:tcPr>
            <w:tcW w:w="1081" w:type="dxa"/>
            <w:tcBorders>
              <w:top w:val="single" w:sz="4" w:space="0" w:color="auto"/>
              <w:left w:val="single" w:sz="4" w:space="0" w:color="000000"/>
              <w:bottom w:val="single" w:sz="4" w:space="0" w:color="000000"/>
              <w:right w:val="single" w:sz="4" w:space="0" w:color="000000"/>
            </w:tcBorders>
            <w:noWrap/>
            <w:vAlign w:val="center"/>
          </w:tcPr>
          <w:p>
            <w:pPr>
              <w:spacing w:line="300" w:lineRule="exact"/>
              <w:jc w:val="center"/>
              <w:rPr>
                <w:rFonts w:ascii="宋体" w:cs="宋体"/>
                <w:color w:val="000000"/>
                <w:sz w:val="24"/>
              </w:rPr>
            </w:pPr>
            <w:r>
              <w:rPr>
                <w:rFonts w:ascii="宋体" w:cs="宋体" w:hint="eastAsia"/>
                <w:color w:val="000000"/>
                <w:sz w:val="24"/>
              </w:rPr>
              <w:t>效益指标</w:t>
            </w:r>
          </w:p>
        </w:tc>
        <w:tc>
          <w:tcPr>
            <w:tcW w:w="1250" w:type="dxa"/>
            <w:tcBorders>
              <w:top w:val="single" w:sz="4" w:space="0" w:color="000000"/>
              <w:left w:val="single" w:sz="4" w:space="0" w:color="000000"/>
              <w:right w:val="single" w:sz="4" w:space="0" w:color="00000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jc w:val="center"/>
              <w:textAlignment w:val="center"/>
              <w:rPr>
                <w:rFonts w:ascii="宋体" w:eastAsia="宋体" w:cs="宋体"/>
                <w:i w:val="0"/>
                <w:color w:val="000000"/>
                <w:kern w:val="0"/>
                <w:sz w:val="21"/>
                <w:szCs w:val="21"/>
                <w:u w:val="none"/>
                <w:lang w:val="en-US" w:eastAsia="zh-CN"/>
              </w:rPr>
            </w:pPr>
            <w:r>
              <w:rPr>
                <w:rFonts w:ascii="宋体" w:eastAsia="宋体" w:cs="宋体"/>
                <w:i w:val="0"/>
                <w:color w:val="000000"/>
                <w:kern w:val="0"/>
                <w:sz w:val="21"/>
                <w:szCs w:val="21"/>
                <w:u w:val="none"/>
                <w:lang w:val="en-US" w:eastAsia="zh-CN"/>
              </w:rPr>
              <w:t>社会效益</w:t>
            </w:r>
          </w:p>
          <w:p>
            <w:pPr>
              <w:keepNext w:val="0"/>
              <w:keepLines w:val="0"/>
              <w:pageBreakBefore w:val="0"/>
              <w:widowControl/>
              <w:suppressLineNumbers w:val="0"/>
              <w:kinsoku/>
              <w:wordWrap/>
              <w:overflowPunct/>
              <w:topLinePunct w:val="0"/>
              <w:autoSpaceDE/>
              <w:autoSpaceDN/>
              <w:bidi w:val="0"/>
              <w:adjustRightInd/>
              <w:snapToGrid/>
              <w:spacing w:line="280" w:lineRule="exact"/>
              <w:ind w:left="0"/>
              <w:jc w:val="center"/>
              <w:textAlignment w:val="center"/>
              <w:rPr>
                <w:rFonts w:ascii="宋体" w:cs="宋体"/>
                <w:color w:val="000000"/>
                <w:sz w:val="24"/>
              </w:rPr>
            </w:pPr>
            <w:r>
              <w:rPr>
                <w:rFonts w:ascii="宋体" w:eastAsia="宋体" w:cs="宋体"/>
                <w:i w:val="0"/>
                <w:color w:val="000000"/>
                <w:kern w:val="0"/>
                <w:sz w:val="21"/>
                <w:szCs w:val="21"/>
                <w:u w:val="none"/>
                <w:lang w:val="en-US" w:eastAsia="zh-CN"/>
              </w:rPr>
              <w:t>指标</w:t>
            </w:r>
          </w:p>
        </w:tc>
        <w:tc>
          <w:tcPr>
            <w:tcW w:w="1140"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val="0"/>
              <w:kinsoku/>
              <w:wordWrap/>
              <w:overflowPunct/>
              <w:topLinePunct w:val="0"/>
              <w:autoSpaceDE/>
              <w:autoSpaceDN/>
              <w:bidi w:val="0"/>
              <w:adjustRightInd/>
              <w:snapToGrid/>
              <w:spacing w:line="280" w:lineRule="exact"/>
              <w:ind w:left="0"/>
              <w:rPr>
                <w:rFonts w:ascii="宋体" w:cs="宋体"/>
                <w:color w:val="000000"/>
                <w:sz w:val="24"/>
              </w:rPr>
            </w:pPr>
            <w:r>
              <w:rPr>
                <w:rFonts w:ascii="宋体" w:eastAsia="宋体" w:cs="宋体" w:hint="eastAsia"/>
                <w:i w:val="0"/>
                <w:color w:val="000000"/>
                <w:sz w:val="21"/>
                <w:szCs w:val="21"/>
                <w:u w:val="none"/>
                <w:lang w:eastAsia="zh-CN"/>
              </w:rPr>
              <w:t>提升经济普查工作社会知晓率</w:t>
            </w:r>
          </w:p>
        </w:tc>
        <w:tc>
          <w:tcPr>
            <w:tcW w:w="1635"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val="0"/>
              <w:kinsoku/>
              <w:wordWrap/>
              <w:overflowPunct/>
              <w:topLinePunct w:val="0"/>
              <w:autoSpaceDE/>
              <w:autoSpaceDN/>
              <w:bidi w:val="0"/>
              <w:adjustRightInd/>
              <w:snapToGrid/>
              <w:spacing w:line="280" w:lineRule="exact"/>
              <w:ind w:left="0"/>
              <w:jc w:val="center"/>
              <w:rPr>
                <w:rFonts w:ascii="宋体" w:cs="宋体"/>
                <w:color w:val="000000"/>
                <w:sz w:val="24"/>
              </w:rPr>
            </w:pPr>
            <w:r>
              <w:rPr>
                <w:rFonts w:ascii="Arial" w:eastAsia="宋体" w:cs="Arial" w:hAnsi="Arial"/>
                <w:i w:val="0"/>
                <w:color w:val="000000"/>
                <w:sz w:val="21"/>
                <w:szCs w:val="21"/>
                <w:u w:val="none"/>
              </w:rPr>
              <w:t>≥</w:t>
            </w:r>
          </w:p>
        </w:tc>
        <w:tc>
          <w:tcPr>
            <w:tcW w:w="930"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val="0"/>
              <w:kinsoku/>
              <w:wordWrap/>
              <w:overflowPunct/>
              <w:topLinePunct w:val="0"/>
              <w:autoSpaceDE/>
              <w:autoSpaceDN/>
              <w:bidi w:val="0"/>
              <w:adjustRightInd/>
              <w:snapToGrid/>
              <w:spacing w:line="280" w:lineRule="exact"/>
              <w:ind w:left="0"/>
              <w:jc w:val="center"/>
              <w:rPr>
                <w:rFonts w:ascii="宋体" w:cs="宋体"/>
                <w:color w:val="000000"/>
                <w:sz w:val="24"/>
              </w:rPr>
            </w:pPr>
            <w:r>
              <w:rPr>
                <w:rFonts w:ascii="宋体" w:eastAsia="宋体" w:cs="宋体" w:hint="eastAsia"/>
                <w:i w:val="0"/>
                <w:color w:val="000000"/>
                <w:sz w:val="21"/>
                <w:szCs w:val="21"/>
                <w:u w:val="none"/>
                <w:lang w:val="en-US" w:eastAsia="zh-CN"/>
              </w:rPr>
              <w:t>99</w:t>
            </w:r>
          </w:p>
        </w:tc>
        <w:tc>
          <w:tcPr>
            <w:tcW w:w="1140"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ascii="宋体" w:cs="宋体"/>
                <w:color w:val="000000"/>
                <w:sz w:val="24"/>
              </w:rPr>
            </w:pPr>
            <w:r>
              <w:rPr>
                <w:rFonts w:ascii="宋体" w:eastAsia="宋体" w:cs="宋体" w:hint="eastAsia"/>
                <w:i w:val="0"/>
                <w:color w:val="000000"/>
                <w:sz w:val="21"/>
                <w:szCs w:val="21"/>
                <w:u w:val="none"/>
                <w:lang w:val="en-US" w:eastAsia="zh-CN"/>
              </w:rPr>
              <w:t>%</w:t>
            </w:r>
          </w:p>
        </w:tc>
        <w:tc>
          <w:tcPr>
            <w:tcW w:w="795"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ascii="宋体" w:cs="宋体"/>
                <w:color w:val="000000"/>
                <w:sz w:val="24"/>
              </w:rPr>
            </w:pPr>
            <w:r>
              <w:rPr>
                <w:rFonts w:ascii="宋体" w:eastAsia="宋体" w:cs="宋体" w:hint="eastAsia"/>
                <w:i w:val="0"/>
                <w:color w:val="000000"/>
                <w:sz w:val="21"/>
                <w:szCs w:val="21"/>
                <w:u w:val="none"/>
                <w:lang w:val="en-US" w:eastAsia="zh-CN"/>
              </w:rPr>
              <w:t>20</w:t>
            </w:r>
          </w:p>
        </w:tc>
        <w:tc>
          <w:tcPr>
            <w:tcW w:w="1767"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ascii="宋体" w:cs="宋体"/>
                <w:color w:val="000000"/>
                <w:sz w:val="24"/>
              </w:rPr>
            </w:pPr>
            <w:r>
              <w:rPr>
                <w:rFonts w:ascii="宋体" w:cs="宋体" w:hint="eastAsia"/>
                <w:i w:val="0"/>
                <w:color w:val="000000"/>
                <w:sz w:val="24"/>
                <w:szCs w:val="24"/>
                <w:u w:val="none"/>
                <w:lang w:val="en-US" w:eastAsia="zh-CN"/>
              </w:rPr>
              <w:t>100</w:t>
            </w:r>
          </w:p>
        </w:tc>
      </w:tr>
      <w:tr>
        <w:trPr>
          <w:trHeight w:val="23"/>
        </w:trPr>
        <w:tc>
          <w:tcPr>
            <w:tcW w:w="652" w:type="dxa"/>
            <w:vMerge/>
            <w:tcBorders>
              <w:top w:val="single" w:sz="4" w:space="0" w:color="000000"/>
              <w:left w:val="single" w:sz="4" w:space="0" w:color="000000"/>
              <w:bottom w:val="single" w:sz="4" w:space="0" w:color="000000"/>
            </w:tcBorders>
            <w:noWrap/>
            <w:vAlign w:val="center"/>
          </w:tcPr>
          <w:p/>
        </w:tc>
        <w:tc>
          <w:tcPr>
            <w:tcW w:w="1081" w:type="dxa"/>
            <w:tcBorders>
              <w:top w:val="single" w:sz="4" w:space="0" w:color="000000"/>
              <w:left w:val="single" w:sz="4" w:space="0" w:color="000000"/>
              <w:right w:val="single" w:sz="4" w:space="0" w:color="000000"/>
            </w:tcBorders>
            <w:noWrap/>
            <w:vAlign w:val="center"/>
          </w:tcPr>
          <w:p>
            <w:pPr>
              <w:widowControl/>
              <w:spacing w:line="300" w:lineRule="exact"/>
              <w:jc w:val="center"/>
              <w:textAlignment w:val="center"/>
              <w:rPr>
                <w:rFonts w:ascii="宋体" w:cs="宋体"/>
                <w:color w:val="000000"/>
                <w:kern w:val="0"/>
                <w:sz w:val="24"/>
              </w:rPr>
            </w:pPr>
            <w:r>
              <w:rPr>
                <w:rFonts w:ascii="宋体" w:cs="宋体"/>
                <w:color w:val="000000"/>
                <w:kern w:val="0"/>
                <w:sz w:val="24"/>
              </w:rPr>
              <w:t>满意度</w:t>
            </w:r>
          </w:p>
          <w:p>
            <w:pPr>
              <w:widowControl/>
              <w:spacing w:line="300" w:lineRule="exact"/>
              <w:jc w:val="center"/>
              <w:textAlignment w:val="center"/>
              <w:rPr>
                <w:rFonts w:ascii="宋体" w:cs="宋体"/>
                <w:color w:val="000000"/>
                <w:sz w:val="24"/>
              </w:rPr>
            </w:pPr>
            <w:r>
              <w:rPr>
                <w:rFonts w:ascii="宋体" w:cs="宋体"/>
                <w:color w:val="000000"/>
                <w:kern w:val="0"/>
                <w:sz w:val="24"/>
              </w:rPr>
              <w:t>指标</w:t>
            </w:r>
          </w:p>
        </w:tc>
        <w:tc>
          <w:tcPr>
            <w:tcW w:w="1250" w:type="dxa"/>
            <w:tcBorders>
              <w:top w:val="single" w:sz="4" w:space="0" w:color="000000"/>
              <w:left w:val="single" w:sz="4" w:space="0" w:color="000000"/>
              <w:right w:val="single" w:sz="4" w:space="0" w:color="00000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jc w:val="center"/>
              <w:textAlignment w:val="center"/>
              <w:rPr>
                <w:rFonts w:ascii="宋体" w:eastAsia="宋体" w:cs="宋体"/>
                <w:i w:val="0"/>
                <w:color w:val="000000"/>
                <w:kern w:val="0"/>
                <w:sz w:val="21"/>
                <w:szCs w:val="21"/>
                <w:u w:val="none"/>
                <w:lang w:val="en-US" w:eastAsia="zh-CN"/>
              </w:rPr>
            </w:pPr>
            <w:r>
              <w:rPr>
                <w:rFonts w:ascii="宋体" w:eastAsia="宋体" w:cs="宋体"/>
                <w:i w:val="0"/>
                <w:color w:val="000000"/>
                <w:kern w:val="0"/>
                <w:sz w:val="21"/>
                <w:szCs w:val="21"/>
                <w:u w:val="none"/>
                <w:lang w:val="en-US" w:eastAsia="zh-CN"/>
              </w:rPr>
              <w:t>服务对象</w:t>
            </w:r>
          </w:p>
          <w:p>
            <w:pPr>
              <w:keepNext w:val="0"/>
              <w:keepLines w:val="0"/>
              <w:pageBreakBefore w:val="0"/>
              <w:widowControl/>
              <w:suppressLineNumbers w:val="0"/>
              <w:kinsoku/>
              <w:wordWrap/>
              <w:overflowPunct/>
              <w:topLinePunct w:val="0"/>
              <w:autoSpaceDE/>
              <w:autoSpaceDN/>
              <w:bidi w:val="0"/>
              <w:adjustRightInd/>
              <w:snapToGrid/>
              <w:spacing w:line="280" w:lineRule="exact"/>
              <w:ind w:left="0"/>
              <w:jc w:val="center"/>
              <w:textAlignment w:val="center"/>
              <w:rPr>
                <w:rFonts w:ascii="宋体" w:cs="宋体"/>
                <w:color w:val="000000"/>
                <w:sz w:val="24"/>
              </w:rPr>
            </w:pPr>
            <w:r>
              <w:rPr>
                <w:rFonts w:ascii="宋体" w:eastAsia="宋体" w:cs="宋体"/>
                <w:i w:val="0"/>
                <w:color w:val="000000"/>
                <w:kern w:val="0"/>
                <w:sz w:val="21"/>
                <w:szCs w:val="21"/>
                <w:u w:val="none"/>
                <w:lang w:val="en-US" w:eastAsia="zh-CN"/>
              </w:rPr>
              <w:t>满意度指标</w:t>
            </w:r>
          </w:p>
        </w:tc>
        <w:tc>
          <w:tcPr>
            <w:tcW w:w="1140"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val="0"/>
              <w:kinsoku/>
              <w:wordWrap/>
              <w:overflowPunct/>
              <w:topLinePunct w:val="0"/>
              <w:autoSpaceDE/>
              <w:autoSpaceDN/>
              <w:bidi w:val="0"/>
              <w:adjustRightInd/>
              <w:snapToGrid/>
              <w:spacing w:line="280" w:lineRule="exact"/>
              <w:ind w:left="0"/>
              <w:rPr>
                <w:rFonts w:ascii="宋体" w:cs="宋体"/>
                <w:color w:val="000000"/>
                <w:sz w:val="24"/>
              </w:rPr>
            </w:pPr>
            <w:r>
              <w:rPr>
                <w:rFonts w:ascii="宋体" w:eastAsia="宋体" w:cs="宋体" w:hint="eastAsia"/>
                <w:i w:val="0"/>
                <w:color w:val="000000"/>
                <w:sz w:val="21"/>
                <w:szCs w:val="21"/>
                <w:u w:val="none"/>
                <w:lang w:eastAsia="zh-CN"/>
              </w:rPr>
              <w:t>社会人员对经济普查工作的满意度</w:t>
            </w:r>
          </w:p>
        </w:tc>
        <w:tc>
          <w:tcPr>
            <w:tcW w:w="1635"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val="0"/>
              <w:kinsoku/>
              <w:wordWrap/>
              <w:overflowPunct/>
              <w:topLinePunct w:val="0"/>
              <w:autoSpaceDE/>
              <w:autoSpaceDN/>
              <w:bidi w:val="0"/>
              <w:adjustRightInd/>
              <w:snapToGrid/>
              <w:spacing w:line="280" w:lineRule="exact"/>
              <w:ind w:left="0"/>
              <w:jc w:val="center"/>
              <w:rPr>
                <w:rFonts w:ascii="宋体" w:cs="宋体"/>
                <w:color w:val="000000"/>
                <w:sz w:val="24"/>
              </w:rPr>
            </w:pPr>
            <w:r>
              <w:rPr>
                <w:rFonts w:ascii="Arial" w:eastAsia="宋体" w:cs="Arial" w:hAnsi="Arial"/>
                <w:i w:val="0"/>
                <w:color w:val="000000"/>
                <w:sz w:val="21"/>
                <w:szCs w:val="21"/>
                <w:u w:val="none"/>
              </w:rPr>
              <w:t>≥</w:t>
            </w:r>
          </w:p>
        </w:tc>
        <w:tc>
          <w:tcPr>
            <w:tcW w:w="930"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val="0"/>
              <w:kinsoku/>
              <w:wordWrap/>
              <w:overflowPunct/>
              <w:topLinePunct w:val="0"/>
              <w:autoSpaceDE/>
              <w:autoSpaceDN/>
              <w:bidi w:val="0"/>
              <w:adjustRightInd/>
              <w:snapToGrid/>
              <w:spacing w:line="280" w:lineRule="exact"/>
              <w:ind w:left="0"/>
              <w:jc w:val="center"/>
              <w:rPr>
                <w:rFonts w:ascii="宋体" w:cs="宋体"/>
                <w:color w:val="000000"/>
                <w:sz w:val="24"/>
              </w:rPr>
            </w:pPr>
            <w:r>
              <w:rPr>
                <w:rFonts w:ascii="宋体" w:eastAsia="宋体" w:cs="宋体" w:hint="eastAsia"/>
                <w:i w:val="0"/>
                <w:color w:val="000000"/>
                <w:sz w:val="21"/>
                <w:szCs w:val="21"/>
                <w:u w:val="none"/>
                <w:lang w:val="en-US" w:eastAsia="zh-CN"/>
              </w:rPr>
              <w:t>98</w:t>
            </w:r>
          </w:p>
        </w:tc>
        <w:tc>
          <w:tcPr>
            <w:tcW w:w="1140"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ascii="宋体" w:cs="宋体"/>
                <w:color w:val="000000"/>
                <w:sz w:val="24"/>
              </w:rPr>
            </w:pPr>
            <w:r>
              <w:rPr>
                <w:rFonts w:ascii="宋体" w:eastAsia="宋体" w:cs="宋体" w:hint="eastAsia"/>
                <w:i w:val="0"/>
                <w:color w:val="000000"/>
                <w:sz w:val="21"/>
                <w:szCs w:val="21"/>
                <w:u w:val="none"/>
                <w:lang w:val="en-US" w:eastAsia="zh-CN"/>
              </w:rPr>
              <w:t>%</w:t>
            </w:r>
          </w:p>
        </w:tc>
        <w:tc>
          <w:tcPr>
            <w:tcW w:w="795"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ascii="宋体" w:cs="宋体"/>
                <w:color w:val="000000"/>
                <w:sz w:val="24"/>
              </w:rPr>
            </w:pPr>
            <w:r>
              <w:rPr>
                <w:rFonts w:ascii="宋体" w:eastAsia="宋体" w:cs="宋体" w:hint="eastAsia"/>
                <w:i w:val="0"/>
                <w:color w:val="000000"/>
                <w:sz w:val="21"/>
                <w:szCs w:val="21"/>
                <w:u w:val="none"/>
                <w:lang w:val="en-US" w:eastAsia="zh-CN"/>
              </w:rPr>
              <w:t>5</w:t>
            </w:r>
          </w:p>
        </w:tc>
        <w:tc>
          <w:tcPr>
            <w:tcW w:w="1767"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ascii="宋体" w:cs="宋体"/>
                <w:color w:val="000000"/>
                <w:sz w:val="24"/>
              </w:rPr>
            </w:pPr>
            <w:r>
              <w:rPr>
                <w:rFonts w:ascii="宋体" w:cs="宋体" w:hint="eastAsia"/>
                <w:i w:val="0"/>
                <w:color w:val="000000"/>
                <w:sz w:val="24"/>
                <w:szCs w:val="24"/>
                <w:u w:val="none"/>
                <w:lang w:val="en-US" w:eastAsia="zh-CN"/>
              </w:rPr>
              <w:t>100</w:t>
            </w:r>
          </w:p>
        </w:tc>
      </w:tr>
      <w:tr>
        <w:trPr>
          <w:trHeight w:val="23"/>
        </w:trPr>
        <w:tc>
          <w:tcPr>
            <w:tcW w:w="652" w:type="dxa"/>
            <w:vMerge/>
            <w:tcBorders>
              <w:top w:val="single" w:sz="4" w:space="0" w:color="000000"/>
              <w:left w:val="single" w:sz="4" w:space="0" w:color="000000"/>
              <w:bottom w:val="single" w:sz="4" w:space="0" w:color="000000"/>
            </w:tcBorders>
            <w:noWrap/>
            <w:vAlign w:val="center"/>
          </w:tcPr>
          <w:p/>
        </w:tc>
        <w:tc>
          <w:tcPr>
            <w:tcW w:w="1081" w:type="dxa"/>
            <w:tcBorders>
              <w:top w:val="single" w:sz="4" w:space="0" w:color="000000"/>
              <w:left w:val="single" w:sz="4" w:space="0" w:color="000000"/>
              <w:bottom w:val="single" w:sz="4" w:space="0" w:color="000000"/>
              <w:right w:val="single" w:sz="4" w:space="0" w:color="000000"/>
            </w:tcBorders>
            <w:noWrap/>
            <w:vAlign w:val="center"/>
          </w:tcPr>
          <w:p>
            <w:pPr>
              <w:widowControl/>
              <w:spacing w:line="300" w:lineRule="exact"/>
              <w:jc w:val="center"/>
              <w:textAlignment w:val="center"/>
              <w:rPr>
                <w:rFonts w:ascii="宋体" w:cs="宋体"/>
                <w:color w:val="000000"/>
                <w:sz w:val="24"/>
              </w:rPr>
            </w:pPr>
            <w:r>
              <w:rPr>
                <w:rFonts w:ascii="宋体" w:cs="宋体"/>
                <w:color w:val="000000"/>
                <w:kern w:val="0"/>
                <w:sz w:val="24"/>
              </w:rPr>
              <w:t>成本指标</w:t>
            </w:r>
          </w:p>
        </w:tc>
        <w:tc>
          <w:tcPr>
            <w:tcW w:w="1250"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jc w:val="center"/>
              <w:textAlignment w:val="center"/>
              <w:rPr>
                <w:rFonts w:ascii="宋体" w:cs="宋体"/>
                <w:color w:val="000000"/>
                <w:sz w:val="24"/>
              </w:rPr>
            </w:pPr>
            <w:r>
              <w:rPr>
                <w:rFonts w:ascii="宋体" w:eastAsia="宋体" w:cs="宋体" w:hint="eastAsia"/>
                <w:i w:val="0"/>
                <w:color w:val="000000"/>
                <w:kern w:val="0"/>
                <w:sz w:val="21"/>
                <w:szCs w:val="21"/>
                <w:u w:val="none"/>
                <w:lang w:val="en-US" w:eastAsia="zh-CN"/>
              </w:rPr>
              <w:t>满意度指标</w:t>
            </w:r>
          </w:p>
        </w:tc>
        <w:tc>
          <w:tcPr>
            <w:tcW w:w="1140" w:type="dxa"/>
            <w:tcBorders>
              <w:top w:val="single" w:sz="4" w:space="0" w:color="000000"/>
              <w:bottom w:val="single" w:sz="4" w:space="0" w:color="000000"/>
              <w:right w:val="single" w:sz="4" w:space="0" w:color="000000"/>
            </w:tcBorders>
            <w:noWrap/>
            <w:vAlign w:val="center"/>
          </w:tcPr>
          <w:p>
            <w:pPr>
              <w:keepNext w:val="0"/>
              <w:keepLines w:val="0"/>
              <w:pageBreakBefore w:val="0"/>
              <w:widowControl w:val="0"/>
              <w:kinsoku/>
              <w:wordWrap/>
              <w:overflowPunct/>
              <w:topLinePunct w:val="0"/>
              <w:autoSpaceDE/>
              <w:autoSpaceDN/>
              <w:bidi w:val="0"/>
              <w:adjustRightInd/>
              <w:snapToGrid/>
              <w:spacing w:line="280" w:lineRule="exact"/>
              <w:ind w:left="0"/>
              <w:rPr>
                <w:rFonts w:ascii="宋体" w:cs="宋体"/>
                <w:color w:val="000000"/>
                <w:sz w:val="24"/>
              </w:rPr>
            </w:pPr>
            <w:r>
              <w:rPr>
                <w:rFonts w:ascii="宋体" w:eastAsia="宋体" w:cs="宋体" w:hint="eastAsia"/>
                <w:i w:val="0"/>
                <w:color w:val="000000"/>
                <w:sz w:val="21"/>
                <w:szCs w:val="21"/>
                <w:u w:val="none"/>
                <w:lang w:eastAsia="zh-CN"/>
              </w:rPr>
              <w:t>县委</w:t>
            </w:r>
            <w:r>
              <w:rPr>
                <w:rFonts w:ascii="宋体" w:eastAsia="宋体" w:cs="宋体"/>
                <w:i w:val="0"/>
                <w:color w:val="000000"/>
                <w:sz w:val="21"/>
                <w:szCs w:val="21"/>
                <w:u w:val="none"/>
                <w:lang w:eastAsia="zh-CN"/>
              </w:rPr>
              <w:t>、</w:t>
            </w:r>
            <w:r>
              <w:rPr>
                <w:rFonts w:ascii="宋体" w:eastAsia="宋体" w:cs="宋体" w:hint="eastAsia"/>
                <w:i w:val="0"/>
                <w:color w:val="000000"/>
                <w:sz w:val="21"/>
                <w:szCs w:val="21"/>
                <w:u w:val="none"/>
                <w:lang w:eastAsia="zh-CN"/>
              </w:rPr>
              <w:t>县政府对五经普资料汇编的满意度</w:t>
            </w:r>
          </w:p>
        </w:tc>
        <w:tc>
          <w:tcPr>
            <w:tcW w:w="1635"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val="0"/>
              <w:kinsoku/>
              <w:wordWrap/>
              <w:overflowPunct/>
              <w:topLinePunct w:val="0"/>
              <w:autoSpaceDE/>
              <w:autoSpaceDN/>
              <w:bidi w:val="0"/>
              <w:adjustRightInd/>
              <w:snapToGrid/>
              <w:spacing w:line="280" w:lineRule="exact"/>
              <w:ind w:left="0"/>
              <w:jc w:val="center"/>
              <w:rPr>
                <w:rFonts w:ascii="宋体" w:cs="宋体"/>
                <w:color w:val="000000"/>
                <w:sz w:val="24"/>
              </w:rPr>
            </w:pPr>
            <w:r>
              <w:rPr>
                <w:rFonts w:ascii="Arial" w:eastAsia="宋体" w:cs="Arial" w:hAnsi="Arial"/>
                <w:i w:val="0"/>
                <w:color w:val="000000"/>
                <w:sz w:val="21"/>
                <w:szCs w:val="21"/>
                <w:u w:val="none"/>
              </w:rPr>
              <w:t>≥</w:t>
            </w:r>
          </w:p>
        </w:tc>
        <w:tc>
          <w:tcPr>
            <w:tcW w:w="930"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val="0"/>
              <w:kinsoku/>
              <w:wordWrap/>
              <w:overflowPunct/>
              <w:topLinePunct w:val="0"/>
              <w:autoSpaceDE/>
              <w:autoSpaceDN/>
              <w:bidi w:val="0"/>
              <w:adjustRightInd/>
              <w:snapToGrid/>
              <w:spacing w:line="280" w:lineRule="exact"/>
              <w:ind w:left="0"/>
              <w:jc w:val="center"/>
              <w:rPr>
                <w:rFonts w:ascii="宋体" w:cs="宋体"/>
                <w:color w:val="000000"/>
                <w:sz w:val="24"/>
              </w:rPr>
            </w:pPr>
            <w:r>
              <w:rPr>
                <w:rFonts w:ascii="宋体" w:eastAsia="宋体" w:cs="宋体" w:hint="eastAsia"/>
                <w:i w:val="0"/>
                <w:color w:val="000000"/>
                <w:sz w:val="21"/>
                <w:szCs w:val="21"/>
                <w:u w:val="none"/>
                <w:lang w:val="en-US" w:eastAsia="zh-CN"/>
              </w:rPr>
              <w:t>99</w:t>
            </w:r>
          </w:p>
        </w:tc>
        <w:tc>
          <w:tcPr>
            <w:tcW w:w="1140"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ascii="宋体" w:cs="宋体"/>
                <w:color w:val="000000"/>
                <w:sz w:val="24"/>
              </w:rPr>
            </w:pPr>
            <w:r>
              <w:rPr>
                <w:rFonts w:ascii="宋体" w:eastAsia="宋体" w:cs="宋体" w:hint="eastAsia"/>
                <w:i w:val="0"/>
                <w:color w:val="000000"/>
                <w:sz w:val="21"/>
                <w:szCs w:val="21"/>
                <w:u w:val="none"/>
                <w:lang w:val="en-US" w:eastAsia="zh-CN"/>
              </w:rPr>
              <w:t>%</w:t>
            </w:r>
          </w:p>
        </w:tc>
        <w:tc>
          <w:tcPr>
            <w:tcW w:w="795"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ascii="宋体" w:cs="宋体"/>
                <w:color w:val="000000"/>
                <w:sz w:val="24"/>
              </w:rPr>
            </w:pPr>
            <w:r>
              <w:rPr>
                <w:rFonts w:ascii="宋体" w:eastAsia="宋体" w:cs="宋体" w:hint="eastAsia"/>
                <w:i w:val="0"/>
                <w:color w:val="000000"/>
                <w:sz w:val="21"/>
                <w:szCs w:val="21"/>
                <w:u w:val="none"/>
                <w:lang w:val="en-US" w:eastAsia="zh-CN"/>
              </w:rPr>
              <w:t>5</w:t>
            </w:r>
          </w:p>
        </w:tc>
        <w:tc>
          <w:tcPr>
            <w:tcW w:w="1767" w:type="dxa"/>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ascii="宋体" w:cs="宋体"/>
                <w:color w:val="000000"/>
                <w:sz w:val="24"/>
              </w:rPr>
            </w:pPr>
            <w:r>
              <w:rPr>
                <w:rFonts w:ascii="宋体" w:cs="宋体" w:hint="eastAsia"/>
                <w:i w:val="0"/>
                <w:color w:val="000000"/>
                <w:sz w:val="24"/>
                <w:szCs w:val="24"/>
                <w:u w:val="none"/>
                <w:lang w:val="en-US" w:eastAsia="zh-CN"/>
              </w:rPr>
              <w:t>100</w:t>
            </w:r>
          </w:p>
        </w:tc>
      </w:tr>
    </w:tbl>
    <w:p>
      <w:pPr>
        <w:spacing w:line="600" w:lineRule="exact"/>
        <w:jc w:val="center"/>
        <w:outlineLvl w:val="0"/>
        <w:rPr>
          <w:rFonts w:ascii="黑体" w:eastAsia="黑体"/>
          <w:sz w:val="44"/>
          <w:szCs w:val="44"/>
        </w:rPr>
      </w:pPr>
    </w:p>
    <w:p>
      <w:pPr>
        <w:spacing w:line="600" w:lineRule="exact"/>
        <w:jc w:val="center"/>
        <w:outlineLvl w:val="0"/>
        <w:rPr>
          <w:rFonts w:ascii="仿宋" w:eastAsia="仿宋"/>
        </w:rPr>
      </w:pPr>
      <w:r>
        <w:rPr>
          <w:rFonts w:ascii="黑体" w:eastAsia="黑体" w:hint="eastAsia"/>
          <w:sz w:val="44"/>
          <w:szCs w:val="44"/>
        </w:rPr>
        <w:t>第</w:t>
      </w:r>
      <w:r>
        <w:rPr>
          <w:rStyle w:val="1Char"/>
          <w:rFonts w:ascii="黑体" w:eastAsia="黑体" w:hint="eastAsia"/>
          <w:b w:val="0"/>
        </w:rPr>
        <w:t>五部分 附表</w:t>
      </w:r>
      <w:bookmarkStart w:id="63" w:name="_Toc15396619"/>
      <w:bookmarkEnd w:id="54"/>
      <w:bookmarkEnd w:id="56"/>
    </w:p>
    <w:p>
      <w:pPr>
        <w:pStyle w:val="2"/>
        <w:rPr>
          <w:rStyle w:val="2Char"/>
          <w:rFonts w:ascii="仿宋" w:eastAsia="仿宋"/>
          <w:b w:val="0"/>
          <w:bCs w:val="0"/>
        </w:rPr>
      </w:pPr>
      <w:r>
        <w:rPr>
          <w:rStyle w:val="2Char"/>
          <w:rFonts w:ascii="仿宋" w:eastAsia="仿宋" w:hint="eastAsia"/>
          <w:b w:val="0"/>
          <w:bCs w:val="0"/>
        </w:rPr>
        <w:t>一、收入支出决算总表</w:t>
      </w:r>
      <w:bookmarkEnd w:id="63"/>
    </w:p>
    <w:p>
      <w:pPr>
        <w:pStyle w:val="2"/>
        <w:rPr>
          <w:rStyle w:val="2Char"/>
          <w:rFonts w:ascii="仿宋" w:eastAsia="仿宋"/>
          <w:b w:val="0"/>
          <w:bCs w:val="0"/>
        </w:rPr>
      </w:pPr>
      <w:bookmarkStart w:id="64" w:name="_Toc15396620"/>
      <w:r>
        <w:rPr>
          <w:rStyle w:val="2Char"/>
          <w:rFonts w:ascii="仿宋" w:eastAsia="仿宋" w:hint="eastAsia"/>
          <w:b w:val="0"/>
          <w:bCs w:val="0"/>
        </w:rPr>
        <w:t>二、收入决算表</w:t>
      </w:r>
      <w:bookmarkEnd w:id="64"/>
    </w:p>
    <w:p>
      <w:pPr>
        <w:pStyle w:val="2"/>
        <w:rPr>
          <w:rStyle w:val="2Char"/>
          <w:rFonts w:ascii="仿宋" w:eastAsia="仿宋"/>
          <w:b w:val="0"/>
          <w:bCs w:val="0"/>
        </w:rPr>
      </w:pPr>
      <w:bookmarkStart w:id="65" w:name="_Toc15396621"/>
      <w:r>
        <w:rPr>
          <w:rStyle w:val="2Char"/>
          <w:rFonts w:ascii="仿宋" w:eastAsia="仿宋" w:hint="eastAsia"/>
          <w:b w:val="0"/>
          <w:bCs w:val="0"/>
        </w:rPr>
        <w:t>三、支出决算表</w:t>
      </w:r>
      <w:bookmarkEnd w:id="65"/>
    </w:p>
    <w:p>
      <w:pPr>
        <w:pStyle w:val="2"/>
        <w:rPr>
          <w:rStyle w:val="2Char"/>
          <w:rFonts w:ascii="仿宋" w:eastAsia="仿宋"/>
          <w:b w:val="0"/>
          <w:bCs w:val="0"/>
        </w:rPr>
      </w:pPr>
      <w:bookmarkStart w:id="66" w:name="_Toc15396622"/>
      <w:r>
        <w:rPr>
          <w:rStyle w:val="2Char"/>
          <w:rFonts w:ascii="仿宋" w:eastAsia="仿宋" w:hint="eastAsia"/>
          <w:b w:val="0"/>
          <w:bCs w:val="0"/>
        </w:rPr>
        <w:t>四、财政拨款收入支出决算总表</w:t>
      </w:r>
      <w:bookmarkEnd w:id="66"/>
    </w:p>
    <w:p>
      <w:pPr>
        <w:pStyle w:val="2"/>
        <w:rPr>
          <w:rStyle w:val="2Char"/>
          <w:rFonts w:ascii="仿宋" w:eastAsia="仿宋"/>
          <w:b w:val="0"/>
          <w:bCs w:val="0"/>
        </w:rPr>
      </w:pPr>
      <w:bookmarkStart w:id="67" w:name="_Toc15396623"/>
      <w:r>
        <w:rPr>
          <w:rStyle w:val="2Char"/>
          <w:rFonts w:ascii="仿宋" w:eastAsia="仿宋" w:hint="eastAsia"/>
          <w:b w:val="0"/>
          <w:bCs w:val="0"/>
        </w:rPr>
        <w:t>五、财政拨款支出决算明细表</w:t>
      </w:r>
      <w:bookmarkStart w:id="68" w:name="_Toc15396624"/>
      <w:bookmarkEnd w:id="67"/>
    </w:p>
    <w:p>
      <w:pPr>
        <w:pStyle w:val="2"/>
        <w:rPr>
          <w:rStyle w:val="2Char"/>
          <w:rFonts w:ascii="仿宋" w:eastAsia="仿宋"/>
          <w:b w:val="0"/>
          <w:bCs w:val="0"/>
        </w:rPr>
      </w:pPr>
      <w:r>
        <w:rPr>
          <w:rStyle w:val="2Char"/>
          <w:rFonts w:ascii="仿宋" w:eastAsia="仿宋" w:hint="eastAsia"/>
          <w:b w:val="0"/>
          <w:bCs w:val="0"/>
        </w:rPr>
        <w:t>六、一般公共预算财政拨款支出决算表</w:t>
      </w:r>
      <w:bookmarkEnd w:id="68"/>
    </w:p>
    <w:p>
      <w:pPr>
        <w:pStyle w:val="2"/>
        <w:rPr>
          <w:rStyle w:val="2Char"/>
          <w:rFonts w:ascii="仿宋" w:eastAsia="仿宋"/>
          <w:b w:val="0"/>
          <w:bCs w:val="0"/>
        </w:rPr>
      </w:pPr>
      <w:bookmarkStart w:id="69" w:name="_Toc15396625"/>
      <w:r>
        <w:rPr>
          <w:rStyle w:val="2Char"/>
          <w:rFonts w:ascii="仿宋" w:eastAsia="仿宋" w:hint="eastAsia"/>
          <w:b w:val="0"/>
          <w:bCs w:val="0"/>
        </w:rPr>
        <w:t>七、一般公共预算财政拨款支出决算明细表</w:t>
      </w:r>
      <w:bookmarkEnd w:id="69"/>
    </w:p>
    <w:p>
      <w:pPr>
        <w:pStyle w:val="2"/>
        <w:rPr>
          <w:rStyle w:val="2Char"/>
          <w:rFonts w:ascii="仿宋" w:eastAsia="仿宋"/>
          <w:b w:val="0"/>
          <w:bCs w:val="0"/>
        </w:rPr>
      </w:pPr>
      <w:bookmarkStart w:id="70" w:name="_Toc15396626"/>
      <w:r>
        <w:rPr>
          <w:rStyle w:val="2Char"/>
          <w:rFonts w:ascii="仿宋" w:eastAsia="仿宋" w:hint="eastAsia"/>
          <w:b w:val="0"/>
          <w:bCs w:val="0"/>
        </w:rPr>
        <w:t>八、一般公共预算财政拨款基本支出决算表</w:t>
      </w:r>
      <w:bookmarkEnd w:id="70"/>
    </w:p>
    <w:p>
      <w:pPr>
        <w:pStyle w:val="2"/>
        <w:rPr>
          <w:rStyle w:val="2Char"/>
          <w:rFonts w:ascii="仿宋" w:eastAsia="仿宋"/>
          <w:b w:val="0"/>
          <w:bCs w:val="0"/>
        </w:rPr>
      </w:pPr>
      <w:bookmarkStart w:id="71" w:name="_Toc15396627"/>
      <w:r>
        <w:rPr>
          <w:rStyle w:val="2Char"/>
          <w:rFonts w:ascii="仿宋" w:eastAsia="仿宋" w:hint="eastAsia"/>
          <w:b w:val="0"/>
          <w:bCs w:val="0"/>
        </w:rPr>
        <w:t>九、一般公共预算财政拨款项目支出决算表</w:t>
      </w:r>
      <w:bookmarkEnd w:id="71"/>
    </w:p>
    <w:p>
      <w:pPr>
        <w:pStyle w:val="2"/>
        <w:rPr>
          <w:rStyle w:val="2Char"/>
          <w:rFonts w:ascii="仿宋" w:eastAsia="仿宋"/>
          <w:b w:val="0"/>
          <w:bCs w:val="0"/>
        </w:rPr>
      </w:pPr>
      <w:bookmarkStart w:id="72" w:name="_Toc15396628"/>
      <w:r>
        <w:rPr>
          <w:rStyle w:val="2Char"/>
          <w:rFonts w:ascii="仿宋" w:eastAsia="仿宋" w:hint="eastAsia"/>
          <w:b w:val="0"/>
          <w:bCs w:val="0"/>
        </w:rPr>
        <w:t>十、</w:t>
      </w:r>
      <w:bookmarkEnd w:id="72"/>
      <w:r>
        <w:rPr>
          <w:rStyle w:val="2Char"/>
          <w:rFonts w:ascii="仿宋" w:eastAsia="仿宋" w:hint="eastAsia"/>
          <w:b w:val="0"/>
          <w:bCs w:val="0"/>
        </w:rPr>
        <w:t>政府性基金预算财政拨款收入支出决算表</w:t>
      </w:r>
    </w:p>
    <w:p>
      <w:pPr>
        <w:pStyle w:val="2"/>
        <w:rPr>
          <w:rStyle w:val="2Char"/>
          <w:rFonts w:ascii="仿宋" w:eastAsia="仿宋"/>
          <w:b w:val="0"/>
          <w:bCs w:val="0"/>
        </w:rPr>
      </w:pPr>
      <w:bookmarkStart w:id="73" w:name="_Toc15396629"/>
      <w:r>
        <w:rPr>
          <w:rStyle w:val="2Char"/>
          <w:rFonts w:ascii="仿宋" w:eastAsia="仿宋" w:hint="eastAsia"/>
          <w:b w:val="0"/>
          <w:bCs w:val="0"/>
        </w:rPr>
        <w:t>十一、</w:t>
      </w:r>
      <w:bookmarkEnd w:id="73"/>
      <w:r>
        <w:rPr>
          <w:rStyle w:val="2Char"/>
          <w:rFonts w:ascii="仿宋" w:eastAsia="仿宋" w:hint="eastAsia"/>
          <w:b w:val="0"/>
          <w:bCs w:val="0"/>
        </w:rPr>
        <w:t>国有资本经营预算财政拨款收入支出决算表</w:t>
      </w:r>
    </w:p>
    <w:p>
      <w:pPr>
        <w:pStyle w:val="2"/>
        <w:rPr>
          <w:rFonts w:ascii="仿宋" w:eastAsia="仿宋"/>
        </w:rPr>
      </w:pPr>
      <w:bookmarkStart w:id="74" w:name="_Toc15396630"/>
      <w:r>
        <w:rPr>
          <w:rStyle w:val="2Char"/>
          <w:rFonts w:ascii="仿宋" w:eastAsia="仿宋" w:hint="eastAsia"/>
          <w:b w:val="0"/>
          <w:bCs w:val="0"/>
        </w:rPr>
        <w:t>十二、</w:t>
      </w:r>
      <w:bookmarkEnd w:id="74"/>
      <w:r>
        <w:rPr>
          <w:rStyle w:val="2Char"/>
          <w:rFonts w:ascii="仿宋" w:eastAsia="仿宋" w:hint="eastAsia"/>
          <w:b w:val="0"/>
          <w:bCs w:val="0"/>
        </w:rPr>
        <w:t>国有资本经营预算财政拨款支出决算表</w:t>
      </w:r>
    </w:p>
    <w:p>
      <w:pPr>
        <w:pStyle w:val="2"/>
        <w:rPr>
          <w:rFonts w:eastAsia="仿宋"/>
        </w:rPr>
      </w:pPr>
      <w:bookmarkStart w:id="75" w:name="_Toc15396631"/>
      <w:r>
        <w:rPr>
          <w:rStyle w:val="2Char"/>
          <w:rFonts w:ascii="仿宋" w:eastAsia="仿宋" w:hint="eastAsia"/>
          <w:b w:val="0"/>
          <w:bCs w:val="0"/>
        </w:rPr>
        <w:t>十三、</w:t>
      </w:r>
      <w:bookmarkEnd w:id="75"/>
      <w:r>
        <w:rPr>
          <w:rStyle w:val="2Char"/>
          <w:rFonts w:ascii="仿宋" w:eastAsia="仿宋" w:hint="eastAsia"/>
          <w:b w:val="0"/>
          <w:bCs w:val="0"/>
        </w:rPr>
        <w:t>财政拨款“三公”经费支出决算表</w:t>
      </w:r>
    </w:p>
    <w:sectPr>
      <w:headerReference w:type="default" r:id="rId2"/>
      <w:footerReference w:type="default" r:id="rId3"/>
      <w:pgSz w:w="11906" w:h="16838"/>
      <w:pgMar w:top="1440" w:right="1800" w:bottom="1440" w:left="1800" w:header="851" w:footer="992" w:gutter="0"/>
      <w:pgNumType w:start="1"/>
      <w:titlePg/>
      <w:docGrid w:type="lines" w:linePitch="312" w:charSpace="0"/>
    </w:sectPr>
  </w:body>
</w:document>
</file>

<file path=word/fontTable.xml><?xml version="1.0" encoding="utf-8"?>
<w:fonts xmlns:w="http://schemas.openxmlformats.org/wordprocessingml/2006/main" xmlns:r="http://schemas.openxmlformats.org/officeDocument/2006/relationships">
  <w:font w:name="方正小标宋简体">
    <w:altName w:val="微软雅黑"/>
    <w:panose1 w:val="00000000000000000000"/>
    <w:charset w:val="86"/>
    <w:family w:val="script"/>
    <w:pitch w:val="variable"/>
    <w:sig w:usb0="00000000" w:usb1="00000000" w:usb2="00000000" w:usb3="00000000" w:csb0="00040000" w:csb1="00000000"/>
  </w:font>
  <w:font w:name="黑体">
    <w:panose1 w:val="02010609060101010101"/>
    <w:charset w:val="86"/>
    <w:family w:val="auto"/>
    <w:pitch w:val="variable"/>
    <w:sig w:usb0="800002BF" w:usb1="38CF7CFA" w:usb2="00000016" w:usb3="00000000" w:csb0="00040001" w:csb1="00000000"/>
  </w:font>
  <w:font w:name="宋体">
    <w:panose1 w:val="02010600030101010101"/>
    <w:charset w:val="86"/>
    <w:family w:val="auto"/>
    <w:pitch w:val="variable"/>
    <w:sig w:usb0="00000003" w:usb1="288F0000" w:usb2="00000006" w:usb3="00000000" w:csb0="00040001" w:csb1="00000000"/>
  </w:font>
  <w:font w:name="仿宋_GB2312">
    <w:altName w:val="仿宋"/>
    <w:panose1 w:val="00000000000000000000"/>
    <w:charset w:val="86"/>
    <w:family w:val="modern"/>
    <w:pitch w:val="variable"/>
    <w:sig w:usb0="00000000" w:usb1="00000000" w:usb2="00000000" w:usb3="00000000" w:csb0="00040000" w:csb1="00000000"/>
  </w:font>
  <w:font w:name="Arial">
    <w:panose1 w:val="020B0604020202020204"/>
    <w:charset w:val="01"/>
    <w:family w:val="swiss"/>
    <w:pitch w:val="variable"/>
    <w:sig w:usb0="E0002AFF" w:usb1="C0007843" w:usb2="00000009" w:usb3="00000000" w:csb0="400001FF" w:csb1="FFFF0000"/>
  </w:font>
  <w:font w:name="仿宋">
    <w:panose1 w:val="02010609060101010101"/>
    <w:charset w:val="86"/>
    <w:family w:val="modern"/>
    <w:pitch w:val="variable"/>
    <w:sig w:usb0="800002BF" w:usb1="38CF7CFA" w:usb2="00000016" w:usb3="00000000" w:csb0="00040001" w:csb1="00000000"/>
  </w:font>
  <w:font w:name="Times New Roman">
    <w:panose1 w:val="02020603050405020304"/>
    <w:charset w:val="00"/>
    <w:family w:val="roman"/>
    <w:pitch w:val="variable"/>
    <w:sig w:usb0="20007A87" w:usb1="80000000" w:usb2="00000008" w:usb3="00000000" w:csb0="000001FF" w:csb1="00000000"/>
  </w:font>
  <w:font w:name="楷体_GB2312">
    <w:altName w:val="楷体"/>
    <w:panose1 w:val="00000000000000000000"/>
    <w:charset w:val="86"/>
    <w:family w:val="modern"/>
    <w:pitch w:val="variable"/>
    <w:sig w:usb0="00000000" w:usb1="00000000" w:usb2="00000000" w:usb3="00000000" w:csb0="00040000" w:csb1="00000000"/>
  </w:font>
  <w:font w:name="楷体">
    <w:panose1 w:val="02010609060101010101"/>
    <w:charset w:val="86"/>
    <w:family w:val="modern"/>
    <w:pitch w:val="variable"/>
    <w:sig w:usb0="800002BF" w:usb1="38CF7CFA" w:usb2="00000016" w:usb3="00000000" w:csb0="00040001" w:csb1="00000000"/>
  </w:font>
  <w:font w:name="Wingdings 2">
    <w:altName w:val="Wingdings"/>
    <w:panose1 w:val="00000000000000000000"/>
    <w:charset w:val="02"/>
    <w:family w:val="auto"/>
    <w:pitch w:val="variable"/>
    <w:sig w:usb0="00000000" w:usb1="00000000" w:usb2="00000000" w:usb3="00000000" w:csb0="80000000" w:csb1="00000000"/>
  </w:font>
  <w:font w:name="T">
    <w:altName w:val="Times New Roman"/>
    <w:panose1 w:val="00000000000000000000"/>
    <w:charset w:val="00"/>
    <w:family w:val="roman"/>
    <w:pitch w:val="variable"/>
    <w:sig w:usb0="00000000" w:usb1="00000000" w:usb2="00000000" w:usb3="00000000" w:csb0="00040001" w:csb1="00000000"/>
  </w:font>
  <w:font w:name="Wingdings">
    <w:panose1 w:val="05000000000000000000"/>
    <w:charset w:val="02"/>
    <w:family w:val="auto"/>
    <w:pitch w:val="variable"/>
    <w:sig w:usb0="00000000" w:usb1="00000000" w:usb2="00000000" w:usb3="00000000" w:csb0="80000000" w:csb1="00000000"/>
  </w:font>
  <w:font w:name="Cambria">
    <w:panose1 w:val="02040503050406030204"/>
    <w:charset w:val="00"/>
    <w:family w:val="roman"/>
    <w:pitch w:val="variable"/>
    <w:sig w:usb0="E00002FF" w:usb1="400004FF" w:usb2="00000000" w:usb3="00000000" w:csb0="2000019F" w:csb1="00000000"/>
  </w:font>
  <w:font w:name="Calibri">
    <w:panose1 w:val="020F0502020204030204"/>
    <w:charset w:val="00"/>
    <w:family w:val="swiss"/>
    <w:pitch w:val="variable"/>
    <w:sig w:usb0="E00002FF" w:usb1="4000ACFF" w:usb2="00000001" w:usb3="00000000" w:csb0="2000019F" w:csb1="00000000"/>
  </w:font>
</w:fonts>
</file>

<file path=word/footer1.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sdt>
    <w:sdtPr>
      <w:id w:val="596947373"/>
    </w:sdtPr>
    <w:sdtContent>
      <w:p>
        <w:pPr>
          <w:pStyle w:val="20"/>
          <w:tabs>
            <w:tab w:val="center" w:pos="4153"/>
            <w:tab w:val="right" w:pos="8306"/>
          </w:tabs>
          <w:jc w:val="center"/>
        </w:pPr>
        <w:r>
          <w:fldChar w:fldCharType="begin"/>
        </w:r>
        <w:r>
          <w:instrText>PAGE   \* MERGEFORMAT</w:instrText>
        </w:r>
        <w:r>
          <w:fldChar w:fldCharType="separate"/>
        </w:r>
        <w:r>
          <w:rPr>
            <w:lang w:val="zh-CN"/>
          </w:rPr>
          <w:t>16</w:t>
        </w:r>
        <w:r>
          <w:fldChar w:fldCharType="end"/>
        </w:r>
      </w:p>
    </w:sdtContent>
  </w:sdt>
  <w:p>
    <w:pPr>
      <w:pStyle w:val="20"/>
      <w:tabs>
        <w:tab w:val="center" w:pos="4153"/>
        <w:tab w:val="right" w:pos="8306"/>
      </w:tabs>
    </w:pPr>
  </w:p>
</w:ftr>
</file>

<file path=word/header1.xml><?xml version="1.0" encoding="utf-8"?>
<w:hd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21"/>
      <w:pBdr>
        <w:bottom w:val="none" w:sz="0" w:space="0" w:color="auto"/>
      </w:pBdr>
      <w:tabs>
        <w:tab w:val="center" w:pos="4153"/>
        <w:tab w:val="right" w:pos="8306"/>
      </w:tabs>
    </w:pPr>
  </w:p>
</w:hdr>
</file>

<file path=word/numbering.xml><?xml version="1.0" encoding="utf-8"?>
<w:numbering xmlns:w="http://schemas.openxmlformats.org/wordprocessingml/2006/main" xmlns:o="urn:schemas-microsoft-com:office:office" xmlns:r="http://schemas.openxmlformats.org/officeDocument/2006/relationships" xmlns:m="http://schemas.openxmlformats.org/officeDocument/2006/math" xmlns:v="urn:schemas-microsoft-com:vml" xmlns:mc="http://schemas.openxmlformats.org/markup-compatibility/2006" xmlns:w14="http://schemas.microsoft.com/office/word/2010/wordml">
  <w:abstractNum w:abstractNumId="0">
    <w:nsid w:val="1272550B"/>
    <w:multiLevelType w:val="multilevel"/>
    <w:tmpl w:val="1272550B"/>
    <w:lvl w:ilvl="0">
      <w:start w:val="1"/>
      <w:numFmt w:val="japaneseCounting"/>
      <w:lvlRestart w:val="0"/>
      <w:lvlText w:val="%1、"/>
      <w:lvlJc w:val="left"/>
      <w:pPr>
        <w:ind w:left="1360" w:hanging="720"/>
      </w:pPr>
      <w:rPr>
        <w:rFonts w:hint="default"/>
        <w:b w:val="0"/>
      </w:rPr>
    </w:lvl>
    <w:lvl w:ilvl="1">
      <w:start w:val="1"/>
      <w:numFmt w:val="lowerLetter"/>
      <w:lvlText w:val="%2)"/>
      <w:lvlJc w:val="left"/>
      <w:pPr>
        <w:ind w:left="1480" w:hanging="420"/>
      </w:pPr>
    </w:lvl>
    <w:lvl w:ilvl="2">
      <w:start w:val="1"/>
      <w:numFmt w:val="lowerRoman"/>
      <w:lvlText w:val="%3."/>
      <w:lvlJc w:val="right"/>
      <w:pPr>
        <w:ind w:left="1900" w:hanging="420"/>
      </w:pPr>
    </w:lvl>
    <w:lvl w:ilvl="3">
      <w:start w:val="1"/>
      <w:numFmt w:val="decimal"/>
      <w:lvlText w:val="%4."/>
      <w:lvlJc w:val="left"/>
      <w:pPr>
        <w:ind w:left="2320" w:hanging="420"/>
      </w:pPr>
    </w:lvl>
    <w:lvl w:ilvl="4">
      <w:start w:val="1"/>
      <w:numFmt w:val="lowerLetter"/>
      <w:lvlText w:val="%5)"/>
      <w:lvlJc w:val="left"/>
      <w:pPr>
        <w:ind w:left="2740" w:hanging="420"/>
      </w:pPr>
    </w:lvl>
    <w:lvl w:ilvl="5">
      <w:start w:val="1"/>
      <w:numFmt w:val="lowerRoman"/>
      <w:lvlText w:val="%6."/>
      <w:lvlJc w:val="right"/>
      <w:pPr>
        <w:ind w:left="3160" w:hanging="420"/>
      </w:pPr>
    </w:lvl>
    <w:lvl w:ilvl="6">
      <w:start w:val="1"/>
      <w:numFmt w:val="decimal"/>
      <w:lvlText w:val="%7."/>
      <w:lvlJc w:val="left"/>
      <w:pPr>
        <w:ind w:left="3580" w:hanging="420"/>
      </w:pPr>
    </w:lvl>
    <w:lvl w:ilvl="7">
      <w:start w:val="1"/>
      <w:numFmt w:val="lowerLetter"/>
      <w:lvlText w:val="%8)"/>
      <w:lvlJc w:val="left"/>
      <w:pPr>
        <w:ind w:left="4000" w:hanging="420"/>
      </w:pPr>
    </w:lvl>
    <w:lvl w:ilvl="8">
      <w:start w:val="1"/>
      <w:numFmt w:val="lowerRoman"/>
      <w:lvlText w:val="%9."/>
      <w:lvlJc w:val="right"/>
      <w:pPr>
        <w:ind w:left="4420" w:hanging="420"/>
      </w:pPr>
    </w:lvl>
  </w:abstractNum>
  <w:abstractNum w:abstractNumId="1">
    <w:nsid w:val="CF652CEC"/>
    <w:multiLevelType w:val="singleLevel"/>
    <w:tmpl w:val="CF652CEC"/>
    <w:lvl w:ilvl="0">
      <w:start w:val="9"/>
      <w:numFmt w:val="chineseCounting"/>
      <w:lvlRestart w:val="0"/>
      <w:suff w:val="nothing"/>
      <w:lvlText w:val="%1、"/>
      <w:lvlJc w:val="left"/>
      <w:pPr>
        <w:ind w:left="0" w:hanging="0"/>
      </w:pPr>
      <w:rPr>
        <w:rFonts w:hint="eastAsia"/>
      </w:rPr>
    </w:lvl>
  </w:abstractNum>
  <w:abstractNum w:abstractNumId="2">
    <w:nsid w:val="E2FA047D"/>
    <w:multiLevelType w:val="singleLevel"/>
    <w:tmpl w:val="E2FA047D"/>
    <w:lvl w:ilvl="0">
      <w:start w:val="3"/>
      <w:numFmt w:val="chineseCounting"/>
      <w:lvlRestart w:val="0"/>
      <w:suff w:val="space"/>
      <w:lvlText w:val="第%1部分"/>
      <w:lvlJc w:val="left"/>
      <w:pPr>
        <w:ind w:left="0" w:hanging="0"/>
      </w:pPr>
      <w:rPr>
        <w:rFonts w:ascii="黑体" w:hAnsi="黑体" w:eastAsia="黑体" w:cs="黑体" w:hint="eastAsia"/>
        <w:sz w:val="44"/>
        <w:szCs w:val="44"/>
      </w:rPr>
    </w:lvl>
  </w:abstractNum>
  <w:num w:numId="1">
    <w:abstractNumId w:val="0"/>
  </w:num>
  <w:num w:numId="2">
    <w:abstractNumId w:val="1"/>
  </w:num>
  <w:num w:numId="3">
    <w:abstractNumId w:val="2"/>
  </w:num>
</w:numbering>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percent="110"/>
  <w:bordersDoNotSurroundHeader/>
  <w:bordersDoNotSurroundFooter/>
  <w:documentProtection w:edit="readOnly"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ulTrailSpace/>
    <w:doNotExpandShiftReturn/>
    <w:adjustLineHeightInTable/>
    <w:compatSetting w:name="compatibilityMode" w:uri="http://schemas.microsoft.com/office/word" w:val="12"/>
  </w:compat>
  <w:docVars>
    <w:docVar w:name="commondata" w:val="eyJoZGlkIjoiNzFjN2Q1MWU0NjRiYWRlZWQwNjVlMjhkNTg2MmUxZTgifQ=="/>
  </w:docVars>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Times New Roman"/>
        <w:lang w:val="en-US" w:eastAsia="zh-CN" w:bidi="ar-SA"/>
      </w:rPr>
    </w:rPrDefault>
    <w:pPrDefault/>
  </w:docDefaults>
  <w:style w:type="paragraph" w:default="1" w:styleId="0">
    <w:name w:val="Normal"/>
    <w:autoRedefine/>
    <w:pPr>
      <w:widowControl w:val="0"/>
      <w:jc w:val="both"/>
    </w:pPr>
    <w:rPr>
      <w:rFonts w:ascii="Times New Roman" w:eastAsia="宋体" w:cs="Times New Roman" w:hAnsi="Times New Roman"/>
      <w:kern w:val="2"/>
      <w:sz w:val="21"/>
      <w:szCs w:val="24"/>
      <w:lang w:val="en-US" w:eastAsia="zh-CN" w:bidi="ar-SA"/>
    </w:rPr>
  </w:style>
  <w:style w:type="paragraph" w:styleId="1">
    <w:name w:val="heading 1"/>
    <w:basedOn w:val="0"/>
    <w:autoRedefine/>
    <w:next w:val="0"/>
    <w:link w:val="1Char"/>
    <w:pPr>
      <w:keepNext/>
      <w:keepLines/>
      <w:widowControl w:val="0"/>
      <w:spacing w:before="340" w:after="330" w:line="578" w:lineRule="auto"/>
      <w:outlineLvl w:val="0"/>
    </w:pPr>
    <w:rPr>
      <w:b/>
      <w:bCs/>
      <w:kern w:val="44"/>
      <w:sz w:val="44"/>
      <w:szCs w:val="44"/>
    </w:rPr>
  </w:style>
  <w:style w:type="character" w:customStyle="1" w:styleId="1Char">
    <w:name w:val="heading 1 Char"/>
    <w:basedOn w:val="10"/>
    <w:link w:val="1"/>
    <w:autoRedefine/>
    <w:rPr>
      <w:rFonts w:ascii="Times New Roman" w:eastAsia="宋体" w:cs="Times New Roman" w:hAnsi="Times New Roman"/>
      <w:b/>
      <w:bCs/>
      <w:kern w:val="44"/>
      <w:sz w:val="44"/>
      <w:szCs w:val="44"/>
      <w:lang w:val="en-US" w:eastAsia="zh-CN" w:bidi="ar-SA"/>
    </w:rPr>
  </w:style>
  <w:style w:type="paragraph" w:styleId="2">
    <w:name w:val="heading 2"/>
    <w:basedOn w:val="0"/>
    <w:autoRedefine/>
    <w:next w:val="0"/>
    <w:link w:val="2Char"/>
    <w:pPr>
      <w:keepNext/>
      <w:keepLines/>
      <w:widowControl w:val="0"/>
      <w:spacing w:before="260" w:after="260" w:line="415" w:lineRule="auto"/>
      <w:outlineLvl w:val="1"/>
    </w:pPr>
    <w:rPr>
      <w:rFonts w:ascii="Cambria" w:hAnsi="Cambria"/>
      <w:b/>
      <w:bCs/>
      <w:sz w:val="32"/>
      <w:szCs w:val="32"/>
    </w:rPr>
  </w:style>
  <w:style w:type="character" w:customStyle="1" w:styleId="2Char">
    <w:name w:val="heading 2 Char"/>
    <w:basedOn w:val="10"/>
    <w:link w:val="2"/>
    <w:autoRedefine/>
    <w:rPr>
      <w:rFonts w:ascii="Cambria" w:eastAsia="宋体" w:cs="Times New Roman" w:hAnsi="Cambria"/>
      <w:b/>
      <w:bCs/>
      <w:kern w:val="2"/>
      <w:sz w:val="32"/>
      <w:szCs w:val="32"/>
      <w:lang w:val="en-US" w:eastAsia="zh-CN" w:bidi="ar-SA"/>
    </w:rPr>
  </w:style>
  <w:style w:type="paragraph" w:styleId="3">
    <w:name w:val="heading 3"/>
    <w:basedOn w:val="0"/>
    <w:autoRedefine/>
    <w:next w:val="0"/>
    <w:pPr>
      <w:keepNext/>
      <w:keepLines/>
      <w:widowControl w:val="0"/>
      <w:spacing w:before="260" w:after="260" w:line="415" w:lineRule="auto"/>
      <w:outlineLvl w:val="2"/>
    </w:pPr>
    <w:rPr>
      <w:b/>
      <w:bCs/>
      <w:sz w:val="32"/>
      <w:szCs w:val="32"/>
    </w:rPr>
  </w:style>
  <w:style w:type="character" w:default="1" w:styleId="10">
    <w:name w:val="Default Paragraph Font"/>
    <w:autoRedefine/>
  </w:style>
  <w:style w:type="paragraph" w:styleId="15">
    <w:name w:val="toa heading"/>
    <w:basedOn w:val="0"/>
    <w:autoRedefine/>
    <w:next w:val="0"/>
    <w:pPr>
      <w:spacing w:before="120"/>
    </w:pPr>
    <w:rPr>
      <w:rFonts w:ascii="Cambria" w:hAnsi="Cambria"/>
      <w:sz w:val="24"/>
    </w:rPr>
  </w:style>
  <w:style w:type="paragraph" w:styleId="16">
    <w:name w:val="Body Text"/>
    <w:basedOn w:val="0"/>
    <w:autoRedefine/>
    <w:pPr>
      <w:spacing w:beforeLines="30" w:before="30"/>
    </w:pPr>
    <w:rPr>
      <w:rFonts w:ascii="仿宋_GB2312" w:eastAsia="仿宋_GB2312"/>
      <w:kern w:val="0"/>
      <w:sz w:val="30"/>
    </w:rPr>
  </w:style>
  <w:style w:type="paragraph" w:styleId="17">
    <w:name w:val="Body Text Indent"/>
    <w:basedOn w:val="0"/>
    <w:autoRedefine/>
    <w:pPr>
      <w:spacing w:after="120"/>
      <w:ind w:leftChars="200" w:left="200"/>
    </w:pPr>
  </w:style>
  <w:style w:type="paragraph" w:styleId="18">
    <w:name w:val="toc 3"/>
    <w:basedOn w:val="0"/>
    <w:autoRedefine/>
    <w:next w:val="0"/>
    <w:pPr>
      <w:tabs>
        <w:tab w:val="right" w:leader="dot" w:pos="8296"/>
      </w:tabs>
      <w:ind w:leftChars="400" w:left="400"/>
    </w:pPr>
  </w:style>
  <w:style w:type="paragraph" w:styleId="19">
    <w:name w:val="Balloon Text"/>
    <w:basedOn w:val="0"/>
    <w:autoRedefine/>
    <w:rPr>
      <w:sz w:val="18"/>
      <w:szCs w:val="18"/>
    </w:rPr>
  </w:style>
  <w:style w:type="paragraph" w:styleId="20">
    <w:name w:val="footer"/>
    <w:basedOn w:val="0"/>
    <w:autoRedefine/>
    <w:pPr>
      <w:tabs>
        <w:tab w:val="center" w:pos="4153"/>
        <w:tab w:val="right" w:pos="8306"/>
      </w:tabs>
      <w:snapToGrid w:val="0"/>
      <w:jc w:val="left"/>
    </w:pPr>
    <w:rPr>
      <w:rFonts w:ascii="Calibri" w:hAnsi="Calibri"/>
      <w:kern w:val="0"/>
      <w:sz w:val="18"/>
      <w:szCs w:val="18"/>
    </w:rPr>
  </w:style>
  <w:style w:type="paragraph" w:styleId="21">
    <w:name w:val="header"/>
    <w:basedOn w:val="0"/>
    <w:autoRedefine/>
    <w:pPr>
      <w:pBdr>
        <w:bottom w:val="single" w:sz="6" w:space="1" w:color="auto"/>
      </w:pBdr>
      <w:tabs>
        <w:tab w:val="center" w:pos="4153"/>
        <w:tab w:val="right" w:pos="8306"/>
      </w:tabs>
      <w:snapToGrid w:val="0"/>
      <w:jc w:val="center"/>
    </w:pPr>
    <w:rPr>
      <w:rFonts w:ascii="Calibri" w:hAnsi="Calibri"/>
      <w:kern w:val="0"/>
      <w:sz w:val="18"/>
      <w:szCs w:val="18"/>
    </w:rPr>
  </w:style>
  <w:style w:type="paragraph" w:styleId="22">
    <w:name w:val="toc 1"/>
    <w:basedOn w:val="0"/>
    <w:autoRedefine/>
    <w:next w:val="0"/>
    <w:pPr>
      <w:tabs>
        <w:tab w:val="right" w:leader="dot" w:pos="8296"/>
      </w:tabs>
      <w:spacing w:before="93"/>
      <w:jc w:val="center"/>
    </w:pPr>
    <w:rPr>
      <w:rFonts w:ascii="仿宋" w:eastAsia="仿宋"/>
      <w:sz w:val="28"/>
      <w:szCs w:val="28"/>
    </w:rPr>
  </w:style>
  <w:style w:type="paragraph" w:styleId="23">
    <w:name w:val="toc 2"/>
    <w:basedOn w:val="0"/>
    <w:autoRedefine/>
    <w:next w:val="0"/>
    <w:pPr>
      <w:tabs>
        <w:tab w:val="right" w:leader="dot" w:pos="8296"/>
      </w:tabs>
      <w:ind w:leftChars="200" w:left="200"/>
    </w:pPr>
  </w:style>
  <w:style w:type="paragraph" w:styleId="24">
    <w:name w:val="Normal (Web)"/>
    <w:basedOn w:val="0"/>
    <w:autoRedefine/>
    <w:pPr>
      <w:widowControl/>
      <w:spacing w:before="100" w:beforeAutospacing="1" w:after="100" w:afterAutospacing="1"/>
      <w:jc w:val="left"/>
    </w:pPr>
    <w:rPr>
      <w:rFonts w:ascii="宋体" w:cs="宋体"/>
      <w:kern w:val="0"/>
      <w:sz w:val="24"/>
    </w:rPr>
  </w:style>
  <w:style w:type="paragraph" w:styleId="25">
    <w:name w:val="Body Text First Indent 2"/>
    <w:basedOn w:val="17"/>
    <w:autoRedefine/>
    <w:pPr>
      <w:ind w:firstLineChars="200" w:firstLine="200"/>
    </w:pPr>
  </w:style>
  <w:style w:type="character" w:styleId="26">
    <w:name w:val="Strong"/>
    <w:basedOn w:val="10"/>
    <w:autoRedefine/>
    <w:rPr>
      <w:b/>
    </w:rPr>
  </w:style>
  <w:style w:type="character" w:styleId="27">
    <w:name w:val="Hyperlink"/>
    <w:basedOn w:val="10"/>
    <w:autoRedefine/>
    <w:rPr>
      <w:color w:val="0000FF"/>
      <w:u w:val="single"/>
    </w:rPr>
  </w:style>
  <w:style w:type="character" w:customStyle="1" w:styleId="28">
    <w:name w:val="Header Char"/>
    <w:basedOn w:val="10"/>
    <w:autoRedefine/>
    <w:rPr>
      <w:rFonts w:ascii="Times New Roman" w:hAnsi="Times New Roman"/>
      <w:sz w:val="18"/>
      <w:szCs w:val="18"/>
    </w:rPr>
  </w:style>
  <w:style w:type="character" w:customStyle="1" w:styleId="29">
    <w:name w:val="Footer Char"/>
    <w:basedOn w:val="10"/>
    <w:autoRedefine/>
    <w:rPr>
      <w:rFonts w:ascii="Times New Roman" w:hAnsi="Times New Roman"/>
      <w:sz w:val="18"/>
      <w:szCs w:val="18"/>
    </w:rPr>
  </w:style>
  <w:style w:type="character" w:customStyle="1" w:styleId="30">
    <w:name w:val="Body Text Char"/>
    <w:basedOn w:val="10"/>
    <w:autoRedefine/>
    <w:rPr>
      <w:rFonts w:ascii="Times New Roman" w:hAnsi="Times New Roman"/>
      <w:szCs w:val="24"/>
    </w:rPr>
  </w:style>
  <w:style w:type="paragraph" w:customStyle="1" w:styleId="31">
    <w:name w:val="Default"/>
    <w:autoRedefine/>
    <w:pPr>
      <w:widowControl w:val="0"/>
      <w:autoSpaceDE w:val="0"/>
      <w:autoSpaceDN w:val="0"/>
      <w:adjustRightInd w:val="0"/>
    </w:pPr>
    <w:rPr>
      <w:rFonts w:ascii="仿宋" w:eastAsia="仿宋" w:cs="仿宋"/>
      <w:color w:val="000000"/>
      <w:sz w:val="24"/>
      <w:szCs w:val="24"/>
      <w:lang w:val="en-US" w:eastAsia="zh-CN" w:bidi="ar-SA"/>
    </w:rPr>
  </w:style>
  <w:style w:type="paragraph" w:styleId="32">
    <w:name w:val="List Paragraph"/>
    <w:basedOn w:val="0"/>
    <w:autoRedefine/>
    <w:pPr>
      <w:ind w:firstLineChars="200" w:firstLine="200"/>
    </w:pPr>
  </w:style>
  <w:style w:type="paragraph" w:customStyle="1" w:styleId="33">
    <w:name w:val="TOC 标题1"/>
    <w:basedOn w:val="1"/>
    <w:autoRedefine/>
    <w:next w:val="0"/>
    <w:pPr>
      <w:keepNext/>
      <w:keepLines/>
      <w:widowControl/>
      <w:spacing w:before="480" w:after="0" w:line="276" w:lineRule="auto"/>
      <w:jc w:val="left"/>
      <w:outlineLvl w:val="9"/>
    </w:pPr>
    <w:rPr>
      <w:rFonts w:ascii="Cambria" w:hAnsi="Cambria"/>
      <w:color w:val="365F91"/>
      <w:kern w:val="0"/>
      <w:sz w:val="28"/>
      <w:szCs w:val="28"/>
    </w:rPr>
  </w:style>
  <w:style w:type="paragraph" w:customStyle="1" w:styleId="34">
    <w:name w:val="TOC 标题2"/>
    <w:basedOn w:val="1"/>
    <w:autoRedefine/>
    <w:next w:val="0"/>
    <w:pPr>
      <w:keepNext/>
      <w:keepLines/>
      <w:widowControl/>
      <w:spacing w:before="480" w:after="0" w:line="276" w:lineRule="auto"/>
      <w:jc w:val="left"/>
      <w:outlineLvl w:val="9"/>
    </w:pPr>
    <w:rPr>
      <w:rFonts w:ascii="Cambria" w:hAnsi="Cambria"/>
      <w:color w:val="365F91"/>
      <w:kern w:val="0"/>
      <w:sz w:val="28"/>
      <w:szCs w:val="28"/>
    </w:rPr>
  </w:style>
  <w:style w:type="character" w:customStyle="1" w:styleId="35">
    <w:name w:val="17"/>
    <w:basedOn w:val="10"/>
    <w:autoRedefine/>
    <w:rPr>
      <w:rFonts w:ascii="Times New Roman" w:cs="Times New Roman" w:hAnsi="Times New Roman"/>
      <w:b/>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chart" Target="charts/chart1.xml"/><Relationship Id="rId5" Type="http://schemas.openxmlformats.org/officeDocument/2006/relationships/chart" Target="charts/chart2.xml"/><Relationship Id="rId6" Type="http://schemas.openxmlformats.org/officeDocument/2006/relationships/chart" Target="charts/chart3.xml"/><Relationship Id="rId7" Type="http://schemas.openxmlformats.org/officeDocument/2006/relationships/chart" Target="charts/chart4.xml"/><Relationship Id="rId8" Type="http://schemas.openxmlformats.org/officeDocument/2006/relationships/chart" Target="charts/chart5.xml"/><Relationship Id="rId9" Type="http://schemas.openxmlformats.org/officeDocument/2006/relationships/chart" Target="charts/chart6.xml"/><Relationship Id="rId10" Type="http://schemas.openxmlformats.org/officeDocument/2006/relationships/chart" Target="charts/chart7.xml"/><Relationship Id="rId11" Type="http://schemas.openxmlformats.org/officeDocument/2006/relationships/styles" Target="styles.xml"/><Relationship Id="rId12" Type="http://schemas.openxmlformats.org/officeDocument/2006/relationships/numbering" Target="numbering.xml"/><Relationship Id="rId13"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package" Target="../embeddings/char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char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chart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chart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chart5.xlsx"/></Relationships>
</file>

<file path=word/charts/_rels/chart6.xml.rels><?xml version="1.0" encoding="UTF-8" standalone="yes"?>
<Relationships xmlns="http://schemas.openxmlformats.org/package/2006/relationships"><Relationship Id="rId1" Type="http://schemas.openxmlformats.org/officeDocument/2006/relationships/package" Target="../embeddings/chart6.xlsx"/></Relationships>
</file>

<file path=word/charts/_rels/chart7.xml.rels><?xml version="1.0" encoding="UTF-8" standalone="yes"?>
<Relationships xmlns="http://schemas.openxmlformats.org/package/2006/relationships"><Relationship Id="rId1" Type="http://schemas.openxmlformats.org/officeDocument/2006/relationships/package" Target="../embeddings/chart7.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200" b="0" i="0" u="none" strike="noStrike" baseline="0">
                <a:solidFill>
                  <a:srgbClr val="000000"/>
                </a:solidFill>
                <a:latin typeface="Times New Roman"/>
                <a:ea typeface="宋体"/>
                <a:cs typeface="Arial"/>
              </a:defRPr>
            </a:pPr>
            <a:r>
              <a:rPr lang="zh-CN" sz="1400" b="0" i="0" u="none" strike="noStrike" baseline="0">
                <a:solidFill>
                  <a:srgbClr val="000000"/>
                </a:solidFill>
                <a:latin typeface="宋体"/>
                <a:ea typeface="宋体"/>
                <a:cs typeface="Arial"/>
              </a:rPr>
              <a:t>图</a:t>
            </a:r>
            <a:r>
              <a:rPr lang="zh-CN" sz="1400" b="0" i="0" u="none" strike="noStrike" baseline="0">
                <a:solidFill>
                  <a:srgbClr val="000000"/>
                </a:solidFill>
                <a:latin typeface="Calibri"/>
                <a:ea typeface="Calibri"/>
                <a:cs typeface="Arial"/>
              </a:rPr>
              <a:t>1 </a:t>
            </a:r>
            <a:r>
              <a:rPr lang="zh-CN" sz="1400" b="0" i="0" u="none" strike="noStrike" baseline="0">
                <a:solidFill>
                  <a:srgbClr val="000000"/>
                </a:solidFill>
                <a:latin typeface="宋体"/>
                <a:ea typeface="宋体"/>
                <a:cs typeface="Arial"/>
              </a:rPr>
              <a:t>：</a:t>
            </a:r>
            <a:r>
              <a:rPr lang="zh-CN" sz="1400" b="0" i="0" u="none" strike="noStrike" baseline="0">
                <a:solidFill>
                  <a:srgbClr val="000000"/>
                </a:solidFill>
                <a:latin typeface="Calibri"/>
                <a:ea typeface="Calibri"/>
                <a:cs typeface="Arial"/>
              </a:rPr>
              <a:t>  </a:t>
            </a:r>
            <a:r>
              <a:rPr lang="zh-CN" sz="1400" b="0" i="0" u="none" strike="noStrike" baseline="0">
                <a:solidFill>
                  <a:srgbClr val="000000"/>
                </a:solidFill>
                <a:latin typeface="宋体"/>
                <a:ea typeface="宋体"/>
                <a:cs typeface="Arial"/>
              </a:rPr>
              <a:t>收、支决算总计变动情况图</a:t>
            </a:r>
          </a:p>
        </c:rich>
      </c:tx>
      <c:layout/>
      <c:overlay val="0"/>
      <c:spPr>
        <a:noFill/>
        <a:ln>
          <a:noFill/>
        </a:ln>
      </c:spPr>
    </c:title>
    <c:autoTitleDeleted val="1"/>
    <c:plotArea>
      <c:layout/>
      <c:barChart>
        <c:barDir val="col"/>
        <c:grouping val="stacked"/>
        <c:varyColors val="0"/>
        <c:ser>
          <c:idx val="0"/>
          <c:order val="0"/>
          <c:tx>
            <c:v>收、支决算总计变动情况图</c:v>
          </c:tx>
          <c:spPr>
            <a:solidFill>
              <a:srgbClr val="4F81BD"/>
            </a:solidFill>
            <a:ln>
              <a:noFill/>
            </a:ln>
          </c:spPr>
          <c:invertIfNegative val="0"/>
          <c:dLbls>
            <c:spPr>
              <a:noFill/>
              <a:ln>
                <a:noFill/>
              </a:ln>
            </c:spPr>
            <c:txPr>
              <a:bodyPr vert="horz"/>
              <a:lstStyle/>
              <a:p>
                <a:pPr>
                  <a:defRPr sz="900" b="0" i="0" u="none" strike="noStrike" baseline="0">
                    <a:solidFill>
                      <a:srgbClr val="404040"/>
                    </a:solidFill>
                    <a:latin typeface="Times New Roman"/>
                    <a:ea typeface="宋体"/>
                    <a:cs typeface="Arial"/>
                  </a:defRPr>
                </a:pPr>
                <a:endParaRPr lang="zh-CN"/>
              </a:p>
            </c:txPr>
            <c:numFmt formatCode="General" sourceLinked="0"/>
            <c:dLblPos val="ctr"/>
            <c:showLegendKey val="0"/>
            <c:showVal val="1"/>
            <c:showCatName val="0"/>
            <c:showSerName val="0"/>
            <c:showPercent val="0"/>
            <c:showBubbleSize val="0"/>
            <c:showLeaderLines val="0"/>
          </c:dLbls>
          <c:cat>
            <c:strLit>
              <c:ptCount val="2"/>
              <c:pt idx="0">
                <c:v>2024年</c:v>
              </c:pt>
              <c:pt idx="1">
                <c:v>2025年</c:v>
              </c:pt>
            </c:strLit>
          </c:cat>
          <c:val>
            <c:numRef>
              <c:f/>
              <c:numCache>
                <c:formatCode>General</c:formatCode>
                <c:ptCount val="2"/>
                <c:pt idx="0">
                  <c:v>371.22</c:v>
                </c:pt>
                <c:pt idx="1">
                  <c:v>381.35</c:v>
                </c:pt>
              </c:numCache>
            </c:numRef>
          </c:val>
        </c:ser>
        <c:overlap val="100"/>
        <c:gapWidth val="150"/>
        <c:axId val="0"/>
        <c:axId val="1"/>
      </c:barChart>
      <c:catAx>
        <c:axId val="0"/>
        <c:scaling>
          <c:orientation val="minMax"/>
        </c:scaling>
        <c:delete val="0"/>
        <c:axPos val="b"/>
        <c:numFmt formatCode="General" sourceLinked="0"/>
        <c:majorTickMark val="none"/>
        <c:minorTickMark val="none"/>
        <c:tickLblPos val="nextTo"/>
        <c:spPr>
          <a:ln w="6350">
            <a:solidFill>
              <a:srgbClr val="D9D9D9"/>
            </a:solidFill>
            <a:prstDash val="solid"/>
          </a:ln>
        </c:spPr>
        <c:txPr>
          <a:bodyPr/>
          <a:lstStyle/>
          <a:p>
            <a:pPr>
              <a:defRPr sz="900" b="0" i="0" u="none" strike="noStrike" baseline="0">
                <a:solidFill>
                  <a:srgbClr val="595959"/>
                </a:solidFill>
                <a:latin typeface="Times New Roman"/>
                <a:ea typeface="宋体"/>
                <a:cs typeface="Arial"/>
              </a:defRPr>
            </a:pPr>
            <a:endParaRPr lang="zh-CN"/>
          </a:p>
        </c:txPr>
        <c:crosses val="autoZero"/>
        <c:auto val="1"/>
        <c:lblOffset val="100"/>
        <c:lblAlgn val="ctr"/>
        <c:noMultiLvlLbl val="0"/>
        <c:crossAx val="1"/>
      </c:catAx>
      <c:valAx>
        <c:axId val="1"/>
        <c:scaling>
          <c:orientation val="minMax"/>
        </c:scaling>
        <c:delete val="0"/>
        <c:axPos val="l"/>
        <c:majorGridlines>
          <c:spPr>
            <a:ln w="6350">
              <a:solidFill>
                <a:srgbClr val="D9D9D9"/>
              </a:solidFill>
              <a:prstDash val="solid"/>
            </a:ln>
          </c:spPr>
        </c:majorGridlines>
        <c:numFmt formatCode="General" sourceLinked="1"/>
        <c:majorTickMark val="none"/>
        <c:minorTickMark val="none"/>
        <c:tickLblPos val="nextTo"/>
        <c:spPr>
          <a:ln>
            <a:noFill/>
          </a:ln>
        </c:spPr>
        <c:txPr>
          <a:bodyPr/>
          <a:lstStyle/>
          <a:p>
            <a:pPr>
              <a:defRPr sz="900" b="0" i="0" u="none" strike="noStrike" baseline="0">
                <a:solidFill>
                  <a:srgbClr val="595959"/>
                </a:solidFill>
                <a:latin typeface="Times New Roman"/>
                <a:ea typeface="宋体"/>
                <a:cs typeface="Arial"/>
              </a:defRPr>
            </a:pPr>
            <a:endParaRPr lang="zh-CN"/>
          </a:p>
        </c:txPr>
        <c:crossesAt val="1.0"/>
        <c:crossBetween val="between"/>
        <c:crossAx val="0"/>
      </c:valAx>
      <c:spPr>
        <a:noFill/>
        <a:ln>
          <a:noFill/>
        </a:ln>
      </c:spPr>
    </c:plotArea>
    <c:plotVisOnly val="1"/>
    <c:dispBlanksAs val="gap"/>
    <c:showDLblsOverMax val="0"/>
  </c:chart>
  <c:spPr>
    <a:solidFill>
      <a:srgbClr val="FFFFFF"/>
    </a:solidFill>
    <a:ln w="6350">
      <a:solidFill>
        <a:srgbClr val="D9D9D9"/>
      </a:solidFill>
      <a:prstDash val="solid"/>
    </a:ln>
  </c:spPr>
  <c:txPr>
    <a:bodyPr/>
    <a:lstStyle/>
    <a:p>
      <a:pPr>
        <a:defRPr sz="1000" b="0" i="0" u="none" strike="noStrike" baseline="0">
          <a:solidFill>
            <a:srgbClr val="000000"/>
          </a:solidFill>
          <a:latin typeface="Times New Roman"/>
          <a:ea typeface="宋体"/>
          <a:cs typeface="Arial"/>
        </a:defRPr>
      </a:pPr>
      <a:endParaRPr lang="zh-CN"/>
    </a:p>
  </c:txPr>
  <c:printSettings>
    <c:headerFooter/>
    <c:pageMargins b="0.75" l="0.7" r="0.7" t="0.75" header="0.3" footer="0.3"/>
    <c:pageSetup/>
  </c:printSettings>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200" b="0" i="0" u="none" strike="noStrike" baseline="0">
                <a:solidFill>
                  <a:srgbClr val="000000"/>
                </a:solidFill>
                <a:latin typeface="Times New Roman"/>
                <a:ea typeface="宋体"/>
                <a:cs typeface="Arial"/>
              </a:defRPr>
            </a:pPr>
            <a:r>
              <a:rPr lang="zh-CN" sz="1400" b="1" i="0" u="none" strike="noStrike" baseline="0">
                <a:solidFill>
                  <a:srgbClr val="333333"/>
                </a:solidFill>
                <a:latin typeface="宋体"/>
                <a:ea typeface="宋体"/>
                <a:cs typeface="Arial"/>
              </a:rPr>
              <a:t>图</a:t>
            </a:r>
            <a:r>
              <a:rPr lang="zh-CN" sz="1400" b="1" i="0" u="none" strike="noStrike" baseline="0">
                <a:solidFill>
                  <a:srgbClr val="333333"/>
                </a:solidFill>
                <a:latin typeface="Calibri"/>
                <a:ea typeface="Calibri"/>
                <a:cs typeface="Arial"/>
              </a:rPr>
              <a:t>2</a:t>
            </a:r>
            <a:r>
              <a:rPr lang="zh-CN" sz="1400" b="1" i="0" u="none" strike="noStrike" baseline="0">
                <a:solidFill>
                  <a:srgbClr val="333333"/>
                </a:solidFill>
                <a:latin typeface="宋体"/>
                <a:ea typeface="宋体"/>
                <a:cs typeface="Arial"/>
              </a:rPr>
              <a:t>：</a:t>
            </a:r>
            <a:r>
              <a:rPr lang="zh-CN" sz="1400" b="1" i="0" u="none" strike="noStrike" baseline="0">
                <a:solidFill>
                  <a:srgbClr val="333333"/>
                </a:solidFill>
                <a:latin typeface="宋体"/>
                <a:ea typeface="宋体"/>
                <a:cs typeface="Arial"/>
              </a:rPr>
              <a:t>收入决算结构图</a:t>
            </a:r>
          </a:p>
        </c:rich>
      </c:tx>
      <c:layout>
        <c:manualLayout>
          <c:xMode val="edge"/>
          <c:yMode val="edge"/>
          <c:x val="0.41444445"/>
          <c:y val="0.024305556"/>
        </c:manualLayout>
      </c:layout>
      <c:overlay val="0"/>
      <c:spPr>
        <a:noFill/>
        <a:ln>
          <a:noFill/>
        </a:ln>
      </c:spPr>
    </c:title>
    <c:autoTitleDeleted val="1"/>
    <c:plotArea>
      <c:layout/>
      <c:pieChart>
        <c:varyColors val="1"/>
        <c:ser>
          <c:idx val="0"/>
          <c:order val="0"/>
          <c:spPr>
            <a:solidFill>
              <a:srgbClr val="4F81BD"/>
            </a:solidFill>
            <a:ln>
              <a:noFill/>
            </a:ln>
          </c:spPr>
          <c:dPt>
            <c:idx val="0"/>
            <c:bubble3D val="0"/>
            <c:spPr>
              <a:solidFill>
                <a:srgbClr val="4F81BD"/>
              </a:solidFill>
              <a:ln w="19050">
                <a:solidFill>
                  <a:srgbClr val="FFFFFF"/>
                </a:solidFill>
                <a:prstDash val="solid"/>
              </a:ln>
            </c:spPr>
          </c:dPt>
          <c:dPt>
            <c:idx val="1"/>
            <c:bubble3D val="0"/>
            <c:spPr>
              <a:solidFill>
                <a:srgbClr val="C0504D"/>
              </a:solidFill>
              <a:ln w="19050">
                <a:solidFill>
                  <a:srgbClr val="FFFFFF"/>
                </a:solidFill>
                <a:prstDash val="solid"/>
              </a:ln>
              <a:effectLst>
                <a:outerShdw dist="35921" dir="2700000" algn="br">
                  <a:srgbClr val="000000"/>
                </a:outerShdw>
              </a:effectLst>
            </c:spPr>
          </c:dPt>
          <c:dPt>
            <c:idx val="2"/>
            <c:bubble3D val="0"/>
            <c:spPr>
              <a:solidFill>
                <a:srgbClr val="9BBB59"/>
              </a:solidFill>
              <a:ln w="19050">
                <a:solidFill>
                  <a:srgbClr val="FFFFFF"/>
                </a:solidFill>
                <a:prstDash val="solid"/>
              </a:ln>
            </c:spPr>
          </c:dPt>
          <c:dPt>
            <c:idx val="3"/>
            <c:bubble3D val="0"/>
            <c:spPr>
              <a:solidFill>
                <a:srgbClr val="8064A2"/>
              </a:solidFill>
              <a:ln w="19050">
                <a:solidFill>
                  <a:srgbClr val="FFFFFF"/>
                </a:solidFill>
                <a:prstDash val="solid"/>
              </a:ln>
            </c:spPr>
          </c:dPt>
          <c:dPt>
            <c:idx val="4"/>
            <c:bubble3D val="0"/>
            <c:spPr>
              <a:solidFill>
                <a:srgbClr val="4BACC6"/>
              </a:solidFill>
              <a:ln w="19050">
                <a:solidFill>
                  <a:srgbClr val="FFFFFF"/>
                </a:solidFill>
                <a:prstDash val="solid"/>
              </a:ln>
            </c:spPr>
          </c:dPt>
          <c:dPt>
            <c:idx val="5"/>
            <c:bubble3D val="0"/>
            <c:spPr>
              <a:solidFill>
                <a:srgbClr val="F79646"/>
              </a:solidFill>
              <a:ln w="19050">
                <a:solidFill>
                  <a:srgbClr val="FFFFFF"/>
                </a:solidFill>
                <a:prstDash val="solid"/>
              </a:ln>
            </c:spPr>
          </c:dPt>
          <c:dLbls>
            <c:spPr>
              <a:noFill/>
              <a:ln>
                <a:noFill/>
              </a:ln>
            </c:spPr>
            <c:txPr>
              <a:bodyPr vert="horz"/>
              <a:lstStyle/>
              <a:p>
                <a:pPr>
                  <a:defRPr sz="900" b="0" i="0" u="none" strike="noStrike" baseline="0">
                    <a:solidFill>
                      <a:srgbClr val="404040"/>
                    </a:solidFill>
                    <a:latin typeface="Times New Roman"/>
                    <a:ea typeface="宋体"/>
                    <a:cs typeface="Arial"/>
                  </a:defRPr>
                </a:pPr>
                <a:endParaRPr lang="zh-CN"/>
              </a:p>
            </c:txPr>
            <c:numFmt formatCode="General" sourceLinked="0"/>
            <c:showLegendKey val="0"/>
            <c:showVal val="1"/>
            <c:showCatName val="0"/>
            <c:showSerName val="0"/>
            <c:showPercent val="0"/>
            <c:showBubbleSize val="0"/>
            <c:showLeaderLines val="1"/>
          </c:dLbls>
          <c:cat>
            <c:strLit>
              <c:ptCount val="6"/>
              <c:pt idx="0">
                <c:v>一般公共预算财政拨款收入</c:v>
              </c:pt>
              <c:pt idx="1">
                <c:v>政府基金预算财政拨款收入</c:v>
              </c:pt>
              <c:pt idx="2">
                <c:v>上级补助收入</c:v>
              </c:pt>
              <c:pt idx="3">
                <c:v>事业收入</c:v>
              </c:pt>
              <c:pt idx="4">
                <c:v>经营收入</c:v>
              </c:pt>
              <c:pt idx="5">
                <c:v>附属单位上缴上级收入</c:v>
              </c:pt>
            </c:strLit>
          </c:cat>
          <c:val>
            <c:numRef>
              <c:f/>
              <c:numCache>
                <c:formatCode>General</c:formatCode>
                <c:ptCount val="6"/>
                <c:pt idx="0">
                  <c:v>381.35</c:v>
                </c:pt>
                <c:pt idx="1">
                  <c:v>0.0</c:v>
                </c:pt>
                <c:pt idx="2">
                  <c:v>0.0</c:v>
                </c:pt>
                <c:pt idx="3">
                  <c:v>0.0</c:v>
                </c:pt>
                <c:pt idx="4">
                  <c:v>0.0</c:v>
                </c:pt>
                <c:pt idx="5">
                  <c:v>0.0</c:v>
                </c:pt>
              </c:numCache>
            </c:numRef>
          </c:val>
        </c:ser>
        <c:firstSliceAng val="0"/>
      </c:pieChart>
      <c:spPr>
        <a:noFill/>
        <a:ln>
          <a:noFill/>
        </a:ln>
      </c:spPr>
    </c:plotArea>
    <c:legend>
      <c:legendPos val="b"/>
      <c:layout/>
      <c:overlay val="0"/>
      <c:spPr>
        <a:noFill/>
        <a:ln>
          <a:noFill/>
        </a:ln>
      </c:spPr>
      <c:txPr>
        <a:bodyPr/>
        <a:lstStyle/>
        <a:p>
          <a:pPr>
            <a:defRPr sz="900" b="0" i="0" u="none" strike="noStrike" baseline="0">
              <a:solidFill>
                <a:srgbClr val="595959"/>
              </a:solidFill>
              <a:latin typeface="Times New Roman"/>
              <a:ea typeface="宋体"/>
              <a:cs typeface="Arial"/>
            </a:defRPr>
          </a:pPr>
          <a:endParaRPr lang="zh-CN"/>
        </a:p>
      </c:txPr>
    </c:legend>
    <c:plotVisOnly val="1"/>
    <c:dispBlanksAs val="zero"/>
    <c:showDLblsOverMax val="0"/>
  </c:chart>
  <c:spPr>
    <a:solidFill>
      <a:srgbClr val="FFFFFF"/>
    </a:solidFill>
    <a:ln w="6350">
      <a:solidFill>
        <a:srgbClr val="D9D9D9"/>
      </a:solidFill>
      <a:prstDash val="solid"/>
    </a:ln>
  </c:spPr>
  <c:txPr>
    <a:bodyPr/>
    <a:lstStyle/>
    <a:p>
      <a:pPr>
        <a:defRPr sz="1000" b="0" i="0" u="none" strike="noStrike" baseline="0">
          <a:solidFill>
            <a:srgbClr val="000000"/>
          </a:solidFill>
          <a:latin typeface="Times New Roman"/>
          <a:ea typeface="宋体"/>
          <a:cs typeface="Arial"/>
        </a:defRPr>
      </a:pPr>
      <a:endParaRPr lang="zh-CN"/>
    </a:p>
  </c:txPr>
  <c:printSettings>
    <c:headerFooter/>
    <c:pageMargins b="0.75" l="0.7" r="0.7" t="0.75" header="0.3" footer="0.3"/>
    <c:pageSetup/>
  </c:printSettings>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200" b="0" i="0" u="none" strike="noStrike" baseline="0">
                <a:solidFill>
                  <a:srgbClr val="000000"/>
                </a:solidFill>
                <a:latin typeface="Times New Roman"/>
                <a:ea typeface="宋体"/>
                <a:cs typeface="Arial"/>
              </a:defRPr>
            </a:pPr>
            <a:r>
              <a:rPr lang="zh-CN" sz="1400" b="1" i="0" u="none" strike="noStrike" baseline="0">
                <a:solidFill>
                  <a:srgbClr val="333333"/>
                </a:solidFill>
                <a:latin typeface="宋体"/>
                <a:ea typeface="宋体"/>
                <a:cs typeface="Arial"/>
              </a:rPr>
              <a:t>图</a:t>
            </a:r>
            <a:r>
              <a:rPr lang="zh-CN" sz="1400" b="1" i="0" u="none" strike="noStrike" baseline="0">
                <a:solidFill>
                  <a:srgbClr val="333333"/>
                </a:solidFill>
                <a:latin typeface="Calibri"/>
                <a:ea typeface="Calibri"/>
                <a:cs typeface="Arial"/>
              </a:rPr>
              <a:t>3</a:t>
            </a:r>
            <a:r>
              <a:rPr lang="zh-CN" sz="1400" b="1" i="0" u="none" strike="noStrike" baseline="0">
                <a:solidFill>
                  <a:srgbClr val="333333"/>
                </a:solidFill>
                <a:latin typeface="宋体"/>
                <a:ea typeface="宋体"/>
                <a:cs typeface="Arial"/>
              </a:rPr>
              <a:t>：</a:t>
            </a:r>
            <a:r>
              <a:rPr lang="zh-CN" sz="1400" b="1" i="0" u="none" strike="noStrike" baseline="0">
                <a:solidFill>
                  <a:srgbClr val="333333"/>
                </a:solidFill>
                <a:latin typeface="宋体"/>
                <a:ea typeface="宋体"/>
                <a:cs typeface="Arial"/>
              </a:rPr>
              <a:t>支出决算结构图</a:t>
            </a:r>
          </a:p>
        </c:rich>
      </c:tx>
      <c:layout/>
      <c:overlay val="0"/>
      <c:spPr>
        <a:noFill/>
        <a:ln>
          <a:noFill/>
        </a:ln>
      </c:spPr>
    </c:title>
    <c:autoTitleDeleted val="1"/>
    <c:plotArea>
      <c:layout/>
      <c:pieChart>
        <c:varyColors val="1"/>
        <c:ser>
          <c:idx val="0"/>
          <c:order val="0"/>
          <c:spPr>
            <a:solidFill>
              <a:srgbClr val="4F81BD"/>
            </a:solidFill>
            <a:ln>
              <a:noFill/>
            </a:ln>
          </c:spPr>
          <c:dPt>
            <c:idx val="0"/>
            <c:bubble3D val="0"/>
            <c:spPr>
              <a:solidFill>
                <a:srgbClr val="4F81BD"/>
              </a:solidFill>
              <a:ln w="19050">
                <a:solidFill>
                  <a:srgbClr val="FFFFFF"/>
                </a:solidFill>
                <a:prstDash val="solid"/>
              </a:ln>
            </c:spPr>
          </c:dPt>
          <c:dPt>
            <c:idx val="1"/>
            <c:bubble3D val="0"/>
            <c:spPr>
              <a:solidFill>
                <a:srgbClr val="C0504D"/>
              </a:solidFill>
              <a:ln w="19050">
                <a:solidFill>
                  <a:srgbClr val="FFFFFF"/>
                </a:solidFill>
                <a:prstDash val="solid"/>
              </a:ln>
            </c:spPr>
          </c:dPt>
          <c:dPt>
            <c:idx val="2"/>
            <c:bubble3D val="0"/>
            <c:spPr>
              <a:solidFill>
                <a:srgbClr val="9BBB59"/>
              </a:solidFill>
              <a:ln w="19050">
                <a:solidFill>
                  <a:srgbClr val="FFFFFF"/>
                </a:solidFill>
                <a:prstDash val="solid"/>
              </a:ln>
            </c:spPr>
          </c:dPt>
          <c:dPt>
            <c:idx val="3"/>
            <c:bubble3D val="0"/>
            <c:spPr>
              <a:solidFill>
                <a:srgbClr val="8064A2"/>
              </a:solidFill>
              <a:ln w="19050">
                <a:solidFill>
                  <a:srgbClr val="FFFFFF"/>
                </a:solidFill>
                <a:prstDash val="solid"/>
              </a:ln>
            </c:spPr>
          </c:dPt>
          <c:dPt>
            <c:idx val="4"/>
            <c:bubble3D val="0"/>
            <c:spPr>
              <a:solidFill>
                <a:srgbClr val="4BACC6"/>
              </a:solidFill>
              <a:ln w="19050">
                <a:solidFill>
                  <a:srgbClr val="FFFFFF"/>
                </a:solidFill>
                <a:prstDash val="solid"/>
              </a:ln>
            </c:spPr>
          </c:dPt>
          <c:dLbls>
            <c:spPr>
              <a:noFill/>
              <a:ln>
                <a:noFill/>
              </a:ln>
            </c:spPr>
            <c:txPr>
              <a:bodyPr vert="horz"/>
              <a:lstStyle/>
              <a:p>
                <a:pPr>
                  <a:defRPr sz="900" b="0" i="0" u="none" strike="noStrike" baseline="0">
                    <a:solidFill>
                      <a:srgbClr val="404040"/>
                    </a:solidFill>
                    <a:latin typeface="Times New Roman"/>
                    <a:ea typeface="宋体"/>
                    <a:cs typeface="Arial"/>
                  </a:defRPr>
                </a:pPr>
                <a:endParaRPr lang="zh-CN"/>
              </a:p>
            </c:txPr>
            <c:numFmt formatCode="General" sourceLinked="0"/>
            <c:showLegendKey val="0"/>
            <c:showVal val="1"/>
            <c:showCatName val="0"/>
            <c:showSerName val="0"/>
            <c:showPercent val="0"/>
            <c:showBubbleSize val="0"/>
            <c:showLeaderLines val="1"/>
          </c:dLbls>
          <c:cat>
            <c:strLit>
              <c:ptCount val="5"/>
              <c:pt idx="0">
                <c:v>基本支出</c:v>
              </c:pt>
              <c:pt idx="1">
                <c:v>项目支出</c:v>
              </c:pt>
              <c:pt idx="2">
                <c:v>上缴上级支出</c:v>
              </c:pt>
              <c:pt idx="3">
                <c:v>经营支出</c:v>
              </c:pt>
              <c:pt idx="4">
                <c:v>对附属单位补助支出</c:v>
              </c:pt>
            </c:strLit>
          </c:cat>
          <c:val>
            <c:numRef>
              <c:f/>
              <c:numCache>
                <c:formatCode>General</c:formatCode>
                <c:ptCount val="5"/>
                <c:pt idx="0">
                  <c:v>297.54</c:v>
                </c:pt>
                <c:pt idx="1">
                  <c:v>83.81</c:v>
                </c:pt>
              </c:numCache>
            </c:numRef>
          </c:val>
        </c:ser>
        <c:firstSliceAng val="0"/>
      </c:pieChart>
      <c:spPr>
        <a:noFill/>
        <a:ln>
          <a:noFill/>
        </a:ln>
      </c:spPr>
    </c:plotArea>
    <c:legend>
      <c:legendPos val="b"/>
      <c:layout/>
      <c:overlay val="0"/>
      <c:spPr>
        <a:noFill/>
        <a:ln>
          <a:noFill/>
        </a:ln>
      </c:spPr>
      <c:txPr>
        <a:bodyPr/>
        <a:lstStyle/>
        <a:p>
          <a:pPr>
            <a:defRPr sz="900" b="0" i="0" u="none" strike="noStrike" baseline="0">
              <a:solidFill>
                <a:srgbClr val="595959"/>
              </a:solidFill>
              <a:latin typeface="Times New Roman"/>
              <a:ea typeface="宋体"/>
              <a:cs typeface="Arial"/>
            </a:defRPr>
          </a:pPr>
          <a:endParaRPr lang="zh-CN"/>
        </a:p>
      </c:txPr>
    </c:legend>
    <c:plotVisOnly val="1"/>
    <c:dispBlanksAs val="zero"/>
    <c:showDLblsOverMax val="0"/>
  </c:chart>
  <c:spPr>
    <a:solidFill>
      <a:srgbClr val="FFFFFF"/>
    </a:solidFill>
    <a:ln w="6350">
      <a:solidFill>
        <a:srgbClr val="D9D9D9"/>
      </a:solidFill>
      <a:prstDash val="solid"/>
    </a:ln>
  </c:spPr>
  <c:txPr>
    <a:bodyPr/>
    <a:lstStyle/>
    <a:p>
      <a:pPr>
        <a:defRPr sz="1000" b="0" i="0" u="none" strike="noStrike" baseline="0">
          <a:solidFill>
            <a:srgbClr val="000000"/>
          </a:solidFill>
          <a:latin typeface="Times New Roman"/>
          <a:ea typeface="宋体"/>
          <a:cs typeface="Arial"/>
        </a:defRPr>
      </a:pPr>
      <a:endParaRPr lang="zh-CN"/>
    </a:p>
  </c:txPr>
  <c:printSettings>
    <c:headerFooter/>
    <c:pageMargins b="0.75" l="0.7" r="0.7" t="0.75" header="0.3" footer="0.3"/>
    <c:pageSetup/>
  </c:printSettings>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200" b="0" i="0" u="none" strike="noStrike" baseline="0">
                <a:solidFill>
                  <a:srgbClr val="000000"/>
                </a:solidFill>
                <a:latin typeface="Times New Roman"/>
                <a:ea typeface="宋体"/>
                <a:cs typeface="Arial"/>
              </a:defRPr>
            </a:pPr>
            <a:r>
              <a:rPr lang="zh-CN" sz="1400" b="1" i="0" u="none" strike="noStrike" baseline="0">
                <a:solidFill>
                  <a:srgbClr val="333333"/>
                </a:solidFill>
                <a:latin typeface="宋体"/>
                <a:ea typeface="宋体"/>
                <a:cs typeface="Arial"/>
              </a:rPr>
              <a:t>图</a:t>
            </a:r>
            <a:r>
              <a:rPr lang="zh-CN" sz="1400" b="1" i="0" u="none" strike="noStrike" baseline="0">
                <a:solidFill>
                  <a:srgbClr val="333333"/>
                </a:solidFill>
                <a:latin typeface="Calibri"/>
                <a:ea typeface="Calibri"/>
                <a:cs typeface="Arial"/>
              </a:rPr>
              <a:t>4</a:t>
            </a:r>
            <a:r>
              <a:rPr lang="zh-CN" sz="1400" b="1" i="0" u="none" strike="noStrike" baseline="0">
                <a:solidFill>
                  <a:srgbClr val="333333"/>
                </a:solidFill>
                <a:latin typeface="宋体"/>
                <a:ea typeface="宋体"/>
                <a:cs typeface="Arial"/>
              </a:rPr>
              <a:t>：</a:t>
            </a:r>
            <a:r>
              <a:rPr lang="zh-CN" sz="1400" b="1" i="0" u="none" strike="noStrike" baseline="0">
                <a:solidFill>
                  <a:srgbClr val="333333"/>
                </a:solidFill>
                <a:latin typeface="宋体"/>
                <a:ea typeface="宋体"/>
                <a:cs typeface="Arial"/>
              </a:rPr>
              <a:t>财政拨款收、支决算总计变动情况</a:t>
            </a:r>
          </a:p>
        </c:rich>
      </c:tx>
      <c:layout/>
      <c:overlay val="0"/>
      <c:spPr>
        <a:noFill/>
        <a:ln>
          <a:noFill/>
        </a:ln>
      </c:spPr>
    </c:title>
    <c:autoTitleDeleted val="1"/>
    <c:plotArea>
      <c:layout/>
      <c:barChart>
        <c:barDir val="col"/>
        <c:grouping val="clustered"/>
        <c:varyColors val="0"/>
        <c:ser>
          <c:idx val="0"/>
          <c:order val="0"/>
          <c:spPr>
            <a:solidFill>
              <a:srgbClr val="4F81BD"/>
            </a:solidFill>
            <a:ln>
              <a:noFill/>
            </a:ln>
          </c:spPr>
          <c:invertIfNegative val="0"/>
          <c:dLbls>
            <c:spPr>
              <a:noFill/>
              <a:ln>
                <a:noFill/>
              </a:ln>
            </c:spPr>
            <c:txPr>
              <a:bodyPr vert="horz"/>
              <a:lstStyle/>
              <a:p>
                <a:pPr>
                  <a:defRPr sz="900" b="0" i="0" u="none" strike="noStrike" baseline="0">
                    <a:solidFill>
                      <a:srgbClr val="404040"/>
                    </a:solidFill>
                    <a:latin typeface="Times New Roman"/>
                    <a:ea typeface="宋体"/>
                    <a:cs typeface="Arial"/>
                  </a:defRPr>
                </a:pPr>
                <a:endParaRPr lang="zh-CN"/>
              </a:p>
            </c:txPr>
            <c:numFmt formatCode="General" sourceLinked="0"/>
            <c:dLblPos val="outEnd"/>
            <c:showLegendKey val="0"/>
            <c:showVal val="1"/>
            <c:showCatName val="0"/>
            <c:showSerName val="0"/>
            <c:showPercent val="0"/>
            <c:showBubbleSize val="0"/>
            <c:showLeaderLines val="0"/>
          </c:dLbls>
          <c:cat>
            <c:strLit>
              <c:ptCount val="2"/>
              <c:pt idx="0">
                <c:v>2024年</c:v>
              </c:pt>
              <c:pt idx="1">
                <c:v>2025年</c:v>
              </c:pt>
            </c:strLit>
          </c:cat>
          <c:val>
            <c:numRef>
              <c:f/>
              <c:numCache>
                <c:formatCode>General</c:formatCode>
                <c:ptCount val="2"/>
                <c:pt idx="0">
                  <c:v>371.22</c:v>
                </c:pt>
                <c:pt idx="1">
                  <c:v>378.35</c:v>
                </c:pt>
              </c:numCache>
            </c:numRef>
          </c:val>
        </c:ser>
        <c:overlap val="-27"/>
        <c:gapWidth val="219"/>
        <c:axId val="0"/>
        <c:axId val="1"/>
      </c:barChart>
      <c:catAx>
        <c:axId val="0"/>
        <c:scaling>
          <c:orientation val="minMax"/>
        </c:scaling>
        <c:delete val="0"/>
        <c:axPos val="b"/>
        <c:numFmt formatCode="General" sourceLinked="0"/>
        <c:majorTickMark val="none"/>
        <c:minorTickMark val="none"/>
        <c:tickLblPos val="nextTo"/>
        <c:spPr>
          <a:ln w="6350">
            <a:solidFill>
              <a:srgbClr val="D9D9D9"/>
            </a:solidFill>
            <a:prstDash val="solid"/>
          </a:ln>
        </c:spPr>
        <c:txPr>
          <a:bodyPr/>
          <a:lstStyle/>
          <a:p>
            <a:pPr>
              <a:defRPr sz="900" b="0" i="0" u="none" strike="noStrike" baseline="0">
                <a:solidFill>
                  <a:srgbClr val="595959"/>
                </a:solidFill>
                <a:latin typeface="Times New Roman"/>
                <a:ea typeface="宋体"/>
                <a:cs typeface="Arial"/>
              </a:defRPr>
            </a:pPr>
            <a:endParaRPr lang="zh-CN"/>
          </a:p>
        </c:txPr>
        <c:crosses val="autoZero"/>
        <c:auto val="1"/>
        <c:lblOffset val="100"/>
        <c:lblAlgn val="ctr"/>
        <c:noMultiLvlLbl val="0"/>
        <c:crossAx val="1"/>
      </c:catAx>
      <c:valAx>
        <c:axId val="1"/>
        <c:scaling>
          <c:orientation val="minMax"/>
        </c:scaling>
        <c:delete val="0"/>
        <c:axPos val="l"/>
        <c:majorGridlines>
          <c:spPr>
            <a:ln w="6350">
              <a:solidFill>
                <a:srgbClr val="D9D9D9"/>
              </a:solidFill>
              <a:prstDash val="solid"/>
            </a:ln>
          </c:spPr>
        </c:majorGridlines>
        <c:numFmt formatCode="General" sourceLinked="1"/>
        <c:majorTickMark val="none"/>
        <c:minorTickMark val="none"/>
        <c:tickLblPos val="nextTo"/>
        <c:spPr>
          <a:ln>
            <a:noFill/>
          </a:ln>
        </c:spPr>
        <c:txPr>
          <a:bodyPr/>
          <a:lstStyle/>
          <a:p>
            <a:pPr>
              <a:defRPr sz="900" b="0" i="0" u="none" strike="noStrike" baseline="0">
                <a:solidFill>
                  <a:srgbClr val="595959"/>
                </a:solidFill>
                <a:latin typeface="Times New Roman"/>
                <a:ea typeface="宋体"/>
                <a:cs typeface="Arial"/>
              </a:defRPr>
            </a:pPr>
            <a:endParaRPr lang="zh-CN"/>
          </a:p>
        </c:txPr>
        <c:crossesAt val="1.0"/>
        <c:crossBetween val="between"/>
        <c:crossAx val="0"/>
      </c:valAx>
      <c:spPr>
        <a:noFill/>
        <a:ln>
          <a:noFill/>
        </a:ln>
      </c:spPr>
    </c:plotArea>
    <c:plotVisOnly val="1"/>
    <c:dispBlanksAs val="gap"/>
    <c:showDLblsOverMax val="0"/>
  </c:chart>
  <c:spPr>
    <a:solidFill>
      <a:srgbClr val="FFFFFF"/>
    </a:solidFill>
    <a:ln w="6350">
      <a:solidFill>
        <a:srgbClr val="D9D9D9"/>
      </a:solidFill>
      <a:prstDash val="solid"/>
    </a:ln>
  </c:spPr>
  <c:txPr>
    <a:bodyPr/>
    <a:lstStyle/>
    <a:p>
      <a:pPr>
        <a:defRPr sz="1000" b="0" i="0" u="none" strike="noStrike" baseline="0">
          <a:solidFill>
            <a:srgbClr val="000000"/>
          </a:solidFill>
          <a:latin typeface="Times New Roman"/>
          <a:ea typeface="宋体"/>
          <a:cs typeface="Arial"/>
        </a:defRPr>
      </a:pPr>
      <a:endParaRPr lang="zh-CN"/>
    </a:p>
  </c:txPr>
  <c:printSettings>
    <c:headerFooter/>
    <c:pageMargins b="0.75" l="0.7" r="0.7" t="0.75" header="0.3" footer="0.3"/>
    <c:pageSetup/>
  </c:printSettings>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200" b="0" i="0" u="none" strike="noStrike" baseline="0">
                <a:solidFill>
                  <a:srgbClr val="000000"/>
                </a:solidFill>
                <a:latin typeface="Times New Roman"/>
                <a:ea typeface="宋体"/>
                <a:cs typeface="Arial"/>
              </a:defRPr>
            </a:pPr>
            <a:r>
              <a:rPr lang="zh-CN" sz="1400" b="1" i="0" u="none" strike="noStrike" baseline="0">
                <a:solidFill>
                  <a:srgbClr val="333333"/>
                </a:solidFill>
                <a:latin typeface="宋体"/>
                <a:ea typeface="宋体"/>
                <a:cs typeface="Arial"/>
              </a:rPr>
              <a:t>图</a:t>
            </a:r>
            <a:r>
              <a:rPr lang="zh-CN" sz="1400" b="1" i="0" u="none" strike="noStrike" baseline="0">
                <a:solidFill>
                  <a:srgbClr val="333333"/>
                </a:solidFill>
                <a:latin typeface="Calibri"/>
                <a:ea typeface="Calibri"/>
                <a:cs typeface="Arial"/>
              </a:rPr>
              <a:t>5</a:t>
            </a:r>
            <a:r>
              <a:rPr lang="zh-CN" sz="1400" b="1" i="0" u="none" strike="noStrike" baseline="0">
                <a:solidFill>
                  <a:srgbClr val="333333"/>
                </a:solidFill>
                <a:latin typeface="宋体"/>
                <a:ea typeface="宋体"/>
                <a:cs typeface="Arial"/>
              </a:rPr>
              <a:t>：</a:t>
            </a:r>
            <a:r>
              <a:rPr lang="zh-CN" sz="1400" b="1" i="0" u="none" strike="noStrike" baseline="0">
                <a:solidFill>
                  <a:srgbClr val="333333"/>
                </a:solidFill>
                <a:latin typeface="宋体"/>
                <a:ea typeface="宋体"/>
                <a:cs typeface="Arial"/>
              </a:rPr>
              <a:t>一般公共预算财政拨款支出决算变动情况</a:t>
            </a:r>
          </a:p>
        </c:rich>
      </c:tx>
      <c:layout/>
      <c:overlay val="0"/>
      <c:spPr>
        <a:noFill/>
        <a:ln>
          <a:noFill/>
        </a:ln>
      </c:spPr>
    </c:title>
    <c:autoTitleDeleted val="1"/>
    <c:plotArea>
      <c:layout/>
      <c:barChart>
        <c:barDir val="col"/>
        <c:grouping val="clustered"/>
        <c:varyColors val="0"/>
        <c:ser>
          <c:idx val="0"/>
          <c:order val="0"/>
          <c:spPr>
            <a:solidFill>
              <a:srgbClr val="4F81BD"/>
            </a:solidFill>
            <a:ln>
              <a:noFill/>
            </a:ln>
          </c:spPr>
          <c:invertIfNegative val="0"/>
          <c:dLbls>
            <c:spPr>
              <a:noFill/>
              <a:ln>
                <a:noFill/>
              </a:ln>
            </c:spPr>
            <c:txPr>
              <a:bodyPr vert="horz"/>
              <a:lstStyle/>
              <a:p>
                <a:pPr>
                  <a:defRPr sz="900" b="0" i="0" u="none" strike="noStrike" baseline="0">
                    <a:solidFill>
                      <a:srgbClr val="404040"/>
                    </a:solidFill>
                    <a:latin typeface="Times New Roman"/>
                    <a:ea typeface="宋体"/>
                    <a:cs typeface="Arial"/>
                  </a:defRPr>
                </a:pPr>
                <a:endParaRPr lang="zh-CN"/>
              </a:p>
            </c:txPr>
            <c:numFmt formatCode="General" sourceLinked="0"/>
            <c:dLblPos val="outEnd"/>
            <c:showLegendKey val="0"/>
            <c:showVal val="1"/>
            <c:showCatName val="0"/>
            <c:showSerName val="0"/>
            <c:showPercent val="0"/>
            <c:showBubbleSize val="0"/>
            <c:showLeaderLines val="0"/>
          </c:dLbls>
          <c:cat>
            <c:strLit>
              <c:ptCount val="2"/>
              <c:pt idx="0">
                <c:v>2024年</c:v>
              </c:pt>
              <c:pt idx="1">
                <c:v>2025年</c:v>
              </c:pt>
            </c:strLit>
          </c:cat>
          <c:val>
            <c:numRef>
              <c:f/>
              <c:numCache>
                <c:formatCode>General</c:formatCode>
                <c:ptCount val="2"/>
                <c:pt idx="0">
                  <c:v>371.22</c:v>
                </c:pt>
                <c:pt idx="1">
                  <c:v>378.35</c:v>
                </c:pt>
              </c:numCache>
            </c:numRef>
          </c:val>
        </c:ser>
        <c:overlap val="-27"/>
        <c:gapWidth val="219"/>
        <c:axId val="0"/>
        <c:axId val="1"/>
      </c:barChart>
      <c:catAx>
        <c:axId val="0"/>
        <c:scaling>
          <c:orientation val="minMax"/>
        </c:scaling>
        <c:delete val="0"/>
        <c:axPos val="b"/>
        <c:numFmt formatCode="General" sourceLinked="0"/>
        <c:majorTickMark val="none"/>
        <c:minorTickMark val="none"/>
        <c:tickLblPos val="nextTo"/>
        <c:spPr>
          <a:ln w="6350">
            <a:solidFill>
              <a:srgbClr val="D9D9D9"/>
            </a:solidFill>
            <a:prstDash val="solid"/>
          </a:ln>
        </c:spPr>
        <c:txPr>
          <a:bodyPr/>
          <a:lstStyle/>
          <a:p>
            <a:pPr>
              <a:defRPr sz="900" b="0" i="0" u="none" strike="noStrike" baseline="0">
                <a:solidFill>
                  <a:srgbClr val="595959"/>
                </a:solidFill>
                <a:latin typeface="Times New Roman"/>
                <a:ea typeface="宋体"/>
                <a:cs typeface="Arial"/>
              </a:defRPr>
            </a:pPr>
            <a:endParaRPr lang="zh-CN"/>
          </a:p>
        </c:txPr>
        <c:crosses val="autoZero"/>
        <c:auto val="1"/>
        <c:lblOffset val="100"/>
        <c:lblAlgn val="ctr"/>
        <c:noMultiLvlLbl val="0"/>
        <c:crossAx val="1"/>
      </c:catAx>
      <c:valAx>
        <c:axId val="1"/>
        <c:scaling>
          <c:orientation val="minMax"/>
        </c:scaling>
        <c:delete val="0"/>
        <c:axPos val="l"/>
        <c:majorGridlines>
          <c:spPr>
            <a:ln w="6350">
              <a:solidFill>
                <a:srgbClr val="D9D9D9"/>
              </a:solidFill>
              <a:prstDash val="solid"/>
            </a:ln>
          </c:spPr>
        </c:majorGridlines>
        <c:numFmt formatCode="General" sourceLinked="1"/>
        <c:majorTickMark val="none"/>
        <c:minorTickMark val="none"/>
        <c:tickLblPos val="nextTo"/>
        <c:spPr>
          <a:ln>
            <a:noFill/>
          </a:ln>
        </c:spPr>
        <c:txPr>
          <a:bodyPr/>
          <a:lstStyle/>
          <a:p>
            <a:pPr>
              <a:defRPr sz="900" b="0" i="0" u="none" strike="noStrike" baseline="0">
                <a:solidFill>
                  <a:srgbClr val="595959"/>
                </a:solidFill>
                <a:latin typeface="Times New Roman"/>
                <a:ea typeface="宋体"/>
                <a:cs typeface="Arial"/>
              </a:defRPr>
            </a:pPr>
            <a:endParaRPr lang="zh-CN"/>
          </a:p>
        </c:txPr>
        <c:crossesAt val="1.0"/>
        <c:crossBetween val="between"/>
        <c:crossAx val="0"/>
      </c:valAx>
      <c:spPr>
        <a:noFill/>
        <a:ln>
          <a:noFill/>
        </a:ln>
      </c:spPr>
    </c:plotArea>
    <c:plotVisOnly val="1"/>
    <c:dispBlanksAs val="gap"/>
    <c:showDLblsOverMax val="0"/>
  </c:chart>
  <c:spPr>
    <a:solidFill>
      <a:srgbClr val="FFFFFF"/>
    </a:solidFill>
    <a:ln w="6350">
      <a:solidFill>
        <a:srgbClr val="D9D9D9"/>
      </a:solidFill>
      <a:prstDash val="solid"/>
    </a:ln>
  </c:spPr>
  <c:txPr>
    <a:bodyPr/>
    <a:lstStyle/>
    <a:p>
      <a:pPr>
        <a:defRPr sz="1000" b="0" i="0" u="none" strike="noStrike" baseline="0">
          <a:solidFill>
            <a:srgbClr val="000000"/>
          </a:solidFill>
          <a:latin typeface="Times New Roman"/>
          <a:ea typeface="宋体"/>
          <a:cs typeface="Arial"/>
        </a:defRPr>
      </a:pPr>
      <a:endParaRPr lang="zh-CN"/>
    </a:p>
  </c:txPr>
  <c:printSettings>
    <c:headerFooter/>
    <c:pageMargins b="0.75" l="0.7" r="0.7" t="0.75" header="0.3" footer="0.3"/>
    <c:pageSetup/>
  </c:printSettings>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200" b="0" i="0" u="none" strike="noStrike" baseline="0">
                <a:solidFill>
                  <a:srgbClr val="000000"/>
                </a:solidFill>
                <a:latin typeface="Times New Roman"/>
                <a:ea typeface="宋体"/>
                <a:cs typeface="Arial"/>
              </a:defRPr>
            </a:pPr>
            <a:r>
              <a:rPr lang="zh-CN" sz="1400" b="0" i="0" u="none" strike="noStrike" baseline="0">
                <a:solidFill>
                  <a:srgbClr val="000000"/>
                </a:solidFill>
                <a:latin typeface="宋体"/>
                <a:ea typeface="宋体"/>
                <a:cs typeface="Arial"/>
              </a:rPr>
              <a:t>图</a:t>
            </a:r>
            <a:r>
              <a:rPr lang="zh-CN" sz="1400" b="0" i="0" u="none" strike="noStrike" baseline="0">
                <a:solidFill>
                  <a:srgbClr val="000000"/>
                </a:solidFill>
                <a:latin typeface="Calibri"/>
                <a:ea typeface="Calibri"/>
                <a:cs typeface="Arial"/>
              </a:rPr>
              <a:t>6</a:t>
            </a:r>
            <a:r>
              <a:rPr lang="zh-CN" sz="1400" b="0" i="0" u="none" strike="noStrike" baseline="0">
                <a:solidFill>
                  <a:srgbClr val="000000"/>
                </a:solidFill>
                <a:latin typeface="宋体"/>
                <a:ea typeface="宋体"/>
                <a:cs typeface="Arial"/>
              </a:rPr>
              <a:t>：</a:t>
            </a:r>
            <a:r>
              <a:rPr lang="zh-CN" sz="1400" b="0" i="0" u="none" strike="noStrike" baseline="0">
                <a:solidFill>
                  <a:srgbClr val="000000"/>
                </a:solidFill>
                <a:latin typeface="宋体"/>
                <a:ea typeface="宋体"/>
                <a:cs typeface="Arial"/>
              </a:rPr>
              <a:t>一般公共预算财政拨款支出决算结构</a:t>
            </a:r>
          </a:p>
        </c:rich>
      </c:tx>
      <c:layout/>
      <c:overlay val="0"/>
      <c:spPr>
        <a:noFill/>
        <a:ln>
          <a:noFill/>
        </a:ln>
      </c:spPr>
    </c:title>
    <c:autoTitleDeleted val="1"/>
    <c:plotArea>
      <c:layout/>
      <c:pieChart>
        <c:varyColors val="1"/>
        <c:ser>
          <c:idx val="0"/>
          <c:order val="0"/>
          <c:spPr>
            <a:solidFill>
              <a:srgbClr val="4F81BD"/>
            </a:solidFill>
            <a:ln>
              <a:noFill/>
            </a:ln>
          </c:spPr>
          <c:dPt>
            <c:idx val="0"/>
            <c:bubble3D val="0"/>
            <c:spPr>
              <a:solidFill>
                <a:srgbClr val="4F81BD"/>
              </a:solidFill>
              <a:ln w="19050">
                <a:solidFill>
                  <a:srgbClr val="FFFFFF"/>
                </a:solidFill>
                <a:prstDash val="solid"/>
              </a:ln>
            </c:spPr>
          </c:dPt>
          <c:dPt>
            <c:idx val="1"/>
            <c:bubble3D val="0"/>
            <c:spPr>
              <a:solidFill>
                <a:srgbClr val="C0504D"/>
              </a:solidFill>
              <a:ln w="19050">
                <a:solidFill>
                  <a:srgbClr val="FFFFFF"/>
                </a:solidFill>
                <a:prstDash val="solid"/>
              </a:ln>
            </c:spPr>
          </c:dPt>
          <c:dPt>
            <c:idx val="2"/>
            <c:bubble3D val="0"/>
            <c:spPr>
              <a:solidFill>
                <a:srgbClr val="9BBB59"/>
              </a:solidFill>
              <a:ln w="19050">
                <a:solidFill>
                  <a:srgbClr val="FFFFFF"/>
                </a:solidFill>
                <a:prstDash val="solid"/>
              </a:ln>
            </c:spPr>
          </c:dPt>
          <c:dPt>
            <c:idx val="3"/>
            <c:bubble3D val="0"/>
            <c:spPr>
              <a:solidFill>
                <a:srgbClr val="8064A2"/>
              </a:solidFill>
              <a:ln w="19050">
                <a:solidFill>
                  <a:srgbClr val="FFFFFF"/>
                </a:solidFill>
                <a:prstDash val="solid"/>
              </a:ln>
            </c:spPr>
          </c:dPt>
          <c:dPt>
            <c:idx val="4"/>
            <c:bubble3D val="0"/>
            <c:spPr>
              <a:solidFill>
                <a:srgbClr val="4BACC6"/>
              </a:solidFill>
            </c:spPr>
          </c:dPt>
          <c:dLbls>
            <c:spPr>
              <a:noFill/>
              <a:ln>
                <a:noFill/>
              </a:ln>
            </c:spPr>
            <c:txPr>
              <a:bodyPr vert="horz"/>
              <a:lstStyle/>
              <a:p>
                <a:pPr>
                  <a:defRPr sz="900" b="0" i="0" u="none" strike="noStrike" baseline="0">
                    <a:solidFill>
                      <a:srgbClr val="404040"/>
                    </a:solidFill>
                    <a:latin typeface="Times New Roman"/>
                    <a:ea typeface="宋体"/>
                    <a:cs typeface="Arial"/>
                  </a:defRPr>
                </a:pPr>
                <a:endParaRPr lang="zh-CN"/>
              </a:p>
            </c:txPr>
            <c:numFmt formatCode="General" sourceLinked="0"/>
            <c:showLegendKey val="0"/>
            <c:showVal val="1"/>
            <c:showCatName val="0"/>
            <c:showSerName val="0"/>
            <c:showPercent val="0"/>
            <c:showBubbleSize val="0"/>
            <c:showLeaderLines val="1"/>
          </c:dLbls>
          <c:cat>
            <c:strLit>
              <c:ptCount val="5"/>
              <c:pt idx="0">
                <c:v>一般公共服务支出</c:v>
              </c:pt>
              <c:pt idx="1">
                <c:v>社会保障和就业支出</c:v>
              </c:pt>
              <c:pt idx="2">
                <c:v>卫生健康支出</c:v>
              </c:pt>
              <c:pt idx="3">
                <c:v>住房保障支出</c:v>
              </c:pt>
              <c:pt idx="4">
                <c:v>农业水支出</c:v>
              </c:pt>
            </c:strLit>
          </c:cat>
          <c:val>
            <c:numRef>
              <c:f/>
              <c:numCache>
                <c:formatCode>General</c:formatCode>
                <c:ptCount val="5"/>
                <c:pt idx="0">
                  <c:v>299.26</c:v>
                </c:pt>
                <c:pt idx="1">
                  <c:v>36.69</c:v>
                </c:pt>
                <c:pt idx="2">
                  <c:v>16.16</c:v>
                </c:pt>
                <c:pt idx="3">
                  <c:v>20.25</c:v>
                </c:pt>
                <c:pt idx="4">
                  <c:v>6.0</c:v>
                </c:pt>
              </c:numCache>
            </c:numRef>
          </c:val>
        </c:ser>
        <c:firstSliceAng val="0"/>
      </c:pieChart>
      <c:spPr>
        <a:noFill/>
        <a:ln>
          <a:noFill/>
        </a:ln>
      </c:spPr>
    </c:plotArea>
    <c:legend>
      <c:legendPos val="r"/>
      <c:layout/>
      <c:overlay val="0"/>
      <c:spPr>
        <a:noFill/>
        <a:ln>
          <a:noFill/>
        </a:ln>
      </c:spPr>
      <c:txPr>
        <a:bodyPr/>
        <a:lstStyle/>
        <a:p>
          <a:pPr>
            <a:defRPr sz="900" b="0" i="0" u="none" strike="noStrike" baseline="0">
              <a:solidFill>
                <a:srgbClr val="595959"/>
              </a:solidFill>
              <a:latin typeface="Times New Roman"/>
              <a:ea typeface="宋体"/>
              <a:cs typeface="Arial"/>
            </a:defRPr>
          </a:pPr>
          <a:endParaRPr lang="zh-CN"/>
        </a:p>
      </c:txPr>
    </c:legend>
    <c:plotVisOnly val="1"/>
    <c:dispBlanksAs val="zero"/>
    <c:showDLblsOverMax val="0"/>
  </c:chart>
  <c:spPr>
    <a:solidFill>
      <a:srgbClr val="FFFFFF"/>
    </a:solidFill>
    <a:ln w="6350">
      <a:solidFill>
        <a:srgbClr val="D9D9D9"/>
      </a:solidFill>
      <a:prstDash val="solid"/>
    </a:ln>
  </c:spPr>
  <c:txPr>
    <a:bodyPr/>
    <a:lstStyle/>
    <a:p>
      <a:pPr>
        <a:defRPr sz="1000" b="0" i="0" u="none" strike="noStrike" baseline="0">
          <a:solidFill>
            <a:srgbClr val="000000"/>
          </a:solidFill>
          <a:latin typeface="Times New Roman"/>
          <a:ea typeface="宋体"/>
          <a:cs typeface="Arial"/>
        </a:defRPr>
      </a:pPr>
      <a:endParaRPr lang="zh-CN"/>
    </a:p>
  </c:txPr>
  <c:printSettings>
    <c:headerFooter/>
    <c:pageMargins b="0.75" l="0.7" r="0.7" t="0.75" header="0.3" footer="0.3"/>
    <c:pageSetup/>
  </c:printSettings>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200" b="0" i="0" u="none" strike="noStrike" baseline="0">
                <a:solidFill>
                  <a:srgbClr val="000000"/>
                </a:solidFill>
                <a:latin typeface="Times New Roman"/>
                <a:ea typeface="宋体"/>
                <a:cs typeface="Arial"/>
              </a:defRPr>
            </a:pPr>
            <a:r>
              <a:rPr lang="zh-CN" sz="1400" b="0" i="0" u="none" strike="noStrike" cap="all" baseline="0">
                <a:solidFill>
                  <a:srgbClr val="000000"/>
                </a:solidFill>
                <a:latin typeface="宋体"/>
                <a:ea typeface="宋体"/>
                <a:cs typeface="Arial"/>
              </a:rPr>
              <a:t>图</a:t>
            </a:r>
            <a:r>
              <a:rPr lang="zh-CN" sz="1400" b="0" i="0" u="none" strike="noStrike" cap="all" baseline="0">
                <a:solidFill>
                  <a:srgbClr val="000000"/>
                </a:solidFill>
                <a:latin typeface="宋体"/>
                <a:ea typeface="宋体"/>
                <a:cs typeface="Arial"/>
              </a:rPr>
              <a:t>7</a:t>
            </a:r>
            <a:r>
              <a:rPr lang="zh-CN" sz="1400" b="0" i="0" u="none" strike="noStrike" cap="all" baseline="0">
                <a:solidFill>
                  <a:srgbClr val="000000"/>
                </a:solidFill>
                <a:latin typeface="宋体"/>
                <a:ea typeface="宋体"/>
                <a:cs typeface="Arial"/>
              </a:rPr>
              <a:t>：</a:t>
            </a:r>
            <a:r>
              <a:rPr lang="zh-CN" sz="1400" b="0" i="0" u="none" strike="noStrike" cap="all" baseline="0">
                <a:solidFill>
                  <a:srgbClr val="000000"/>
                </a:solidFill>
                <a:latin typeface="宋体"/>
                <a:ea typeface="宋体"/>
                <a:cs typeface="Arial"/>
              </a:rPr>
              <a:t>“</a:t>
            </a:r>
            <a:r>
              <a:rPr lang="zh-CN" sz="1400" b="0" i="0" u="none" strike="noStrike" cap="all" baseline="0">
                <a:solidFill>
                  <a:srgbClr val="000000"/>
                </a:solidFill>
                <a:latin typeface="宋体"/>
                <a:ea typeface="宋体"/>
                <a:cs typeface="Arial"/>
              </a:rPr>
              <a:t>三公</a:t>
            </a:r>
            <a:r>
              <a:rPr lang="zh-CN" sz="1400" b="0" i="0" u="none" strike="noStrike" cap="all" baseline="0">
                <a:solidFill>
                  <a:srgbClr val="000000"/>
                </a:solidFill>
                <a:latin typeface="宋体"/>
                <a:ea typeface="宋体"/>
                <a:cs typeface="Arial"/>
              </a:rPr>
              <a:t>”</a:t>
            </a:r>
            <a:r>
              <a:rPr lang="zh-CN" sz="1400" b="0" i="0" u="none" strike="noStrike" cap="all" baseline="0">
                <a:solidFill>
                  <a:srgbClr val="000000"/>
                </a:solidFill>
                <a:latin typeface="宋体"/>
                <a:ea typeface="宋体"/>
                <a:cs typeface="Arial"/>
              </a:rPr>
              <a:t>经费财政拨款支出结构</a:t>
            </a:r>
          </a:p>
        </c:rich>
      </c:tx>
      <c:layout/>
      <c:overlay val="0"/>
      <c:spPr>
        <a:noFill/>
        <a:ln>
          <a:noFill/>
        </a:ln>
      </c:spPr>
    </c:title>
    <c:autoTitleDeleted val="1"/>
    <c:view3D>
      <c:rotX val="30"/>
      <c:hPercent val="100"/>
      <c:rotY val="0"/>
      <c:depthPercent val="100"/>
      <c:rAngAx val="0"/>
      <c:perspective val="0"/>
    </c:view3D>
    <c:floor>
      <c:thickness val="0"/>
      <c:spPr>
        <a:ln w="6350">
          <a:solidFill>
            <a:srgbClr val="898989"/>
          </a:solidFill>
          <a:prstDash val="solid"/>
        </a:ln>
      </c:spPr>
    </c:floor>
    <c:sideWall>
      <c:thickness val="0"/>
      <c:spPr>
        <a:ln>
          <a:noFill/>
        </a:ln>
      </c:spPr>
    </c:sideWall>
    <c:backWall>
      <c:thickness val="0"/>
      <c:spPr>
        <a:noFill/>
        <a:ln>
          <a:noFill/>
        </a:ln>
      </c:spPr>
    </c:backWall>
    <c:plotArea>
      <c:layout/>
      <c:pie3DChart>
        <c:varyColors val="1"/>
        <c:ser>
          <c:idx val="0"/>
          <c:order val="0"/>
          <c:spPr>
            <a:solidFill>
              <a:srgbClr val="4F81BD"/>
            </a:solidFill>
          </c:spPr>
          <c:dPt>
            <c:idx val="0"/>
            <c:bubble3D val="0"/>
            <c:spPr>
              <a:solidFill>
                <a:srgbClr val="FEB348">
                  <a:alpha val="90000"/>
                </a:srgbClr>
              </a:solidFill>
              <a:ln w="19050">
                <a:solidFill>
                  <a:srgbClr val="F39001"/>
                </a:solidFill>
                <a:prstDash val="solid"/>
              </a:ln>
            </c:spPr>
          </c:dPt>
          <c:dPt>
            <c:idx val="1"/>
            <c:bubble3D val="0"/>
            <c:spPr>
              <a:solidFill>
                <a:srgbClr val="FE7B48">
                  <a:alpha val="90000"/>
                </a:srgbClr>
              </a:solidFill>
              <a:ln w="19050">
                <a:solidFill>
                  <a:srgbClr val="F34501"/>
                </a:solidFill>
                <a:prstDash val="solid"/>
              </a:ln>
            </c:spPr>
          </c:dPt>
          <c:dPt>
            <c:idx val="2"/>
            <c:bubble3D val="0"/>
            <c:spPr>
              <a:solidFill>
                <a:srgbClr val="5FB6FF"/>
              </a:solidFill>
              <a:ln w="19050">
                <a:solidFill>
                  <a:srgbClr val="078EFF"/>
                </a:solidFill>
                <a:prstDash val="solid"/>
              </a:ln>
            </c:spPr>
          </c:dPt>
          <c:dLbls>
            <c:spPr>
              <a:solidFill>
                <a:srgbClr val="FFFFFF"/>
              </a:solidFill>
              <a:ln w="6350">
                <a:solidFill>
                  <a:srgbClr val="FEB348"/>
                </a:solidFill>
                <a:prstDash val="solid"/>
              </a:ln>
            </c:spPr>
            <c:txPr>
              <a:bodyPr vert="horz"/>
              <a:lstStyle/>
              <a:p>
                <a:pPr>
                  <a:defRPr sz="1000" b="1" i="0" u="none" strike="noStrike" baseline="0">
                    <a:solidFill>
                      <a:srgbClr val="FEB348"/>
                    </a:solidFill>
                    <a:latin typeface="Times New Roman"/>
                    <a:ea typeface="宋体"/>
                    <a:cs typeface="Arial"/>
                  </a:defRPr>
                </a:pPr>
                <a:endParaRPr lang="zh-CN"/>
              </a:p>
            </c:txPr>
            <c:numFmt formatCode="0%" sourceLinked="0"/>
            <c:dLbl>
              <c:idx val="0"/>
              <c:numFmt formatCode="0%" sourceLinked="0"/>
              <c:spPr>
                <a:solidFill>
                  <a:srgbClr val="FFFFFF"/>
                </a:solidFill>
                <a:ln w="6350">
                  <a:solidFill>
                    <a:srgbClr val="F39001"/>
                  </a:solidFill>
                  <a:prstDash val="solid"/>
                </a:ln>
              </c:spPr>
              <c:txPr>
                <a:bodyPr vert="horz"/>
                <a:lstStyle/>
                <a:p>
                  <a:pPr>
                    <a:defRPr sz="1000" b="1" i="0" u="none" strike="noStrike" baseline="0">
                      <a:solidFill>
                        <a:srgbClr val="FEB348"/>
                      </a:solidFill>
                      <a:latin typeface="Times New Roman"/>
                      <a:ea typeface="宋体"/>
                      <a:cs typeface="Arial"/>
                    </a:defRPr>
                  </a:pPr>
                  <a:endParaRPr lang="zh-CN"/>
                </a:p>
              </c:txPr>
              <c:dLblPos val="outEnd"/>
              <c:showLegendKey val="0"/>
              <c:showVal val="0"/>
              <c:showCatName val="1"/>
              <c:showSerName val="1"/>
              <c:showPercent val="1"/>
              <c:showBubbleSize val="0"/>
              <c:separator>
</c:separator>
            </c:dLbl>
            <c:dLbl>
              <c:idx val="1"/>
              <c:numFmt formatCode="0%" sourceLinked="0"/>
              <c:spPr>
                <a:solidFill>
                  <a:srgbClr val="FFFFFF"/>
                </a:solidFill>
                <a:ln w="6350">
                  <a:solidFill>
                    <a:srgbClr val="FE7B48"/>
                  </a:solidFill>
                  <a:prstDash val="solid"/>
                </a:ln>
              </c:spPr>
              <c:txPr>
                <a:bodyPr vert="horz"/>
                <a:lstStyle/>
                <a:p>
                  <a:pPr>
                    <a:defRPr sz="1000" b="1" i="0" u="none" strike="noStrike" baseline="0">
                      <a:solidFill>
                        <a:srgbClr val="FE7B48"/>
                      </a:solidFill>
                      <a:latin typeface="Times New Roman"/>
                      <a:ea typeface="宋体"/>
                      <a:cs typeface="Arial"/>
                    </a:defRPr>
                  </a:pPr>
                  <a:endParaRPr lang="zh-CN"/>
                </a:p>
              </c:txPr>
              <c:dLblPos val="outEnd"/>
              <c:showLegendKey val="0"/>
              <c:showVal val="0"/>
              <c:showCatName val="1"/>
              <c:showSerName val="1"/>
              <c:showPercent val="1"/>
              <c:showBubbleSize val="0"/>
              <c:separator>
</c:separator>
            </c:dLbl>
            <c:dLbl>
              <c:idx val="2"/>
              <c:numFmt formatCode="0%" sourceLinked="0"/>
              <c:spPr>
                <a:solidFill>
                  <a:srgbClr val="FFFFFF"/>
                </a:solidFill>
                <a:ln w="6350">
                  <a:solidFill>
                    <a:srgbClr val="4165FF"/>
                  </a:solidFill>
                  <a:prstDash val="solid"/>
                </a:ln>
              </c:spPr>
              <c:txPr>
                <a:bodyPr vert="horz"/>
                <a:lstStyle/>
                <a:p>
                  <a:pPr>
                    <a:defRPr sz="1000" b="1" i="0" u="none" strike="noStrike" baseline="0">
                      <a:solidFill>
                        <a:srgbClr val="4165FF"/>
                      </a:solidFill>
                      <a:latin typeface="Times New Roman"/>
                      <a:ea typeface="宋体"/>
                      <a:cs typeface="Arial"/>
                    </a:defRPr>
                  </a:pPr>
                  <a:endParaRPr lang="zh-CN"/>
                </a:p>
              </c:txPr>
              <c:dLblPos val="outEnd"/>
              <c:showLegendKey val="0"/>
              <c:showVal val="0"/>
              <c:showCatName val="1"/>
              <c:showSerName val="1"/>
              <c:showPercent val="1"/>
              <c:showBubbleSize val="0"/>
              <c:separator>
</c:separator>
            </c:dLbl>
            <c:dLblPos val="outEnd"/>
            <c:showLegendKey val="0"/>
            <c:showVal val="0"/>
            <c:showCatName val="1"/>
            <c:showSerName val="0"/>
            <c:showPercent val="1"/>
            <c:showBubbleSize val="0"/>
            <c:separator>
</c:separator>
            <c:showLeaderLines val="1"/>
          </c:dLbls>
          <c:cat>
            <c:strLit>
              <c:ptCount val="3"/>
              <c:pt idx="0">
                <c:v>因公出国（出境）费</c:v>
              </c:pt>
              <c:pt idx="1">
                <c:v>公务用车购置及运行维护费</c:v>
              </c:pt>
              <c:pt idx="2">
                <c:v>公务接待费</c:v>
              </c:pt>
            </c:strLit>
          </c:cat>
          <c:val>
            <c:numRef>
              <c:f/>
              <c:numCache>
                <c:formatCode>General</c:formatCode>
                <c:ptCount val="3"/>
                <c:pt idx="0">
                  <c:v>0.0</c:v>
                </c:pt>
                <c:pt idx="1">
                  <c:v>8.66</c:v>
                </c:pt>
                <c:pt idx="2">
                  <c:v>0.0</c:v>
                </c:pt>
              </c:numCache>
            </c:numRef>
          </c:val>
        </c:ser>
        <c:gapDepth val="150"/>
        <c:firstSliceAng val="0"/>
      </c:pie3DChart>
      <c:spPr>
        <a:noFill/>
        <a:ln>
          <a:noFill/>
        </a:ln>
      </c:spPr>
    </c:plotArea>
    <c:plotVisOnly val="1"/>
    <c:dispBlanksAs val="zero"/>
    <c:showDLblsOverMax val="0"/>
  </c:chart>
  <c:spPr>
    <a:solidFill>
      <a:srgbClr val="FFFFFF"/>
    </a:solidFill>
    <a:ln w="6350">
      <a:solidFill>
        <a:srgbClr val="D9D9D9"/>
      </a:solidFill>
      <a:prstDash val="solid"/>
    </a:ln>
    <a:effectLst>
      <a:outerShdw blurRad="50800" dist="38100" dir="2700000" algn="tl" rotWithShape="0">
        <a:prstClr val="black">
          <a:alpha val="40000"/>
        </a:prstClr>
      </a:outerShdw>
    </a:effectLst>
  </c:spPr>
  <c:txPr>
    <a:bodyPr/>
    <a:lstStyle/>
    <a:p>
      <a:pPr>
        <a:defRPr sz="1000" b="0" i="0" u="none" strike="noStrike" baseline="0">
          <a:solidFill>
            <a:srgbClr val="000000"/>
          </a:solidFill>
          <a:latin typeface="Times New Roman"/>
          <a:ea typeface="宋体"/>
          <a:cs typeface="Arial"/>
        </a:defRPr>
      </a:pPr>
      <a:endParaRPr lang="zh-CN"/>
    </a:p>
  </c:txPr>
  <c:printSettings>
    <c:headerFooter/>
    <c:pageMargins b="0.75" l="0.7" r="0.7" t="0.75" header="0.3" footer="0.3"/>
    <c:pageSetup/>
  </c:printSettings>
  <c:externalData r:id="rId1">
    <c:autoUpdate val="0"/>
  </c:externalData>
</c:chartSpace>
</file>

<file path=docProps/app.xml><?xml version="1.0" encoding="utf-8"?>
<Properties xmlns="http://schemas.openxmlformats.org/officeDocument/2006/extended-properties">
  <Template>Normal.eit</Template>
  <TotalTime>8</TotalTime>
  <Application>Yozo_Office27021597764231179</Application>
  <Pages>58</Pages>
  <Words>24112</Words>
  <Characters>25408</Characters>
  <Lines>1772</Lines>
  <Paragraphs>952</Paragraphs>
  <CharactersWithSpaces>25613</CharactersWithSpaces>
  <Company>四川省财政厅</Company>
</Properties>
</file>

<file path=docProps/core.xml><?xml version="1.0" encoding="utf-8"?>
<cp:coreProperties xmlns:cp="http://schemas.openxmlformats.org/package/2006/metadata/core-properties" xmlns:dc="http://purl.org/dc/elements/1.1/" xmlns:dcterms="http://purl.org/dc/terms/" xmlns:xsi="http://www.w3.org/2001/XMLSchema-instance">
  <dc:title>四川省***</dc:title>
  <dc:creator>曹颖</dc:creator>
  <cp:lastModifiedBy>Administrator</cp:lastModifiedBy>
  <cp:revision>38</cp:revision>
  <cp:lastPrinted>2026-10-10T02:52:36Z</cp:lastPrinted>
  <dcterms:created xsi:type="dcterms:W3CDTF">2020-08-05T01:49:00Z</dcterms:created>
  <dcterms:modified xsi:type="dcterms:W3CDTF">2026-10-22T09:31:36Z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2052-12.1.0.16388</vt:lpwstr>
  </property>
  <property fmtid="{D5CDD505-2E9C-101B-9397-08002B2CF9AE}" pid="3" name="KSOTemplateDocerSaveRecord">
    <vt:lpwstr>eyJoZGlkIjoiNzJjZTdjYWZkZDNkNjFlZjkwMWViZjcyOTU5NGMxOTQiLCJ1c2VySWQiOiIxMTI3NDY4NDkxIn0=</vt:lpwstr>
  </property>
  <property fmtid="{D5CDD505-2E9C-101B-9397-08002B2CF9AE}" pid="4" name="ICV">
    <vt:lpwstr>9988B289F7604856AC03D2B337D43D36_13</vt:lpwstr>
  </property>
</Properties>
</file>