
<file path=[Content_Types].xml><?xml version="1.0" encoding="utf-8"?>
<Types xmlns="http://schemas.openxmlformats.org/package/2006/content-types">
  <Default Extension="rels" ContentType="application/vnd.openxmlformats-package.relationships+xml"/>
  <Default Extension="xml" ContentType="application/xml"/>
  <Default Extension="emf" ContentType="image/emf"/>
  <Default Extension="bin" ContentType="application/vnd.openxmlformats-officedocument.oleObject"/>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spacing w:line="600" w:lineRule="exact"/>
        <w:jc w:val="both"/>
        <w:outlineLvl w:val="0"/>
        <w:rPr>
          <w:rFonts w:ascii="黑体" w:eastAsia="黑体" w:hint="eastAsia"/>
          <w:color w:val="000000"/>
          <w:sz w:val="32"/>
          <w:szCs w:val="32"/>
        </w:rPr>
      </w:pPr>
      <w:bookmarkStart w:id="0" w:name="_Toc15306267"/>
    </w:p>
    <w:p>
      <w:pPr>
        <w:spacing w:line="600" w:lineRule="exact"/>
        <w:jc w:val="center"/>
        <w:outlineLvl w:val="0"/>
        <w:rPr>
          <w:rFonts w:ascii="方正小标宋简体" w:eastAsia="方正小标宋简体" w:hint="eastAsia"/>
          <w:color w:val="000000"/>
          <w:sz w:val="72"/>
          <w:szCs w:val="72"/>
        </w:rPr>
      </w:pPr>
    </w:p>
    <w:p>
      <w:pPr>
        <w:spacing w:line="600" w:lineRule="exact"/>
        <w:jc w:val="center"/>
        <w:outlineLvl w:val="0"/>
        <w:rPr>
          <w:rFonts w:ascii="方正小标宋简体" w:eastAsia="方正小标宋简体" w:hint="eastAsia"/>
          <w:color w:val="000000"/>
          <w:sz w:val="72"/>
          <w:szCs w:val="72"/>
        </w:rPr>
      </w:pPr>
    </w:p>
    <w:p>
      <w:pPr>
        <w:jc w:val="center"/>
        <w:rPr>
          <w:rFonts w:ascii="方正小标宋简体" w:eastAsia="方正小标宋简体" w:cs="方正小标宋简体" w:hint="eastAsia"/>
          <w:w w:val="80"/>
          <w:sz w:val="52"/>
          <w:szCs w:val="52"/>
        </w:rPr>
      </w:pPr>
      <w:bookmarkStart w:id="1" w:name="_Toc15377193"/>
      <w:bookmarkStart w:id="2" w:name="_Toc15377425"/>
      <w:bookmarkStart w:id="3" w:name="_Toc15396597"/>
      <w:bookmarkStart w:id="4" w:name="_Toc15378441"/>
      <w:bookmarkStart w:id="5" w:name="_Toc15396475"/>
      <w:r>
        <w:rPr>
          <w:rFonts w:ascii="方正小标宋简体" w:eastAsia="方正小标宋简体" w:cs="方正小标宋简体" w:hint="eastAsia"/>
          <w:w w:val="80"/>
          <w:sz w:val="52"/>
          <w:szCs w:val="52"/>
          <w:lang w:eastAsia="zh-CN"/>
        </w:rPr>
        <w:t>2025年</w:t>
      </w:r>
      <w:r>
        <w:rPr>
          <w:rFonts w:ascii="方正小标宋简体" w:eastAsia="方正小标宋简体" w:cs="方正小标宋简体" w:hint="eastAsia"/>
          <w:w w:val="80"/>
          <w:sz w:val="52"/>
          <w:szCs w:val="52"/>
        </w:rPr>
        <w:t>度</w:t>
      </w:r>
      <w:bookmarkEnd w:id="1"/>
      <w:bookmarkEnd w:id="2"/>
      <w:bookmarkEnd w:id="3"/>
      <w:bookmarkEnd w:id="4"/>
      <w:bookmarkEnd w:id="5"/>
    </w:p>
    <w:p>
      <w:pPr>
        <w:jc w:val="center"/>
        <w:rPr>
          <w:rFonts w:ascii="方正小标宋简体" w:eastAsia="方正小标宋简体" w:cs="方正小标宋简体" w:hint="eastAsia"/>
          <w:w w:val="80"/>
          <w:sz w:val="52"/>
          <w:szCs w:val="52"/>
        </w:rPr>
      </w:pPr>
      <w:bookmarkStart w:id="6" w:name="_Toc15378442"/>
      <w:bookmarkStart w:id="7" w:name="_Toc15396476"/>
      <w:bookmarkStart w:id="8" w:name="_Toc15396598"/>
      <w:bookmarkStart w:id="9" w:name="_Toc15377194"/>
      <w:bookmarkStart w:id="10" w:name="_Toc15377426"/>
      <w:r>
        <w:rPr>
          <w:rFonts w:ascii="方正小标宋简体" w:eastAsia="方正小标宋简体" w:cs="方正小标宋简体" w:hint="eastAsia"/>
          <w:w w:val="80"/>
          <w:sz w:val="52"/>
          <w:szCs w:val="52"/>
        </w:rPr>
        <w:t>四川省阿坝州</w:t>
      </w:r>
      <w:bookmarkStart w:id="11" w:name="_Toc15306268"/>
      <w:bookmarkEnd w:id="0"/>
      <w:r>
        <w:rPr>
          <w:rFonts w:ascii="方正小标宋简体" w:eastAsia="方正小标宋简体" w:cs="方正小标宋简体" w:hint="eastAsia"/>
          <w:w w:val="80"/>
          <w:sz w:val="52"/>
          <w:szCs w:val="52"/>
        </w:rPr>
        <w:t>汶川县人民代表大会常务委员会</w:t>
      </w:r>
    </w:p>
    <w:p>
      <w:pPr>
        <w:jc w:val="center"/>
        <w:rPr>
          <w:rFonts w:ascii="方正小标宋简体" w:eastAsia="方正小标宋简体" w:cs="方正小标宋简体"/>
          <w:w w:val="80"/>
          <w:sz w:val="52"/>
          <w:szCs w:val="52"/>
          <w:lang w:val="en-US" w:eastAsia="zh-CN"/>
        </w:rPr>
      </w:pPr>
      <w:r>
        <w:rPr>
          <w:rFonts w:ascii="方正小标宋简体" w:eastAsia="方正小标宋简体" w:cs="方正小标宋简体" w:hint="eastAsia"/>
          <w:w w:val="80"/>
          <w:sz w:val="52"/>
          <w:szCs w:val="52"/>
        </w:rPr>
        <w:t>办公室单位决算</w:t>
      </w:r>
      <w:bookmarkEnd w:id="6"/>
      <w:bookmarkEnd w:id="7"/>
      <w:bookmarkEnd w:id="8"/>
      <w:bookmarkEnd w:id="9"/>
      <w:bookmarkEnd w:id="10"/>
      <w:bookmarkEnd w:id="11"/>
    </w:p>
    <w:p>
      <w:pPr>
        <w:widowControl/>
        <w:jc w:val="center"/>
        <w:rPr>
          <w:rFonts w:ascii="方正小标宋简体" w:eastAsia="方正小标宋简体" w:hint="eastAsia"/>
          <w:color w:val="000000"/>
          <w:sz w:val="36"/>
          <w:szCs w:val="36"/>
        </w:rPr>
      </w:pPr>
    </w:p>
    <w:p>
      <w:pPr>
        <w:rPr>
          <w:rFonts w:ascii="方正小标宋简体" w:eastAsia="方正小标宋简体" w:hint="eastAsia"/>
          <w:sz w:val="36"/>
          <w:szCs w:val="36"/>
        </w:rPr>
      </w:pPr>
    </w:p>
    <w:p>
      <w:pPr>
        <w:rPr>
          <w:rFonts w:ascii="方正小标宋简体" w:eastAsia="方正小标宋简体" w:hint="eastAsia"/>
          <w:sz w:val="36"/>
          <w:szCs w:val="36"/>
        </w:rPr>
      </w:pPr>
    </w:p>
    <w:p>
      <w:pPr>
        <w:rPr>
          <w:rFonts w:ascii="方正小标宋简体" w:eastAsia="方正小标宋简体" w:hint="eastAsia"/>
          <w:sz w:val="36"/>
          <w:szCs w:val="36"/>
        </w:rPr>
      </w:pPr>
    </w:p>
    <w:p>
      <w:pPr>
        <w:rPr>
          <w:rFonts w:ascii="方正小标宋简体" w:eastAsia="方正小标宋简体" w:hint="eastAsia"/>
          <w:sz w:val="36"/>
          <w:szCs w:val="36"/>
        </w:rPr>
      </w:pPr>
    </w:p>
    <w:p>
      <w:pPr>
        <w:rPr>
          <w:rFonts w:ascii="方正小标宋简体" w:eastAsia="方正小标宋简体" w:hint="eastAsia"/>
          <w:sz w:val="36"/>
          <w:szCs w:val="36"/>
        </w:rPr>
      </w:pPr>
    </w:p>
    <w:p>
      <w:pPr>
        <w:rPr>
          <w:rFonts w:ascii="方正小标宋简体" w:eastAsia="方正小标宋简体" w:hint="eastAsia"/>
          <w:sz w:val="36"/>
          <w:szCs w:val="36"/>
        </w:rPr>
      </w:pPr>
    </w:p>
    <w:p>
      <w:pPr>
        <w:rPr>
          <w:rFonts w:ascii="方正小标宋简体" w:eastAsia="方正小标宋简体" w:hint="eastAsia"/>
          <w:sz w:val="36"/>
          <w:szCs w:val="36"/>
        </w:rPr>
      </w:pPr>
    </w:p>
    <w:p>
      <w:pPr>
        <w:rPr>
          <w:rFonts w:ascii="方正小标宋简体" w:eastAsia="方正小标宋简体" w:hint="eastAsia"/>
          <w:sz w:val="36"/>
          <w:szCs w:val="36"/>
        </w:rPr>
      </w:pPr>
    </w:p>
    <w:p>
      <w:pPr>
        <w:autoSpaceDE w:val="0"/>
        <w:autoSpaceDN w:val="0"/>
        <w:adjustRightInd w:val="0"/>
        <w:ind w:leftChars="200" w:left="420"/>
        <w:jc w:val="left"/>
        <w:rPr>
          <w:rFonts w:ascii="仿宋_GB2312" w:eastAsia="仿宋_GB2312" w:hint="eastAsia"/>
          <w:sz w:val="32"/>
          <w:szCs w:val="32"/>
        </w:rPr>
      </w:pPr>
      <w:r>
        <w:rPr>
          <w:rFonts w:ascii="仿宋_GB2312" w:eastAsia="仿宋_GB2312" w:cs="仿宋_GB2312" w:hint="eastAsia"/>
          <w:sz w:val="32"/>
          <w:szCs w:val="32"/>
        </w:rPr>
        <w:t>保密审查情况：已审查，内容审定</w:t>
      </w:r>
    </w:p>
    <w:p>
      <w:pPr>
        <w:autoSpaceDE w:val="0"/>
        <w:autoSpaceDN w:val="0"/>
        <w:adjustRightInd w:val="0"/>
        <w:ind w:leftChars="200" w:left="420"/>
        <w:jc w:val="left"/>
        <w:rPr>
          <w:rFonts w:ascii="仿宋_GB2312" w:eastAsia="仿宋_GB2312" w:cs="仿宋_GB2312" w:hint="eastAsia"/>
          <w:sz w:val="32"/>
          <w:szCs w:val="32"/>
        </w:rPr>
      </w:pPr>
      <w:r>
        <w:rPr>
          <w:rFonts w:ascii="仿宋_GB2312" w:eastAsia="仿宋_GB2312" w:cs="仿宋_GB2312" w:hint="eastAsia"/>
          <w:sz w:val="32"/>
          <w:szCs w:val="32"/>
        </w:rPr>
        <w:t>部门主要负责人审签情况：已审签，同意对外公开</w:t>
      </w:r>
    </w:p>
    <w:p>
      <w:pPr>
        <w:pStyle w:val="17"/>
        <w:tabs>
          <w:tab w:val="center" w:pos="4153"/>
          <w:tab w:val="right" w:pos="8306"/>
        </w:tabs>
        <w:rPr>
          <w:rFonts w:hint="eastAsia"/>
        </w:rPr>
      </w:pPr>
    </w:p>
    <w:p>
      <w:pPr>
        <w:pStyle w:val="17"/>
        <w:tabs>
          <w:tab w:val="center" w:pos="4153"/>
          <w:tab w:val="right" w:pos="8306"/>
        </w:tabs>
        <w:rPr>
          <w:rFonts w:hint="eastAsia"/>
        </w:rPr>
      </w:pPr>
    </w:p>
    <w:p>
      <w:pPr>
        <w:pStyle w:val="17"/>
        <w:tabs>
          <w:tab w:val="center" w:pos="4153"/>
          <w:tab w:val="right" w:pos="8306"/>
        </w:tabs>
        <w:rPr>
          <w:rFonts w:hint="eastAsia"/>
        </w:rPr>
      </w:pPr>
    </w:p>
    <w:p>
      <w:pPr>
        <w:pStyle w:val="17"/>
        <w:tabs>
          <w:tab w:val="center" w:pos="4153"/>
          <w:tab w:val="right" w:pos="8306"/>
        </w:tabs>
        <w:rPr>
          <w:rFonts w:hint="eastAsia"/>
        </w:rPr>
      </w:pPr>
    </w:p>
    <w:p>
      <w:pPr>
        <w:pStyle w:val="17"/>
        <w:tabs>
          <w:tab w:val="center" w:pos="4153"/>
          <w:tab w:val="right" w:pos="8306"/>
        </w:tabs>
        <w:rPr>
          <w:rFonts w:hint="eastAsia"/>
        </w:rPr>
      </w:pPr>
    </w:p>
    <w:p>
      <w:pPr>
        <w:pStyle w:val="17"/>
        <w:tabs>
          <w:tab w:val="center" w:pos="4153"/>
          <w:tab w:val="right" w:pos="8306"/>
        </w:tabs>
        <w:rPr>
          <w:rFonts w:hint="eastAsia"/>
        </w:rPr>
      </w:pPr>
    </w:p>
    <w:p>
      <w:pPr>
        <w:widowControl/>
        <w:tabs>
          <w:tab w:val="left" w:pos="1526"/>
          <w:tab w:val="center" w:pos="4153"/>
        </w:tabs>
        <w:jc w:val="center"/>
        <w:rPr>
          <w:rFonts w:ascii="方正小标宋简体" w:eastAsia="方正小标宋简体" w:cs="Times New Roman" w:hint="eastAsia"/>
          <w:color w:val="000000"/>
          <w:sz w:val="44"/>
          <w:szCs w:val="44"/>
        </w:rPr>
      </w:pPr>
      <w:r>
        <w:rPr>
          <w:rFonts w:ascii="方正小标宋简体" w:eastAsia="方正小标宋简体" w:cs="Times New Roman" w:hint="eastAsia"/>
          <w:color w:val="000000"/>
          <w:sz w:val="44"/>
          <w:szCs w:val="44"/>
        </w:rPr>
        <w:t>目  录</w:t>
      </w:r>
    </w:p>
    <w:p>
      <w:pPr>
        <w:pStyle w:val="19"/>
        <w:tabs>
          <w:tab w:val="right" w:leader="dot" w:pos="8296"/>
        </w:tabs>
        <w:spacing w:before="93" w:after="0"/>
        <w:jc w:val="center"/>
        <w:rPr>
          <w:rFonts w:ascii="仿宋_GB2312" w:eastAsia="仿宋_GB2312" w:cs="仿宋_GB2312" w:hint="eastAsia"/>
          <w:b/>
          <w:bCs/>
          <w:caps w:val="0"/>
          <w:smallCaps w:val="0"/>
          <w:sz w:val="32"/>
          <w:szCs w:val="32"/>
        </w:rPr>
      </w:pPr>
      <w:r>
        <w:rPr>
          <w:rFonts w:ascii="仿宋_GB2312" w:eastAsia="仿宋_GB2312" w:cs="仿宋_GB2312" w:hint="eastAsia"/>
          <w:b/>
          <w:bCs/>
          <w:caps w:val="0"/>
          <w:smallCaps w:val="0"/>
          <w:sz w:val="32"/>
          <w:szCs w:val="32"/>
        </w:rPr>
        <w:t>公开时间：</w:t>
      </w:r>
      <w:r>
        <w:rPr>
          <w:rFonts w:ascii="仿宋_GB2312" w:eastAsia="仿宋_GB2312" w:cs="仿宋_GB2312" w:hint="eastAsia"/>
          <w:b/>
          <w:bCs/>
          <w:caps w:val="0"/>
          <w:smallCaps w:val="0"/>
          <w:sz w:val="32"/>
          <w:szCs w:val="32"/>
          <w:lang w:eastAsia="zh-CN"/>
        </w:rPr>
        <w:t>2025年</w:t>
      </w:r>
      <w:r>
        <w:rPr>
          <w:rFonts w:ascii="仿宋_GB2312" w:eastAsia="仿宋_GB2312" w:cs="仿宋_GB2312" w:hint="eastAsia"/>
          <w:b/>
          <w:bCs/>
          <w:caps w:val="0"/>
          <w:smallCaps w:val="0"/>
          <w:sz w:val="32"/>
          <w:szCs w:val="32"/>
          <w:lang w:val="en-US" w:eastAsia="zh-CN"/>
        </w:rPr>
        <w:t>10</w:t>
      </w:r>
      <w:r>
        <w:rPr>
          <w:rFonts w:ascii="仿宋_GB2312" w:eastAsia="仿宋_GB2312" w:cs="仿宋_GB2312" w:hint="eastAsia"/>
          <w:b/>
          <w:bCs/>
          <w:caps w:val="0"/>
          <w:smallCaps w:val="0"/>
          <w:sz w:val="32"/>
          <w:szCs w:val="32"/>
        </w:rPr>
        <w:t>月</w:t>
      </w:r>
      <w:r>
        <w:rPr>
          <w:rFonts w:ascii="仿宋_GB2312" w:eastAsia="仿宋_GB2312" w:cs="仿宋_GB2312" w:hint="eastAsia"/>
          <w:b/>
          <w:bCs/>
          <w:caps w:val="0"/>
          <w:smallCaps w:val="0"/>
          <w:sz w:val="32"/>
          <w:szCs w:val="32"/>
          <w:lang w:val="en-US" w:eastAsia="zh-CN"/>
        </w:rPr>
        <w:t>9</w:t>
      </w:r>
      <w:r>
        <w:rPr>
          <w:rFonts w:ascii="仿宋_GB2312" w:eastAsia="仿宋_GB2312" w:cs="仿宋_GB2312" w:hint="eastAsia"/>
          <w:b/>
          <w:bCs/>
          <w:caps w:val="0"/>
          <w:smallCaps w:val="0"/>
          <w:sz w:val="32"/>
          <w:szCs w:val="32"/>
        </w:rPr>
        <w:t>日</w:t>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50" w:lineRule="exact"/>
        <w:jc w:val="center"/>
        <w:textAlignment w:val="auto"/>
        <w:rPr>
          <w:rFonts w:ascii="仿宋_GB2312" w:eastAsia="仿宋_GB2312" w:cs="仿宋_GB2312" w:hint="eastAsia"/>
          <w:b w:val="0"/>
          <w:bCs w:val="0"/>
          <w:caps w:val="0"/>
          <w:smallCaps w:val="0"/>
          <w:color w:val="000000"/>
          <w:sz w:val="32"/>
          <w:szCs w:val="32"/>
          <w:lang w:val="en-US" w:eastAsia="zh-CN"/>
        </w:rPr>
      </w:pPr>
      <w:r>
        <w:rPr>
          <w:rFonts w:ascii="仿宋_GB2312" w:eastAsia="仿宋_GB2312" w:cs="仿宋_GB2312" w:hint="eastAsia"/>
          <w:b w:val="0"/>
          <w:bCs w:val="0"/>
          <w:sz w:val="32"/>
          <w:szCs w:val="32"/>
        </w:rPr>
        <w:fldChar w:fldCharType="begin"/>
      </w:r>
      <w:r>
        <w:rPr>
          <w:rFonts w:ascii="仿宋_GB2312" w:eastAsia="仿宋_GB2312" w:cs="仿宋_GB2312" w:hint="eastAsia"/>
          <w:b w:val="0"/>
          <w:bCs w:val="0"/>
          <w:sz w:val="32"/>
          <w:szCs w:val="32"/>
        </w:rPr>
        <w:instrText xml:space="preserve"> TOC \o \u </w:instrText>
      </w:r>
      <w:r>
        <w:rPr>
          <w:rFonts w:ascii="仿宋_GB2312" w:eastAsia="仿宋_GB2312" w:cs="仿宋_GB2312" w:hint="eastAsia"/>
          <w:b w:val="0"/>
          <w:bCs w:val="0"/>
          <w:sz w:val="32"/>
          <w:szCs w:val="32"/>
        </w:rPr>
        <w:fldChar w:fldCharType="separate"/>
      </w:r>
      <w:r>
        <w:rPr>
          <w:rFonts w:ascii="黑体" w:eastAsia="黑体" w:cs="黑体" w:hint="eastAsia"/>
          <w:b w:val="0"/>
          <w:bCs w:val="0"/>
          <w:caps w:val="0"/>
          <w:smallCaps w:val="0"/>
          <w:color w:val="000000"/>
          <w:sz w:val="32"/>
          <w:szCs w:val="32"/>
        </w:rPr>
        <w:t>第一部分 单位概况</w:t>
      </w:r>
      <w:r>
        <w:rPr>
          <w:rFonts w:ascii="仿宋_GB2312" w:eastAsia="仿宋_GB2312" w:cs="仿宋_GB2312" w:hint="eastAsia"/>
          <w:b w:val="0"/>
          <w:bCs w:val="0"/>
          <w:caps w:val="0"/>
          <w:smallCaps w:val="0"/>
          <w:color w:val="000000"/>
          <w:sz w:val="32"/>
          <w:szCs w:val="32"/>
        </w:rPr>
        <w:tab/>
      </w:r>
      <w:r>
        <w:rPr>
          <w:rFonts w:ascii="仿宋_GB2312" w:eastAsia="仿宋_GB2312" w:cs="仿宋_GB2312" w:hint="eastAsia"/>
          <w:b w:val="0"/>
          <w:bCs w:val="0"/>
          <w:caps w:val="0"/>
          <w:smallCaps w:val="0"/>
          <w:color w:val="000000"/>
          <w:sz w:val="32"/>
          <w:szCs w:val="32"/>
          <w:lang w:val="en-US" w:eastAsia="zh-CN"/>
        </w:rPr>
        <w:t>3</w:t>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50" w:lineRule="exact"/>
        <w:jc w:val="center"/>
        <w:textAlignment w:val="auto"/>
        <w:rPr>
          <w:rFonts w:ascii="仿宋_GB2312" w:eastAsia="仿宋_GB2312" w:cs="仿宋_GB2312" w:hint="eastAsia"/>
          <w:b w:val="0"/>
          <w:bCs w:val="0"/>
          <w:caps w:val="0"/>
          <w:smallCaps w:val="0"/>
          <w:color w:val="000000"/>
          <w:sz w:val="32"/>
          <w:szCs w:val="32"/>
          <w:lang w:val="en-US" w:eastAsia="zh-CN"/>
        </w:rPr>
      </w:pPr>
      <w:r>
        <w:rPr>
          <w:rFonts w:ascii="仿宋_GB2312" w:eastAsia="仿宋_GB2312" w:cs="仿宋_GB2312" w:hint="eastAsia"/>
          <w:b w:val="0"/>
          <w:bCs w:val="0"/>
          <w:caps w:val="0"/>
          <w:smallCaps w:val="0"/>
          <w:color w:val="000000"/>
          <w:sz w:val="32"/>
          <w:szCs w:val="32"/>
          <w:lang w:val="en-US" w:eastAsia="zh-CN"/>
        </w:rPr>
        <w:t xml:space="preserve">    </w:t>
      </w:r>
      <w:r>
        <w:rPr>
          <w:rFonts w:ascii="仿宋_GB2312" w:eastAsia="仿宋_GB2312" w:cs="仿宋_GB2312" w:hint="eastAsia"/>
          <w:b w:val="0"/>
          <w:bCs w:val="0"/>
          <w:caps w:val="0"/>
          <w:smallCaps w:val="0"/>
          <w:color w:val="000000"/>
          <w:sz w:val="32"/>
          <w:szCs w:val="32"/>
        </w:rPr>
        <w:t>一、</w:t>
      </w:r>
      <w:r>
        <w:rPr>
          <w:rFonts w:ascii="仿宋_GB2312" w:eastAsia="仿宋_GB2312" w:cs="仿宋_GB2312" w:hint="eastAsia"/>
          <w:b w:val="0"/>
          <w:bCs w:val="0"/>
          <w:caps w:val="0"/>
          <w:smallCaps w:val="0"/>
          <w:color w:val="000000"/>
          <w:sz w:val="32"/>
          <w:szCs w:val="32"/>
          <w:lang w:val="en-US" w:eastAsia="zh-CN"/>
        </w:rPr>
        <w:t>主要职责</w:t>
      </w:r>
      <w:r>
        <w:rPr>
          <w:rFonts w:ascii="仿宋_GB2312" w:eastAsia="仿宋_GB2312" w:cs="仿宋_GB2312" w:hint="eastAsia"/>
          <w:b w:val="0"/>
          <w:bCs w:val="0"/>
          <w:caps w:val="0"/>
          <w:smallCaps w:val="0"/>
          <w:color w:val="000000"/>
          <w:sz w:val="32"/>
          <w:szCs w:val="32"/>
        </w:rPr>
        <w:tab/>
      </w:r>
      <w:r>
        <w:rPr>
          <w:rFonts w:ascii="仿宋_GB2312" w:eastAsia="仿宋_GB2312" w:cs="仿宋_GB2312" w:hint="eastAsia"/>
          <w:b w:val="0"/>
          <w:bCs w:val="0"/>
          <w:caps w:val="0"/>
          <w:smallCaps w:val="0"/>
          <w:color w:val="000000"/>
          <w:sz w:val="32"/>
          <w:szCs w:val="32"/>
          <w:lang w:val="en-US" w:eastAsia="zh-CN"/>
        </w:rPr>
        <w:t>3</w:t>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50" w:lineRule="exact"/>
        <w:jc w:val="center"/>
        <w:textAlignment w:val="auto"/>
        <w:rPr>
          <w:rFonts w:ascii="仿宋_GB2312" w:eastAsia="仿宋_GB2312" w:cs="仿宋_GB2312" w:hint="eastAsia"/>
          <w:b w:val="0"/>
          <w:bCs w:val="0"/>
          <w:caps w:val="0"/>
          <w:smallCaps w:val="0"/>
          <w:color w:val="000000"/>
          <w:sz w:val="32"/>
          <w:szCs w:val="32"/>
          <w:lang w:val="en-US" w:eastAsia="zh-CN"/>
        </w:rPr>
      </w:pPr>
      <w:r>
        <w:rPr>
          <w:rFonts w:ascii="仿宋_GB2312" w:eastAsia="仿宋_GB2312" w:cs="仿宋_GB2312" w:hint="eastAsia"/>
          <w:b w:val="0"/>
          <w:bCs w:val="0"/>
          <w:caps w:val="0"/>
          <w:smallCaps w:val="0"/>
          <w:color w:val="000000"/>
          <w:sz w:val="32"/>
          <w:szCs w:val="32"/>
          <w:lang w:val="en-US" w:eastAsia="zh-CN"/>
        </w:rPr>
        <w:t xml:space="preserve">    </w:t>
      </w:r>
      <w:r>
        <w:rPr>
          <w:rFonts w:ascii="仿宋_GB2312" w:eastAsia="仿宋_GB2312" w:cs="仿宋_GB2312" w:hint="eastAsia"/>
          <w:b w:val="0"/>
          <w:bCs w:val="0"/>
          <w:caps w:val="0"/>
          <w:smallCaps w:val="0"/>
          <w:color w:val="000000"/>
          <w:sz w:val="32"/>
          <w:szCs w:val="32"/>
        </w:rPr>
        <w:t>二、机构设置</w:t>
        <w:tab/>
      </w:r>
      <w:r>
        <w:rPr>
          <w:rFonts w:ascii="仿宋_GB2312" w:eastAsia="仿宋_GB2312" w:cs="仿宋_GB2312" w:hint="eastAsia"/>
          <w:b w:val="0"/>
          <w:bCs w:val="0"/>
          <w:caps w:val="0"/>
          <w:smallCaps w:val="0"/>
          <w:color w:val="000000"/>
          <w:sz w:val="32"/>
          <w:szCs w:val="32"/>
          <w:lang w:val="en-US" w:eastAsia="zh-CN"/>
        </w:rPr>
        <w:t>3</w:t>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50" w:lineRule="exact"/>
        <w:jc w:val="center"/>
        <w:textAlignment w:val="auto"/>
        <w:rPr>
          <w:rFonts w:ascii="仿宋_GB2312" w:eastAsia="仿宋_GB2312" w:cs="仿宋_GB2312" w:hint="eastAsia"/>
          <w:b w:val="0"/>
          <w:bCs w:val="0"/>
          <w:caps w:val="0"/>
          <w:smallCaps w:val="0"/>
          <w:color w:val="000000"/>
          <w:sz w:val="32"/>
          <w:szCs w:val="32"/>
          <w:lang w:val="en-US" w:eastAsia="zh-CN"/>
        </w:rPr>
      </w:pPr>
      <w:r>
        <w:rPr>
          <w:rFonts w:ascii="黑体" w:eastAsia="黑体" w:cs="黑体" w:hint="eastAsia"/>
          <w:b w:val="0"/>
          <w:bCs w:val="0"/>
          <w:caps w:val="0"/>
          <w:smallCaps w:val="0"/>
          <w:color w:val="000000"/>
          <w:sz w:val="32"/>
          <w:szCs w:val="32"/>
        </w:rPr>
        <w:t xml:space="preserve">第二部分 </w:t>
      </w:r>
      <w:r>
        <w:rPr>
          <w:rFonts w:ascii="黑体" w:eastAsia="黑体" w:cs="黑体" w:hint="eastAsia"/>
          <w:b w:val="0"/>
          <w:bCs w:val="0"/>
          <w:caps w:val="0"/>
          <w:smallCaps w:val="0"/>
          <w:color w:val="000000"/>
          <w:sz w:val="32"/>
          <w:szCs w:val="32"/>
          <w:lang w:eastAsia="zh-CN"/>
        </w:rPr>
        <w:t>202</w:t>
      </w:r>
      <w:r>
        <w:rPr>
          <w:rFonts w:ascii="黑体" w:eastAsia="黑体" w:cs="黑体"/>
          <w:b w:val="0"/>
          <w:bCs w:val="0"/>
          <w:caps w:val="0"/>
          <w:smallCaps w:val="0"/>
          <w:color w:val="000000"/>
          <w:sz w:val="32"/>
          <w:szCs w:val="32"/>
          <w:lang w:eastAsia="zh-CN"/>
        </w:rPr>
        <w:t>5</w:t>
      </w:r>
      <w:r>
        <w:rPr>
          <w:rFonts w:ascii="黑体" w:eastAsia="黑体" w:cs="黑体" w:hint="eastAsia"/>
          <w:b w:val="0"/>
          <w:bCs w:val="0"/>
          <w:caps w:val="0"/>
          <w:smallCaps w:val="0"/>
          <w:color w:val="000000"/>
          <w:sz w:val="32"/>
          <w:szCs w:val="32"/>
          <w:lang w:eastAsia="zh-CN"/>
        </w:rPr>
        <w:t>年</w:t>
      </w:r>
      <w:r>
        <w:rPr>
          <w:rFonts w:ascii="黑体" w:eastAsia="黑体" w:cs="黑体" w:hint="eastAsia"/>
          <w:b w:val="0"/>
          <w:bCs w:val="0"/>
          <w:caps w:val="0"/>
          <w:smallCaps w:val="0"/>
          <w:color w:val="000000"/>
          <w:sz w:val="32"/>
          <w:szCs w:val="32"/>
        </w:rPr>
        <w:t>度单位决算情况说明</w:t>
      </w:r>
      <w:r>
        <w:rPr>
          <w:rFonts w:ascii="仿宋_GB2312" w:eastAsia="仿宋_GB2312" w:cs="仿宋_GB2312" w:hint="eastAsia"/>
          <w:b w:val="0"/>
          <w:bCs w:val="0"/>
          <w:caps w:val="0"/>
          <w:smallCaps w:val="0"/>
          <w:color w:val="000000"/>
          <w:sz w:val="32"/>
          <w:szCs w:val="32"/>
        </w:rPr>
        <w:tab/>
      </w:r>
      <w:r>
        <w:rPr>
          <w:rFonts w:ascii="仿宋_GB2312" w:eastAsia="仿宋_GB2312" w:cs="仿宋_GB2312" w:hint="eastAsia"/>
          <w:b w:val="0"/>
          <w:bCs w:val="0"/>
          <w:caps w:val="0"/>
          <w:smallCaps w:val="0"/>
          <w:color w:val="000000"/>
          <w:sz w:val="32"/>
          <w:szCs w:val="32"/>
          <w:lang w:val="en-US" w:eastAsia="zh-CN"/>
        </w:rPr>
        <w:t>4</w:t>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50" w:lineRule="exact"/>
        <w:jc w:val="center"/>
        <w:textAlignment w:val="auto"/>
        <w:rPr>
          <w:rFonts w:ascii="仿宋_GB2312" w:eastAsia="仿宋_GB2312" w:cs="仿宋_GB2312" w:hint="eastAsia"/>
          <w:b w:val="0"/>
          <w:bCs w:val="0"/>
          <w:caps w:val="0"/>
          <w:smallCaps w:val="0"/>
          <w:color w:val="000000"/>
          <w:sz w:val="32"/>
          <w:szCs w:val="32"/>
          <w:lang w:val="en-US" w:eastAsia="zh-CN"/>
        </w:rPr>
      </w:pPr>
      <w:r>
        <w:rPr>
          <w:rFonts w:ascii="仿宋_GB2312" w:eastAsia="仿宋_GB2312" w:cs="仿宋_GB2312" w:hint="eastAsia"/>
          <w:b w:val="0"/>
          <w:bCs w:val="0"/>
          <w:caps w:val="0"/>
          <w:smallCaps w:val="0"/>
          <w:color w:val="000000"/>
          <w:sz w:val="32"/>
          <w:szCs w:val="32"/>
          <w:lang w:val="en-US" w:eastAsia="zh-CN"/>
        </w:rPr>
        <w:t xml:space="preserve">    </w:t>
      </w:r>
      <w:r>
        <w:rPr>
          <w:rFonts w:ascii="仿宋_GB2312" w:eastAsia="仿宋_GB2312" w:cs="仿宋_GB2312" w:hint="eastAsia"/>
          <w:b w:val="0"/>
          <w:bCs w:val="0"/>
          <w:caps w:val="0"/>
          <w:smallCaps w:val="0"/>
          <w:color w:val="000000"/>
          <w:sz w:val="32"/>
          <w:szCs w:val="32"/>
        </w:rPr>
        <w:t>一、收入支出决算总体情况说明</w:t>
        <w:tab/>
      </w:r>
      <w:r>
        <w:rPr>
          <w:rFonts w:ascii="仿宋_GB2312" w:eastAsia="仿宋_GB2312" w:cs="仿宋_GB2312" w:hint="eastAsia"/>
          <w:b w:val="0"/>
          <w:bCs w:val="0"/>
          <w:caps w:val="0"/>
          <w:smallCaps w:val="0"/>
          <w:color w:val="000000"/>
          <w:sz w:val="32"/>
          <w:szCs w:val="32"/>
          <w:lang w:val="en-US" w:eastAsia="zh-CN"/>
        </w:rPr>
        <w:t>4</w:t>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50" w:lineRule="exact"/>
        <w:jc w:val="center"/>
        <w:textAlignment w:val="auto"/>
        <w:rPr>
          <w:rFonts w:ascii="仿宋_GB2312" w:eastAsia="仿宋_GB2312" w:cs="仿宋_GB2312" w:hint="eastAsia"/>
          <w:b w:val="0"/>
          <w:bCs w:val="0"/>
          <w:caps w:val="0"/>
          <w:smallCaps w:val="0"/>
          <w:color w:val="000000"/>
          <w:sz w:val="32"/>
          <w:szCs w:val="32"/>
          <w:lang w:val="en-US" w:eastAsia="zh-CN"/>
        </w:rPr>
      </w:pPr>
      <w:r>
        <w:rPr>
          <w:rFonts w:ascii="仿宋_GB2312" w:eastAsia="仿宋_GB2312" w:cs="仿宋_GB2312" w:hint="eastAsia"/>
          <w:b w:val="0"/>
          <w:bCs w:val="0"/>
          <w:caps w:val="0"/>
          <w:smallCaps w:val="0"/>
          <w:color w:val="000000"/>
          <w:sz w:val="32"/>
          <w:szCs w:val="32"/>
          <w:lang w:val="en-US" w:eastAsia="zh-CN"/>
        </w:rPr>
        <w:t xml:space="preserve">    </w:t>
      </w:r>
      <w:r>
        <w:rPr>
          <w:rFonts w:ascii="仿宋_GB2312" w:eastAsia="仿宋_GB2312" w:cs="仿宋_GB2312" w:hint="eastAsia"/>
          <w:b w:val="0"/>
          <w:bCs w:val="0"/>
          <w:caps w:val="0"/>
          <w:smallCaps w:val="0"/>
          <w:color w:val="000000"/>
          <w:sz w:val="32"/>
          <w:szCs w:val="32"/>
        </w:rPr>
        <w:t>二、收入决算情况说明</w:t>
        <w:tab/>
      </w:r>
      <w:r>
        <w:rPr>
          <w:rFonts w:ascii="仿宋_GB2312" w:eastAsia="仿宋_GB2312" w:cs="仿宋_GB2312" w:hint="eastAsia"/>
          <w:b w:val="0"/>
          <w:bCs w:val="0"/>
          <w:caps w:val="0"/>
          <w:smallCaps w:val="0"/>
          <w:color w:val="000000"/>
          <w:sz w:val="32"/>
          <w:szCs w:val="32"/>
          <w:lang w:val="en-US" w:eastAsia="zh-CN"/>
        </w:rPr>
        <w:t>4</w:t>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50" w:lineRule="exact"/>
        <w:jc w:val="center"/>
        <w:textAlignment w:val="auto"/>
        <w:rPr>
          <w:rFonts w:ascii="仿宋_GB2312" w:eastAsia="仿宋_GB2312" w:cs="仿宋_GB2312" w:hint="eastAsia"/>
          <w:b w:val="0"/>
          <w:bCs w:val="0"/>
          <w:caps w:val="0"/>
          <w:smallCaps w:val="0"/>
          <w:color w:val="000000"/>
          <w:sz w:val="32"/>
          <w:szCs w:val="32"/>
          <w:lang w:val="en-US" w:eastAsia="zh-CN"/>
        </w:rPr>
      </w:pPr>
      <w:r>
        <w:rPr>
          <w:rFonts w:ascii="仿宋_GB2312" w:eastAsia="仿宋_GB2312" w:cs="仿宋_GB2312" w:hint="eastAsia"/>
          <w:b w:val="0"/>
          <w:bCs w:val="0"/>
          <w:caps w:val="0"/>
          <w:smallCaps w:val="0"/>
          <w:color w:val="000000"/>
          <w:sz w:val="32"/>
          <w:szCs w:val="32"/>
          <w:lang w:val="en-US" w:eastAsia="zh-CN"/>
        </w:rPr>
        <w:t xml:space="preserve">    </w:t>
      </w:r>
      <w:r>
        <w:rPr>
          <w:rFonts w:ascii="仿宋_GB2312" w:eastAsia="仿宋_GB2312" w:cs="仿宋_GB2312" w:hint="eastAsia"/>
          <w:b w:val="0"/>
          <w:bCs w:val="0"/>
          <w:caps w:val="0"/>
          <w:smallCaps w:val="0"/>
          <w:color w:val="000000"/>
          <w:sz w:val="32"/>
          <w:szCs w:val="32"/>
        </w:rPr>
        <w:t>三、支出决算情况说明</w:t>
        <w:tab/>
      </w:r>
      <w:r>
        <w:rPr>
          <w:rFonts w:ascii="仿宋_GB2312" w:eastAsia="仿宋_GB2312" w:cs="仿宋_GB2312" w:hint="eastAsia"/>
          <w:b w:val="0"/>
          <w:bCs w:val="0"/>
          <w:caps w:val="0"/>
          <w:smallCaps w:val="0"/>
          <w:color w:val="000000"/>
          <w:sz w:val="32"/>
          <w:szCs w:val="32"/>
          <w:lang w:val="en-US" w:eastAsia="zh-CN"/>
        </w:rPr>
        <w:t>5</w:t>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50" w:lineRule="exact"/>
        <w:jc w:val="center"/>
        <w:textAlignment w:val="auto"/>
        <w:rPr>
          <w:rFonts w:ascii="仿宋_GB2312" w:eastAsia="仿宋_GB2312" w:cs="仿宋_GB2312" w:hint="eastAsia"/>
          <w:b w:val="0"/>
          <w:bCs w:val="0"/>
          <w:caps w:val="0"/>
          <w:smallCaps w:val="0"/>
          <w:color w:val="000000"/>
          <w:sz w:val="32"/>
          <w:szCs w:val="32"/>
          <w:lang w:val="en-US" w:eastAsia="zh-CN"/>
        </w:rPr>
      </w:pPr>
      <w:r>
        <w:rPr>
          <w:rFonts w:ascii="仿宋_GB2312" w:eastAsia="仿宋_GB2312" w:cs="仿宋_GB2312" w:hint="eastAsia"/>
          <w:b w:val="0"/>
          <w:bCs w:val="0"/>
          <w:caps w:val="0"/>
          <w:smallCaps w:val="0"/>
          <w:color w:val="000000"/>
          <w:sz w:val="32"/>
          <w:szCs w:val="32"/>
          <w:lang w:val="en-US" w:eastAsia="zh-CN"/>
        </w:rPr>
        <w:t xml:space="preserve">    </w:t>
      </w:r>
      <w:r>
        <w:rPr>
          <w:rFonts w:ascii="仿宋_GB2312" w:eastAsia="仿宋_GB2312" w:cs="仿宋_GB2312" w:hint="eastAsia"/>
          <w:b w:val="0"/>
          <w:bCs w:val="0"/>
          <w:caps w:val="0"/>
          <w:smallCaps w:val="0"/>
          <w:color w:val="000000"/>
          <w:sz w:val="32"/>
          <w:szCs w:val="32"/>
        </w:rPr>
        <w:t>四、财政拨款收入支出决算总体情况说明</w:t>
        <w:tab/>
      </w:r>
      <w:r>
        <w:rPr>
          <w:rFonts w:ascii="仿宋_GB2312" w:eastAsia="仿宋_GB2312" w:cs="仿宋_GB2312" w:hint="eastAsia"/>
          <w:b w:val="0"/>
          <w:bCs w:val="0"/>
          <w:caps w:val="0"/>
          <w:smallCaps w:val="0"/>
          <w:color w:val="000000"/>
          <w:sz w:val="32"/>
          <w:szCs w:val="32"/>
          <w:lang w:val="en-US" w:eastAsia="zh-CN"/>
        </w:rPr>
        <w:t>5</w:t>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50" w:lineRule="exact"/>
        <w:jc w:val="center"/>
        <w:textAlignment w:val="auto"/>
        <w:rPr>
          <w:rFonts w:ascii="仿宋_GB2312" w:eastAsia="仿宋_GB2312" w:cs="仿宋_GB2312" w:hint="eastAsia"/>
          <w:b w:val="0"/>
          <w:bCs w:val="0"/>
          <w:caps w:val="0"/>
          <w:smallCaps w:val="0"/>
          <w:color w:val="000000"/>
          <w:sz w:val="32"/>
          <w:szCs w:val="32"/>
          <w:lang w:val="en-US" w:eastAsia="zh-CN"/>
        </w:rPr>
      </w:pPr>
      <w:r>
        <w:rPr>
          <w:rFonts w:ascii="仿宋_GB2312" w:eastAsia="仿宋_GB2312" w:cs="仿宋_GB2312" w:hint="eastAsia"/>
          <w:b w:val="0"/>
          <w:bCs w:val="0"/>
          <w:caps w:val="0"/>
          <w:smallCaps w:val="0"/>
          <w:color w:val="000000"/>
          <w:sz w:val="32"/>
          <w:szCs w:val="32"/>
          <w:lang w:val="en-US" w:eastAsia="zh-CN"/>
        </w:rPr>
        <w:t xml:space="preserve">    </w:t>
      </w:r>
      <w:r>
        <w:rPr>
          <w:rFonts w:ascii="仿宋_GB2312" w:eastAsia="仿宋_GB2312" w:cs="仿宋_GB2312" w:hint="eastAsia"/>
          <w:b w:val="0"/>
          <w:bCs w:val="0"/>
          <w:caps w:val="0"/>
          <w:smallCaps w:val="0"/>
          <w:color w:val="000000"/>
          <w:sz w:val="32"/>
          <w:szCs w:val="32"/>
        </w:rPr>
        <w:t>五、一般公共预算财政拨款支出决算情况说明</w:t>
        <w:tab/>
      </w:r>
      <w:r>
        <w:rPr>
          <w:rFonts w:ascii="仿宋_GB2312" w:eastAsia="仿宋_GB2312" w:cs="仿宋_GB2312" w:hint="eastAsia"/>
          <w:b w:val="0"/>
          <w:bCs w:val="0"/>
          <w:caps w:val="0"/>
          <w:smallCaps w:val="0"/>
          <w:color w:val="000000"/>
          <w:sz w:val="32"/>
          <w:szCs w:val="32"/>
          <w:lang w:val="en-US" w:eastAsia="zh-CN"/>
        </w:rPr>
        <w:t>6</w:t>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50" w:lineRule="exact"/>
        <w:jc w:val="center"/>
        <w:textAlignment w:val="auto"/>
        <w:rPr>
          <w:rFonts w:ascii="仿宋_GB2312" w:eastAsia="仿宋_GB2312" w:cs="仿宋_GB2312" w:hint="eastAsia"/>
          <w:b w:val="0"/>
          <w:bCs w:val="0"/>
          <w:caps w:val="0"/>
          <w:smallCaps w:val="0"/>
          <w:color w:val="000000"/>
          <w:sz w:val="32"/>
          <w:szCs w:val="32"/>
          <w:lang w:val="en-US" w:eastAsia="zh-CN"/>
        </w:rPr>
      </w:pPr>
      <w:r>
        <w:rPr>
          <w:rFonts w:ascii="仿宋_GB2312" w:eastAsia="仿宋_GB2312" w:cs="仿宋_GB2312" w:hint="eastAsia"/>
          <w:b w:val="0"/>
          <w:bCs w:val="0"/>
          <w:caps w:val="0"/>
          <w:smallCaps w:val="0"/>
          <w:color w:val="000000"/>
          <w:sz w:val="32"/>
          <w:szCs w:val="32"/>
          <w:lang w:val="en-US" w:eastAsia="zh-CN"/>
        </w:rPr>
        <w:t xml:space="preserve">    </w:t>
      </w:r>
      <w:r>
        <w:rPr>
          <w:rFonts w:ascii="仿宋_GB2312" w:eastAsia="仿宋_GB2312" w:cs="仿宋_GB2312" w:hint="eastAsia"/>
          <w:b w:val="0"/>
          <w:bCs w:val="0"/>
          <w:caps w:val="0"/>
          <w:smallCaps w:val="0"/>
          <w:color w:val="000000"/>
          <w:sz w:val="32"/>
          <w:szCs w:val="32"/>
        </w:rPr>
        <w:t>六、一般公共预算财政拨款基本支出决算情况说明</w:t>
        <w:tab/>
      </w:r>
      <w:r>
        <w:rPr>
          <w:rFonts w:ascii="仿宋_GB2312" w:eastAsia="仿宋_GB2312" w:cs="仿宋_GB2312" w:hint="eastAsia"/>
          <w:b w:val="0"/>
          <w:bCs w:val="0"/>
          <w:caps w:val="0"/>
          <w:smallCaps w:val="0"/>
          <w:color w:val="000000"/>
          <w:sz w:val="32"/>
          <w:szCs w:val="32"/>
          <w:lang w:val="en-US" w:eastAsia="zh-CN"/>
        </w:rPr>
        <w:t>9</w:t>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50" w:lineRule="exact"/>
        <w:jc w:val="center"/>
        <w:textAlignment w:val="auto"/>
        <w:rPr>
          <w:rFonts w:ascii="仿宋_GB2312" w:eastAsia="仿宋_GB2312" w:cs="仿宋_GB2312" w:hint="eastAsia"/>
          <w:b w:val="0"/>
          <w:bCs w:val="0"/>
          <w:caps w:val="0"/>
          <w:smallCaps w:val="0"/>
          <w:color w:val="000000"/>
          <w:sz w:val="32"/>
          <w:szCs w:val="32"/>
          <w:lang w:val="en-US" w:eastAsia="zh-CN"/>
        </w:rPr>
      </w:pPr>
      <w:r>
        <w:rPr>
          <w:rFonts w:ascii="仿宋_GB2312" w:eastAsia="仿宋_GB2312" w:cs="仿宋_GB2312" w:hint="eastAsia"/>
          <w:b w:val="0"/>
          <w:bCs w:val="0"/>
          <w:caps w:val="0"/>
          <w:smallCaps w:val="0"/>
          <w:color w:val="000000"/>
          <w:sz w:val="32"/>
          <w:szCs w:val="32"/>
          <w:lang w:val="en-US" w:eastAsia="zh-CN"/>
        </w:rPr>
        <w:t xml:space="preserve">    </w:t>
      </w:r>
      <w:r>
        <w:rPr>
          <w:rFonts w:ascii="仿宋_GB2312" w:eastAsia="仿宋_GB2312" w:cs="仿宋_GB2312" w:hint="eastAsia"/>
          <w:b w:val="0"/>
          <w:bCs w:val="0"/>
          <w:caps w:val="0"/>
          <w:smallCaps w:val="0"/>
          <w:color w:val="000000"/>
          <w:sz w:val="32"/>
          <w:szCs w:val="32"/>
        </w:rPr>
        <w:t>七、“三公”经费财政拨款支出决算情况说明</w:t>
        <w:tab/>
      </w:r>
      <w:r>
        <w:rPr>
          <w:rFonts w:ascii="仿宋_GB2312" w:eastAsia="仿宋_GB2312" w:cs="仿宋_GB2312" w:hint="eastAsia"/>
          <w:b w:val="0"/>
          <w:bCs w:val="0"/>
          <w:caps w:val="0"/>
          <w:smallCaps w:val="0"/>
          <w:color w:val="000000"/>
          <w:sz w:val="32"/>
          <w:szCs w:val="32"/>
          <w:lang w:val="en-US" w:eastAsia="zh-CN"/>
        </w:rPr>
        <w:t>9</w:t>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50" w:lineRule="exact"/>
        <w:jc w:val="center"/>
        <w:textAlignment w:val="auto"/>
        <w:rPr>
          <w:rFonts w:ascii="仿宋_GB2312" w:eastAsia="仿宋_GB2312" w:cs="仿宋_GB2312"/>
          <w:b w:val="0"/>
          <w:bCs w:val="0"/>
          <w:caps w:val="0"/>
          <w:smallCaps w:val="0"/>
          <w:color w:val="000000"/>
          <w:sz w:val="32"/>
          <w:szCs w:val="32"/>
          <w:lang w:val="en-US" w:eastAsia="zh-CN"/>
        </w:rPr>
      </w:pPr>
      <w:r>
        <w:rPr>
          <w:rFonts w:ascii="仿宋_GB2312" w:eastAsia="仿宋_GB2312" w:cs="仿宋_GB2312" w:hint="eastAsia"/>
          <w:b w:val="0"/>
          <w:bCs w:val="0"/>
          <w:caps w:val="0"/>
          <w:smallCaps w:val="0"/>
          <w:color w:val="000000"/>
          <w:sz w:val="32"/>
          <w:szCs w:val="32"/>
          <w:lang w:val="en-US" w:eastAsia="zh-CN"/>
        </w:rPr>
        <w:t xml:space="preserve">    </w:t>
      </w:r>
      <w:r>
        <w:rPr>
          <w:rFonts w:ascii="仿宋_GB2312" w:eastAsia="仿宋_GB2312" w:cs="仿宋_GB2312" w:hint="eastAsia"/>
          <w:b w:val="0"/>
          <w:bCs w:val="0"/>
          <w:caps w:val="0"/>
          <w:smallCaps w:val="0"/>
          <w:color w:val="000000"/>
          <w:sz w:val="32"/>
          <w:szCs w:val="32"/>
        </w:rPr>
        <w:t>八、政府性基金预算支出决算情况说明</w:t>
        <w:tab/>
      </w:r>
      <w:r>
        <w:rPr>
          <w:rFonts w:ascii="仿宋_GB2312" w:eastAsia="仿宋_GB2312" w:cs="仿宋_GB2312" w:hint="eastAsia"/>
          <w:b w:val="0"/>
          <w:bCs w:val="0"/>
          <w:caps w:val="0"/>
          <w:smallCaps w:val="0"/>
          <w:color w:val="000000"/>
          <w:sz w:val="32"/>
          <w:szCs w:val="32"/>
          <w:lang w:val="en-US" w:eastAsia="zh-CN"/>
        </w:rPr>
        <w:t>11</w:t>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50" w:lineRule="exact"/>
        <w:jc w:val="center"/>
        <w:textAlignment w:val="auto"/>
        <w:rPr>
          <w:rFonts w:ascii="仿宋_GB2312" w:eastAsia="仿宋_GB2312" w:cs="仿宋_GB2312"/>
          <w:b w:val="0"/>
          <w:bCs w:val="0"/>
          <w:caps w:val="0"/>
          <w:smallCaps w:val="0"/>
          <w:color w:val="000000"/>
          <w:sz w:val="32"/>
          <w:szCs w:val="32"/>
          <w:lang w:val="en-US" w:eastAsia="zh-CN"/>
        </w:rPr>
      </w:pPr>
      <w:r>
        <w:rPr>
          <w:rFonts w:ascii="仿宋_GB2312" w:eastAsia="仿宋_GB2312" w:cs="仿宋_GB2312" w:hint="eastAsia"/>
          <w:b w:val="0"/>
          <w:bCs w:val="0"/>
          <w:caps w:val="0"/>
          <w:smallCaps w:val="0"/>
          <w:color w:val="000000"/>
          <w:sz w:val="32"/>
          <w:szCs w:val="32"/>
          <w:lang w:val="en-US" w:eastAsia="zh-CN"/>
        </w:rPr>
        <w:t xml:space="preserve">    </w:t>
      </w:r>
      <w:r>
        <w:rPr>
          <w:rFonts w:ascii="仿宋_GB2312" w:eastAsia="仿宋_GB2312" w:cs="仿宋_GB2312" w:hint="eastAsia"/>
          <w:b w:val="0"/>
          <w:bCs w:val="0"/>
          <w:caps w:val="0"/>
          <w:smallCaps w:val="0"/>
          <w:color w:val="000000"/>
          <w:sz w:val="32"/>
          <w:szCs w:val="32"/>
        </w:rPr>
        <w:t>九、国有资本经营预算支出决算情况说明</w:t>
        <w:tab/>
      </w:r>
      <w:r>
        <w:rPr>
          <w:rFonts w:ascii="仿宋_GB2312" w:eastAsia="仿宋_GB2312" w:cs="仿宋_GB2312" w:hint="eastAsia"/>
          <w:b w:val="0"/>
          <w:bCs w:val="0"/>
          <w:caps w:val="0"/>
          <w:smallCaps w:val="0"/>
          <w:color w:val="000000"/>
          <w:sz w:val="32"/>
          <w:szCs w:val="32"/>
          <w:lang w:val="en-US" w:eastAsia="zh-CN"/>
        </w:rPr>
        <w:t>11</w:t>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50" w:lineRule="exact"/>
        <w:jc w:val="center"/>
        <w:textAlignment w:val="auto"/>
        <w:rPr>
          <w:rFonts w:ascii="仿宋_GB2312" w:eastAsia="仿宋_GB2312" w:cs="仿宋_GB2312"/>
          <w:b w:val="0"/>
          <w:bCs w:val="0"/>
          <w:caps w:val="0"/>
          <w:smallCaps w:val="0"/>
          <w:color w:val="000000"/>
          <w:sz w:val="32"/>
          <w:szCs w:val="32"/>
          <w:lang w:val="en-US" w:eastAsia="zh-CN"/>
        </w:rPr>
      </w:pPr>
      <w:r>
        <w:rPr>
          <w:rFonts w:ascii="仿宋_GB2312" w:eastAsia="仿宋_GB2312" w:cs="仿宋_GB2312" w:hint="eastAsia"/>
          <w:b w:val="0"/>
          <w:bCs w:val="0"/>
          <w:caps w:val="0"/>
          <w:smallCaps w:val="0"/>
          <w:color w:val="000000"/>
          <w:sz w:val="32"/>
          <w:szCs w:val="32"/>
          <w:lang w:val="en-US" w:eastAsia="zh-CN"/>
        </w:rPr>
        <w:t xml:space="preserve">    </w:t>
      </w:r>
      <w:r>
        <w:rPr>
          <w:rFonts w:ascii="仿宋_GB2312" w:eastAsia="仿宋_GB2312" w:cs="仿宋_GB2312" w:hint="eastAsia"/>
          <w:b w:val="0"/>
          <w:bCs w:val="0"/>
          <w:caps w:val="0"/>
          <w:smallCaps w:val="0"/>
          <w:color w:val="000000"/>
          <w:sz w:val="32"/>
          <w:szCs w:val="32"/>
        </w:rPr>
        <w:t>十、其他重要事项的情况说明</w:t>
        <w:tab/>
      </w:r>
      <w:r>
        <w:rPr>
          <w:rFonts w:ascii="仿宋_GB2312" w:eastAsia="仿宋_GB2312" w:cs="仿宋_GB2312" w:hint="eastAsia"/>
          <w:b w:val="0"/>
          <w:bCs w:val="0"/>
          <w:caps w:val="0"/>
          <w:smallCaps w:val="0"/>
          <w:color w:val="000000"/>
          <w:sz w:val="32"/>
          <w:szCs w:val="32"/>
          <w:lang w:val="en-US" w:eastAsia="zh-CN"/>
        </w:rPr>
        <w:t>12</w:t>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50" w:lineRule="exact"/>
        <w:jc w:val="center"/>
        <w:textAlignment w:val="auto"/>
        <w:rPr>
          <w:rFonts w:ascii="仿宋_GB2312" w:eastAsia="仿宋_GB2312" w:cs="仿宋_GB2312"/>
          <w:b w:val="0"/>
          <w:bCs w:val="0"/>
          <w:caps w:val="0"/>
          <w:smallCaps w:val="0"/>
          <w:color w:val="000000"/>
          <w:sz w:val="32"/>
          <w:szCs w:val="32"/>
          <w:lang w:val="en-US" w:eastAsia="zh-CN"/>
        </w:rPr>
      </w:pPr>
      <w:r>
        <w:rPr>
          <w:rFonts w:ascii="黑体" w:eastAsia="黑体" w:cs="黑体" w:hint="eastAsia"/>
          <w:b w:val="0"/>
          <w:bCs w:val="0"/>
          <w:caps w:val="0"/>
          <w:smallCaps w:val="0"/>
          <w:color w:val="000000"/>
          <w:sz w:val="32"/>
          <w:szCs w:val="32"/>
        </w:rPr>
        <w:t>第三部分 名词解释</w:t>
      </w:r>
      <w:r>
        <w:rPr>
          <w:rFonts w:ascii="仿宋_GB2312" w:eastAsia="仿宋_GB2312" w:cs="仿宋_GB2312" w:hint="eastAsia"/>
          <w:b w:val="0"/>
          <w:bCs w:val="0"/>
          <w:caps w:val="0"/>
          <w:smallCaps w:val="0"/>
          <w:color w:val="000000"/>
          <w:sz w:val="32"/>
          <w:szCs w:val="32"/>
        </w:rPr>
        <w:tab/>
      </w:r>
      <w:r>
        <w:rPr>
          <w:rFonts w:ascii="仿宋_GB2312" w:eastAsia="仿宋_GB2312" w:cs="仿宋_GB2312" w:hint="eastAsia"/>
          <w:b w:val="0"/>
          <w:bCs w:val="0"/>
          <w:caps w:val="0"/>
          <w:smallCaps w:val="0"/>
          <w:color w:val="000000"/>
          <w:sz w:val="32"/>
          <w:szCs w:val="32"/>
          <w:lang w:val="en-US" w:eastAsia="zh-CN"/>
        </w:rPr>
        <w:t>14</w:t>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50" w:lineRule="exact"/>
        <w:jc w:val="center"/>
        <w:textAlignment w:val="auto"/>
        <w:rPr>
          <w:rFonts w:ascii="仿宋_GB2312" w:eastAsia="仿宋_GB2312" w:cs="仿宋_GB2312"/>
          <w:b w:val="0"/>
          <w:bCs w:val="0"/>
          <w:caps w:val="0"/>
          <w:smallCaps w:val="0"/>
          <w:color w:val="000000"/>
          <w:sz w:val="32"/>
          <w:szCs w:val="32"/>
          <w:lang w:val="en-US" w:eastAsia="zh-CN"/>
        </w:rPr>
      </w:pPr>
      <w:r>
        <w:rPr>
          <w:rFonts w:ascii="黑体" w:eastAsia="黑体" w:cs="黑体" w:hint="eastAsia"/>
          <w:b w:val="0"/>
          <w:bCs w:val="0"/>
          <w:caps w:val="0"/>
          <w:smallCaps w:val="0"/>
          <w:color w:val="000000"/>
          <w:sz w:val="32"/>
          <w:szCs w:val="32"/>
        </w:rPr>
        <w:t>第四部分 附件</w:t>
      </w:r>
      <w:r>
        <w:rPr>
          <w:rFonts w:ascii="仿宋_GB2312" w:eastAsia="仿宋_GB2312" w:cs="仿宋_GB2312" w:hint="eastAsia"/>
          <w:b w:val="0"/>
          <w:bCs w:val="0"/>
          <w:caps w:val="0"/>
          <w:smallCaps w:val="0"/>
          <w:color w:val="000000"/>
          <w:sz w:val="32"/>
          <w:szCs w:val="32"/>
        </w:rPr>
        <w:tab/>
      </w:r>
      <w:r>
        <w:rPr>
          <w:rFonts w:ascii="仿宋_GB2312" w:eastAsia="仿宋_GB2312" w:cs="仿宋_GB2312" w:hint="eastAsia"/>
          <w:b w:val="0"/>
          <w:bCs w:val="0"/>
          <w:caps w:val="0"/>
          <w:smallCaps w:val="0"/>
          <w:color w:val="000000"/>
          <w:sz w:val="32"/>
          <w:szCs w:val="32"/>
          <w:lang w:val="en-US" w:eastAsia="zh-CN"/>
        </w:rPr>
        <w:t>17</w:t>
      </w:r>
    </w:p>
    <w:p>
      <w:pPr>
        <w:pStyle w:val="19"/>
        <w:keepNext w:val="0"/>
        <w:keepLines w:val="0"/>
        <w:pageBreakBefore w:val="0"/>
        <w:widowControl w:val="0"/>
        <w:tabs>
          <w:tab w:val="right" w:leader="dot" w:pos="8296"/>
        </w:tabs>
        <w:kinsoku/>
        <w:wordWrap/>
        <w:overflowPunct/>
        <w:topLinePunct w:val="0"/>
        <w:autoSpaceDE/>
        <w:autoSpaceDN/>
        <w:bidi w:val="0"/>
        <w:adjustRightInd/>
        <w:snapToGrid/>
        <w:spacing w:before="93" w:after="0" w:line="550" w:lineRule="exact"/>
        <w:jc w:val="center"/>
        <w:textAlignment w:val="auto"/>
        <w:rPr>
          <w:rFonts w:ascii="仿宋_GB2312" w:eastAsia="仿宋_GB2312" w:cs="仿宋_GB2312"/>
          <w:b w:val="0"/>
          <w:bCs w:val="0"/>
          <w:caps w:val="0"/>
          <w:smallCaps w:val="0"/>
          <w:color w:val="000000"/>
          <w:sz w:val="32"/>
          <w:szCs w:val="32"/>
          <w:lang w:val="en-US" w:eastAsia="zh-CN"/>
        </w:rPr>
      </w:pPr>
      <w:r>
        <w:rPr>
          <w:rFonts w:ascii="黑体" w:eastAsia="黑体" w:cs="黑体" w:hint="eastAsia"/>
          <w:b w:val="0"/>
          <w:bCs w:val="0"/>
          <w:caps w:val="0"/>
          <w:smallCaps w:val="0"/>
          <w:color w:val="000000"/>
          <w:sz w:val="32"/>
          <w:szCs w:val="32"/>
        </w:rPr>
        <w:t>第五部分 附表</w:t>
      </w:r>
      <w:r>
        <w:rPr>
          <w:rFonts w:ascii="仿宋_GB2312" w:eastAsia="仿宋_GB2312" w:cs="仿宋_GB2312" w:hint="eastAsia"/>
          <w:b w:val="0"/>
          <w:bCs w:val="0"/>
          <w:caps w:val="0"/>
          <w:smallCaps w:val="0"/>
          <w:color w:val="000000"/>
          <w:sz w:val="32"/>
          <w:szCs w:val="32"/>
        </w:rPr>
        <w:tab/>
      </w:r>
      <w:r>
        <w:rPr>
          <w:rFonts w:ascii="仿宋_GB2312" w:eastAsia="仿宋_GB2312" w:cs="仿宋_GB2312" w:hint="eastAsia"/>
          <w:b w:val="0"/>
          <w:bCs w:val="0"/>
          <w:caps w:val="0"/>
          <w:smallCaps w:val="0"/>
          <w:color w:val="000000"/>
          <w:sz w:val="32"/>
          <w:szCs w:val="32"/>
          <w:lang w:val="en-US" w:eastAsia="zh-CN"/>
        </w:rPr>
        <w:t>20</w:t>
      </w:r>
    </w:p>
    <w:p>
      <w:pPr>
        <w:jc w:val="center"/>
        <w:rPr>
          <w:rFonts w:ascii="方正小标宋简体" w:eastAsia="方正小标宋简体" w:cs="方正小标宋简体" w:hint="eastAsia"/>
          <w:b w:val="0"/>
          <w:bCs/>
          <w:kern w:val="44"/>
          <w:sz w:val="44"/>
          <w:szCs w:val="44"/>
          <w:lang w:val="en-US" w:eastAsia="zh-CN" w:bidi="ar-SA"/>
        </w:rPr>
      </w:pPr>
      <w:r>
        <w:rPr>
          <w:rFonts w:ascii="仿宋_GB2312" w:eastAsia="仿宋_GB2312" w:cs="仿宋_GB2312" w:hint="eastAsia"/>
          <w:b/>
          <w:bCs/>
          <w:caps/>
          <w:smallCaps w:val="0"/>
          <w:sz w:val="32"/>
          <w:szCs w:val="32"/>
        </w:rPr>
        <w:fldChar w:fldCharType="end"/>
      </w:r>
      <w:r>
        <w:rPr>
          <w:rFonts w:ascii="方正小标宋简体" w:eastAsia="方正小标宋简体" w:cs="方正小标宋简体" w:hint="eastAsia"/>
          <w:b w:val="0"/>
          <w:bCs/>
          <w:kern w:val="44"/>
          <w:sz w:val="44"/>
          <w:szCs w:val="44"/>
          <w:lang w:val="en-US" w:eastAsia="zh-CN" w:bidi="ar-SA"/>
        </w:rPr>
        <w:t>第一部分 单位概况</w:t>
      </w:r>
    </w:p>
    <w:p>
      <w:pPr>
        <w:keepNext w:val="0"/>
        <w:keepLines w:val="0"/>
        <w:pageBreakBefore w:val="0"/>
        <w:widowControl/>
        <w:kinsoku/>
        <w:wordWrap/>
        <w:overflowPunct/>
        <w:topLinePunct w:val="0"/>
        <w:autoSpaceDE/>
        <w:autoSpaceDN/>
        <w:bidi w:val="0"/>
        <w:adjustRightInd/>
        <w:snapToGrid/>
        <w:textAlignment w:val="auto"/>
        <w:rPr>
          <w:rFonts w:ascii="仿宋" w:eastAsia="仿宋" w:cs="仿宋" w:hint="eastAsia"/>
          <w:sz w:val="32"/>
          <w:szCs w:val="32"/>
        </w:rPr>
      </w:pPr>
      <w:r>
        <w:rPr>
          <w:rFonts w:hint="eastAsia"/>
        </w:rPr>
        <w:t> </w:t>
      </w:r>
    </w:p>
    <w:p>
      <w:pPr>
        <w:keepNext w:val="0"/>
        <w:keepLines w:val="0"/>
        <w:pageBreakBefore w:val="0"/>
        <w:widowControl/>
        <w:kinsoku/>
        <w:wordWrap/>
        <w:overflowPunct/>
        <w:topLinePunct w:val="0"/>
        <w:autoSpaceDE/>
        <w:autoSpaceDN/>
        <w:bidi w:val="0"/>
        <w:adjustRightInd/>
        <w:snapToGrid/>
        <w:spacing w:line="550" w:lineRule="exact"/>
        <w:ind w:left="0" w:firstLineChars="200" w:firstLine="640"/>
        <w:textAlignment w:val="auto"/>
        <w:rPr>
          <w:rFonts w:ascii="黑体" w:eastAsia="黑体" w:cs="黑体" w:hint="eastAsia"/>
          <w:sz w:val="32"/>
          <w:szCs w:val="32"/>
          <w:lang w:val="en-US" w:eastAsia="zh-CN"/>
        </w:rPr>
      </w:pPr>
      <w:r>
        <w:rPr>
          <w:rFonts w:ascii="黑体" w:eastAsia="黑体" w:cs="黑体" w:hint="eastAsia"/>
          <w:sz w:val="32"/>
          <w:szCs w:val="32"/>
          <w:lang w:val="en-US" w:eastAsia="zh-CN"/>
        </w:rPr>
        <w:t>一、主要职责</w:t>
      </w:r>
    </w:p>
    <w:p>
      <w:pPr>
        <w:keepNext w:val="0"/>
        <w:keepLines w:val="0"/>
        <w:pageBreakBefore w:val="0"/>
        <w:widowControl/>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lang w:val="zh-CN" w:eastAsia="zh-CN"/>
        </w:rPr>
      </w:pPr>
      <w:r>
        <w:rPr>
          <w:rFonts w:ascii="仿宋_GB2312" w:eastAsia="仿宋_GB2312" w:cs="仿宋_GB2312" w:hint="eastAsia"/>
          <w:sz w:val="32"/>
          <w:szCs w:val="32"/>
          <w:lang w:val="en-US" w:eastAsia="zh-CN"/>
        </w:rPr>
        <w:t>汶川县</w:t>
      </w:r>
      <w:r>
        <w:rPr>
          <w:rFonts w:ascii="仿宋_GB2312" w:eastAsia="仿宋_GB2312" w:cs="仿宋_GB2312" w:hint="eastAsia"/>
          <w:sz w:val="32"/>
          <w:szCs w:val="32"/>
          <w:lang w:val="zh-CN" w:eastAsia="zh-CN"/>
        </w:rPr>
        <w:t>人大常委会办公</w:t>
      </w:r>
      <w:r>
        <w:rPr>
          <w:rFonts w:ascii="仿宋_GB2312" w:eastAsia="仿宋_GB2312" w:cs="仿宋_GB2312" w:hint="eastAsia"/>
          <w:sz w:val="32"/>
          <w:szCs w:val="32"/>
          <w:lang w:val="en-US" w:eastAsia="zh-CN"/>
        </w:rPr>
        <w:t>室</w:t>
      </w:r>
      <w:r>
        <w:rPr>
          <w:rFonts w:ascii="仿宋_GB2312" w:eastAsia="仿宋_GB2312" w:cs="仿宋_GB2312" w:hint="eastAsia"/>
          <w:sz w:val="32"/>
          <w:szCs w:val="32"/>
          <w:lang w:val="zh-CN" w:eastAsia="zh-CN"/>
        </w:rPr>
        <w:t>是</w:t>
      </w:r>
      <w:r>
        <w:rPr>
          <w:rFonts w:ascii="仿宋_GB2312" w:eastAsia="仿宋_GB2312" w:cs="仿宋_GB2312" w:hint="eastAsia"/>
          <w:sz w:val="32"/>
          <w:szCs w:val="32"/>
          <w:lang w:val="en-US" w:eastAsia="zh-CN"/>
        </w:rPr>
        <w:t>县</w:t>
      </w:r>
      <w:r>
        <w:rPr>
          <w:rFonts w:ascii="仿宋_GB2312" w:eastAsia="仿宋_GB2312" w:cs="仿宋_GB2312" w:hint="eastAsia"/>
          <w:sz w:val="32"/>
          <w:szCs w:val="32"/>
          <w:lang w:val="zh-CN" w:eastAsia="zh-CN"/>
        </w:rPr>
        <w:t>人大常委会的办事工作机构，主要职责是：承担县人民代表大会会议、常委会会议、主任会议以及其他会议的筹备会务和会议决定事项的督办工作；起草有关通知、会议纪要、总结、计划、决议、决定和报告等文件，编写《公报》、《工作通报》、人大大事记。搞好人大的宣传工作；搞好协调工作，上情下报，上情</w:t>
      </w:r>
      <w:bookmarkStart w:id="12" w:name="_GoBack"/>
      <w:bookmarkEnd w:id="12"/>
      <w:r>
        <w:rPr>
          <w:rFonts w:ascii="仿宋_GB2312" w:eastAsia="仿宋_GB2312" w:cs="仿宋_GB2312" w:hint="eastAsia"/>
          <w:sz w:val="32"/>
          <w:szCs w:val="32"/>
          <w:lang w:val="zh-CN" w:eastAsia="zh-CN"/>
        </w:rPr>
        <w:t>下达；负责文书档案、工资福利、机关财务、机关人事管理、财产管理、小车管理和保卫工作；搞好机关精神文明建设工作；承担有关接待工作；办理常委会主任会议和领导交办的其他工作。</w:t>
      </w:r>
    </w:p>
    <w:p>
      <w:pPr>
        <w:keepNext w:val="0"/>
        <w:keepLines w:val="0"/>
        <w:pageBreakBefore w:val="0"/>
        <w:widowControl/>
        <w:kinsoku/>
        <w:wordWrap/>
        <w:overflowPunct/>
        <w:topLinePunct w:val="0"/>
        <w:autoSpaceDE/>
        <w:autoSpaceDN/>
        <w:bidi w:val="0"/>
        <w:adjustRightInd/>
        <w:snapToGrid/>
        <w:ind w:firstLineChars="200" w:firstLine="640"/>
        <w:jc w:val="both"/>
        <w:textAlignment w:val="auto"/>
        <w:rPr>
          <w:rFonts w:ascii="黑体" w:eastAsia="黑体" w:cs="黑体" w:hint="eastAsia"/>
          <w:sz w:val="32"/>
          <w:szCs w:val="32"/>
          <w:lang w:val="en-US" w:eastAsia="zh-CN"/>
        </w:rPr>
      </w:pPr>
      <w:r>
        <w:rPr>
          <w:rFonts w:ascii="黑体" w:eastAsia="黑体" w:cs="黑体" w:hint="eastAsia"/>
          <w:sz w:val="32"/>
          <w:szCs w:val="32"/>
          <w:lang w:val="en-US" w:eastAsia="zh-CN"/>
        </w:rPr>
        <w:t>二、机构设置</w:t>
      </w:r>
    </w:p>
    <w:p>
      <w:pPr>
        <w:keepNext w:val="0"/>
        <w:keepLines w:val="0"/>
        <w:pageBreakBefore w:val="0"/>
        <w:widowControl/>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lang w:val="en-US" w:eastAsia="zh-CN"/>
        </w:rPr>
      </w:pPr>
      <w:r>
        <w:rPr>
          <w:rFonts w:ascii="仿宋_GB2312" w:eastAsia="仿宋_GB2312" w:cs="仿宋_GB2312" w:hint="eastAsia"/>
          <w:sz w:val="32"/>
          <w:szCs w:val="32"/>
          <w:lang w:val="en-US" w:eastAsia="zh-CN"/>
        </w:rPr>
        <w:t>汶川县人民代表大会设汶川县人民代表大会常务委员会和3个专门委员会，汶川县人民代表大会常务委员会设2个办事机构。3个专委会包括</w:t>
      </w:r>
      <w:r>
        <w:rPr>
          <w:rFonts w:ascii="仿宋_GB2312" w:eastAsia="仿宋_GB2312" w:cs="仿宋_GB2312" w:hint="eastAsia"/>
          <w:sz w:val="32"/>
          <w:szCs w:val="32"/>
          <w:lang w:val="zh-CN" w:eastAsia="zh-CN"/>
        </w:rPr>
        <w:t>县人大法制监察司法和民族宗教事务委员会、县人大财政经济预算</w:t>
      </w:r>
      <w:r>
        <w:rPr>
          <w:rFonts w:ascii="仿宋_GB2312" w:eastAsia="仿宋_GB2312" w:cs="仿宋_GB2312" w:hint="eastAsia"/>
          <w:sz w:val="32"/>
          <w:szCs w:val="32"/>
          <w:lang w:val="en-US" w:eastAsia="zh-CN"/>
        </w:rPr>
        <w:t>和</w:t>
      </w:r>
      <w:r>
        <w:rPr>
          <w:rFonts w:ascii="仿宋_GB2312" w:eastAsia="仿宋_GB2312" w:cs="仿宋_GB2312" w:hint="eastAsia"/>
          <w:sz w:val="32"/>
          <w:szCs w:val="32"/>
          <w:lang w:val="zh-CN" w:eastAsia="zh-CN"/>
        </w:rPr>
        <w:t>农业农村城乡环境保护委员会、县人大教育科学文化卫生和社会建设委员会。</w:t>
      </w:r>
      <w:r>
        <w:rPr>
          <w:rFonts w:ascii="仿宋_GB2312" w:eastAsia="仿宋_GB2312" w:cs="仿宋_GB2312" w:hint="eastAsia"/>
          <w:sz w:val="32"/>
          <w:szCs w:val="32"/>
          <w:lang w:val="en-US" w:eastAsia="zh-CN"/>
        </w:rPr>
        <w:t>2个办事机构包括县</w:t>
      </w:r>
      <w:r>
        <w:rPr>
          <w:rFonts w:ascii="仿宋_GB2312" w:eastAsia="仿宋_GB2312" w:cs="仿宋_GB2312" w:hint="eastAsia"/>
          <w:sz w:val="32"/>
          <w:szCs w:val="32"/>
          <w:lang w:val="zh-CN" w:eastAsia="zh-CN"/>
        </w:rPr>
        <w:t>人大常委会办公</w:t>
      </w:r>
      <w:r>
        <w:rPr>
          <w:rFonts w:ascii="仿宋_GB2312" w:eastAsia="仿宋_GB2312" w:cs="仿宋_GB2312" w:hint="eastAsia"/>
          <w:sz w:val="32"/>
          <w:szCs w:val="32"/>
          <w:lang w:val="en-US" w:eastAsia="zh-CN"/>
        </w:rPr>
        <w:t>室、</w:t>
      </w:r>
      <w:r>
        <w:rPr>
          <w:rFonts w:ascii="仿宋_GB2312" w:eastAsia="仿宋_GB2312" w:cs="仿宋_GB2312" w:hint="eastAsia"/>
          <w:sz w:val="32"/>
          <w:szCs w:val="32"/>
          <w:lang w:val="zh-CN" w:eastAsia="zh-CN"/>
        </w:rPr>
        <w:t>县人大常委会人事代表工作委员会。</w:t>
      </w:r>
    </w:p>
    <w:p>
      <w:pPr>
        <w:keepNext w:val="0"/>
        <w:keepLines w:val="0"/>
        <w:pageBreakBefore w:val="0"/>
        <w:widowControl/>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lang w:val="en-US" w:eastAsia="zh-CN"/>
        </w:rPr>
      </w:pPr>
    </w:p>
    <w:p>
      <w:pPr>
        <w:keepNext w:val="0"/>
        <w:keepLines w:val="0"/>
        <w:pageBreakBefore w:val="0"/>
        <w:widowControl/>
        <w:numPr>
          <w:ilvl w:val="0"/>
          <w:numId w:val="1"/>
        </w:numPr>
        <w:kinsoku/>
        <w:wordWrap/>
        <w:overflowPunct/>
        <w:topLinePunct w:val="0"/>
        <w:autoSpaceDE/>
        <w:autoSpaceDN/>
        <w:bidi w:val="0"/>
        <w:adjustRightInd/>
        <w:snapToGrid/>
        <w:jc w:val="center"/>
        <w:textAlignment w:val="auto"/>
        <w:rPr>
          <w:rFonts w:ascii="方正小标宋简体" w:eastAsia="方正小标宋简体" w:cs="方正小标宋简体" w:hint="eastAsia"/>
          <w:b w:val="0"/>
          <w:bCs/>
          <w:kern w:val="44"/>
          <w:sz w:val="44"/>
          <w:szCs w:val="44"/>
          <w:lang w:val="en-US" w:eastAsia="zh-CN" w:bidi="ar-SA"/>
        </w:rPr>
      </w:pPr>
      <w:r>
        <w:rPr>
          <w:rFonts w:ascii="方正小标宋简体" w:eastAsia="方正小标宋简体" w:cs="方正小标宋简体" w:hint="eastAsia"/>
          <w:b w:val="0"/>
          <w:bCs/>
          <w:kern w:val="44"/>
          <w:sz w:val="44"/>
          <w:szCs w:val="44"/>
          <w:lang w:val="en-US" w:eastAsia="zh-CN" w:bidi="ar-SA"/>
        </w:rPr>
        <w:t>2025年度单位决算情况说明</w:t>
      </w:r>
    </w:p>
    <w:p>
      <w:pPr>
        <w:keepNext w:val="0"/>
        <w:keepLines w:val="0"/>
        <w:pageBreakBefore w:val="0"/>
        <w:widowControl/>
        <w:kinsoku/>
        <w:wordWrap/>
        <w:overflowPunct/>
        <w:topLinePunct w:val="0"/>
        <w:autoSpaceDE/>
        <w:autoSpaceDN/>
        <w:bidi w:val="0"/>
        <w:adjustRightInd/>
        <w:snapToGrid/>
        <w:textAlignment w:val="auto"/>
        <w:rPr>
          <w:rFonts w:ascii="仿宋" w:eastAsia="仿宋" w:cs="仿宋" w:hint="eastAsia"/>
          <w:sz w:val="32"/>
          <w:szCs w:val="32"/>
        </w:rPr>
      </w:pPr>
    </w:p>
    <w:p>
      <w:pPr>
        <w:keepNext w:val="0"/>
        <w:keepLines w:val="0"/>
        <w:pageBreakBefore w:val="0"/>
        <w:widowControl w:val="0"/>
        <w:kinsoku/>
        <w:wordWrap/>
        <w:overflowPunct/>
        <w:topLinePunct w:val="0"/>
        <w:autoSpaceDE/>
        <w:autoSpaceDN/>
        <w:bidi w:val="0"/>
        <w:adjustRightInd/>
        <w:snapToGrid/>
        <w:ind w:firstLineChars="200" w:firstLine="640"/>
        <w:jc w:val="left"/>
        <w:textAlignment w:val="auto"/>
        <w:rPr>
          <w:rFonts w:ascii="黑体" w:eastAsia="黑体" w:cs="黑体" w:hint="eastAsia"/>
          <w:sz w:val="32"/>
          <w:szCs w:val="32"/>
        </w:rPr>
      </w:pPr>
      <w:r>
        <w:rPr>
          <w:rFonts w:ascii="仿宋_GB2312" w:eastAsia="仿宋_GB2312" w:cs="仿宋_GB2312" w:hint="eastAsia"/>
          <w:sz w:val="32"/>
          <w:szCs w:val="32"/>
        </w:rPr>
        <w:t> </w:t>
      </w:r>
      <w:r>
        <w:rPr>
          <w:rFonts w:ascii="黑体" w:eastAsia="黑体" w:cs="黑体" w:hint="eastAsia"/>
          <w:sz w:val="32"/>
          <w:szCs w:val="32"/>
        </w:rPr>
        <w:t>一、收入支出决算总体情况说明</w:t>
      </w:r>
    </w:p>
    <w:p>
      <w:pPr>
        <w:keepNext w:val="0"/>
        <w:keepLines w:val="0"/>
        <w:pageBreakBefore w:val="0"/>
        <w:widowControl/>
        <w:kinsoku/>
        <w:wordWrap/>
        <w:overflowPunct/>
        <w:topLinePunct w:val="0"/>
        <w:autoSpaceDE/>
        <w:autoSpaceDN/>
        <w:bidi w:val="0"/>
        <w:adjustRightInd/>
        <w:snapToGrid/>
        <w:ind w:firstLineChars="200" w:firstLine="640"/>
        <w:jc w:val="left"/>
        <w:textAlignment w:val="auto"/>
        <w:rPr>
          <w:rFonts w:ascii="仿宋_GB2312" w:eastAsia="仿宋_GB2312" w:cs="仿宋_GB2312" w:hint="eastAsia"/>
          <w:sz w:val="32"/>
          <w:szCs w:val="32"/>
          <w:lang w:val="en-US" w:eastAsia="zh-CN"/>
        </w:rPr>
      </w:pPr>
      <w:r>
        <w:rPr>
          <w:rFonts w:ascii="仿宋_GB2312" w:eastAsia="仿宋_GB2312" w:cs="仿宋_GB2312" w:hint="eastAsia"/>
          <w:sz w:val="32"/>
          <w:szCs w:val="32"/>
          <w:lang w:val="en-US" w:eastAsia="zh-CN"/>
        </w:rPr>
        <w:t>2025年度收、支总计均为981.02万元(其中：年初结转结余22.01万元）。与2024年度相比，收、支总计各增加14.01万元，增长0.01%。主要变动原因是：非同级财政拨款年初结余较上年增加14.11万元。</w:t>
      </w:r>
    </w:p>
    <w:p>
      <w:pPr>
        <w:keepNext w:val="0"/>
        <w:keepLines w:val="0"/>
        <w:pageBreakBefore w:val="0"/>
        <w:widowControl/>
        <w:kinsoku/>
        <w:wordWrap/>
        <w:overflowPunct/>
        <w:topLinePunct w:val="0"/>
        <w:autoSpaceDE/>
        <w:autoSpaceDN/>
        <w:bidi w:val="0"/>
        <w:adjustRightInd/>
        <w:snapToGrid/>
        <w:jc w:val="center"/>
        <w:textAlignment w:val="auto"/>
        <w:rPr>
          <w:rFonts w:ascii="仿宋" w:eastAsia="仿宋" w:cs="仿宋" w:hint="eastAsia"/>
          <w:sz w:val="32"/>
          <w:szCs w:val="32"/>
          <w:lang w:val="en-US" w:eastAsia="zh-CN"/>
        </w:rPr>
      </w:pPr>
      <w:r>
        <w:rPr>
          <w:rFonts w:ascii="仿宋" w:eastAsia="仿宋" w:cs="仿宋" w:hint="eastAsia"/>
          <w:sz w:val="32"/>
          <w:szCs w:val="32"/>
          <w:lang w:val="en-US" w:eastAsia="zh-CN"/>
        </w:rPr>
        <w:t>金额单位：万元</w:t>
      </w:r>
    </w:p>
    <w:p>
      <w:pPr>
        <w:keepNext w:val="0"/>
        <w:keepLines w:val="0"/>
        <w:pageBreakBefore w:val="0"/>
        <w:widowControl w:val="0"/>
        <w:kinsoku/>
        <w:wordWrap/>
        <w:overflowPunct/>
        <w:topLinePunct w:val="0"/>
        <w:autoSpaceDE/>
        <w:autoSpaceDN/>
        <w:bidi w:val="0"/>
        <w:adjustRightInd/>
        <w:snapToGrid/>
        <w:jc w:val="center"/>
        <w:textAlignment w:val="auto"/>
        <w:rPr>
          <w:rFonts w:ascii="仿宋_GB2312" w:eastAsia="仿宋_GB2312" w:cs="仿宋_GB2312" w:hint="eastAsia"/>
          <w:sz w:val="32"/>
          <w:szCs w:val="32"/>
          <w:lang w:eastAsia="zh-CN"/>
        </w:rPr>
      </w:pPr>
      <w:r>
        <w:rPr>
          <w:rFonts w:ascii="仿宋_GB2312" w:eastAsia="仿宋_GB2312" w:cs="仿宋_GB2312" w:hint="eastAsia"/>
          <w:sz w:val="32"/>
          <w:szCs w:val="32"/>
          <w:lang w:eastAsia="zh-CN"/>
        </w:rPr>
      </w:r>
    </w:p>
    <w:p>
      <w:pPr>
        <w:pStyle w:val="15"/>
        <w:jc w:val="center"/>
        <w:rPr>
          <w:rFonts w:hint="eastAsia"/>
          <w:lang w:eastAsia="zh-CN"/>
        </w:rPr>
      </w:pPr>
      <w:r>
        <w:rPr>
          <w:rFonts w:ascii="仿宋_GB2312" w:eastAsia="仿宋_GB2312" w:cs="仿宋_GB2312" w:hint="eastAsia"/>
          <w:sz w:val="32"/>
          <w:szCs w:val="32"/>
          <w:lang w:val="en-US" w:eastAsia="zh-CN"/>
        </w:rPr>
        <w:t>（图1：收、支决算总计变动情况图）</w:t>
      </w:r>
      <w:r>
        <w:rPr>
          <w:rFonts w:cs="仿宋_GB2312" w:hint="eastAsia"/>
          <w:sz w:val="32"/>
          <w:szCs w:val="32"/>
          <w:lang w:val="en-US" w:eastAsia="zh-CN"/>
        </w:rPr>
        <w:t>（柱状图）</w:t>
      </w:r>
    </w:p>
    <w:p>
      <w:pPr>
        <w:keepNext w:val="0"/>
        <w:keepLines w:val="0"/>
        <w:pageBreakBefore w:val="0"/>
        <w:widowControl w:val="0"/>
        <w:kinsoku/>
        <w:wordWrap/>
        <w:overflowPunct/>
        <w:topLinePunct w:val="0"/>
        <w:autoSpaceDE/>
        <w:autoSpaceDN/>
        <w:bidi w:val="0"/>
        <w:adjustRightInd/>
        <w:snapToGrid/>
        <w:ind w:firstLineChars="200" w:firstLine="640"/>
        <w:jc w:val="left"/>
        <w:textAlignment w:val="auto"/>
        <w:rPr>
          <w:rFonts w:ascii="仿宋_GB2312" w:eastAsia="仿宋_GB2312" w:cs="仿宋_GB2312" w:hint="eastAsia"/>
          <w:sz w:val="32"/>
          <w:szCs w:val="32"/>
        </w:rPr>
      </w:pPr>
      <w:bookmarkStart w:id="13" w:name="_Toc15377206"/>
      <w:bookmarkStart w:id="14" w:name="_Toc15396604"/>
      <w:r>
        <w:rPr>
          <w:rFonts w:ascii="黑体" w:eastAsia="黑体" w:cs="黑体" w:hint="eastAsia"/>
          <w:sz w:val="32"/>
          <w:szCs w:val="32"/>
          <w:lang w:val="en-US" w:eastAsia="zh-CN"/>
        </w:rPr>
        <w:t>二、</w:t>
      </w:r>
      <w:r>
        <w:rPr>
          <w:rFonts w:ascii="黑体" w:eastAsia="黑体" w:cs="黑体" w:hint="eastAsia"/>
          <w:sz w:val="32"/>
          <w:szCs w:val="32"/>
        </w:rPr>
        <w:t>收入决算情况说明</w:t>
      </w:r>
      <w:bookmarkEnd w:id="13"/>
      <w:bookmarkEnd w:id="14"/>
    </w:p>
    <w:p>
      <w:pPr>
        <w:keepNext w:val="0"/>
        <w:keepLines w:val="0"/>
        <w:pageBreakBefore w:val="0"/>
        <w:widowControl/>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lang w:val="en-US" w:eastAsia="zh-CN"/>
        </w:rPr>
      </w:pPr>
      <w:r>
        <w:rPr>
          <w:rFonts w:ascii="仿宋_GB2312" w:eastAsia="仿宋_GB2312" w:cs="仿宋_GB2312" w:hint="eastAsia"/>
          <w:sz w:val="32"/>
          <w:szCs w:val="32"/>
          <w:lang w:val="en-US" w:eastAsia="zh-CN"/>
        </w:rPr>
        <w:t>2025年本年收入总计959万元，其中：一般公共预算财政拨款收入950.44万元，占99.1%；其他收入8.56万元，占9%。</w:t>
      </w:r>
    </w:p>
    <w:p>
      <w:pPr>
        <w:keepNext w:val="0"/>
        <w:keepLines w:val="0"/>
        <w:pageBreakBefore w:val="0"/>
        <w:widowControl w:val="0"/>
        <w:kinsoku/>
        <w:wordWrap/>
        <w:overflowPunct/>
        <w:topLinePunct w:val="0"/>
        <w:autoSpaceDE/>
        <w:autoSpaceDN/>
        <w:bidi w:val="0"/>
        <w:adjustRightInd/>
        <w:snapToGrid/>
        <w:ind w:leftChars="152" w:left="639" w:hangingChars="100" w:hanging="320"/>
        <w:jc w:val="center"/>
        <w:textAlignment w:val="auto"/>
        <w:rPr>
          <w:rFonts w:ascii="仿宋_GB2312" w:eastAsia="仿宋_GB2312" w:cs="仿宋_GB2312" w:hint="eastAsia"/>
          <w:sz w:val="32"/>
          <w:szCs w:val="32"/>
          <w:lang w:val="en-US" w:eastAsia="zh-CN"/>
        </w:rPr>
      </w:pPr>
      <w:bookmarkStart w:id="15" w:name="_1756556398"/>
      <w:bookmarkEnd w:id="15"/>
      <w:r>
        <w:rPr>
          <w:rFonts w:ascii="仿宋_GB2312" w:eastAsia="仿宋_GB2312" w:cs="仿宋_GB2312" w:hint="eastAsia"/>
          <w:sz w:val="32"/>
          <w:szCs w:val="32"/>
          <w:lang w:val="en-US" w:eastAsia="zh-CN"/>
        </w:rPr>
      </w:r>
    </w:p>
    <w:p>
      <w:pPr>
        <w:keepNext w:val="0"/>
        <w:keepLines w:val="0"/>
        <w:pageBreakBefore w:val="0"/>
        <w:widowControl/>
        <w:kinsoku/>
        <w:wordWrap/>
        <w:overflowPunct/>
        <w:topLinePunct w:val="0"/>
        <w:autoSpaceDE/>
        <w:autoSpaceDN/>
        <w:bidi w:val="0"/>
        <w:adjustRightInd/>
        <w:snapToGrid/>
        <w:jc w:val="center"/>
        <w:textAlignment w:val="auto"/>
        <w:rPr>
          <w:rFonts w:ascii="仿宋_GB2312" w:eastAsia="仿宋_GB2312" w:cs="仿宋_GB2312" w:hint="eastAsia"/>
          <w:sz w:val="32"/>
          <w:szCs w:val="32"/>
          <w:lang w:val="en-US" w:eastAsia="zh-CN"/>
        </w:rPr>
      </w:pPr>
      <w:r>
        <w:rPr>
          <w:rFonts w:ascii="仿宋_GB2312" w:eastAsia="仿宋_GB2312" w:cs="仿宋_GB2312" w:hint="eastAsia"/>
          <w:sz w:val="32"/>
          <w:szCs w:val="32"/>
          <w:lang w:val="en-US" w:eastAsia="zh-CN"/>
        </w:rPr>
        <w:t>（图2：收入决算结构图）（饼状图）</w:t>
      </w:r>
    </w:p>
    <w:p>
      <w:pPr>
        <w:keepNext w:val="0"/>
        <w:keepLines w:val="0"/>
        <w:pageBreakBefore w:val="0"/>
        <w:widowControl w:val="0"/>
        <w:kinsoku/>
        <w:wordWrap/>
        <w:overflowPunct/>
        <w:topLinePunct w:val="0"/>
        <w:autoSpaceDE/>
        <w:autoSpaceDN/>
        <w:bidi w:val="0"/>
        <w:adjustRightInd/>
        <w:snapToGrid/>
        <w:ind w:leftChars="152" w:left="639" w:hangingChars="100" w:hanging="320"/>
        <w:jc w:val="both"/>
        <w:textAlignment w:val="auto"/>
        <w:rPr>
          <w:rFonts w:ascii="黑体" w:eastAsia="黑体" w:cs="黑体" w:hint="eastAsia"/>
          <w:sz w:val="32"/>
          <w:szCs w:val="32"/>
        </w:rPr>
      </w:pPr>
      <w:r>
        <w:rPr>
          <w:rFonts w:ascii="仿宋_GB2312" w:eastAsia="仿宋_GB2312" w:cs="仿宋_GB2312" w:hint="eastAsia"/>
          <w:sz w:val="32"/>
          <w:szCs w:val="32"/>
          <w:lang w:val="en-US" w:eastAsia="zh-CN"/>
        </w:rPr>
        <w:t xml:space="preserve">    </w:t>
      </w:r>
      <w:r>
        <w:rPr>
          <w:rFonts w:ascii="黑体" w:eastAsia="黑体" w:cs="黑体" w:hint="eastAsia"/>
          <w:sz w:val="32"/>
          <w:szCs w:val="32"/>
        </w:rPr>
        <w:t>三、支出决算情况说明</w:t>
      </w:r>
    </w:p>
    <w:p>
      <w:pPr>
        <w:keepNext w:val="0"/>
        <w:keepLines w:val="0"/>
        <w:pageBreakBefore w:val="0"/>
        <w:widowControl/>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eastAsia="zh-CN"/>
        </w:rPr>
        <w:t>2025年</w:t>
      </w:r>
      <w:r>
        <w:rPr>
          <w:rFonts w:ascii="仿宋_GB2312" w:eastAsia="仿宋_GB2312" w:cs="仿宋_GB2312" w:hint="eastAsia"/>
          <w:sz w:val="32"/>
          <w:szCs w:val="32"/>
        </w:rPr>
        <w:t>本年支出合计</w:t>
      </w:r>
      <w:r>
        <w:rPr>
          <w:rFonts w:ascii="仿宋_GB2312" w:eastAsia="仿宋_GB2312" w:cs="仿宋_GB2312" w:hint="eastAsia"/>
          <w:sz w:val="32"/>
          <w:szCs w:val="32"/>
          <w:lang w:val="en-US" w:eastAsia="zh-CN"/>
        </w:rPr>
        <w:t>954</w:t>
      </w:r>
      <w:r>
        <w:rPr>
          <w:rFonts w:ascii="仿宋_GB2312" w:eastAsia="仿宋_GB2312" w:cs="仿宋_GB2312" w:hint="eastAsia"/>
          <w:sz w:val="32"/>
          <w:szCs w:val="32"/>
          <w:lang w:eastAsia="zh-CN"/>
        </w:rPr>
        <w:t>万元</w:t>
      </w:r>
      <w:r>
        <w:rPr>
          <w:rFonts w:ascii="仿宋_GB2312" w:eastAsia="仿宋_GB2312" w:cs="仿宋_GB2312" w:hint="eastAsia"/>
          <w:sz w:val="32"/>
          <w:szCs w:val="32"/>
        </w:rPr>
        <w:t>，其中：基本支出</w:t>
      </w:r>
      <w:r>
        <w:rPr>
          <w:rFonts w:ascii="仿宋_GB2312" w:eastAsia="仿宋_GB2312" w:cs="仿宋_GB2312" w:hint="eastAsia"/>
          <w:sz w:val="32"/>
          <w:szCs w:val="32"/>
          <w:lang w:val="en-US" w:eastAsia="zh-CN"/>
        </w:rPr>
        <w:t>797.39</w:t>
      </w:r>
      <w:r>
        <w:rPr>
          <w:rFonts w:ascii="仿宋_GB2312" w:eastAsia="仿宋_GB2312" w:cs="仿宋_GB2312" w:hint="eastAsia"/>
          <w:sz w:val="32"/>
          <w:szCs w:val="32"/>
        </w:rPr>
        <w:t>万元，占</w:t>
      </w:r>
      <w:r>
        <w:rPr>
          <w:rFonts w:ascii="仿宋_GB2312" w:eastAsia="仿宋_GB2312" w:cs="仿宋_GB2312" w:hint="eastAsia"/>
          <w:sz w:val="32"/>
          <w:szCs w:val="32"/>
          <w:lang w:val="en-US" w:eastAsia="zh-CN"/>
        </w:rPr>
        <w:t>83.6</w:t>
      </w:r>
      <w:r>
        <w:rPr>
          <w:rFonts w:ascii="仿宋_GB2312" w:eastAsia="仿宋_GB2312" w:cs="仿宋_GB2312" w:hint="eastAsia"/>
          <w:sz w:val="32"/>
          <w:szCs w:val="32"/>
        </w:rPr>
        <w:t>%；项目支出</w:t>
      </w:r>
      <w:r>
        <w:rPr>
          <w:rFonts w:ascii="仿宋_GB2312" w:eastAsia="仿宋_GB2312" w:cs="仿宋_GB2312" w:hint="eastAsia"/>
          <w:sz w:val="32"/>
          <w:szCs w:val="32"/>
          <w:lang w:val="en-US" w:eastAsia="zh-CN"/>
        </w:rPr>
        <w:t>156.61</w:t>
      </w:r>
      <w:r>
        <w:rPr>
          <w:rFonts w:ascii="仿宋_GB2312" w:eastAsia="仿宋_GB2312" w:cs="仿宋_GB2312" w:hint="eastAsia"/>
          <w:sz w:val="32"/>
          <w:szCs w:val="32"/>
        </w:rPr>
        <w:t>万元，占</w:t>
      </w:r>
      <w:r>
        <w:rPr>
          <w:rFonts w:ascii="仿宋_GB2312" w:eastAsia="仿宋_GB2312" w:cs="仿宋_GB2312" w:hint="eastAsia"/>
          <w:sz w:val="32"/>
          <w:szCs w:val="32"/>
          <w:lang w:val="en-US" w:eastAsia="zh-CN"/>
        </w:rPr>
        <w:t>16.4</w:t>
      </w:r>
      <w:r>
        <w:rPr>
          <w:rFonts w:ascii="仿宋_GB2312" w:eastAsia="仿宋_GB2312" w:cs="仿宋_GB2312" w:hint="eastAsia"/>
          <w:sz w:val="32"/>
          <w:szCs w:val="32"/>
        </w:rPr>
        <w:t>%。</w:t>
      </w:r>
    </w:p>
    <w:p>
      <w:pPr>
        <w:keepNext w:val="0"/>
        <w:keepLines w:val="0"/>
        <w:pageBreakBefore w:val="0"/>
        <w:widowControl w:val="0"/>
        <w:kinsoku/>
        <w:wordWrap/>
        <w:overflowPunct/>
        <w:topLinePunct w:val="0"/>
        <w:autoSpaceDE/>
        <w:autoSpaceDN/>
        <w:bidi w:val="0"/>
        <w:adjustRightInd/>
        <w:snapToGrid/>
        <w:jc w:val="center"/>
        <w:textAlignment w:val="auto"/>
        <w:rPr>
          <w:rFonts w:ascii="仿宋_GB2312" w:eastAsia="仿宋_GB2312" w:cs="仿宋_GB2312" w:hint="eastAsia"/>
          <w:color w:val="000000"/>
          <w:sz w:val="32"/>
          <w:szCs w:val="32"/>
          <w:lang w:val="en-US" w:eastAsia="zh-CN"/>
        </w:rPr>
      </w:pPr>
      <w:r>
        <w:rPr>
          <w:rFonts w:ascii="仿宋_GB2312" w:eastAsia="仿宋_GB2312" w:cs="仿宋_GB2312" w:hint="eastAsia"/>
          <w:color w:val="000000"/>
          <w:sz w:val="32"/>
          <w:szCs w:val="32"/>
          <w:lang w:val="en-US" w:eastAsia="zh-CN"/>
        </w:rPr>
      </w:r>
    </w:p>
    <w:p>
      <w:pPr>
        <w:keepNext w:val="0"/>
        <w:keepLines w:val="0"/>
        <w:pageBreakBefore w:val="0"/>
        <w:widowControl w:val="0"/>
        <w:kinsoku/>
        <w:wordWrap/>
        <w:overflowPunct/>
        <w:topLinePunct w:val="0"/>
        <w:autoSpaceDE/>
        <w:autoSpaceDN/>
        <w:bidi w:val="0"/>
        <w:adjustRightInd/>
        <w:snapToGrid/>
        <w:jc w:val="center"/>
        <w:textAlignment w:val="auto"/>
        <w:rPr>
          <w:rFonts w:ascii="仿宋_GB2312" w:eastAsia="仿宋_GB2312" w:cs="仿宋_GB2312" w:hint="eastAsia"/>
          <w:color w:val="000000"/>
          <w:sz w:val="32"/>
          <w:szCs w:val="32"/>
          <w:lang w:val="en-US" w:eastAsia="zh-CN"/>
        </w:rPr>
      </w:pPr>
      <w:r>
        <w:rPr>
          <w:rFonts w:ascii="仿宋_GB2312" w:eastAsia="仿宋_GB2312" w:cs="仿宋_GB2312" w:hint="eastAsia"/>
          <w:sz w:val="32"/>
          <w:szCs w:val="32"/>
        </w:rPr>
        <w:t>（图3：支出决算结构图）（饼状图</w:t>
      </w:r>
      <w:bookmarkStart w:id="16" w:name="_1756556661"/>
      <w:bookmarkEnd w:id="16"/>
      <w:r>
        <w:rPr>
          <w:rFonts w:ascii="仿宋_GB2312" w:eastAsia="仿宋_GB2312" w:cs="仿宋_GB2312" w:hint="eastAsia"/>
          <w:sz w:val="32"/>
          <w:szCs w:val="32"/>
          <w:lang w:eastAsia="zh-CN"/>
        </w:rPr>
        <w:t>）</w:t>
      </w:r>
    </w:p>
    <w:p>
      <w:pPr>
        <w:keepNext w:val="0"/>
        <w:keepLines w:val="0"/>
        <w:pageBreakBefore w:val="0"/>
        <w:widowControl w:val="0"/>
        <w:kinsoku/>
        <w:wordWrap/>
        <w:overflowPunct/>
        <w:topLinePunct w:val="0"/>
        <w:autoSpaceDE/>
        <w:autoSpaceDN/>
        <w:bidi w:val="0"/>
        <w:adjustRightInd/>
        <w:snapToGrid/>
        <w:jc w:val="left"/>
        <w:textAlignment w:val="auto"/>
        <w:rPr>
          <w:rFonts w:ascii="黑体" w:eastAsia="黑体" w:cs="黑体" w:hint="eastAsia"/>
          <w:sz w:val="32"/>
          <w:szCs w:val="32"/>
          <w:highlight w:val="yellow"/>
        </w:rPr>
      </w:pPr>
      <w:r>
        <w:rPr>
          <w:rFonts w:ascii="黑体" w:eastAsia="黑体" w:cs="黑体" w:hint="eastAsia"/>
          <w:sz w:val="32"/>
          <w:szCs w:val="32"/>
          <w:highlight w:val="auto"/>
        </w:rPr>
        <w:t>四、财政拨款收入支出决算总体情况说明</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eastAsia="zh-CN"/>
        </w:rPr>
        <w:t>2025年</w:t>
      </w:r>
      <w:r>
        <w:rPr>
          <w:rFonts w:ascii="仿宋_GB2312" w:eastAsia="仿宋_GB2312" w:cs="仿宋_GB2312" w:hint="eastAsia"/>
          <w:sz w:val="32"/>
          <w:szCs w:val="32"/>
        </w:rPr>
        <w:t>财政拨款收、支总计</w:t>
      </w:r>
      <w:r>
        <w:rPr>
          <w:rFonts w:ascii="仿宋_GB2312" w:eastAsia="仿宋_GB2312" w:cs="仿宋_GB2312" w:hint="eastAsia"/>
          <w:sz w:val="32"/>
          <w:szCs w:val="32"/>
          <w:lang w:val="en-US" w:eastAsia="zh-CN"/>
        </w:rPr>
        <w:t>均为950.44</w:t>
      </w:r>
      <w:r>
        <w:rPr>
          <w:rFonts w:ascii="仿宋_GB2312" w:eastAsia="仿宋_GB2312" w:cs="仿宋_GB2312" w:hint="eastAsia"/>
          <w:sz w:val="32"/>
          <w:szCs w:val="32"/>
          <w:lang w:eastAsia="zh-CN"/>
        </w:rPr>
        <w:t>万元</w:t>
      </w:r>
      <w:r>
        <w:rPr>
          <w:rFonts w:ascii="仿宋_GB2312" w:eastAsia="仿宋_GB2312" w:cs="仿宋_GB2312" w:hint="eastAsia"/>
          <w:sz w:val="32"/>
          <w:szCs w:val="32"/>
        </w:rPr>
        <w:t>。与</w:t>
      </w:r>
      <w:r>
        <w:rPr>
          <w:rFonts w:ascii="仿宋_GB2312" w:eastAsia="仿宋_GB2312" w:cs="仿宋_GB2312" w:hint="eastAsia"/>
          <w:sz w:val="32"/>
          <w:szCs w:val="32"/>
          <w:lang w:eastAsia="zh-CN"/>
        </w:rPr>
        <w:t>2024年</w:t>
      </w:r>
      <w:r>
        <w:rPr>
          <w:rFonts w:ascii="仿宋_GB2312" w:eastAsia="仿宋_GB2312" w:cs="仿宋_GB2312" w:hint="eastAsia"/>
          <w:sz w:val="32"/>
          <w:szCs w:val="32"/>
        </w:rPr>
        <w:t>相比，财政拨款收、支总计各</w:t>
      </w:r>
      <w:r>
        <w:rPr>
          <w:rFonts w:ascii="仿宋_GB2312" w:eastAsia="仿宋_GB2312" w:cs="仿宋_GB2312" w:hint="eastAsia"/>
          <w:sz w:val="32"/>
          <w:szCs w:val="32"/>
          <w:lang w:val="en-US" w:eastAsia="zh-CN"/>
        </w:rPr>
        <w:t>增加0.15</w:t>
      </w:r>
      <w:r>
        <w:rPr>
          <w:rFonts w:ascii="仿宋_GB2312" w:eastAsia="仿宋_GB2312" w:cs="仿宋_GB2312" w:hint="eastAsia"/>
          <w:sz w:val="32"/>
          <w:szCs w:val="32"/>
          <w:lang w:eastAsia="zh-CN"/>
        </w:rPr>
        <w:t>万元</w:t>
      </w:r>
      <w:r>
        <w:rPr>
          <w:rFonts w:ascii="仿宋_GB2312" w:eastAsia="仿宋_GB2312" w:cs="仿宋_GB2312" w:hint="eastAsia"/>
          <w:sz w:val="32"/>
          <w:szCs w:val="32"/>
        </w:rPr>
        <w:t>，</w:t>
      </w:r>
      <w:r>
        <w:rPr>
          <w:rFonts w:ascii="仿宋_GB2312" w:eastAsia="仿宋_GB2312" w:cs="仿宋_GB2312" w:hint="eastAsia"/>
          <w:sz w:val="32"/>
          <w:szCs w:val="32"/>
          <w:lang w:val="en-US" w:eastAsia="zh-CN"/>
        </w:rPr>
        <w:t>增长0.02</w:t>
      </w:r>
      <w:r>
        <w:rPr>
          <w:rFonts w:ascii="仿宋_GB2312" w:eastAsia="仿宋_GB2312" w:cs="仿宋_GB2312" w:hint="eastAsia"/>
          <w:sz w:val="32"/>
          <w:szCs w:val="32"/>
          <w:lang w:eastAsia="zh-CN"/>
        </w:rPr>
        <w:t>%</w:t>
      </w:r>
      <w:r>
        <w:rPr>
          <w:rFonts w:ascii="仿宋_GB2312" w:eastAsia="仿宋_GB2312" w:cs="仿宋_GB2312" w:hint="eastAsia"/>
          <w:sz w:val="32"/>
          <w:szCs w:val="32"/>
        </w:rPr>
        <w:t>。主要变动原因是</w:t>
      </w:r>
      <w:r>
        <w:rPr>
          <w:rFonts w:ascii="仿宋_GB2312" w:eastAsia="仿宋_GB2312" w:cs="仿宋_GB2312" w:hint="eastAsia"/>
          <w:sz w:val="32"/>
          <w:szCs w:val="32"/>
          <w:lang w:val="en-US" w:eastAsia="zh-CN"/>
        </w:rPr>
        <w:t>：基本支出较上年增加19.98万元，但项目支出较上年减少19.83万元。</w:t>
      </w:r>
    </w:p>
    <w:p>
      <w:pPr>
        <w:keepNext w:val="0"/>
        <w:keepLines w:val="0"/>
        <w:pageBreakBefore w:val="0"/>
        <w:widowControl/>
        <w:kinsoku/>
        <w:wordWrap/>
        <w:overflowPunct/>
        <w:topLinePunct w:val="0"/>
        <w:autoSpaceDE/>
        <w:autoSpaceDN/>
        <w:bidi w:val="0"/>
        <w:adjustRightInd/>
        <w:snapToGrid/>
        <w:spacing w:line="550" w:lineRule="exact"/>
        <w:ind w:left="0" w:firstLineChars="200" w:firstLine="640"/>
        <w:jc w:val="center"/>
        <w:textAlignment w:val="auto"/>
        <w:rPr>
          <w:rFonts w:ascii="仿宋" w:eastAsia="仿宋" w:cs="仿宋" w:hint="eastAsia"/>
          <w:sz w:val="32"/>
          <w:szCs w:val="32"/>
          <w:lang w:val="en-US" w:eastAsia="zh-CN"/>
        </w:rPr>
      </w:pPr>
      <w:r>
        <w:rPr>
          <w:rFonts w:ascii="仿宋" w:eastAsia="仿宋" w:cs="仿宋" w:hint="eastAsia"/>
          <w:sz w:val="32"/>
          <w:szCs w:val="32"/>
          <w:lang w:val="en-US" w:eastAsia="zh-CN"/>
        </w:rPr>
        <w:t>金额单位：万元</w:t>
      </w:r>
    </w:p>
    <w:p>
      <w:pPr>
        <w:keepNext w:val="0"/>
        <w:keepLines w:val="0"/>
        <w:pageBreakBefore w:val="0"/>
        <w:widowControl w:val="0"/>
        <w:kinsoku/>
        <w:wordWrap/>
        <w:overflowPunct/>
        <w:topLinePunct w:val="0"/>
        <w:autoSpaceDE/>
        <w:autoSpaceDN/>
        <w:bidi w:val="0"/>
        <w:adjustRightInd/>
        <w:snapToGrid/>
        <w:jc w:val="center"/>
        <w:textAlignment w:val="auto"/>
        <w:rPr>
          <w:rFonts w:ascii="仿宋_GB2312" w:eastAsia="仿宋_GB2312" w:cs="仿宋_GB2312" w:hint="eastAsia"/>
          <w:color w:val="000000"/>
          <w:sz w:val="32"/>
          <w:szCs w:val="32"/>
          <w:lang w:val="en-US" w:eastAsia="zh-CN"/>
        </w:rPr>
      </w:pPr>
      <w:bookmarkStart w:id="17" w:name="_1756556959"/>
      <w:bookmarkEnd w:id="17"/>
      <w:r>
        <w:rPr>
          <w:rFonts w:ascii="仿宋_GB2312" w:eastAsia="仿宋_GB2312" w:cs="仿宋_GB2312" w:hint="eastAsia"/>
          <w:color w:val="000000"/>
          <w:sz w:val="32"/>
          <w:szCs w:val="32"/>
          <w:lang w:val="en-US" w:eastAsia="zh-CN"/>
        </w:rPr>
      </w:r>
      <w:r>
        <w:rPr>
          <w:rFonts w:ascii="仿宋_GB2312" w:eastAsia="仿宋_GB2312" w:cs="仿宋_GB2312" w:hint="eastAsia"/>
          <w:color w:val="000000"/>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jc w:val="center"/>
        <w:textAlignment w:val="auto"/>
        <w:rPr>
          <w:rFonts w:ascii="仿宋_GB2312" w:eastAsia="仿宋_GB2312" w:cs="仿宋_GB2312" w:hint="eastAsia"/>
          <w:sz w:val="32"/>
          <w:szCs w:val="32"/>
        </w:rPr>
      </w:pPr>
      <w:r>
        <w:rPr>
          <w:rFonts w:ascii="仿宋_GB2312" w:eastAsia="仿宋_GB2312" w:cs="仿宋_GB2312" w:hint="eastAsia"/>
          <w:sz w:val="32"/>
          <w:szCs w:val="32"/>
        </w:rPr>
        <w:t>（图4：财政拨款收、支决算总计变动情况）（柱状图）</w:t>
      </w:r>
    </w:p>
    <w:p>
      <w:pPr>
        <w:keepNext w:val="0"/>
        <w:keepLines w:val="0"/>
        <w:pageBreakBefore w:val="0"/>
        <w:widowControl w:val="0"/>
        <w:kinsoku/>
        <w:wordWrap/>
        <w:overflowPunct/>
        <w:topLinePunct w:val="0"/>
        <w:autoSpaceDE/>
        <w:autoSpaceDN/>
        <w:bidi w:val="0"/>
        <w:adjustRightInd/>
        <w:snapToGrid/>
        <w:jc w:val="both"/>
        <w:textAlignment w:val="auto"/>
        <w:rPr>
          <w:rFonts w:ascii="黑体" w:eastAsia="黑体" w:cs="黑体" w:hint="eastAsia"/>
          <w:sz w:val="32"/>
          <w:szCs w:val="32"/>
        </w:rPr>
      </w:pPr>
      <w:r>
        <w:rPr>
          <w:rFonts w:ascii="仿宋_GB2312" w:eastAsia="仿宋_GB2312" w:cs="仿宋_GB2312" w:hint="eastAsia"/>
          <w:color w:val="000000"/>
          <w:sz w:val="32"/>
          <w:szCs w:val="32"/>
          <w:lang w:val="en-US" w:eastAsia="zh-CN"/>
        </w:rPr>
        <w:t xml:space="preserve">    </w:t>
      </w:r>
      <w:r>
        <w:rPr>
          <w:rFonts w:ascii="黑体" w:eastAsia="黑体" w:cs="黑体" w:hint="eastAsia"/>
          <w:sz w:val="32"/>
          <w:szCs w:val="32"/>
        </w:rPr>
        <w:t>五、一般公共预算财政拨款支出决算情况说明</w:t>
      </w:r>
    </w:p>
    <w:p>
      <w:pPr>
        <w:keepNext w:val="0"/>
        <w:keepLines w:val="0"/>
        <w:pageBreakBefore w:val="0"/>
        <w:widowControl w:val="0"/>
        <w:kinsoku/>
        <w:wordWrap/>
        <w:overflowPunct/>
        <w:topLinePunct w:val="0"/>
        <w:autoSpaceDE/>
        <w:autoSpaceDN/>
        <w:bidi w:val="0"/>
        <w:adjustRightInd/>
        <w:snapToGrid/>
        <w:ind w:firstLineChars="200" w:firstLine="640"/>
        <w:jc w:val="left"/>
        <w:textAlignment w:val="auto"/>
        <w:rPr>
          <w:rFonts w:ascii="楷体_GB2312" w:eastAsia="楷体_GB2312" w:cs="楷体_GB2312" w:hint="eastAsia"/>
          <w:b/>
          <w:bCs/>
          <w:sz w:val="32"/>
          <w:szCs w:val="32"/>
        </w:rPr>
      </w:pPr>
      <w:r>
        <w:rPr>
          <w:rFonts w:ascii="楷体_GB2312" w:eastAsia="楷体_GB2312" w:cs="楷体_GB2312" w:hint="eastAsia"/>
          <w:b/>
          <w:bCs/>
          <w:sz w:val="32"/>
          <w:szCs w:val="32"/>
        </w:rPr>
        <w:t>（一）一般公共预算财政拨款支出决算总体情况</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highlight w:val="yellow"/>
        </w:rPr>
      </w:pPr>
      <w:r>
        <w:rPr>
          <w:rFonts w:ascii="仿宋_GB2312" w:eastAsia="仿宋_GB2312" w:cs="仿宋_GB2312" w:hint="eastAsia"/>
          <w:sz w:val="32"/>
          <w:szCs w:val="32"/>
          <w:lang w:eastAsia="zh-CN"/>
          <w:highlight w:val="auto"/>
        </w:rPr>
        <w:t>2025年</w:t>
      </w:r>
      <w:r>
        <w:rPr>
          <w:rFonts w:ascii="仿宋_GB2312" w:eastAsia="仿宋_GB2312" w:cs="仿宋_GB2312" w:hint="eastAsia"/>
          <w:sz w:val="32"/>
          <w:szCs w:val="32"/>
          <w:highlight w:val="auto"/>
        </w:rPr>
        <w:t>一般公共预算财政拨款支出</w:t>
      </w:r>
      <w:r>
        <w:rPr>
          <w:rFonts w:ascii="仿宋_GB2312" w:eastAsia="仿宋_GB2312" w:cs="仿宋_GB2312" w:hint="eastAsia"/>
          <w:sz w:val="32"/>
          <w:szCs w:val="32"/>
          <w:lang w:val="en-US" w:eastAsia="zh-CN"/>
          <w:highlight w:val="auto"/>
        </w:rPr>
        <w:t>950.44</w:t>
      </w:r>
      <w:r>
        <w:rPr>
          <w:rFonts w:ascii="仿宋_GB2312" w:eastAsia="仿宋_GB2312" w:cs="仿宋_GB2312" w:hint="eastAsia"/>
          <w:sz w:val="32"/>
          <w:szCs w:val="32"/>
          <w:lang w:eastAsia="zh-CN"/>
          <w:highlight w:val="auto"/>
        </w:rPr>
        <w:t>万元</w:t>
      </w:r>
      <w:r>
        <w:rPr>
          <w:rFonts w:ascii="仿宋_GB2312" w:eastAsia="仿宋_GB2312" w:cs="仿宋_GB2312" w:hint="eastAsia"/>
          <w:sz w:val="32"/>
          <w:szCs w:val="32"/>
          <w:highlight w:val="auto"/>
        </w:rPr>
        <w:t>，占本年支出合计的</w:t>
      </w:r>
      <w:r>
        <w:rPr>
          <w:rFonts w:ascii="仿宋_GB2312" w:eastAsia="仿宋_GB2312" w:cs="仿宋_GB2312" w:hint="eastAsia"/>
          <w:sz w:val="32"/>
          <w:szCs w:val="32"/>
          <w:lang w:val="en-US" w:eastAsia="zh-CN"/>
          <w:highlight w:val="auto"/>
        </w:rPr>
        <w:t>99.6</w:t>
      </w:r>
      <w:r>
        <w:rPr>
          <w:rFonts w:ascii="仿宋_GB2312" w:eastAsia="仿宋_GB2312" w:cs="仿宋_GB2312" w:hint="eastAsia"/>
          <w:sz w:val="32"/>
          <w:szCs w:val="32"/>
          <w:highlight w:val="auto"/>
        </w:rPr>
        <w:t>%。与</w:t>
      </w:r>
      <w:r>
        <w:rPr>
          <w:rFonts w:ascii="仿宋_GB2312" w:eastAsia="仿宋_GB2312" w:cs="仿宋_GB2312" w:hint="eastAsia"/>
          <w:sz w:val="32"/>
          <w:szCs w:val="32"/>
          <w:lang w:eastAsia="zh-CN"/>
          <w:highlight w:val="auto"/>
        </w:rPr>
        <w:t>2024年</w:t>
      </w:r>
      <w:r>
        <w:rPr>
          <w:rFonts w:ascii="仿宋_GB2312" w:eastAsia="仿宋_GB2312" w:cs="仿宋_GB2312" w:hint="eastAsia"/>
          <w:sz w:val="32"/>
          <w:szCs w:val="32"/>
          <w:highlight w:val="auto"/>
        </w:rPr>
        <w:t>相比，一般公共预算财政拨款支出</w:t>
      </w:r>
      <w:r>
        <w:rPr>
          <w:rFonts w:ascii="仿宋_GB2312" w:eastAsia="仿宋_GB2312" w:cs="仿宋_GB2312" w:hint="eastAsia"/>
          <w:sz w:val="32"/>
          <w:szCs w:val="32"/>
          <w:lang w:val="en-US" w:eastAsia="zh-CN"/>
          <w:highlight w:val="auto"/>
        </w:rPr>
        <w:t>增加0.15</w:t>
      </w:r>
      <w:r>
        <w:rPr>
          <w:rFonts w:ascii="仿宋_GB2312" w:eastAsia="仿宋_GB2312" w:cs="仿宋_GB2312" w:hint="eastAsia"/>
          <w:sz w:val="32"/>
          <w:szCs w:val="32"/>
          <w:lang w:eastAsia="zh-CN"/>
          <w:highlight w:val="auto"/>
        </w:rPr>
        <w:t>万元</w:t>
      </w:r>
      <w:r>
        <w:rPr>
          <w:rFonts w:ascii="仿宋_GB2312" w:eastAsia="仿宋_GB2312" w:cs="仿宋_GB2312" w:hint="eastAsia"/>
          <w:sz w:val="32"/>
          <w:szCs w:val="32"/>
          <w:highlight w:val="auto"/>
        </w:rPr>
        <w:t>，</w:t>
      </w:r>
      <w:r>
        <w:rPr>
          <w:rFonts w:ascii="仿宋_GB2312" w:eastAsia="仿宋_GB2312" w:cs="仿宋_GB2312" w:hint="eastAsia"/>
          <w:sz w:val="32"/>
          <w:szCs w:val="32"/>
          <w:lang w:val="en-US" w:eastAsia="zh-CN"/>
          <w:highlight w:val="auto"/>
        </w:rPr>
        <w:t>增长0.02</w:t>
      </w:r>
      <w:r>
        <w:rPr>
          <w:rFonts w:ascii="仿宋_GB2312" w:eastAsia="仿宋_GB2312" w:cs="仿宋_GB2312" w:hint="eastAsia"/>
          <w:sz w:val="32"/>
          <w:szCs w:val="32"/>
          <w:lang w:eastAsia="zh-CN"/>
          <w:highlight w:val="auto"/>
        </w:rPr>
        <w:t>%</w:t>
      </w:r>
      <w:r>
        <w:rPr>
          <w:rFonts w:ascii="仿宋_GB2312" w:eastAsia="仿宋_GB2312" w:cs="仿宋_GB2312" w:hint="eastAsia"/>
          <w:sz w:val="32"/>
          <w:szCs w:val="32"/>
          <w:highlight w:val="auto"/>
        </w:rPr>
        <w:t>。主要变动原因是</w:t>
      </w:r>
      <w:r>
        <w:rPr>
          <w:rFonts w:ascii="仿宋_GB2312" w:eastAsia="仿宋_GB2312" w:cs="仿宋_GB2312" w:hint="eastAsia"/>
          <w:sz w:val="32"/>
          <w:szCs w:val="32"/>
          <w:lang w:val="en-US" w:eastAsia="zh-CN"/>
          <w:highlight w:val="auto"/>
        </w:rPr>
        <w:t>：基本支出较上年增加19.98万元，但项目支出较上年减少19.83万元。</w:t>
      </w:r>
    </w:p>
    <w:p>
      <w:pPr>
        <w:keepNext w:val="0"/>
        <w:keepLines w:val="0"/>
        <w:pageBreakBefore w:val="0"/>
        <w:widowControl w:val="0"/>
        <w:kinsoku/>
        <w:wordWrap/>
        <w:overflowPunct/>
        <w:topLinePunct w:val="0"/>
        <w:autoSpaceDE/>
        <w:autoSpaceDN/>
        <w:bidi w:val="0"/>
        <w:adjustRightInd/>
        <w:snapToGrid/>
        <w:ind w:firstLineChars="200" w:firstLine="640"/>
        <w:jc w:val="center"/>
        <w:textAlignment w:val="auto"/>
        <w:rPr>
          <w:rFonts w:ascii="仿宋_GB2312" w:eastAsia="仿宋_GB2312" w:cs="仿宋_GB2312" w:hint="eastAsia"/>
          <w:sz w:val="32"/>
          <w:szCs w:val="32"/>
        </w:rPr>
      </w:pPr>
      <w:r>
        <w:rPr>
          <w:rFonts w:ascii="仿宋_GB2312" w:eastAsia="仿宋_GB2312" w:cs="仿宋_GB2312" w:hint="eastAsia"/>
          <w:sz w:val="32"/>
          <w:szCs w:val="32"/>
        </w:rPr>
        <w:t>金额单位：万元</w:t>
      </w:r>
    </w:p>
    <w:p>
      <w:pPr>
        <w:pStyle w:val="17"/>
        <w:tabs>
          <w:tab w:val="center" w:pos="4153"/>
          <w:tab w:val="right" w:pos="8306"/>
        </w:tabs>
        <w:rPr>
          <w:rFonts w:eastAsia="仿宋_GB2312" w:hint="eastAsia"/>
          <w:lang w:eastAsia="zh-CN"/>
        </w:rPr>
      </w:pPr>
      <w:r>
        <w:rPr>
          <w:rFonts w:eastAsia="仿宋_GB2312" w:hint="eastAsia"/>
          <w:lang w:eastAsia="zh-CN"/>
        </w:rPr>
      </w:r>
    </w:p>
    <w:p>
      <w:pPr>
        <w:keepNext w:val="0"/>
        <w:keepLines w:val="0"/>
        <w:pageBreakBefore w:val="0"/>
        <w:widowControl w:val="0"/>
        <w:kinsoku/>
        <w:wordWrap/>
        <w:overflowPunct/>
        <w:topLinePunct w:val="0"/>
        <w:autoSpaceDE/>
        <w:autoSpaceDN/>
        <w:bidi w:val="0"/>
        <w:adjustRightInd/>
        <w:snapToGrid/>
        <w:jc w:val="left"/>
        <w:textAlignment w:val="auto"/>
        <w:rPr>
          <w:rFonts w:ascii="仿宋_GB2312" w:eastAsia="仿宋_GB2312" w:cs="仿宋_GB2312" w:hint="eastAsia"/>
          <w:sz w:val="32"/>
          <w:szCs w:val="32"/>
          <w:lang w:eastAsia="zh-CN"/>
        </w:rPr>
      </w:pPr>
      <w:r>
        <w:rPr>
          <w:rFonts w:ascii="仿宋_GB2312" w:eastAsia="仿宋_GB2312" w:cs="仿宋_GB2312" w:hint="eastAsia"/>
          <w:sz w:val="32"/>
          <w:szCs w:val="32"/>
          <w:lang w:eastAsia="zh-CN"/>
        </w:rPr>
        <w:t>（图5：一般公共预算财政拨款支出决算变动情况）（柱状图）</w:t>
      </w:r>
    </w:p>
    <w:p>
      <w:pPr>
        <w:keepNext w:val="0"/>
        <w:keepLines w:val="0"/>
        <w:pageBreakBefore w:val="0"/>
        <w:widowControl w:val="0"/>
        <w:kinsoku/>
        <w:wordWrap/>
        <w:overflowPunct/>
        <w:topLinePunct w:val="0"/>
        <w:autoSpaceDE/>
        <w:autoSpaceDN/>
        <w:bidi w:val="0"/>
        <w:adjustRightInd/>
        <w:snapToGrid/>
        <w:ind w:firstLineChars="200" w:firstLine="640"/>
        <w:jc w:val="left"/>
        <w:textAlignment w:val="auto"/>
        <w:rPr>
          <w:rFonts w:ascii="楷体_GB2312" w:eastAsia="楷体_GB2312" w:cs="楷体_GB2312" w:hint="eastAsia"/>
          <w:b/>
          <w:bCs/>
          <w:sz w:val="32"/>
          <w:szCs w:val="32"/>
          <w:lang w:eastAsia="zh-CN"/>
        </w:rPr>
      </w:pPr>
      <w:bookmarkStart w:id="18" w:name="_1756557061"/>
      <w:bookmarkEnd w:id="18"/>
      <w:r>
        <w:rPr>
          <w:rFonts w:ascii="楷体_GB2312" w:eastAsia="楷体_GB2312" w:cs="楷体_GB2312" w:hint="eastAsia"/>
          <w:b/>
          <w:bCs/>
          <w:sz w:val="32"/>
          <w:szCs w:val="32"/>
          <w:lang w:eastAsia="zh-CN"/>
        </w:rPr>
        <w:t>（二）一般公共预算财政拨款支出决算结构情况</w:t>
      </w:r>
    </w:p>
    <w:p>
      <w:pPr>
        <w:keepNext w:val="0"/>
        <w:keepLines w:val="0"/>
        <w:pageBreakBefore w:val="0"/>
        <w:widowControl w:val="0"/>
        <w:kinsoku/>
        <w:wordWrap/>
        <w:overflowPunct/>
        <w:topLinePunct w:val="0"/>
        <w:autoSpaceDE/>
        <w:autoSpaceDN/>
        <w:bidi w:val="0"/>
        <w:adjustRightInd/>
        <w:snapToGrid/>
        <w:ind w:firstLineChars="200" w:firstLine="640"/>
        <w:jc w:val="center"/>
        <w:textAlignment w:val="auto"/>
        <w:rPr>
          <w:rFonts w:ascii="仿宋_GB2312" w:eastAsia="仿宋_GB2312" w:cs="仿宋_GB2312" w:hint="eastAsia"/>
          <w:sz w:val="32"/>
          <w:szCs w:val="32"/>
          <w:lang w:val="en-US" w:eastAsia="zh-CN"/>
        </w:rPr>
      </w:pPr>
      <w:r>
        <w:rPr>
          <w:rFonts w:ascii="仿宋_GB2312" w:eastAsia="仿宋_GB2312" w:cs="仿宋_GB2312" w:hint="eastAsia"/>
          <w:sz w:val="32"/>
          <w:szCs w:val="32"/>
          <w:lang w:eastAsia="zh-CN"/>
        </w:rPr>
        <w:t>2025年一般公共预算财政拨款支出</w:t>
      </w:r>
      <w:r>
        <w:rPr>
          <w:rFonts w:ascii="仿宋_GB2312" w:eastAsia="仿宋_GB2312" w:cs="仿宋_GB2312" w:hint="eastAsia"/>
          <w:sz w:val="32"/>
          <w:szCs w:val="32"/>
          <w:lang w:val="en-US" w:eastAsia="zh-CN"/>
        </w:rPr>
        <w:t>950.44</w:t>
      </w:r>
      <w:r>
        <w:rPr>
          <w:rFonts w:ascii="仿宋_GB2312" w:eastAsia="仿宋_GB2312" w:cs="仿宋_GB2312" w:hint="eastAsia"/>
          <w:sz w:val="32"/>
          <w:szCs w:val="32"/>
          <w:lang w:eastAsia="zh-CN"/>
        </w:rPr>
        <w:t>万元，主要用于以下方面</w:t>
      </w:r>
      <w:r>
        <w:rPr>
          <w:rFonts w:ascii="仿宋_GB2312" w:eastAsia="仿宋_GB2312" w:cs="仿宋_GB2312" w:hint="eastAsia"/>
          <w:sz w:val="32"/>
          <w:szCs w:val="32"/>
        </w:rPr>
        <w:t>:</w:t>
      </w:r>
      <w:r>
        <w:rPr>
          <w:rFonts w:ascii="仿宋_GB2312" w:eastAsia="仿宋_GB2312" w:cs="仿宋_GB2312" w:hint="eastAsia"/>
          <w:b/>
          <w:bCs/>
          <w:sz w:val="32"/>
          <w:szCs w:val="32"/>
        </w:rPr>
        <w:t>一般公共服务（类）支出</w:t>
      </w:r>
      <w:r>
        <w:rPr>
          <w:rFonts w:ascii="仿宋_GB2312" w:eastAsia="仿宋_GB2312" w:cs="仿宋_GB2312" w:hint="eastAsia"/>
          <w:sz w:val="32"/>
          <w:szCs w:val="32"/>
          <w:lang w:val="en-US" w:eastAsia="zh-CN"/>
        </w:rPr>
        <w:t>799.27</w:t>
      </w:r>
      <w:r>
        <w:rPr>
          <w:rFonts w:ascii="仿宋_GB2312" w:eastAsia="仿宋_GB2312" w:cs="仿宋_GB2312" w:hint="eastAsia"/>
          <w:sz w:val="32"/>
          <w:szCs w:val="32"/>
        </w:rPr>
        <w:t>万元，占</w:t>
      </w:r>
      <w:r>
        <w:rPr>
          <w:rFonts w:ascii="仿宋_GB2312" w:eastAsia="仿宋_GB2312" w:cs="仿宋_GB2312" w:hint="eastAsia"/>
          <w:sz w:val="32"/>
          <w:szCs w:val="32"/>
          <w:lang w:val="en-US" w:eastAsia="zh-CN"/>
        </w:rPr>
        <w:t>84.1</w:t>
      </w:r>
      <w:r>
        <w:rPr>
          <w:rFonts w:ascii="仿宋_GB2312" w:eastAsia="仿宋_GB2312" w:cs="仿宋_GB2312" w:hint="eastAsia"/>
          <w:sz w:val="32"/>
          <w:szCs w:val="32"/>
        </w:rPr>
        <w:t>%；</w:t>
      </w:r>
      <w:r>
        <w:rPr>
          <w:rFonts w:ascii="仿宋_GB2312" w:eastAsia="仿宋_GB2312" w:cs="仿宋_GB2312" w:hint="eastAsia"/>
          <w:b/>
          <w:bCs/>
          <w:sz w:val="32"/>
          <w:szCs w:val="32"/>
        </w:rPr>
        <w:t>社会保障和就业（类）支出</w:t>
      </w:r>
      <w:r>
        <w:rPr>
          <w:rFonts w:ascii="仿宋_GB2312" w:eastAsia="仿宋_GB2312" w:cs="仿宋_GB2312" w:hint="eastAsia"/>
          <w:sz w:val="32"/>
          <w:szCs w:val="32"/>
          <w:lang w:val="en-US" w:eastAsia="zh-CN"/>
        </w:rPr>
        <w:t>75.77</w:t>
      </w:r>
      <w:r>
        <w:rPr>
          <w:rFonts w:ascii="仿宋_GB2312" w:eastAsia="仿宋_GB2312" w:cs="仿宋_GB2312" w:hint="eastAsia"/>
          <w:sz w:val="32"/>
          <w:szCs w:val="32"/>
        </w:rPr>
        <w:t>万元，占</w:t>
      </w:r>
      <w:r>
        <w:rPr>
          <w:rFonts w:ascii="仿宋_GB2312" w:eastAsia="仿宋_GB2312" w:cs="仿宋_GB2312" w:hint="eastAsia"/>
          <w:sz w:val="32"/>
          <w:szCs w:val="32"/>
          <w:lang w:val="en-US" w:eastAsia="zh-CN"/>
        </w:rPr>
        <w:t>8</w:t>
      </w:r>
      <w:r>
        <w:rPr>
          <w:rFonts w:ascii="仿宋_GB2312" w:eastAsia="仿宋_GB2312" w:cs="仿宋_GB2312" w:hint="eastAsia"/>
          <w:sz w:val="32"/>
          <w:szCs w:val="32"/>
        </w:rPr>
        <w:t>%；</w:t>
      </w:r>
      <w:r>
        <w:rPr>
          <w:rFonts w:ascii="仿宋_GB2312" w:eastAsia="仿宋_GB2312" w:cs="仿宋_GB2312" w:hint="eastAsia"/>
          <w:b/>
          <w:bCs/>
          <w:sz w:val="32"/>
          <w:szCs w:val="32"/>
        </w:rPr>
        <w:t>卫生健康支出</w:t>
      </w:r>
      <w:r>
        <w:rPr>
          <w:rFonts w:ascii="仿宋_GB2312" w:eastAsia="仿宋_GB2312" w:cs="仿宋_GB2312" w:hint="eastAsia"/>
          <w:sz w:val="32"/>
          <w:szCs w:val="32"/>
          <w:lang w:val="en-US" w:eastAsia="zh-CN"/>
        </w:rPr>
        <w:t>34.33</w:t>
      </w:r>
      <w:r>
        <w:rPr>
          <w:rFonts w:ascii="仿宋_GB2312" w:eastAsia="仿宋_GB2312" w:cs="仿宋_GB2312" w:hint="eastAsia"/>
          <w:sz w:val="32"/>
          <w:szCs w:val="32"/>
        </w:rPr>
        <w:t>万元，占</w:t>
      </w:r>
      <w:r>
        <w:rPr>
          <w:rFonts w:ascii="仿宋_GB2312" w:eastAsia="仿宋_GB2312" w:cs="仿宋_GB2312" w:hint="eastAsia"/>
          <w:sz w:val="32"/>
          <w:szCs w:val="32"/>
          <w:lang w:val="en-US" w:eastAsia="zh-CN"/>
        </w:rPr>
        <w:t>3.6</w:t>
      </w:r>
      <w:r>
        <w:rPr>
          <w:rFonts w:ascii="仿宋_GB2312" w:eastAsia="仿宋_GB2312" w:cs="仿宋_GB2312" w:hint="eastAsia"/>
          <w:sz w:val="32"/>
          <w:szCs w:val="32"/>
        </w:rPr>
        <w:t>%；</w:t>
      </w:r>
      <w:r>
        <w:rPr>
          <w:rFonts w:ascii="仿宋_GB2312" w:eastAsia="仿宋_GB2312" w:cs="仿宋_GB2312" w:hint="eastAsia"/>
          <w:b/>
          <w:bCs/>
          <w:sz w:val="32"/>
          <w:szCs w:val="32"/>
        </w:rPr>
        <w:t>住房保障支出</w:t>
      </w:r>
      <w:r>
        <w:rPr>
          <w:rFonts w:ascii="仿宋_GB2312" w:eastAsia="仿宋_GB2312" w:cs="仿宋_GB2312" w:hint="eastAsia"/>
          <w:sz w:val="32"/>
          <w:szCs w:val="32"/>
          <w:lang w:val="en-US" w:eastAsia="zh-CN"/>
        </w:rPr>
        <w:t>41.07</w:t>
      </w:r>
      <w:r>
        <w:rPr>
          <w:rFonts w:ascii="仿宋_GB2312" w:eastAsia="仿宋_GB2312" w:cs="仿宋_GB2312" w:hint="eastAsia"/>
          <w:sz w:val="32"/>
          <w:szCs w:val="32"/>
        </w:rPr>
        <w:t>万元，占</w:t>
      </w:r>
      <w:r>
        <w:rPr>
          <w:rFonts w:ascii="仿宋_GB2312" w:eastAsia="仿宋_GB2312" w:cs="仿宋_GB2312" w:hint="eastAsia"/>
          <w:sz w:val="32"/>
          <w:szCs w:val="32"/>
          <w:lang w:val="en-US" w:eastAsia="zh-CN"/>
        </w:rPr>
        <w:t>4.3</w:t>
      </w:r>
      <w:r>
        <w:rPr>
          <w:rFonts w:ascii="仿宋_GB2312" w:eastAsia="仿宋_GB2312" w:cs="仿宋_GB2312" w:hint="eastAsia"/>
          <w:sz w:val="32"/>
          <w:szCs w:val="32"/>
        </w:rPr>
        <w:t>%。</w:t>
      </w:r>
      <w:bookmarkStart w:id="19" w:name="_1756557576"/>
      <w:bookmarkEnd w:id="19"/>
      <w:r>
        <w:rPr>
          <w:rFonts w:ascii="仿宋_GB2312" w:eastAsia="仿宋_GB2312" w:cs="仿宋_GB2312" w:hint="eastAsia"/>
          <w:color w:val="000000"/>
          <w:sz w:val="32"/>
          <w:szCs w:val="32"/>
        </w:rPr>
        <w:object>
          <v:shapetype id="_x0000_t75" coordsize="21600,2160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type="#_x0000_t75" filled="f" stroked="f" alt="image5" style="width:435.50003pt;height:178.3pt;" o:ole="">
            <v:stroke color="#000000"/>
            <v:imagedata r:id="rId4" o:title="image1"/>
            <o:lock aspectratio="t"/>
            <w10:anchorLock/>
          </v:shape>
          <o:OLEObject Type="Embed" ProgID="Package" ShapeID="_x0000_i1" DrawAspect="Content" ObjectID="_1393063351" r:id="rId5"/>
        </w:object>
      </w:r>
      <w:r>
        <w:rPr>
          <w:rFonts w:ascii="仿宋_GB2312" w:eastAsia="仿宋_GB2312" w:cs="仿宋_GB2312" w:hint="eastAsia"/>
          <w:sz w:val="32"/>
          <w:szCs w:val="32"/>
          <w:lang w:val="en-US" w:eastAsia="zh-CN"/>
        </w:rPr>
        <w:t xml:space="preserve"> </w:t>
      </w:r>
      <w:r>
        <w:rPr>
          <w:rFonts w:ascii="仿宋_GB2312" w:eastAsia="仿宋_GB2312" w:cs="仿宋_GB2312" w:hint="eastAsia"/>
          <w:sz w:val="32"/>
          <w:szCs w:val="32"/>
        </w:rPr>
        <w:t>（图6：一般公共预算财政拨款支出决算结构）（饼状图）</w:t>
      </w:r>
    </w:p>
    <w:p>
      <w:pPr>
        <w:keepNext w:val="0"/>
        <w:keepLines w:val="0"/>
        <w:pageBreakBefore w:val="0"/>
        <w:widowControl w:val="0"/>
        <w:kinsoku/>
        <w:wordWrap/>
        <w:overflowPunct/>
        <w:topLinePunct w:val="0"/>
        <w:autoSpaceDE/>
        <w:autoSpaceDN/>
        <w:bidi w:val="0"/>
        <w:adjustRightInd/>
        <w:snapToGrid/>
        <w:ind w:firstLineChars="200" w:firstLine="640"/>
        <w:jc w:val="left"/>
        <w:textAlignment w:val="auto"/>
        <w:rPr>
          <w:rFonts w:ascii="楷体_GB2312" w:eastAsia="楷体_GB2312" w:cs="楷体_GB2312" w:hint="eastAsia"/>
          <w:b/>
          <w:bCs/>
          <w:sz w:val="32"/>
          <w:szCs w:val="32"/>
        </w:rPr>
      </w:pPr>
      <w:r>
        <w:rPr>
          <w:rFonts w:ascii="楷体_GB2312" w:eastAsia="楷体_GB2312" w:cs="楷体_GB2312" w:hint="eastAsia"/>
          <w:b/>
          <w:bCs/>
          <w:sz w:val="32"/>
          <w:szCs w:val="32"/>
        </w:rPr>
        <w:t>（三）一般公共预算财政拨款支出决算具体情况</w:t>
      </w:r>
    </w:p>
    <w:p>
      <w:pPr>
        <w:keepNext w:val="0"/>
        <w:keepLines w:val="0"/>
        <w:pageBreakBefore w:val="0"/>
        <w:widowControl/>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b/>
          <w:bCs/>
          <w:sz w:val="32"/>
          <w:szCs w:val="32"/>
          <w:lang w:eastAsia="zh-CN"/>
        </w:rPr>
        <w:t>2025年</w:t>
      </w:r>
      <w:r>
        <w:rPr>
          <w:rFonts w:ascii="仿宋_GB2312" w:eastAsia="仿宋_GB2312" w:cs="仿宋_GB2312" w:hint="eastAsia"/>
          <w:b/>
          <w:bCs/>
          <w:sz w:val="32"/>
          <w:szCs w:val="32"/>
        </w:rPr>
        <w:t>一般公共预算支出决算数为</w:t>
      </w:r>
      <w:r>
        <w:rPr>
          <w:rFonts w:ascii="仿宋_GB2312" w:eastAsia="仿宋_GB2312" w:cs="仿宋_GB2312" w:hint="eastAsia"/>
          <w:sz w:val="32"/>
          <w:szCs w:val="32"/>
          <w:lang w:val="en-US" w:eastAsia="zh-CN"/>
        </w:rPr>
        <w:t>950.44万元</w:t>
      </w:r>
      <w:r>
        <w:rPr>
          <w:rFonts w:ascii="仿宋_GB2312" w:eastAsia="仿宋_GB2312" w:cs="仿宋_GB2312" w:hint="eastAsia"/>
          <w:sz w:val="32"/>
          <w:szCs w:val="32"/>
        </w:rPr>
        <w:t>，完成预算100%。其中：</w:t>
      </w:r>
    </w:p>
    <w:p>
      <w:pPr>
        <w:keepNext w:val="0"/>
        <w:keepLines w:val="0"/>
        <w:pageBreakBefore w:val="0"/>
        <w:widowControl/>
        <w:kinsoku/>
        <w:wordWrap/>
        <w:overflowPunct/>
        <w:topLinePunct w:val="0"/>
        <w:autoSpaceDE/>
        <w:autoSpaceDN/>
        <w:bidi w:val="0"/>
        <w:adjustRightInd/>
        <w:snapToGrid/>
        <w:spacing w:line="550" w:lineRule="exact"/>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b/>
          <w:bCs/>
          <w:sz w:val="32"/>
          <w:szCs w:val="32"/>
          <w:lang w:val="en-US" w:eastAsia="zh-CN"/>
        </w:rPr>
        <w:t>1.</w:t>
      </w:r>
      <w:r>
        <w:rPr>
          <w:rFonts w:ascii="仿宋_GB2312" w:eastAsia="仿宋_GB2312" w:cs="仿宋_GB2312" w:hint="eastAsia"/>
          <w:b/>
          <w:bCs/>
          <w:sz w:val="32"/>
          <w:szCs w:val="32"/>
        </w:rPr>
        <w:t>一般公共服务（类）人大事务（款）行政运行（项）:</w:t>
      </w:r>
      <w:r>
        <w:rPr>
          <w:rFonts w:ascii="仿宋_GB2312" w:eastAsia="仿宋_GB2312" w:cs="仿宋_GB2312" w:hint="eastAsia"/>
          <w:sz w:val="32"/>
          <w:szCs w:val="32"/>
        </w:rPr>
        <w:t xml:space="preserve"> 支出决算为</w:t>
      </w:r>
      <w:r>
        <w:rPr>
          <w:rFonts w:ascii="仿宋_GB2312" w:eastAsia="仿宋_GB2312" w:cs="仿宋_GB2312" w:hint="eastAsia"/>
          <w:sz w:val="32"/>
          <w:szCs w:val="32"/>
          <w:lang w:val="en-US" w:eastAsia="zh-CN"/>
        </w:rPr>
        <w:t>646.22</w:t>
      </w:r>
      <w:r>
        <w:rPr>
          <w:rFonts w:ascii="仿宋_GB2312" w:eastAsia="仿宋_GB2312" w:cs="仿宋_GB2312" w:hint="eastAsia"/>
          <w:sz w:val="32"/>
          <w:szCs w:val="32"/>
        </w:rPr>
        <w:t>万元，完成预算100%</w:t>
      </w:r>
      <w:r>
        <w:rPr>
          <w:rFonts w:ascii="仿宋_GB2312" w:eastAsia="仿宋_GB2312" w:cs="仿宋_GB2312" w:hint="eastAsia"/>
          <w:sz w:val="32"/>
          <w:szCs w:val="32"/>
          <w:lang w:val="en-US" w:eastAsia="zh-CN"/>
        </w:rPr>
        <w:t>。</w:t>
      </w:r>
      <w:r>
        <w:rPr>
          <w:rFonts w:ascii="仿宋_GB2312" w:eastAsia="仿宋_GB2312" w:cs="仿宋_GB2312"/>
          <w:sz w:val="32"/>
          <w:szCs w:val="32"/>
          <w:lang w:val="en-US" w:eastAsia="zh-CN"/>
        </w:rPr>
        <w:t>决算数与预算数持平。</w:t>
      </w:r>
    </w:p>
    <w:p>
      <w:pPr>
        <w:keepNext w:val="0"/>
        <w:keepLines w:val="0"/>
        <w:pageBreakBefore w:val="0"/>
        <w:widowControl/>
        <w:kinsoku/>
        <w:wordWrap/>
        <w:overflowPunct/>
        <w:topLinePunct w:val="0"/>
        <w:autoSpaceDE/>
        <w:autoSpaceDN/>
        <w:bidi w:val="0"/>
        <w:adjustRightInd/>
        <w:snapToGrid/>
        <w:spacing w:line="550" w:lineRule="exact"/>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b/>
          <w:bCs/>
          <w:sz w:val="32"/>
          <w:szCs w:val="32"/>
          <w:lang w:val="en-US" w:eastAsia="zh-CN"/>
        </w:rPr>
        <w:t>2.</w:t>
      </w:r>
      <w:r>
        <w:rPr>
          <w:rFonts w:ascii="仿宋_GB2312" w:eastAsia="仿宋_GB2312" w:cs="仿宋_GB2312" w:hint="eastAsia"/>
          <w:b/>
          <w:bCs/>
          <w:sz w:val="32"/>
          <w:szCs w:val="32"/>
        </w:rPr>
        <w:t>一般公共服务（</w:t>
      </w:r>
      <w:r>
        <w:rPr>
          <w:rFonts w:ascii="仿宋_GB2312" w:eastAsia="仿宋_GB2312" w:cs="仿宋_GB2312" w:hint="eastAsia"/>
          <w:b/>
          <w:bCs/>
          <w:sz w:val="32"/>
          <w:szCs w:val="32"/>
          <w:lang w:val="en-US" w:eastAsia="zh-CN"/>
        </w:rPr>
        <w:t>类</w:t>
      </w:r>
      <w:r>
        <w:rPr>
          <w:rFonts w:ascii="仿宋_GB2312" w:eastAsia="仿宋_GB2312" w:cs="仿宋_GB2312" w:hint="eastAsia"/>
          <w:b/>
          <w:bCs/>
          <w:sz w:val="32"/>
          <w:szCs w:val="32"/>
        </w:rPr>
        <w:t>）人大事务（</w:t>
      </w:r>
      <w:r>
        <w:rPr>
          <w:rFonts w:ascii="仿宋_GB2312" w:eastAsia="仿宋_GB2312" w:cs="仿宋_GB2312" w:hint="eastAsia"/>
          <w:b/>
          <w:bCs/>
          <w:sz w:val="32"/>
          <w:szCs w:val="32"/>
          <w:lang w:val="en-US" w:eastAsia="zh-CN"/>
        </w:rPr>
        <w:t>款</w:t>
      </w:r>
      <w:r>
        <w:rPr>
          <w:rFonts w:ascii="仿宋_GB2312" w:eastAsia="仿宋_GB2312" w:cs="仿宋_GB2312" w:hint="eastAsia"/>
          <w:b/>
          <w:bCs/>
          <w:sz w:val="32"/>
          <w:szCs w:val="32"/>
        </w:rPr>
        <w:t>）人大会议（</w:t>
      </w:r>
      <w:r>
        <w:rPr>
          <w:rFonts w:ascii="仿宋_GB2312" w:eastAsia="仿宋_GB2312" w:cs="仿宋_GB2312" w:hint="eastAsia"/>
          <w:b/>
          <w:bCs/>
          <w:sz w:val="32"/>
          <w:szCs w:val="32"/>
          <w:lang w:val="en-US" w:eastAsia="zh-CN"/>
        </w:rPr>
        <w:t>项</w:t>
      </w:r>
      <w:r>
        <w:rPr>
          <w:rFonts w:ascii="仿宋_GB2312" w:eastAsia="仿宋_GB2312" w:cs="仿宋_GB2312" w:hint="eastAsia"/>
          <w:b/>
          <w:bCs/>
          <w:sz w:val="32"/>
          <w:szCs w:val="32"/>
        </w:rPr>
        <w:t>）:</w:t>
      </w:r>
      <w:r>
        <w:rPr>
          <w:rFonts w:ascii="仿宋_GB2312" w:eastAsia="仿宋_GB2312" w:cs="仿宋_GB2312" w:hint="eastAsia"/>
          <w:sz w:val="32"/>
          <w:szCs w:val="32"/>
        </w:rPr>
        <w:t xml:space="preserve"> 支出决算为</w:t>
      </w:r>
      <w:r>
        <w:rPr>
          <w:rFonts w:ascii="仿宋_GB2312" w:eastAsia="仿宋_GB2312" w:cs="仿宋_GB2312" w:hint="eastAsia"/>
          <w:sz w:val="32"/>
          <w:szCs w:val="32"/>
          <w:lang w:val="en-US" w:eastAsia="zh-CN"/>
        </w:rPr>
        <w:t>48.50</w:t>
      </w:r>
      <w:r>
        <w:rPr>
          <w:rFonts w:ascii="仿宋_GB2312" w:eastAsia="仿宋_GB2312" w:cs="仿宋_GB2312" w:hint="eastAsia"/>
          <w:sz w:val="32"/>
          <w:szCs w:val="32"/>
        </w:rPr>
        <w:t>万元，完成预算100%</w:t>
      </w:r>
      <w:r>
        <w:rPr>
          <w:rFonts w:ascii="仿宋_GB2312" w:eastAsia="仿宋_GB2312" w:cs="仿宋_GB2312" w:hint="eastAsia"/>
          <w:sz w:val="32"/>
          <w:szCs w:val="32"/>
          <w:lang w:val="en-US" w:eastAsia="zh-CN"/>
        </w:rPr>
        <w:t>。</w:t>
      </w:r>
      <w:r>
        <w:rPr>
          <w:rFonts w:ascii="仿宋_GB2312" w:eastAsia="仿宋_GB2312" w:cs="仿宋_GB2312"/>
          <w:sz w:val="32"/>
          <w:szCs w:val="32"/>
          <w:lang w:val="en-US" w:eastAsia="zh-CN"/>
        </w:rPr>
        <w:t>决算数与预算数持平。</w:t>
      </w:r>
    </w:p>
    <w:p>
      <w:pPr>
        <w:keepNext w:val="0"/>
        <w:keepLines w:val="0"/>
        <w:pageBreakBefore w:val="0"/>
        <w:widowControl/>
        <w:kinsoku/>
        <w:wordWrap/>
        <w:overflowPunct/>
        <w:topLinePunct w:val="0"/>
        <w:autoSpaceDE/>
        <w:autoSpaceDN/>
        <w:bidi w:val="0"/>
        <w:adjustRightInd/>
        <w:snapToGrid/>
        <w:spacing w:line="550" w:lineRule="exact"/>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b/>
          <w:bCs/>
          <w:sz w:val="32"/>
          <w:szCs w:val="32"/>
          <w:lang w:val="en-US" w:eastAsia="zh-CN"/>
        </w:rPr>
        <w:t>3.</w:t>
      </w:r>
      <w:r>
        <w:rPr>
          <w:rFonts w:ascii="仿宋_GB2312" w:eastAsia="仿宋_GB2312" w:cs="仿宋_GB2312" w:hint="eastAsia"/>
          <w:b/>
          <w:bCs/>
          <w:sz w:val="32"/>
          <w:szCs w:val="32"/>
        </w:rPr>
        <w:t>一般公共服务（</w:t>
      </w:r>
      <w:r>
        <w:rPr>
          <w:rFonts w:ascii="仿宋_GB2312" w:eastAsia="仿宋_GB2312" w:cs="仿宋_GB2312" w:hint="eastAsia"/>
          <w:b/>
          <w:bCs/>
          <w:sz w:val="32"/>
          <w:szCs w:val="32"/>
          <w:lang w:val="en-US" w:eastAsia="zh-CN"/>
        </w:rPr>
        <w:t>类</w:t>
      </w:r>
      <w:r>
        <w:rPr>
          <w:rFonts w:ascii="仿宋_GB2312" w:eastAsia="仿宋_GB2312" w:cs="仿宋_GB2312" w:hint="eastAsia"/>
          <w:b/>
          <w:bCs/>
          <w:sz w:val="32"/>
          <w:szCs w:val="32"/>
        </w:rPr>
        <w:t>）人大事务（</w:t>
      </w:r>
      <w:r>
        <w:rPr>
          <w:rFonts w:ascii="仿宋_GB2312" w:eastAsia="仿宋_GB2312" w:cs="仿宋_GB2312" w:hint="eastAsia"/>
          <w:b/>
          <w:bCs/>
          <w:sz w:val="32"/>
          <w:szCs w:val="32"/>
          <w:lang w:val="en-US" w:eastAsia="zh-CN"/>
        </w:rPr>
        <w:t>款</w:t>
      </w:r>
      <w:r>
        <w:rPr>
          <w:rFonts w:ascii="仿宋_GB2312" w:eastAsia="仿宋_GB2312" w:cs="仿宋_GB2312" w:hint="eastAsia"/>
          <w:b/>
          <w:bCs/>
          <w:sz w:val="32"/>
          <w:szCs w:val="32"/>
        </w:rPr>
        <w:t>）</w:t>
      </w:r>
      <w:r>
        <w:rPr>
          <w:rFonts w:ascii="仿宋_GB2312" w:eastAsia="仿宋_GB2312" w:cs="仿宋_GB2312" w:hint="eastAsia"/>
          <w:b/>
          <w:bCs/>
          <w:sz w:val="32"/>
          <w:szCs w:val="32"/>
          <w:lang w:val="en-US" w:eastAsia="zh-CN"/>
        </w:rPr>
        <w:t>人大监督</w:t>
      </w:r>
      <w:r>
        <w:rPr>
          <w:rFonts w:ascii="仿宋_GB2312" w:eastAsia="仿宋_GB2312" w:cs="仿宋_GB2312" w:hint="eastAsia"/>
          <w:b/>
          <w:bCs/>
          <w:sz w:val="32"/>
          <w:szCs w:val="32"/>
        </w:rPr>
        <w:t>（</w:t>
      </w:r>
      <w:r>
        <w:rPr>
          <w:rFonts w:ascii="仿宋_GB2312" w:eastAsia="仿宋_GB2312" w:cs="仿宋_GB2312" w:hint="eastAsia"/>
          <w:b/>
          <w:bCs/>
          <w:sz w:val="32"/>
          <w:szCs w:val="32"/>
          <w:lang w:val="en-US" w:eastAsia="zh-CN"/>
        </w:rPr>
        <w:t>项</w:t>
      </w:r>
      <w:r>
        <w:rPr>
          <w:rFonts w:ascii="仿宋_GB2312" w:eastAsia="仿宋_GB2312" w:cs="仿宋_GB2312" w:hint="eastAsia"/>
          <w:b/>
          <w:bCs/>
          <w:sz w:val="32"/>
          <w:szCs w:val="32"/>
        </w:rPr>
        <w:t>）:</w:t>
      </w:r>
      <w:r>
        <w:rPr>
          <w:rFonts w:ascii="仿宋_GB2312" w:eastAsia="仿宋_GB2312" w:cs="仿宋_GB2312" w:hint="eastAsia"/>
          <w:sz w:val="32"/>
          <w:szCs w:val="32"/>
        </w:rPr>
        <w:t xml:space="preserve"> 支出决算为</w:t>
      </w:r>
      <w:r>
        <w:rPr>
          <w:rFonts w:ascii="仿宋_GB2312" w:eastAsia="仿宋_GB2312" w:cs="仿宋_GB2312" w:hint="eastAsia"/>
          <w:sz w:val="32"/>
          <w:szCs w:val="32"/>
          <w:lang w:val="en-US" w:eastAsia="zh-CN"/>
        </w:rPr>
        <w:t>6.42</w:t>
      </w:r>
      <w:r>
        <w:rPr>
          <w:rFonts w:ascii="仿宋_GB2312" w:eastAsia="仿宋_GB2312" w:cs="仿宋_GB2312" w:hint="eastAsia"/>
          <w:sz w:val="32"/>
          <w:szCs w:val="32"/>
        </w:rPr>
        <w:t>万元，完成预算100%</w:t>
      </w:r>
      <w:r>
        <w:rPr>
          <w:rFonts w:ascii="仿宋_GB2312" w:eastAsia="仿宋_GB2312" w:cs="仿宋_GB2312" w:hint="eastAsia"/>
          <w:sz w:val="32"/>
          <w:szCs w:val="32"/>
          <w:lang w:val="en-US" w:eastAsia="zh-CN"/>
        </w:rPr>
        <w:t>。</w:t>
      </w:r>
      <w:r>
        <w:rPr>
          <w:rFonts w:ascii="仿宋_GB2312" w:eastAsia="仿宋_GB2312" w:cs="仿宋_GB2312"/>
          <w:sz w:val="32"/>
          <w:szCs w:val="32"/>
          <w:lang w:val="en-US" w:eastAsia="zh-CN"/>
        </w:rPr>
        <w:t>决算数与预算数持平。</w:t>
      </w:r>
    </w:p>
    <w:p>
      <w:pPr>
        <w:keepNext w:val="0"/>
        <w:keepLines w:val="0"/>
        <w:pageBreakBefore w:val="0"/>
        <w:widowControl/>
        <w:kinsoku/>
        <w:wordWrap/>
        <w:overflowPunct/>
        <w:topLinePunct w:val="0"/>
        <w:autoSpaceDE/>
        <w:autoSpaceDN/>
        <w:bidi w:val="0"/>
        <w:adjustRightInd/>
        <w:snapToGrid/>
        <w:spacing w:line="550" w:lineRule="exact"/>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b/>
          <w:bCs/>
          <w:sz w:val="32"/>
          <w:szCs w:val="32"/>
          <w:lang w:val="en-US" w:eastAsia="zh-CN"/>
        </w:rPr>
        <w:t>4.</w:t>
      </w:r>
      <w:r>
        <w:rPr>
          <w:rFonts w:ascii="仿宋_GB2312" w:eastAsia="仿宋_GB2312" w:cs="仿宋_GB2312" w:hint="eastAsia"/>
          <w:b/>
          <w:bCs/>
          <w:sz w:val="32"/>
          <w:szCs w:val="32"/>
        </w:rPr>
        <w:t xml:space="preserve">一般公共服务（类）人大事务（款）人大代表履职能力提升（项）: </w:t>
      </w:r>
      <w:r>
        <w:rPr>
          <w:rFonts w:ascii="仿宋_GB2312" w:eastAsia="仿宋_GB2312" w:cs="仿宋_GB2312" w:hint="eastAsia"/>
          <w:sz w:val="32"/>
          <w:szCs w:val="32"/>
        </w:rPr>
        <w:t>支出决算为</w:t>
      </w:r>
      <w:r>
        <w:rPr>
          <w:rFonts w:ascii="仿宋_GB2312" w:eastAsia="仿宋_GB2312" w:cs="仿宋_GB2312" w:hint="eastAsia"/>
          <w:sz w:val="32"/>
          <w:szCs w:val="32"/>
          <w:lang w:val="en-US" w:eastAsia="zh-CN"/>
        </w:rPr>
        <w:t>29.47</w:t>
      </w:r>
      <w:r>
        <w:rPr>
          <w:rFonts w:ascii="仿宋_GB2312" w:eastAsia="仿宋_GB2312" w:cs="仿宋_GB2312" w:hint="eastAsia"/>
          <w:sz w:val="32"/>
          <w:szCs w:val="32"/>
        </w:rPr>
        <w:t>万元，完成预算100%</w:t>
      </w:r>
      <w:r>
        <w:rPr>
          <w:rFonts w:ascii="仿宋_GB2312" w:eastAsia="仿宋_GB2312" w:cs="仿宋_GB2312" w:hint="eastAsia"/>
          <w:sz w:val="32"/>
          <w:szCs w:val="32"/>
          <w:lang w:val="en-US" w:eastAsia="zh-CN"/>
        </w:rPr>
        <w:t>。</w:t>
      </w:r>
      <w:r>
        <w:rPr>
          <w:rFonts w:ascii="仿宋_GB2312" w:eastAsia="仿宋_GB2312" w:cs="仿宋_GB2312"/>
          <w:sz w:val="32"/>
          <w:szCs w:val="32"/>
          <w:lang w:val="en-US" w:eastAsia="zh-CN"/>
        </w:rPr>
        <w:t>决算数与预算数持平。</w:t>
      </w:r>
    </w:p>
    <w:p>
      <w:pPr>
        <w:keepNext w:val="0"/>
        <w:keepLines w:val="0"/>
        <w:pageBreakBefore w:val="0"/>
        <w:widowControl/>
        <w:kinsoku/>
        <w:wordWrap/>
        <w:overflowPunct/>
        <w:topLinePunct w:val="0"/>
        <w:autoSpaceDE/>
        <w:autoSpaceDN/>
        <w:bidi w:val="0"/>
        <w:adjustRightInd/>
        <w:snapToGrid/>
        <w:spacing w:line="550" w:lineRule="exact"/>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b/>
          <w:bCs/>
          <w:sz w:val="32"/>
          <w:szCs w:val="32"/>
          <w:lang w:val="en-US" w:eastAsia="zh-CN"/>
        </w:rPr>
        <w:t>5.</w:t>
      </w:r>
      <w:r>
        <w:rPr>
          <w:rFonts w:ascii="仿宋_GB2312" w:eastAsia="仿宋_GB2312" w:cs="仿宋_GB2312" w:hint="eastAsia"/>
          <w:b/>
          <w:bCs/>
          <w:sz w:val="32"/>
          <w:szCs w:val="32"/>
        </w:rPr>
        <w:t>一般公共服务（类）人大事务（款）代表工作（项）:</w:t>
      </w:r>
      <w:r>
        <w:rPr>
          <w:rFonts w:ascii="仿宋_GB2312" w:eastAsia="仿宋_GB2312" w:cs="仿宋_GB2312" w:hint="eastAsia"/>
          <w:b w:val="0"/>
          <w:bCs w:val="0"/>
          <w:sz w:val="32"/>
          <w:szCs w:val="32"/>
        </w:rPr>
        <w:t xml:space="preserve"> </w:t>
      </w:r>
      <w:r>
        <w:rPr>
          <w:rFonts w:ascii="仿宋_GB2312" w:eastAsia="仿宋_GB2312" w:cs="仿宋_GB2312" w:hint="eastAsia"/>
          <w:sz w:val="32"/>
          <w:szCs w:val="32"/>
        </w:rPr>
        <w:t>支出决算为</w:t>
      </w:r>
      <w:r>
        <w:rPr>
          <w:rFonts w:ascii="仿宋_GB2312" w:eastAsia="仿宋_GB2312" w:cs="仿宋_GB2312" w:hint="eastAsia"/>
          <w:sz w:val="32"/>
          <w:szCs w:val="32"/>
          <w:lang w:val="en-US" w:eastAsia="zh-CN"/>
        </w:rPr>
        <w:t>23.82</w:t>
      </w:r>
      <w:r>
        <w:rPr>
          <w:rFonts w:ascii="仿宋_GB2312" w:eastAsia="仿宋_GB2312" w:cs="仿宋_GB2312" w:hint="eastAsia"/>
          <w:sz w:val="32"/>
          <w:szCs w:val="32"/>
        </w:rPr>
        <w:t>万元，完成预算100%</w:t>
      </w:r>
      <w:r>
        <w:rPr>
          <w:rFonts w:ascii="仿宋_GB2312" w:eastAsia="仿宋_GB2312" w:cs="仿宋_GB2312" w:hint="eastAsia"/>
          <w:sz w:val="32"/>
          <w:szCs w:val="32"/>
          <w:lang w:val="en-US" w:eastAsia="zh-CN"/>
        </w:rPr>
        <w:t>。</w:t>
      </w:r>
      <w:r>
        <w:rPr>
          <w:rFonts w:ascii="仿宋_GB2312" w:eastAsia="仿宋_GB2312" w:cs="仿宋_GB2312"/>
          <w:sz w:val="32"/>
          <w:szCs w:val="32"/>
          <w:lang w:val="en-US" w:eastAsia="zh-CN"/>
        </w:rPr>
        <w:t>决算数与预算数持平。</w:t>
      </w:r>
    </w:p>
    <w:p>
      <w:pPr>
        <w:keepNext w:val="0"/>
        <w:keepLines w:val="0"/>
        <w:pageBreakBefore w:val="0"/>
        <w:widowControl/>
        <w:kinsoku/>
        <w:wordWrap/>
        <w:overflowPunct/>
        <w:topLinePunct w:val="0"/>
        <w:autoSpaceDE/>
        <w:autoSpaceDN/>
        <w:adjustRightInd/>
        <w:snapToGrid/>
        <w:ind w:left="0" w:firstLineChars="200" w:firstLine="640"/>
        <w:rPr>
          <w:rFonts w:ascii="仿宋_GB2312" w:eastAsia="仿宋_GB2312" w:cs="仿宋_GB2312"/>
          <w:sz w:val="32"/>
          <w:szCs w:val="32"/>
          <w:lang w:val="en-US" w:eastAsia="zh-CN"/>
        </w:rPr>
      </w:pPr>
      <w:r>
        <w:rPr>
          <w:rFonts w:ascii="仿宋_GB2312" w:eastAsia="仿宋_GB2312" w:cs="仿宋_GB2312" w:hint="eastAsia"/>
          <w:b/>
          <w:bCs/>
          <w:sz w:val="32"/>
          <w:szCs w:val="32"/>
          <w:lang w:val="en-US" w:eastAsia="zh-CN"/>
        </w:rPr>
        <w:t>6.</w:t>
      </w:r>
      <w:r>
        <w:rPr>
          <w:rFonts w:ascii="仿宋_GB2312" w:eastAsia="仿宋_GB2312" w:cs="仿宋_GB2312" w:hint="eastAsia"/>
          <w:b/>
          <w:bCs/>
          <w:sz w:val="32"/>
          <w:szCs w:val="32"/>
        </w:rPr>
        <w:t xml:space="preserve">一般公共服务（类）人大事务（款）其他人大事务支出（项）: </w:t>
      </w:r>
      <w:r>
        <w:rPr>
          <w:rFonts w:ascii="仿宋_GB2312" w:eastAsia="仿宋_GB2312" w:cs="仿宋_GB2312" w:hint="eastAsia"/>
          <w:sz w:val="32"/>
          <w:szCs w:val="32"/>
        </w:rPr>
        <w:t>支出决算为</w:t>
      </w:r>
      <w:r>
        <w:rPr>
          <w:rFonts w:ascii="仿宋_GB2312" w:eastAsia="仿宋_GB2312" w:cs="仿宋_GB2312" w:hint="eastAsia"/>
          <w:sz w:val="32"/>
          <w:szCs w:val="32"/>
          <w:lang w:val="en-US" w:eastAsia="zh-CN"/>
        </w:rPr>
        <w:t>44.84</w:t>
      </w:r>
      <w:r>
        <w:rPr>
          <w:rFonts w:ascii="仿宋_GB2312" w:eastAsia="仿宋_GB2312" w:cs="仿宋_GB2312" w:hint="eastAsia"/>
          <w:sz w:val="32"/>
          <w:szCs w:val="32"/>
        </w:rPr>
        <w:t>万元，完成预算100%</w:t>
      </w:r>
      <w:r>
        <w:rPr>
          <w:rFonts w:ascii="仿宋_GB2312" w:eastAsia="仿宋_GB2312" w:cs="仿宋_GB2312" w:hint="eastAsia"/>
          <w:sz w:val="32"/>
          <w:szCs w:val="32"/>
          <w:lang w:val="en-US" w:eastAsia="zh-CN"/>
        </w:rPr>
        <w:t>。</w:t>
      </w:r>
      <w:r>
        <w:rPr>
          <w:rFonts w:ascii="仿宋_GB2312" w:eastAsia="仿宋_GB2312" w:cs="仿宋_GB2312"/>
          <w:sz w:val="32"/>
          <w:szCs w:val="32"/>
          <w:lang w:val="en-US" w:eastAsia="zh-CN"/>
        </w:rPr>
        <w:t>决算数与预算数持平。</w:t>
      </w:r>
    </w:p>
    <w:p>
      <w:pPr>
        <w:keepNext w:val="0"/>
        <w:keepLines w:val="0"/>
        <w:pageBreakBefore w:val="0"/>
        <w:widowControl/>
        <w:kinsoku/>
        <w:wordWrap/>
        <w:overflowPunct/>
        <w:topLinePunct w:val="0"/>
        <w:autoSpaceDE/>
        <w:autoSpaceDN/>
        <w:bidi w:val="0"/>
        <w:adjustRightInd/>
        <w:snapToGrid/>
        <w:ind w:left="0" w:firstLineChars="200" w:firstLine="640"/>
        <w:textAlignment w:val="auto"/>
        <w:rPr>
          <w:rFonts w:ascii="仿宋_GB2312" w:eastAsia="仿宋_GB2312" w:cs="仿宋_GB2312" w:hint="eastAsia"/>
          <w:sz w:val="32"/>
          <w:szCs w:val="32"/>
        </w:rPr>
      </w:pPr>
      <w:r>
        <w:rPr>
          <w:rFonts w:ascii="仿宋_GB2312" w:eastAsia="仿宋_GB2312" w:cs="仿宋_GB2312" w:hint="eastAsia"/>
          <w:b/>
          <w:bCs/>
          <w:sz w:val="32"/>
          <w:szCs w:val="32"/>
          <w:lang w:val="en-US" w:eastAsia="zh-CN"/>
        </w:rPr>
        <w:t>7</w:t>
      </w:r>
      <w:r>
        <w:rPr>
          <w:rFonts w:ascii="仿宋_GB2312" w:eastAsia="仿宋_GB2312" w:cs="仿宋_GB2312" w:hint="eastAsia"/>
          <w:b/>
          <w:bCs/>
          <w:sz w:val="32"/>
          <w:szCs w:val="32"/>
        </w:rPr>
        <w:t xml:space="preserve">.社会保障和就业（类）行政事业单位养老支出（款）机关事业单位基本养老保险缴费支出（项）: </w:t>
      </w:r>
      <w:r>
        <w:rPr>
          <w:rFonts w:ascii="仿宋_GB2312" w:eastAsia="仿宋_GB2312" w:cs="仿宋_GB2312" w:hint="eastAsia"/>
          <w:sz w:val="32"/>
          <w:szCs w:val="32"/>
        </w:rPr>
        <w:t>支出决算为</w:t>
      </w:r>
      <w:r>
        <w:rPr>
          <w:rFonts w:ascii="仿宋_GB2312" w:eastAsia="仿宋_GB2312" w:cs="仿宋_GB2312" w:hint="eastAsia"/>
          <w:sz w:val="32"/>
          <w:szCs w:val="32"/>
          <w:lang w:val="en-US" w:eastAsia="zh-CN"/>
        </w:rPr>
        <w:t>50.81</w:t>
      </w:r>
      <w:r>
        <w:rPr>
          <w:rFonts w:ascii="仿宋_GB2312" w:eastAsia="仿宋_GB2312" w:cs="仿宋_GB2312" w:hint="eastAsia"/>
          <w:sz w:val="32"/>
          <w:szCs w:val="32"/>
        </w:rPr>
        <w:t>万元，完成预算100%</w:t>
      </w:r>
      <w:r>
        <w:rPr>
          <w:rFonts w:ascii="仿宋_GB2312" w:eastAsia="仿宋_GB2312" w:cs="仿宋_GB2312" w:hint="eastAsia"/>
          <w:sz w:val="32"/>
          <w:szCs w:val="32"/>
          <w:lang w:val="en-US" w:eastAsia="zh-CN"/>
        </w:rPr>
        <w:t>。</w:t>
      </w:r>
      <w:r>
        <w:rPr>
          <w:rFonts w:ascii="仿宋_GB2312" w:eastAsia="仿宋_GB2312" w:cs="仿宋_GB2312"/>
          <w:sz w:val="32"/>
          <w:szCs w:val="32"/>
          <w:lang w:val="en-US" w:eastAsia="zh-CN"/>
        </w:rPr>
        <w:t>决算数与预算数持平。</w:t>
      </w:r>
    </w:p>
    <w:p>
      <w:pPr>
        <w:keepNext w:val="0"/>
        <w:keepLines w:val="0"/>
        <w:pageBreakBefore w:val="0"/>
        <w:widowControl/>
        <w:kinsoku/>
        <w:wordWrap/>
        <w:overflowPunct/>
        <w:topLinePunct w:val="0"/>
        <w:autoSpaceDE/>
        <w:autoSpaceDN/>
        <w:bidi w:val="0"/>
        <w:adjustRightInd/>
        <w:snapToGrid/>
        <w:spacing w:line="550" w:lineRule="exact"/>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b/>
          <w:bCs/>
          <w:sz w:val="32"/>
          <w:szCs w:val="32"/>
          <w:lang w:val="en-US" w:eastAsia="zh-CN"/>
        </w:rPr>
        <w:t>8</w:t>
      </w:r>
      <w:r>
        <w:rPr>
          <w:rFonts w:ascii="仿宋_GB2312" w:eastAsia="仿宋_GB2312" w:cs="仿宋_GB2312" w:hint="eastAsia"/>
          <w:b/>
          <w:bCs/>
          <w:sz w:val="32"/>
          <w:szCs w:val="32"/>
        </w:rPr>
        <w:t xml:space="preserve">.社会保障和就业（类）行政事业单位养老支出（款）机关事业单位职业年金缴费支出（项）: </w:t>
      </w:r>
      <w:r>
        <w:rPr>
          <w:rFonts w:ascii="仿宋_GB2312" w:eastAsia="仿宋_GB2312" w:cs="仿宋_GB2312" w:hint="eastAsia"/>
          <w:sz w:val="32"/>
          <w:szCs w:val="32"/>
        </w:rPr>
        <w:t>支出决算为</w:t>
      </w:r>
      <w:r>
        <w:rPr>
          <w:rFonts w:ascii="仿宋_GB2312" w:eastAsia="仿宋_GB2312" w:cs="仿宋_GB2312" w:hint="eastAsia"/>
          <w:sz w:val="32"/>
          <w:szCs w:val="32"/>
          <w:lang w:val="en-US" w:eastAsia="zh-CN"/>
        </w:rPr>
        <w:t>24.96</w:t>
      </w:r>
      <w:r>
        <w:rPr>
          <w:rFonts w:ascii="仿宋_GB2312" w:eastAsia="仿宋_GB2312" w:cs="仿宋_GB2312" w:hint="eastAsia"/>
          <w:sz w:val="32"/>
          <w:szCs w:val="32"/>
        </w:rPr>
        <w:t>万元，完成预算100%</w:t>
      </w:r>
      <w:r>
        <w:rPr>
          <w:rFonts w:ascii="仿宋_GB2312" w:eastAsia="仿宋_GB2312" w:cs="仿宋_GB2312" w:hint="eastAsia"/>
          <w:sz w:val="32"/>
          <w:szCs w:val="32"/>
          <w:lang w:val="en-US" w:eastAsia="zh-CN"/>
        </w:rPr>
        <w:t>。</w:t>
      </w:r>
      <w:r>
        <w:rPr>
          <w:rFonts w:ascii="仿宋_GB2312" w:eastAsia="仿宋_GB2312" w:cs="仿宋_GB2312"/>
          <w:sz w:val="32"/>
          <w:szCs w:val="32"/>
          <w:lang w:val="en-US" w:eastAsia="zh-CN"/>
        </w:rPr>
        <w:t>决算数与预算数持平。</w:t>
      </w:r>
    </w:p>
    <w:p>
      <w:pPr>
        <w:keepNext w:val="0"/>
        <w:keepLines w:val="0"/>
        <w:pageBreakBefore w:val="0"/>
        <w:widowControl/>
        <w:kinsoku/>
        <w:wordWrap/>
        <w:overflowPunct/>
        <w:topLinePunct w:val="0"/>
        <w:autoSpaceDE/>
        <w:autoSpaceDN/>
        <w:bidi w:val="0"/>
        <w:adjustRightInd/>
        <w:snapToGrid/>
        <w:spacing w:line="550" w:lineRule="exact"/>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b/>
          <w:bCs/>
          <w:sz w:val="32"/>
          <w:szCs w:val="32"/>
          <w:lang w:val="en-US" w:eastAsia="zh-CN"/>
        </w:rPr>
        <w:t>9</w:t>
      </w:r>
      <w:r>
        <w:rPr>
          <w:rFonts w:ascii="仿宋_GB2312" w:eastAsia="仿宋_GB2312" w:cs="仿宋_GB2312" w:hint="eastAsia"/>
          <w:b/>
          <w:bCs/>
          <w:sz w:val="32"/>
          <w:szCs w:val="32"/>
        </w:rPr>
        <w:t>.卫生健康（类）行政事业单位医疗（款）行政单位医疗（项）:</w:t>
      </w:r>
      <w:r>
        <w:rPr>
          <w:rFonts w:ascii="仿宋_GB2312" w:eastAsia="仿宋_GB2312" w:cs="仿宋_GB2312" w:hint="eastAsia"/>
          <w:sz w:val="32"/>
          <w:szCs w:val="32"/>
        </w:rPr>
        <w:t>支出决算为</w:t>
      </w:r>
      <w:r>
        <w:rPr>
          <w:rFonts w:ascii="仿宋_GB2312" w:eastAsia="仿宋_GB2312" w:cs="仿宋_GB2312" w:hint="eastAsia"/>
          <w:sz w:val="32"/>
          <w:szCs w:val="32"/>
          <w:lang w:val="en-US" w:eastAsia="zh-CN"/>
        </w:rPr>
        <w:t>22.27</w:t>
      </w:r>
      <w:r>
        <w:rPr>
          <w:rFonts w:ascii="仿宋_GB2312" w:eastAsia="仿宋_GB2312" w:cs="仿宋_GB2312" w:hint="eastAsia"/>
          <w:sz w:val="32"/>
          <w:szCs w:val="32"/>
        </w:rPr>
        <w:t>万元，完成预算100%</w:t>
      </w:r>
      <w:r>
        <w:rPr>
          <w:rFonts w:ascii="仿宋_GB2312" w:eastAsia="仿宋_GB2312" w:cs="仿宋_GB2312" w:hint="eastAsia"/>
          <w:sz w:val="32"/>
          <w:szCs w:val="32"/>
          <w:lang w:val="en-US" w:eastAsia="zh-CN"/>
        </w:rPr>
        <w:t>。</w:t>
      </w:r>
      <w:r>
        <w:rPr>
          <w:rFonts w:ascii="仿宋_GB2312" w:eastAsia="仿宋_GB2312" w:cs="仿宋_GB2312"/>
          <w:sz w:val="32"/>
          <w:szCs w:val="32"/>
          <w:lang w:val="en-US" w:eastAsia="zh-CN"/>
        </w:rPr>
        <w:t>决算数与预算数持平。</w:t>
      </w:r>
    </w:p>
    <w:p>
      <w:pPr>
        <w:keepNext w:val="0"/>
        <w:keepLines w:val="0"/>
        <w:pageBreakBefore w:val="0"/>
        <w:widowControl/>
        <w:kinsoku/>
        <w:wordWrap/>
        <w:overflowPunct/>
        <w:topLinePunct w:val="0"/>
        <w:autoSpaceDE/>
        <w:autoSpaceDN/>
        <w:bidi w:val="0"/>
        <w:adjustRightInd/>
        <w:snapToGrid/>
        <w:spacing w:line="550" w:lineRule="exact"/>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b/>
          <w:bCs/>
          <w:sz w:val="32"/>
          <w:szCs w:val="32"/>
          <w:lang w:val="en-US" w:eastAsia="zh-CN"/>
        </w:rPr>
        <w:t>10</w:t>
      </w:r>
      <w:r>
        <w:rPr>
          <w:rFonts w:ascii="仿宋_GB2312" w:eastAsia="仿宋_GB2312" w:cs="仿宋_GB2312" w:hint="eastAsia"/>
          <w:b/>
          <w:bCs/>
          <w:sz w:val="32"/>
          <w:szCs w:val="32"/>
        </w:rPr>
        <w:t>.卫生健康（类）行政事业单位医疗（款）公务员医疗补助（项）:</w:t>
      </w:r>
      <w:r>
        <w:rPr>
          <w:rFonts w:ascii="仿宋_GB2312" w:eastAsia="仿宋_GB2312" w:cs="仿宋_GB2312" w:hint="eastAsia"/>
          <w:sz w:val="32"/>
          <w:szCs w:val="32"/>
        </w:rPr>
        <w:t xml:space="preserve"> 支出决算为</w:t>
      </w:r>
      <w:r>
        <w:rPr>
          <w:rFonts w:ascii="仿宋_GB2312" w:eastAsia="仿宋_GB2312" w:cs="仿宋_GB2312" w:hint="eastAsia"/>
          <w:sz w:val="32"/>
          <w:szCs w:val="32"/>
          <w:lang w:val="en-US" w:eastAsia="zh-CN"/>
        </w:rPr>
        <w:t>12.06</w:t>
      </w:r>
      <w:r>
        <w:rPr>
          <w:rFonts w:ascii="仿宋_GB2312" w:eastAsia="仿宋_GB2312" w:cs="仿宋_GB2312" w:hint="eastAsia"/>
          <w:sz w:val="32"/>
          <w:szCs w:val="32"/>
        </w:rPr>
        <w:t>万元，完成预算100%</w:t>
      </w:r>
      <w:r>
        <w:rPr>
          <w:rFonts w:ascii="仿宋_GB2312" w:eastAsia="仿宋_GB2312" w:cs="仿宋_GB2312" w:hint="eastAsia"/>
          <w:sz w:val="32"/>
          <w:szCs w:val="32"/>
          <w:lang w:val="en-US" w:eastAsia="zh-CN"/>
        </w:rPr>
        <w:t>。</w:t>
      </w:r>
      <w:r>
        <w:rPr>
          <w:rFonts w:ascii="仿宋_GB2312" w:eastAsia="仿宋_GB2312" w:cs="仿宋_GB2312"/>
          <w:sz w:val="32"/>
          <w:szCs w:val="32"/>
          <w:lang w:val="en-US" w:eastAsia="zh-CN"/>
        </w:rPr>
        <w:t>决算数与预算数持平。</w:t>
      </w:r>
    </w:p>
    <w:p>
      <w:pPr>
        <w:keepNext w:val="0"/>
        <w:keepLines w:val="0"/>
        <w:pageBreakBefore w:val="0"/>
        <w:widowControl/>
        <w:kinsoku/>
        <w:wordWrap/>
        <w:overflowPunct/>
        <w:topLinePunct w:val="0"/>
        <w:autoSpaceDE/>
        <w:autoSpaceDN/>
        <w:bidi w:val="0"/>
        <w:adjustRightInd/>
        <w:snapToGrid/>
        <w:spacing w:line="240" w:lineRule="auto"/>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b/>
          <w:bCs/>
          <w:sz w:val="32"/>
          <w:szCs w:val="32"/>
          <w:lang w:val="en-US" w:eastAsia="zh-CN"/>
        </w:rPr>
        <w:t>11.</w:t>
      </w:r>
      <w:r>
        <w:rPr>
          <w:rFonts w:ascii="仿宋_GB2312" w:eastAsia="仿宋_GB2312" w:cs="仿宋_GB2312" w:hint="eastAsia"/>
          <w:b/>
          <w:bCs/>
          <w:sz w:val="32"/>
          <w:szCs w:val="32"/>
        </w:rPr>
        <w:t>住房保障支出（类）住房改革支出（款）住房公积金（项）:</w:t>
      </w:r>
      <w:r>
        <w:rPr>
          <w:rFonts w:ascii="仿宋_GB2312" w:eastAsia="仿宋_GB2312" w:cs="仿宋_GB2312" w:hint="eastAsia"/>
          <w:sz w:val="32"/>
          <w:szCs w:val="32"/>
        </w:rPr>
        <w:t>支出决算为</w:t>
      </w:r>
      <w:r>
        <w:rPr>
          <w:rFonts w:ascii="仿宋_GB2312" w:eastAsia="仿宋_GB2312" w:cs="仿宋_GB2312" w:hint="eastAsia"/>
          <w:sz w:val="32"/>
          <w:szCs w:val="32"/>
          <w:lang w:val="en-US" w:eastAsia="zh-CN"/>
        </w:rPr>
        <w:t>41.07</w:t>
      </w:r>
      <w:r>
        <w:rPr>
          <w:rFonts w:ascii="仿宋_GB2312" w:eastAsia="仿宋_GB2312" w:cs="仿宋_GB2312" w:hint="eastAsia"/>
          <w:sz w:val="32"/>
          <w:szCs w:val="32"/>
        </w:rPr>
        <w:t>万元，完成预算100%</w:t>
      </w:r>
      <w:r>
        <w:rPr>
          <w:rFonts w:ascii="仿宋_GB2312" w:eastAsia="仿宋_GB2312" w:cs="仿宋_GB2312" w:hint="eastAsia"/>
          <w:sz w:val="32"/>
          <w:szCs w:val="32"/>
          <w:lang w:val="en-US" w:eastAsia="zh-CN"/>
        </w:rPr>
        <w:t>。</w:t>
      </w:r>
      <w:r>
        <w:rPr>
          <w:rFonts w:ascii="仿宋_GB2312" w:eastAsia="仿宋_GB2312" w:cs="仿宋_GB2312"/>
          <w:sz w:val="32"/>
          <w:szCs w:val="32"/>
          <w:lang w:val="en-US" w:eastAsia="zh-CN"/>
        </w:rPr>
        <w:t>决算数与预算数持平。</w:t>
      </w:r>
    </w:p>
    <w:p>
      <w:pPr>
        <w:keepNext w:val="0"/>
        <w:keepLines w:val="0"/>
        <w:pageBreakBefore w:val="0"/>
        <w:widowControl/>
        <w:kinsoku/>
        <w:wordWrap/>
        <w:overflowPunct/>
        <w:topLinePunct w:val="0"/>
        <w:autoSpaceDE/>
        <w:autoSpaceDN/>
        <w:bidi w:val="0"/>
        <w:adjustRightInd/>
        <w:snapToGrid/>
        <w:spacing w:line="240" w:lineRule="auto"/>
        <w:ind w:firstLineChars="200" w:firstLine="640"/>
        <w:jc w:val="both"/>
        <w:textAlignment w:val="auto"/>
        <w:rPr>
          <w:rFonts w:ascii="黑体" w:eastAsia="黑体" w:cs="黑体" w:hint="eastAsia"/>
          <w:sz w:val="32"/>
          <w:szCs w:val="32"/>
        </w:rPr>
      </w:pPr>
      <w:r>
        <w:rPr>
          <w:rFonts w:ascii="黑体" w:eastAsia="黑体" w:cs="黑体" w:hint="eastAsia"/>
          <w:sz w:val="32"/>
          <w:szCs w:val="32"/>
        </w:rPr>
        <w:t>六、一般公共预算财政拨款基本支出决算情况说明   </w:t>
      </w:r>
    </w:p>
    <w:p>
      <w:pPr>
        <w:keepNext w:val="0"/>
        <w:keepLines w:val="0"/>
        <w:pageBreakBefore w:val="0"/>
        <w:widowControl/>
        <w:kinsoku/>
        <w:wordWrap/>
        <w:overflowPunct/>
        <w:topLinePunct w:val="0"/>
        <w:autoSpaceDE/>
        <w:autoSpaceDN/>
        <w:bidi w:val="0"/>
        <w:adjustRightInd/>
        <w:snapToGrid/>
        <w:spacing w:line="240" w:lineRule="auto"/>
        <w:ind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eastAsia="zh-CN"/>
        </w:rPr>
        <w:t>2025年</w:t>
      </w:r>
      <w:r>
        <w:rPr>
          <w:rFonts w:ascii="仿宋_GB2312" w:eastAsia="仿宋_GB2312" w:cs="仿宋_GB2312" w:hint="eastAsia"/>
          <w:sz w:val="32"/>
          <w:szCs w:val="32"/>
        </w:rPr>
        <w:t>一般公共预算财政拨款基本支出</w:t>
      </w:r>
      <w:r>
        <w:rPr>
          <w:rFonts w:ascii="仿宋_GB2312" w:eastAsia="仿宋_GB2312" w:cs="仿宋_GB2312" w:hint="eastAsia"/>
          <w:sz w:val="32"/>
          <w:szCs w:val="32"/>
          <w:lang w:val="en-US" w:eastAsia="zh-CN"/>
        </w:rPr>
        <w:t>797.39</w:t>
      </w:r>
      <w:r>
        <w:rPr>
          <w:rFonts w:ascii="仿宋_GB2312" w:eastAsia="仿宋_GB2312" w:cs="仿宋_GB2312" w:hint="eastAsia"/>
          <w:sz w:val="32"/>
          <w:szCs w:val="32"/>
        </w:rPr>
        <w:t>万元，其中：</w:t>
      </w:r>
    </w:p>
    <w:p>
      <w:pPr>
        <w:keepNext w:val="0"/>
        <w:keepLines w:val="0"/>
        <w:pageBreakBefore w:val="0"/>
        <w:widowControl/>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rPr>
        <w:t>人员经费</w:t>
      </w:r>
      <w:r>
        <w:rPr>
          <w:rFonts w:ascii="仿宋_GB2312" w:eastAsia="仿宋_GB2312" w:cs="仿宋_GB2312" w:hint="eastAsia"/>
          <w:sz w:val="32"/>
          <w:szCs w:val="32"/>
          <w:lang w:val="en-US" w:eastAsia="zh-CN"/>
        </w:rPr>
        <w:t>643.05</w:t>
      </w:r>
      <w:r>
        <w:rPr>
          <w:rFonts w:ascii="仿宋_GB2312" w:eastAsia="仿宋_GB2312" w:cs="仿宋_GB2312" w:hint="eastAsia"/>
          <w:sz w:val="32"/>
          <w:szCs w:val="32"/>
        </w:rPr>
        <w:t>万元，主要包括：基本工资、津贴补贴、奖金、伙食补助费、绩效工资、机关事业单位基本养老保险缴费、职业年金缴费、职工基本医疗保险缴费、公务员医疗补助、其他社会保障缴费、住房公积金、离休费、生活补助、医疗费补助等。</w:t>
      </w:r>
    </w:p>
    <w:p>
      <w:pPr>
        <w:keepNext w:val="0"/>
        <w:keepLines w:val="0"/>
        <w:pageBreakBefore w:val="0"/>
        <w:widowControl/>
        <w:kinsoku/>
        <w:wordWrap/>
        <w:overflowPunct/>
        <w:topLinePunct w:val="0"/>
        <w:autoSpaceDE/>
        <w:autoSpaceDN/>
        <w:bidi w:val="0"/>
        <w:adjustRightInd/>
        <w:snapToGrid/>
        <w:spacing w:line="240" w:lineRule="auto"/>
        <w:ind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rPr>
        <w:t>公用经费</w:t>
      </w:r>
      <w:r>
        <w:rPr>
          <w:rFonts w:ascii="仿宋_GB2312" w:eastAsia="仿宋_GB2312" w:cs="仿宋_GB2312" w:hint="eastAsia"/>
          <w:sz w:val="32"/>
          <w:szCs w:val="32"/>
          <w:lang w:val="en-US" w:eastAsia="zh-CN"/>
        </w:rPr>
        <w:t>154.34</w:t>
      </w:r>
      <w:r>
        <w:rPr>
          <w:rFonts w:ascii="仿宋_GB2312" w:eastAsia="仿宋_GB2312" w:cs="仿宋_GB2312" w:hint="eastAsia"/>
          <w:sz w:val="32"/>
          <w:szCs w:val="32"/>
        </w:rPr>
        <w:t>万元，主要包括：办公费、咨询费、水费、邮电费、差旅费、维修（护）费、租赁费、公务接待费、劳务费、委托业务费、福利费、公务用车运行维护费、其他交通费、其他商品和服务支出、办公设备购置</w:t>
      </w:r>
      <w:r>
        <w:rPr>
          <w:rFonts w:ascii="仿宋_GB2312" w:eastAsia="仿宋_GB2312" w:cs="仿宋_GB2312" w:hint="eastAsia"/>
          <w:sz w:val="32"/>
          <w:szCs w:val="32"/>
          <w:lang w:eastAsia="zh-CN"/>
        </w:rPr>
        <w:t>、</w:t>
      </w:r>
      <w:r>
        <w:rPr>
          <w:rFonts w:ascii="仿宋_GB2312" w:eastAsia="仿宋_GB2312" w:cs="仿宋_GB2312" w:hint="eastAsia"/>
          <w:sz w:val="32"/>
          <w:szCs w:val="32"/>
          <w:lang w:val="en-US" w:eastAsia="zh-CN"/>
        </w:rPr>
        <w:t>公务用车购置费</w:t>
      </w:r>
      <w:r>
        <w:rPr>
          <w:rFonts w:ascii="仿宋_GB2312" w:eastAsia="仿宋_GB2312" w:cs="仿宋_GB2312" w:hint="eastAsia"/>
          <w:sz w:val="32"/>
          <w:szCs w:val="32"/>
        </w:rPr>
        <w:t>等。</w:t>
      </w:r>
    </w:p>
    <w:p>
      <w:pPr>
        <w:keepNext w:val="0"/>
        <w:keepLines w:val="0"/>
        <w:pageBreakBefore w:val="0"/>
        <w:widowControl/>
        <w:kinsoku/>
        <w:wordWrap/>
        <w:overflowPunct/>
        <w:topLinePunct w:val="0"/>
        <w:autoSpaceDE/>
        <w:autoSpaceDN/>
        <w:bidi w:val="0"/>
        <w:adjustRightInd/>
        <w:snapToGrid/>
        <w:spacing w:line="240" w:lineRule="auto"/>
        <w:ind w:firstLineChars="200" w:firstLine="640"/>
        <w:jc w:val="both"/>
        <w:textAlignment w:val="auto"/>
        <w:rPr>
          <w:rFonts w:ascii="黑体" w:eastAsia="黑体" w:cs="黑体" w:hint="eastAsia"/>
          <w:b w:val="0"/>
          <w:bCs w:val="0"/>
          <w:sz w:val="32"/>
          <w:szCs w:val="32"/>
        </w:rPr>
      </w:pPr>
      <w:r>
        <w:rPr>
          <w:rFonts w:ascii="黑体" w:eastAsia="黑体" w:cs="黑体" w:hint="eastAsia"/>
          <w:b w:val="0"/>
          <w:bCs w:val="0"/>
          <w:sz w:val="32"/>
          <w:szCs w:val="32"/>
        </w:rPr>
        <w:t>七、财政拨款“三公”经费支出决算情况说明</w:t>
      </w:r>
    </w:p>
    <w:p>
      <w:pPr>
        <w:keepNext w:val="0"/>
        <w:keepLines w:val="0"/>
        <w:pageBreakBefore w:val="0"/>
        <w:widowControl/>
        <w:kinsoku/>
        <w:wordWrap/>
        <w:overflowPunct/>
        <w:topLinePunct w:val="0"/>
        <w:autoSpaceDE/>
        <w:autoSpaceDN/>
        <w:bidi w:val="0"/>
        <w:adjustRightInd/>
        <w:snapToGrid/>
        <w:spacing w:line="240" w:lineRule="auto"/>
        <w:ind w:firstLineChars="200" w:firstLine="640"/>
        <w:jc w:val="both"/>
        <w:textAlignment w:val="auto"/>
        <w:rPr>
          <w:rFonts w:ascii="楷体_GB2312" w:eastAsia="楷体_GB2312" w:cs="楷体_GB2312" w:hint="eastAsia"/>
          <w:b/>
          <w:bCs/>
          <w:sz w:val="32"/>
          <w:szCs w:val="32"/>
        </w:rPr>
      </w:pPr>
      <w:r>
        <w:rPr>
          <w:rFonts w:ascii="楷体_GB2312" w:eastAsia="楷体_GB2312" w:cs="楷体_GB2312" w:hint="eastAsia"/>
          <w:b/>
          <w:bCs/>
          <w:sz w:val="32"/>
          <w:szCs w:val="32"/>
        </w:rPr>
        <w:t>（一）“三公”经费财政拨款支出决算总体情况说明</w:t>
      </w:r>
    </w:p>
    <w:p>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ascii="仿宋" w:eastAsia="仿宋"/>
          <w:sz w:val="32"/>
          <w:szCs w:val="32"/>
          <w:lang w:val="en-US" w:eastAsia="zh-CN"/>
        </w:rPr>
      </w:pPr>
      <w:r>
        <w:rPr>
          <w:rFonts w:ascii="仿宋_GB2312" w:eastAsia="仿宋_GB2312" w:cs="仿宋_GB2312" w:hint="eastAsia"/>
          <w:sz w:val="32"/>
          <w:szCs w:val="32"/>
          <w:lang w:eastAsia="zh-CN"/>
        </w:rPr>
        <w:t>2025年</w:t>
      </w:r>
      <w:r>
        <w:rPr>
          <w:rFonts w:ascii="仿宋_GB2312" w:eastAsia="仿宋_GB2312" w:cs="仿宋_GB2312" w:hint="eastAsia"/>
          <w:sz w:val="32"/>
          <w:szCs w:val="32"/>
        </w:rPr>
        <w:t>“三公”经费财政拨款支出决算为</w:t>
      </w:r>
      <w:r>
        <w:rPr>
          <w:rFonts w:ascii="仿宋_GB2312" w:eastAsia="仿宋_GB2312" w:cs="仿宋_GB2312" w:hint="eastAsia"/>
          <w:sz w:val="32"/>
          <w:szCs w:val="32"/>
          <w:lang w:val="en-US" w:eastAsia="zh-CN"/>
        </w:rPr>
        <w:t>103.89</w:t>
      </w:r>
      <w:r>
        <w:rPr>
          <w:rFonts w:ascii="仿宋_GB2312" w:eastAsia="仿宋_GB2312" w:cs="仿宋_GB2312" w:hint="eastAsia"/>
          <w:sz w:val="32"/>
          <w:szCs w:val="32"/>
        </w:rPr>
        <w:t>万元，完成预算100%。较上年</w:t>
      </w:r>
      <w:r>
        <w:rPr>
          <w:rFonts w:ascii="仿宋_GB2312" w:eastAsia="仿宋_GB2312" w:cs="仿宋_GB2312" w:hint="eastAsia"/>
          <w:sz w:val="32"/>
          <w:szCs w:val="32"/>
          <w:lang w:val="en-US" w:eastAsia="zh-CN"/>
        </w:rPr>
        <w:t>增加53.37</w:t>
      </w:r>
      <w:r>
        <w:rPr>
          <w:rFonts w:ascii="仿宋_GB2312" w:eastAsia="仿宋_GB2312" w:cs="仿宋_GB2312" w:hint="eastAsia"/>
          <w:sz w:val="32"/>
          <w:szCs w:val="32"/>
        </w:rPr>
        <w:t>万元，</w:t>
      </w:r>
      <w:r>
        <w:rPr>
          <w:rFonts w:ascii="仿宋_GB2312" w:eastAsia="仿宋_GB2312" w:cs="仿宋_GB2312" w:hint="eastAsia"/>
          <w:sz w:val="32"/>
          <w:szCs w:val="32"/>
          <w:lang w:val="en-US" w:eastAsia="zh-CN"/>
        </w:rPr>
        <w:t>增长105.6</w:t>
      </w:r>
      <w:r>
        <w:rPr>
          <w:rFonts w:ascii="仿宋_GB2312" w:eastAsia="仿宋_GB2312" w:cs="仿宋_GB2312" w:hint="eastAsia"/>
          <w:sz w:val="32"/>
          <w:szCs w:val="32"/>
        </w:rPr>
        <w:t>%，主要</w:t>
      </w:r>
      <w:r>
        <w:rPr>
          <w:rFonts w:ascii="仿宋_GB2312" w:eastAsia="仿宋_GB2312" w:cs="仿宋_GB2312" w:hint="eastAsia"/>
          <w:sz w:val="32"/>
          <w:szCs w:val="32"/>
          <w:lang w:val="en-US" w:eastAsia="zh-CN"/>
        </w:rPr>
        <w:t>原因是本年度更新公务用车1辆，上年度无公务用车购置费。</w:t>
      </w:r>
      <w:r>
        <w:rPr>
          <w:rFonts w:ascii="仿宋" w:eastAsia="仿宋" w:hint="eastAsia"/>
          <w:sz w:val="32"/>
          <w:szCs w:val="32"/>
        </w:rPr>
        <w:t>决算数与预算数持平的主要原因是</w:t>
      </w:r>
      <w:r>
        <w:rPr>
          <w:rFonts w:ascii="仿宋" w:eastAsia="仿宋" w:hint="eastAsia"/>
          <w:sz w:val="32"/>
          <w:szCs w:val="32"/>
          <w:lang w:val="en-US" w:eastAsia="zh-CN"/>
        </w:rPr>
        <w:t>严格执行预算。</w:t>
      </w:r>
    </w:p>
    <w:p>
      <w:pPr>
        <w:keepNext w:val="0"/>
        <w:keepLines w:val="0"/>
        <w:pageBreakBefore w:val="0"/>
        <w:widowControl/>
        <w:kinsoku/>
        <w:wordWrap/>
        <w:overflowPunct/>
        <w:topLinePunct w:val="0"/>
        <w:autoSpaceDE/>
        <w:autoSpaceDN/>
        <w:bidi w:val="0"/>
        <w:adjustRightInd/>
        <w:snapToGrid/>
        <w:ind w:firstLineChars="200" w:firstLine="640"/>
        <w:jc w:val="both"/>
        <w:textAlignment w:val="auto"/>
        <w:rPr>
          <w:rFonts w:ascii="楷体_GB2312" w:eastAsia="楷体_GB2312" w:cs="楷体_GB2312" w:hint="eastAsia"/>
          <w:b/>
          <w:bCs/>
          <w:sz w:val="32"/>
          <w:szCs w:val="32"/>
        </w:rPr>
      </w:pPr>
      <w:r>
        <w:rPr>
          <w:rFonts w:ascii="楷体_GB2312" w:eastAsia="楷体_GB2312" w:cs="楷体_GB2312" w:hint="eastAsia"/>
          <w:b/>
          <w:bCs/>
          <w:sz w:val="32"/>
          <w:szCs w:val="32"/>
        </w:rPr>
        <w:t>（二）“三公”经费财政拨款支出决算具体情况说明</w:t>
      </w:r>
    </w:p>
    <w:p>
      <w:pPr>
        <w:keepNext w:val="0"/>
        <w:keepLines w:val="0"/>
        <w:pageBreakBefore w:val="0"/>
        <w:widowControl/>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eastAsia="zh-CN"/>
        </w:rPr>
        <w:t>2025年</w:t>
      </w:r>
      <w:r>
        <w:rPr>
          <w:rFonts w:ascii="仿宋_GB2312" w:eastAsia="仿宋_GB2312" w:cs="仿宋_GB2312" w:hint="eastAsia"/>
          <w:sz w:val="32"/>
          <w:szCs w:val="32"/>
        </w:rPr>
        <w:t>“三公”经费财政拨款支出决算中，因公出国（境）费支出决算0万元，占0%；公务用车购置及运行维护费支出决算</w:t>
      </w:r>
      <w:r>
        <w:rPr>
          <w:rFonts w:ascii="仿宋_GB2312" w:eastAsia="仿宋_GB2312" w:cs="仿宋_GB2312" w:hint="eastAsia"/>
          <w:sz w:val="32"/>
          <w:szCs w:val="32"/>
          <w:lang w:val="en-US" w:eastAsia="zh-CN"/>
        </w:rPr>
        <w:t>103.28</w:t>
      </w:r>
      <w:r>
        <w:rPr>
          <w:rFonts w:ascii="仿宋_GB2312" w:eastAsia="仿宋_GB2312" w:cs="仿宋_GB2312" w:hint="eastAsia"/>
          <w:sz w:val="32"/>
          <w:szCs w:val="32"/>
        </w:rPr>
        <w:t>万元，占</w:t>
      </w:r>
      <w:r>
        <w:rPr>
          <w:rFonts w:ascii="仿宋_GB2312" w:eastAsia="仿宋_GB2312" w:cs="仿宋_GB2312" w:hint="eastAsia"/>
          <w:sz w:val="32"/>
          <w:szCs w:val="32"/>
          <w:lang w:val="en-US" w:eastAsia="zh-CN"/>
        </w:rPr>
        <w:t>99.4</w:t>
      </w:r>
      <w:r>
        <w:rPr>
          <w:rFonts w:ascii="仿宋_GB2312" w:eastAsia="仿宋_GB2312" w:cs="仿宋_GB2312" w:hint="eastAsia"/>
          <w:sz w:val="32"/>
          <w:szCs w:val="32"/>
        </w:rPr>
        <w:t>%；公务接待费支出决算</w:t>
      </w:r>
      <w:r>
        <w:rPr>
          <w:rFonts w:ascii="仿宋_GB2312" w:eastAsia="仿宋_GB2312" w:cs="仿宋_GB2312" w:hint="eastAsia"/>
          <w:sz w:val="32"/>
          <w:szCs w:val="32"/>
          <w:lang w:val="en-US" w:eastAsia="zh-CN"/>
        </w:rPr>
        <w:t>0.61</w:t>
      </w:r>
      <w:r>
        <w:rPr>
          <w:rFonts w:ascii="仿宋_GB2312" w:eastAsia="仿宋_GB2312" w:cs="仿宋_GB2312" w:hint="eastAsia"/>
          <w:sz w:val="32"/>
          <w:szCs w:val="32"/>
        </w:rPr>
        <w:t>万元，占</w:t>
      </w:r>
      <w:r>
        <w:rPr>
          <w:rFonts w:ascii="仿宋_GB2312" w:eastAsia="仿宋_GB2312" w:cs="仿宋_GB2312" w:hint="eastAsia"/>
          <w:sz w:val="32"/>
          <w:szCs w:val="32"/>
          <w:lang w:val="en-US" w:eastAsia="zh-CN"/>
        </w:rPr>
        <w:t>0.6</w:t>
      </w:r>
      <w:r>
        <w:rPr>
          <w:rFonts w:ascii="仿宋_GB2312" w:eastAsia="仿宋_GB2312" w:cs="仿宋_GB2312" w:hint="eastAsia"/>
          <w:sz w:val="32"/>
          <w:szCs w:val="32"/>
        </w:rPr>
        <w:t>%。具体情况如下：</w:t>
      </w:r>
    </w:p>
    <w:p>
      <w:pPr>
        <w:keepNext w:val="0"/>
        <w:keepLines w:val="0"/>
        <w:pageBreakBefore w:val="0"/>
        <w:widowControl/>
        <w:kinsoku/>
        <w:wordWrap/>
        <w:overflowPunct/>
        <w:topLinePunct w:val="0"/>
        <w:autoSpaceDE/>
        <w:autoSpaceDN/>
        <w:bidi w:val="0"/>
        <w:adjustRightInd/>
        <w:snapToGrid/>
        <w:jc w:val="center"/>
        <w:textAlignment w:val="auto"/>
        <w:rPr>
          <w:rFonts w:ascii="仿宋_GB2312" w:eastAsia="仿宋_GB2312" w:cs="仿宋_GB2312" w:hint="eastAsia"/>
          <w:sz w:val="32"/>
          <w:szCs w:val="32"/>
        </w:rPr>
      </w:pPr>
      <w:r>
        <w:rPr>
          <w:rFonts w:ascii="仿宋_GB2312" w:eastAsia="仿宋_GB2312" w:cs="仿宋_GB2312" w:hint="eastAsia"/>
          <w:color w:val="000000"/>
          <w:sz w:val="32"/>
          <w:szCs w:val="32"/>
        </w:rPr>
        <w:object>
          <v:shape id="_x0000_i2" type="#_x0000_t75" filled="f" stroked="f" alt="image6" style="width:442.3pt;height:198.65pt;" o:ole="">
            <v:stroke color="#000000"/>
            <v:imagedata r:id="rId6" o:title="image2" cropbottom="-35f"/>
            <o:lock aspectratio="t"/>
            <w10:anchorLock/>
          </v:shape>
          <o:OLEObject Type="Embed" ProgID="Package" ShapeID="_x0000_i2" DrawAspect="Content" ObjectID="_1393063352" r:id="rId7"/>
        </w:object>
      </w:r>
      <w:r>
        <w:rPr>
          <w:rFonts w:ascii="仿宋_GB2312" w:eastAsia="仿宋_GB2312" w:cs="仿宋_GB2312" w:hint="eastAsia"/>
          <w:sz w:val="32"/>
          <w:szCs w:val="32"/>
        </w:rPr>
        <w:t>（图7：“三公”经费财政拨款支出结构）（饼状图）</w:t>
      </w:r>
    </w:p>
    <w:p>
      <w:pPr>
        <w:keepNext w:val="0"/>
        <w:keepLines w:val="0"/>
        <w:pageBreakBefore w:val="0"/>
        <w:widowControl w:val="0"/>
        <w:kinsoku/>
        <w:wordWrap/>
        <w:overflowPunct/>
        <w:topLinePunct w:val="0"/>
        <w:autoSpaceDE/>
        <w:autoSpaceDN/>
        <w:bidi w:val="0"/>
        <w:adjustRightInd/>
        <w:snapToGrid/>
        <w:jc w:val="left"/>
        <w:textAlignment w:val="auto"/>
        <w:rPr>
          <w:rFonts w:ascii="仿宋_GB2312" w:eastAsia="仿宋_GB2312" w:cs="仿宋_GB2312" w:hint="eastAsia"/>
          <w:sz w:val="32"/>
          <w:szCs w:val="32"/>
        </w:rPr>
      </w:pPr>
      <w:r>
        <w:rPr>
          <w:rFonts w:ascii="仿宋_GB2312" w:eastAsia="仿宋_GB2312" w:cs="仿宋_GB2312" w:hint="eastAsia"/>
          <w:color w:val="000000"/>
          <w:sz w:val="32"/>
          <w:szCs w:val="32"/>
          <w:lang w:val="en-US" w:eastAsia="zh-CN"/>
        </w:rPr>
        <w:t xml:space="preserve">    </w:t>
      </w:r>
      <w:r>
        <w:rPr>
          <w:rFonts w:ascii="仿宋_GB2312" w:eastAsia="仿宋_GB2312" w:cs="仿宋_GB2312" w:hint="eastAsia"/>
          <w:b/>
          <w:bCs/>
          <w:sz w:val="32"/>
          <w:szCs w:val="32"/>
        </w:rPr>
        <w:t>1.因公出国（境）经费支出</w:t>
      </w:r>
      <w:r>
        <w:rPr>
          <w:rFonts w:ascii="仿宋_GB2312" w:eastAsia="仿宋_GB2312" w:cs="仿宋_GB2312" w:hint="eastAsia"/>
          <w:sz w:val="32"/>
          <w:szCs w:val="32"/>
        </w:rPr>
        <w:t>0万元，完成预算100%。全年安排因公出国（境）团组0次，出国（境）0人。因公出国（境）支出决算比</w:t>
      </w:r>
      <w:r>
        <w:rPr>
          <w:rFonts w:ascii="仿宋_GB2312" w:eastAsia="仿宋_GB2312" w:cs="仿宋_GB2312" w:hint="eastAsia"/>
          <w:sz w:val="32"/>
          <w:szCs w:val="32"/>
          <w:lang w:eastAsia="zh-CN"/>
        </w:rPr>
        <w:t>2024年</w:t>
      </w:r>
      <w:r>
        <w:rPr>
          <w:rFonts w:ascii="仿宋_GB2312" w:eastAsia="仿宋_GB2312" w:cs="仿宋_GB2312" w:hint="eastAsia"/>
          <w:sz w:val="32"/>
          <w:szCs w:val="32"/>
        </w:rPr>
        <w:t>一致</w:t>
      </w:r>
      <w:r>
        <w:rPr>
          <w:rFonts w:ascii="仿宋_GB2312" w:eastAsia="仿宋_GB2312" w:cs="仿宋_GB2312"/>
          <w:sz w:val="32"/>
          <w:szCs w:val="32"/>
        </w:rPr>
        <w:t>，主要原因是均无预算安排。</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b/>
          <w:bCs/>
          <w:sz w:val="32"/>
          <w:szCs w:val="32"/>
        </w:rPr>
        <w:t>2.公务用车购置及运行维护费支出</w:t>
      </w:r>
      <w:r>
        <w:rPr>
          <w:rFonts w:ascii="仿宋_GB2312" w:eastAsia="仿宋_GB2312" w:cs="仿宋_GB2312" w:hint="eastAsia"/>
          <w:sz w:val="32"/>
          <w:szCs w:val="32"/>
          <w:lang w:val="en-US" w:eastAsia="zh-CN"/>
        </w:rPr>
        <w:t>103.28</w:t>
      </w:r>
      <w:r>
        <w:rPr>
          <w:rFonts w:ascii="仿宋_GB2312" w:eastAsia="仿宋_GB2312" w:cs="仿宋_GB2312" w:hint="eastAsia"/>
          <w:sz w:val="32"/>
          <w:szCs w:val="32"/>
        </w:rPr>
        <w:t>万元,完成预算100%。公务用车购置及运行维护费支出决算比</w:t>
      </w:r>
      <w:r>
        <w:rPr>
          <w:rFonts w:ascii="仿宋_GB2312" w:eastAsia="仿宋_GB2312" w:cs="仿宋_GB2312" w:hint="eastAsia"/>
          <w:sz w:val="32"/>
          <w:szCs w:val="32"/>
          <w:lang w:eastAsia="zh-CN"/>
        </w:rPr>
        <w:t>2024年</w:t>
      </w:r>
      <w:r>
        <w:rPr>
          <w:rFonts w:ascii="仿宋_GB2312" w:eastAsia="仿宋_GB2312" w:cs="仿宋_GB2312" w:hint="eastAsia"/>
          <w:sz w:val="32"/>
          <w:szCs w:val="32"/>
          <w:lang w:val="en-US" w:eastAsia="zh-CN"/>
        </w:rPr>
        <w:t>增加54.28</w:t>
      </w:r>
      <w:r>
        <w:rPr>
          <w:rFonts w:ascii="仿宋_GB2312" w:eastAsia="仿宋_GB2312" w:cs="仿宋_GB2312" w:hint="eastAsia"/>
          <w:sz w:val="32"/>
          <w:szCs w:val="32"/>
        </w:rPr>
        <w:t>万元，</w:t>
      </w:r>
      <w:r>
        <w:rPr>
          <w:rFonts w:ascii="仿宋_GB2312" w:eastAsia="仿宋_GB2312" w:cs="仿宋_GB2312" w:hint="eastAsia"/>
          <w:sz w:val="32"/>
          <w:szCs w:val="32"/>
          <w:lang w:val="en-US" w:eastAsia="zh-CN"/>
        </w:rPr>
        <w:t>增长110.8</w:t>
      </w:r>
      <w:r>
        <w:rPr>
          <w:rFonts w:ascii="仿宋_GB2312" w:eastAsia="仿宋_GB2312" w:cs="仿宋_GB2312" w:hint="eastAsia"/>
          <w:sz w:val="32"/>
          <w:szCs w:val="32"/>
        </w:rPr>
        <w:t>%。主要原因是</w:t>
      </w:r>
      <w:r>
        <w:rPr>
          <w:rFonts w:ascii="仿宋_GB2312" w:eastAsia="仿宋_GB2312" w:cs="仿宋_GB2312" w:hint="eastAsia"/>
          <w:sz w:val="32"/>
          <w:szCs w:val="32"/>
          <w:lang w:val="en-US" w:eastAsia="zh-CN"/>
        </w:rPr>
        <w:t>公务用车购置费增加52.98万元，公务用车运行维护费增加1.3万元。</w:t>
      </w:r>
      <w:r>
        <w:rPr>
          <w:rFonts w:ascii="仿宋_GB2312" w:eastAsia="仿宋_GB2312" w:cs="仿宋_GB2312" w:hint="eastAsia"/>
          <w:sz w:val="32"/>
          <w:szCs w:val="32"/>
        </w:rPr>
        <w:t>其中：</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lang w:val="en-US" w:eastAsia="zh-CN"/>
        </w:rPr>
      </w:pPr>
      <w:r>
        <w:rPr>
          <w:rFonts w:ascii="仿宋_GB2312" w:eastAsia="仿宋_GB2312" w:cs="仿宋_GB2312" w:hint="eastAsia"/>
          <w:b/>
          <w:bCs/>
          <w:sz w:val="32"/>
          <w:szCs w:val="32"/>
          <w:lang w:eastAsia="zh-CN"/>
        </w:rPr>
        <w:t>公务用车购置支出</w:t>
      </w:r>
      <w:r>
        <w:rPr>
          <w:rFonts w:ascii="仿宋_GB2312" w:eastAsia="仿宋_GB2312" w:cs="仿宋_GB2312" w:hint="eastAsia"/>
          <w:b/>
          <w:bCs/>
          <w:sz w:val="32"/>
          <w:szCs w:val="32"/>
          <w:lang w:val="en-US" w:eastAsia="zh-CN"/>
        </w:rPr>
        <w:t>52.98万元</w:t>
      </w:r>
      <w:r>
        <w:rPr>
          <w:rFonts w:ascii="仿宋_GB2312" w:eastAsia="仿宋_GB2312" w:cs="仿宋_GB2312" w:hint="eastAsia"/>
          <w:b/>
          <w:bCs/>
          <w:sz w:val="32"/>
          <w:szCs w:val="32"/>
        </w:rPr>
        <w:t>。</w:t>
      </w:r>
      <w:r>
        <w:rPr>
          <w:rFonts w:ascii="仿宋_GB2312" w:eastAsia="仿宋_GB2312" w:cs="仿宋_GB2312" w:hint="eastAsia"/>
          <w:sz w:val="32"/>
          <w:szCs w:val="32"/>
          <w:lang w:val="en-US" w:eastAsia="zh-CN"/>
        </w:rPr>
        <w:t>全年按规定更新购置公务用车1辆，该车为越野车，金额52.98</w:t>
      </w:r>
      <w:r>
        <w:rPr>
          <w:rFonts w:ascii="仿宋" w:eastAsia="仿宋" w:hint="eastAsia"/>
          <w:sz w:val="32"/>
          <w:szCs w:val="32"/>
          <w:lang w:val="en-US" w:eastAsia="zh-CN"/>
        </w:rPr>
        <w:t>万元，主要用于调研等日常公务。</w:t>
      </w:r>
      <w:r>
        <w:rPr>
          <w:rFonts w:ascii="仿宋_GB2312" w:eastAsia="仿宋_GB2312" w:cs="仿宋_GB2312" w:hint="eastAsia"/>
          <w:sz w:val="32"/>
          <w:szCs w:val="32"/>
          <w:lang w:val="en-US" w:eastAsia="zh-CN"/>
        </w:rPr>
        <w:t>截至2025年12月底，单位共有公务用车7辆，其中：越野车7辆。</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b/>
          <w:bCs/>
          <w:sz w:val="32"/>
          <w:szCs w:val="32"/>
          <w:lang w:eastAsia="zh-CN"/>
        </w:rPr>
        <w:t>公务用车运行维护费支出</w:t>
      </w:r>
      <w:r>
        <w:rPr>
          <w:rFonts w:ascii="仿宋_GB2312" w:eastAsia="仿宋_GB2312" w:cs="仿宋_GB2312" w:hint="eastAsia"/>
          <w:b/>
          <w:bCs/>
          <w:sz w:val="32"/>
          <w:szCs w:val="32"/>
          <w:lang w:val="en-US" w:eastAsia="zh-CN"/>
        </w:rPr>
        <w:t>50.3</w:t>
      </w:r>
      <w:r>
        <w:rPr>
          <w:rFonts w:ascii="仿宋_GB2312" w:eastAsia="仿宋_GB2312" w:cs="仿宋_GB2312" w:hint="eastAsia"/>
          <w:b/>
          <w:bCs/>
          <w:sz w:val="32"/>
          <w:szCs w:val="32"/>
          <w:lang w:eastAsia="zh-CN"/>
        </w:rPr>
        <w:t>万元</w:t>
      </w:r>
      <w:r>
        <w:rPr>
          <w:rFonts w:ascii="仿宋_GB2312" w:eastAsia="仿宋_GB2312" w:cs="仿宋_GB2312" w:hint="eastAsia"/>
          <w:b/>
          <w:bCs/>
          <w:sz w:val="32"/>
          <w:szCs w:val="32"/>
        </w:rPr>
        <w:t>。</w:t>
      </w:r>
      <w:r>
        <w:rPr>
          <w:rFonts w:ascii="仿宋_GB2312" w:eastAsia="仿宋_GB2312" w:cs="仿宋_GB2312" w:hint="eastAsia"/>
          <w:sz w:val="32"/>
          <w:szCs w:val="32"/>
        </w:rPr>
        <w:t>主要用于常委会</w:t>
      </w:r>
      <w:r>
        <w:rPr>
          <w:rFonts w:ascii="仿宋_GB2312" w:eastAsia="仿宋_GB2312" w:cs="仿宋_GB2312" w:hint="eastAsia"/>
          <w:sz w:val="32"/>
          <w:szCs w:val="32"/>
          <w:lang w:val="en-US" w:eastAsia="zh-CN"/>
        </w:rPr>
        <w:t>及委员会</w:t>
      </w:r>
      <w:r>
        <w:rPr>
          <w:rFonts w:ascii="仿宋_GB2312" w:eastAsia="仿宋_GB2312" w:cs="仿宋_GB2312" w:hint="eastAsia"/>
          <w:sz w:val="32"/>
          <w:szCs w:val="32"/>
        </w:rPr>
        <w:t>调研、执法检查</w:t>
      </w:r>
      <w:r>
        <w:rPr>
          <w:rFonts w:ascii="仿宋_GB2312" w:eastAsia="仿宋_GB2312" w:cs="仿宋_GB2312" w:hint="eastAsia"/>
          <w:sz w:val="32"/>
          <w:szCs w:val="32"/>
          <w:lang w:val="en-US" w:eastAsia="zh-CN"/>
        </w:rPr>
        <w:t>及各项重点工作</w:t>
      </w:r>
      <w:r>
        <w:rPr>
          <w:rFonts w:ascii="仿宋_GB2312" w:eastAsia="仿宋_GB2312" w:cs="仿宋_GB2312" w:hint="eastAsia"/>
          <w:sz w:val="32"/>
          <w:szCs w:val="32"/>
        </w:rPr>
        <w:t>所需的公务用车燃料费、维修费、过路过桥费、保险费等支出。</w:t>
      </w:r>
    </w:p>
    <w:p>
      <w:pPr>
        <w:keepNext w:val="0"/>
        <w:keepLines w:val="0"/>
        <w:pageBreakBefore w:val="0"/>
        <w:widowControl w:val="0"/>
        <w:kinsoku/>
        <w:wordWrap/>
        <w:overflowPunct/>
        <w:topLinePunct w:val="0"/>
        <w:autoSpaceDE/>
        <w:autoSpaceDN/>
        <w:bidi w:val="0"/>
        <w:adjustRightInd/>
        <w:snapToGrid/>
        <w:ind w:left="0" w:firstLineChars="200" w:firstLine="640"/>
        <w:jc w:val="both"/>
        <w:textAlignment w:val="auto"/>
        <w:rPr>
          <w:rFonts w:ascii="仿宋_GB2312" w:eastAsia="仿宋_GB2312" w:cs="仿宋_GB2312" w:hint="eastAsia"/>
          <w:sz w:val="32"/>
          <w:szCs w:val="32"/>
          <w:highlight w:val="auto"/>
        </w:rPr>
      </w:pPr>
      <w:r>
        <w:rPr>
          <w:rFonts w:ascii="仿宋_GB2312" w:eastAsia="仿宋_GB2312" w:cs="仿宋_GB2312" w:hint="eastAsia"/>
          <w:b/>
          <w:bCs/>
          <w:sz w:val="32"/>
          <w:szCs w:val="32"/>
          <w:lang w:val="en-US" w:eastAsia="zh-CN"/>
        </w:rPr>
        <w:t>3.</w:t>
      </w:r>
      <w:r>
        <w:rPr>
          <w:rFonts w:ascii="仿宋_GB2312" w:eastAsia="仿宋_GB2312" w:cs="仿宋_GB2312" w:hint="eastAsia"/>
          <w:b/>
          <w:bCs/>
          <w:sz w:val="32"/>
          <w:szCs w:val="32"/>
        </w:rPr>
        <w:t>公务接待费支出</w:t>
      </w:r>
      <w:r>
        <w:rPr>
          <w:rFonts w:ascii="仿宋_GB2312" w:eastAsia="仿宋_GB2312" w:cs="仿宋_GB2312" w:hint="eastAsia"/>
          <w:b/>
          <w:bCs/>
          <w:sz w:val="32"/>
          <w:szCs w:val="32"/>
          <w:lang w:val="en-US" w:eastAsia="zh-CN"/>
        </w:rPr>
        <w:t>0.61</w:t>
      </w:r>
      <w:r>
        <w:rPr>
          <w:rFonts w:ascii="仿宋_GB2312" w:eastAsia="仿宋_GB2312" w:cs="仿宋_GB2312" w:hint="eastAsia"/>
          <w:b/>
          <w:bCs/>
          <w:sz w:val="32"/>
          <w:szCs w:val="32"/>
        </w:rPr>
        <w:t>万元</w:t>
      </w:r>
      <w:r>
        <w:rPr>
          <w:rFonts w:ascii="仿宋_GB2312" w:eastAsia="仿宋_GB2312" w:cs="仿宋_GB2312" w:hint="eastAsia"/>
          <w:sz w:val="32"/>
          <w:szCs w:val="32"/>
        </w:rPr>
        <w:t>，完成预算100%。公务接待费支出决算比</w:t>
      </w:r>
      <w:r>
        <w:rPr>
          <w:rFonts w:ascii="仿宋_GB2312" w:eastAsia="仿宋_GB2312" w:cs="仿宋_GB2312" w:hint="eastAsia"/>
          <w:sz w:val="32"/>
          <w:szCs w:val="32"/>
          <w:lang w:eastAsia="zh-CN"/>
        </w:rPr>
        <w:t>2024年</w:t>
      </w:r>
      <w:r>
        <w:rPr>
          <w:rFonts w:ascii="仿宋_GB2312" w:eastAsia="仿宋_GB2312" w:cs="仿宋_GB2312" w:hint="eastAsia"/>
          <w:sz w:val="32"/>
          <w:szCs w:val="32"/>
          <w:lang w:val="en-US" w:eastAsia="zh-CN"/>
        </w:rPr>
        <w:t>减少0.91</w:t>
      </w:r>
      <w:r>
        <w:rPr>
          <w:rFonts w:ascii="仿宋_GB2312" w:eastAsia="仿宋_GB2312" w:cs="仿宋_GB2312" w:hint="eastAsia"/>
          <w:sz w:val="32"/>
          <w:szCs w:val="32"/>
        </w:rPr>
        <w:t>万元，</w:t>
      </w:r>
      <w:r>
        <w:rPr>
          <w:rFonts w:ascii="仿宋_GB2312" w:eastAsia="仿宋_GB2312" w:cs="仿宋_GB2312" w:hint="eastAsia"/>
          <w:sz w:val="32"/>
          <w:szCs w:val="32"/>
          <w:lang w:val="en-US" w:eastAsia="zh-CN"/>
        </w:rPr>
        <w:t>下降59.9</w:t>
      </w:r>
      <w:r>
        <w:rPr>
          <w:rFonts w:ascii="仿宋_GB2312" w:eastAsia="仿宋_GB2312" w:cs="仿宋_GB2312" w:hint="eastAsia"/>
          <w:sz w:val="32"/>
          <w:szCs w:val="32"/>
        </w:rPr>
        <w:t>%。主要原因是</w:t>
      </w:r>
      <w:r>
        <w:rPr>
          <w:rFonts w:ascii="仿宋_GB2312" w:eastAsia="仿宋_GB2312" w:cs="仿宋_GB2312" w:hint="eastAsia"/>
          <w:sz w:val="32"/>
          <w:szCs w:val="32"/>
          <w:lang w:val="en-US" w:eastAsia="zh-CN"/>
          <w:highlight w:val="auto"/>
        </w:rPr>
        <w:t>严格执行公务接待管理的相关规定，从严审批、严控公务接待费支出</w:t>
      </w:r>
      <w:r>
        <w:rPr>
          <w:rFonts w:ascii="仿宋_GB2312" w:eastAsia="仿宋_GB2312" w:cs="仿宋_GB2312" w:hint="eastAsia"/>
          <w:sz w:val="32"/>
          <w:szCs w:val="32"/>
          <w:highlight w:val="auto"/>
        </w:rPr>
        <w:t>。其中：</w:t>
      </w:r>
    </w:p>
    <w:p>
      <w:pPr>
        <w:keepNext w:val="0"/>
        <w:keepLines w:val="0"/>
        <w:pageBreakBefore w:val="0"/>
        <w:widowControl w:val="0"/>
        <w:kinsoku/>
        <w:wordWrap/>
        <w:overflowPunct/>
        <w:topLinePunct w:val="0"/>
        <w:autoSpaceDE/>
        <w:autoSpaceDN/>
        <w:bidi w:val="0"/>
        <w:adjustRightInd/>
        <w:snapToGrid/>
        <w:ind w:left="0"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b/>
          <w:bCs/>
          <w:sz w:val="32"/>
          <w:szCs w:val="32"/>
        </w:rPr>
        <w:t>国内公务接待支出</w:t>
      </w:r>
      <w:r>
        <w:rPr>
          <w:rFonts w:ascii="仿宋_GB2312" w:eastAsia="仿宋_GB2312" w:cs="仿宋_GB2312" w:hint="eastAsia"/>
          <w:b/>
          <w:bCs/>
          <w:sz w:val="32"/>
          <w:szCs w:val="32"/>
          <w:lang w:val="en-US" w:eastAsia="zh-CN"/>
        </w:rPr>
        <w:t>0.61</w:t>
      </w:r>
      <w:r>
        <w:rPr>
          <w:rFonts w:ascii="仿宋_GB2312" w:eastAsia="仿宋_GB2312" w:cs="仿宋_GB2312" w:hint="eastAsia"/>
          <w:b/>
          <w:bCs/>
          <w:sz w:val="32"/>
          <w:szCs w:val="32"/>
        </w:rPr>
        <w:t>万元，</w:t>
      </w:r>
      <w:r>
        <w:rPr>
          <w:rFonts w:ascii="仿宋_GB2312" w:eastAsia="仿宋_GB2312" w:cs="仿宋_GB2312" w:hint="eastAsia"/>
          <w:sz w:val="32"/>
          <w:szCs w:val="32"/>
        </w:rPr>
        <w:t>主要用于执行公务、开展业务活动开支的用餐费等。国内公务接待</w:t>
      </w:r>
      <w:r>
        <w:rPr>
          <w:rFonts w:ascii="仿宋_GB2312" w:eastAsia="仿宋_GB2312" w:cs="仿宋_GB2312" w:hint="eastAsia"/>
          <w:sz w:val="32"/>
          <w:szCs w:val="32"/>
          <w:lang w:val="en-US" w:eastAsia="zh-CN"/>
        </w:rPr>
        <w:t>9</w:t>
      </w:r>
      <w:r>
        <w:rPr>
          <w:rFonts w:ascii="仿宋_GB2312" w:eastAsia="仿宋_GB2312" w:cs="仿宋_GB2312" w:hint="eastAsia"/>
          <w:sz w:val="32"/>
          <w:szCs w:val="32"/>
        </w:rPr>
        <w:t>批次，</w:t>
      </w:r>
      <w:r>
        <w:rPr>
          <w:rFonts w:ascii="仿宋_GB2312" w:eastAsia="仿宋_GB2312" w:cs="仿宋_GB2312" w:hint="eastAsia"/>
          <w:sz w:val="32"/>
          <w:szCs w:val="32"/>
          <w:lang w:val="en-US" w:eastAsia="zh-CN"/>
        </w:rPr>
        <w:t>102</w:t>
      </w:r>
      <w:r>
        <w:rPr>
          <w:rFonts w:ascii="仿宋_GB2312" w:eastAsia="仿宋_GB2312" w:cs="仿宋_GB2312" w:hint="eastAsia"/>
          <w:sz w:val="32"/>
          <w:szCs w:val="32"/>
        </w:rPr>
        <w:t>人次（不包括陪同人员），共计支出</w:t>
      </w:r>
      <w:r>
        <w:rPr>
          <w:rFonts w:ascii="仿宋_GB2312" w:eastAsia="仿宋_GB2312" w:cs="仿宋_GB2312" w:hint="eastAsia"/>
          <w:sz w:val="32"/>
          <w:szCs w:val="32"/>
          <w:lang w:val="en-US" w:eastAsia="zh-CN"/>
        </w:rPr>
        <w:t>0.61</w:t>
      </w:r>
      <w:r>
        <w:rPr>
          <w:rFonts w:ascii="仿宋_GB2312" w:eastAsia="仿宋_GB2312" w:cs="仿宋_GB2312" w:hint="eastAsia"/>
          <w:sz w:val="32"/>
          <w:szCs w:val="32"/>
        </w:rPr>
        <w:t>万元，具体内容包括：</w:t>
      </w:r>
      <w:r>
        <w:rPr>
          <w:rFonts w:ascii="仿宋_GB2312" w:eastAsia="仿宋_GB2312" w:cs="仿宋_GB2312" w:hint="eastAsia"/>
          <w:sz w:val="32"/>
          <w:szCs w:val="32"/>
          <w:lang w:val="en-US" w:eastAsia="zh-CN"/>
        </w:rPr>
        <w:t>接待上级人大及兄弟市县来汶考察、调研等。</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highlight w:val="auto"/>
        </w:rPr>
      </w:pPr>
      <w:r>
        <w:rPr>
          <w:rFonts w:ascii="仿宋_GB2312" w:eastAsia="仿宋_GB2312" w:cs="仿宋_GB2312" w:hint="eastAsia"/>
          <w:b/>
          <w:bCs/>
          <w:sz w:val="32"/>
          <w:szCs w:val="32"/>
          <w:highlight w:val="auto"/>
        </w:rPr>
        <w:t>外事接待支出0万元</w:t>
      </w:r>
      <w:r>
        <w:rPr>
          <w:rFonts w:ascii="仿宋_GB2312" w:eastAsia="仿宋_GB2312" w:cs="仿宋_GB2312" w:hint="eastAsia"/>
          <w:b/>
          <w:bCs/>
          <w:sz w:val="32"/>
          <w:szCs w:val="32"/>
          <w:lang w:eastAsia="zh-CN"/>
          <w:highlight w:val="auto"/>
        </w:rPr>
        <w:t>，</w:t>
      </w:r>
      <w:r>
        <w:rPr>
          <w:rFonts w:ascii="仿宋_GB2312" w:eastAsia="仿宋_GB2312" w:cs="仿宋_GB2312" w:hint="eastAsia"/>
          <w:sz w:val="32"/>
          <w:szCs w:val="32"/>
          <w:lang w:val="en-US" w:eastAsia="zh-CN"/>
          <w:highlight w:val="auto"/>
        </w:rPr>
        <w:t>较上年无变化</w:t>
      </w:r>
      <w:r>
        <w:rPr>
          <w:rFonts w:ascii="仿宋_GB2312" w:eastAsia="仿宋_GB2312" w:cs="仿宋_GB2312" w:hint="eastAsia"/>
          <w:sz w:val="32"/>
          <w:szCs w:val="32"/>
          <w:highlight w:val="auto"/>
        </w:rPr>
        <w:t>。</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黑体" w:eastAsia="黑体" w:cs="黑体" w:hint="eastAsia"/>
          <w:sz w:val="32"/>
          <w:szCs w:val="32"/>
        </w:rPr>
      </w:pPr>
      <w:r>
        <w:rPr>
          <w:rFonts w:ascii="黑体" w:eastAsia="黑体" w:cs="黑体" w:hint="eastAsia"/>
          <w:sz w:val="32"/>
          <w:szCs w:val="32"/>
        </w:rPr>
        <w:t>八、政府性基金预算支出决算情况说明</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eastAsia="zh-CN"/>
        </w:rPr>
        <w:t>2025年</w:t>
      </w:r>
      <w:r>
        <w:rPr>
          <w:rFonts w:ascii="仿宋_GB2312" w:eastAsia="仿宋_GB2312" w:cs="仿宋_GB2312" w:hint="eastAsia"/>
          <w:sz w:val="32"/>
          <w:szCs w:val="32"/>
        </w:rPr>
        <w:t>政府性基金预算财政拨款支出0万元。</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黑体" w:eastAsia="黑体" w:cs="黑体" w:hint="eastAsia"/>
          <w:sz w:val="32"/>
          <w:szCs w:val="32"/>
        </w:rPr>
      </w:pPr>
      <w:r>
        <w:rPr>
          <w:rFonts w:ascii="黑体" w:eastAsia="黑体" w:cs="黑体" w:hint="eastAsia"/>
          <w:sz w:val="32"/>
          <w:szCs w:val="32"/>
        </w:rPr>
        <w:t>九、国有资本经营预算支出决算情况说明</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eastAsia="zh-CN"/>
        </w:rPr>
        <w:t>2025年</w:t>
      </w:r>
      <w:r>
        <w:rPr>
          <w:rFonts w:ascii="仿宋_GB2312" w:eastAsia="仿宋_GB2312" w:cs="仿宋_GB2312" w:hint="eastAsia"/>
          <w:sz w:val="32"/>
          <w:szCs w:val="32"/>
        </w:rPr>
        <w:t>国有资本经营预算财政拨款支出0万元。 </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黑体" w:eastAsia="黑体" w:cs="黑体" w:hint="eastAsia"/>
          <w:sz w:val="32"/>
          <w:szCs w:val="32"/>
        </w:rPr>
      </w:pPr>
      <w:r>
        <w:rPr>
          <w:rFonts w:ascii="黑体" w:eastAsia="黑体" w:cs="黑体" w:hint="eastAsia"/>
          <w:sz w:val="32"/>
          <w:szCs w:val="32"/>
        </w:rPr>
        <w:t>十、其他重要事项的情况说明</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楷体_GB2312" w:eastAsia="楷体_GB2312" w:cs="楷体_GB2312" w:hint="eastAsia"/>
          <w:b/>
          <w:bCs/>
          <w:sz w:val="32"/>
          <w:szCs w:val="32"/>
        </w:rPr>
      </w:pPr>
      <w:r>
        <w:rPr>
          <w:rFonts w:ascii="楷体_GB2312" w:eastAsia="楷体_GB2312" w:cs="楷体_GB2312" w:hint="eastAsia"/>
          <w:b/>
          <w:bCs/>
          <w:sz w:val="32"/>
          <w:szCs w:val="32"/>
        </w:rPr>
        <w:t>（一）机关运行经费支出情况</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eastAsia="zh-CN"/>
        </w:rPr>
        <w:t>2025年</w:t>
      </w:r>
      <w:r>
        <w:rPr>
          <w:rFonts w:ascii="仿宋_GB2312" w:eastAsia="仿宋_GB2312" w:cs="仿宋_GB2312" w:hint="eastAsia"/>
          <w:sz w:val="32"/>
          <w:szCs w:val="32"/>
        </w:rPr>
        <w:t>，</w:t>
      </w:r>
      <w:r>
        <w:rPr>
          <w:rFonts w:ascii="仿宋_GB2312" w:eastAsia="仿宋_GB2312" w:cs="仿宋_GB2312" w:hint="eastAsia"/>
          <w:sz w:val="32"/>
          <w:szCs w:val="32"/>
          <w:lang w:val="en-US" w:eastAsia="zh-CN"/>
        </w:rPr>
        <w:t>我单位</w:t>
      </w:r>
      <w:r>
        <w:rPr>
          <w:rFonts w:ascii="仿宋_GB2312" w:eastAsia="仿宋_GB2312" w:cs="仿宋_GB2312" w:hint="eastAsia"/>
          <w:sz w:val="32"/>
          <w:szCs w:val="32"/>
        </w:rPr>
        <w:t>运行经费支出</w:t>
      </w:r>
      <w:r>
        <w:rPr>
          <w:rFonts w:ascii="仿宋_GB2312" w:eastAsia="仿宋_GB2312" w:cs="仿宋_GB2312" w:hint="eastAsia"/>
          <w:sz w:val="32"/>
          <w:szCs w:val="32"/>
          <w:lang w:val="en-US" w:eastAsia="zh-CN"/>
        </w:rPr>
        <w:t>154.34万元，</w:t>
      </w:r>
      <w:r>
        <w:rPr>
          <w:rFonts w:ascii="仿宋_GB2312" w:eastAsia="仿宋_GB2312" w:cs="仿宋_GB2312" w:hint="eastAsia"/>
          <w:sz w:val="32"/>
          <w:szCs w:val="32"/>
        </w:rPr>
        <w:t>比</w:t>
      </w:r>
      <w:r>
        <w:rPr>
          <w:rFonts w:ascii="仿宋_GB2312" w:eastAsia="仿宋_GB2312" w:cs="仿宋_GB2312" w:hint="eastAsia"/>
          <w:sz w:val="32"/>
          <w:szCs w:val="32"/>
          <w:lang w:eastAsia="zh-CN"/>
        </w:rPr>
        <w:t>2024年</w:t>
      </w:r>
      <w:r>
        <w:rPr>
          <w:rFonts w:ascii="仿宋_GB2312" w:eastAsia="仿宋_GB2312" w:cs="仿宋_GB2312" w:hint="eastAsia"/>
          <w:sz w:val="32"/>
          <w:szCs w:val="32"/>
          <w:lang w:val="en-US" w:eastAsia="zh-CN"/>
        </w:rPr>
        <w:t>增加48.39</w:t>
      </w:r>
      <w:r>
        <w:rPr>
          <w:rFonts w:ascii="仿宋_GB2312" w:eastAsia="仿宋_GB2312" w:cs="仿宋_GB2312" w:hint="eastAsia"/>
          <w:sz w:val="32"/>
          <w:szCs w:val="32"/>
        </w:rPr>
        <w:t>万元，</w:t>
      </w:r>
      <w:r>
        <w:rPr>
          <w:rFonts w:ascii="仿宋_GB2312" w:eastAsia="仿宋_GB2312" w:cs="仿宋_GB2312" w:hint="eastAsia"/>
          <w:sz w:val="32"/>
          <w:szCs w:val="32"/>
          <w:lang w:val="en-US" w:eastAsia="zh-CN"/>
        </w:rPr>
        <w:t>增长45.7</w:t>
      </w:r>
      <w:r>
        <w:rPr>
          <w:rFonts w:ascii="仿宋_GB2312" w:eastAsia="仿宋_GB2312" w:cs="仿宋_GB2312" w:hint="eastAsia"/>
          <w:sz w:val="32"/>
          <w:szCs w:val="32"/>
        </w:rPr>
        <w:t>%。主要原因是</w:t>
      </w:r>
      <w:r>
        <w:rPr>
          <w:rFonts w:ascii="仿宋_GB2312" w:eastAsia="仿宋_GB2312" w:cs="仿宋_GB2312" w:hint="eastAsia"/>
          <w:sz w:val="32"/>
          <w:szCs w:val="32"/>
          <w:lang w:val="en-US" w:eastAsia="zh-CN"/>
        </w:rPr>
        <w:t>更新公务用车1辆，金额52.98万元。</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楷体_GB2312" w:eastAsia="楷体_GB2312" w:cs="楷体_GB2312" w:hint="eastAsia"/>
          <w:b/>
          <w:bCs/>
          <w:sz w:val="32"/>
          <w:szCs w:val="32"/>
        </w:rPr>
      </w:pPr>
      <w:r>
        <w:rPr>
          <w:rFonts w:ascii="楷体_GB2312" w:eastAsia="楷体_GB2312" w:cs="楷体_GB2312" w:hint="eastAsia"/>
          <w:b/>
          <w:bCs/>
          <w:sz w:val="32"/>
          <w:szCs w:val="32"/>
        </w:rPr>
        <w:t>（二）政府采购支出情况</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仿宋" w:eastAsia="仿宋"/>
          <w:sz w:val="32"/>
          <w:szCs w:val="32"/>
        </w:rPr>
      </w:pPr>
      <w:r>
        <w:rPr>
          <w:rFonts w:ascii="仿宋_GB2312" w:eastAsia="仿宋_GB2312" w:cs="仿宋_GB2312" w:hint="eastAsia"/>
          <w:sz w:val="32"/>
          <w:szCs w:val="32"/>
          <w:lang w:eastAsia="zh-CN"/>
          <w:highlight w:val="auto"/>
        </w:rPr>
        <w:t>2025年</w:t>
      </w:r>
      <w:r>
        <w:rPr>
          <w:rFonts w:ascii="仿宋_GB2312" w:eastAsia="仿宋_GB2312" w:cs="仿宋_GB2312" w:hint="eastAsia"/>
          <w:sz w:val="32"/>
          <w:szCs w:val="32"/>
          <w:lang w:val="en-US" w:eastAsia="zh-CN"/>
          <w:highlight w:val="auto"/>
        </w:rPr>
        <w:t>度</w:t>
      </w:r>
      <w:r>
        <w:rPr>
          <w:rFonts w:ascii="仿宋_GB2312" w:eastAsia="仿宋_GB2312" w:cs="仿宋_GB2312" w:hint="eastAsia"/>
          <w:sz w:val="32"/>
          <w:szCs w:val="32"/>
          <w:highlight w:val="auto"/>
        </w:rPr>
        <w:t>，</w:t>
      </w:r>
      <w:r>
        <w:rPr>
          <w:rFonts w:ascii="仿宋_GB2312" w:eastAsia="仿宋_GB2312" w:cs="仿宋_GB2312" w:hint="eastAsia"/>
          <w:sz w:val="32"/>
          <w:szCs w:val="32"/>
          <w:lang w:val="en-US" w:eastAsia="zh-CN"/>
          <w:highlight w:val="auto"/>
        </w:rPr>
        <w:t>我单位</w:t>
      </w:r>
      <w:r>
        <w:rPr>
          <w:rFonts w:ascii="仿宋_GB2312" w:eastAsia="仿宋_GB2312" w:cs="仿宋_GB2312" w:hint="eastAsia"/>
          <w:sz w:val="32"/>
          <w:szCs w:val="32"/>
          <w:highlight w:val="auto"/>
        </w:rPr>
        <w:t>政府采购支出总额</w:t>
      </w:r>
      <w:r>
        <w:rPr>
          <w:rFonts w:ascii="仿宋_GB2312" w:eastAsia="仿宋_GB2312" w:cs="仿宋_GB2312" w:hint="eastAsia"/>
          <w:sz w:val="32"/>
          <w:szCs w:val="32"/>
          <w:lang w:val="en-US" w:eastAsia="zh-CN"/>
          <w:highlight w:val="auto"/>
        </w:rPr>
        <w:t>13.71</w:t>
      </w:r>
      <w:r>
        <w:rPr>
          <w:rFonts w:ascii="仿宋_GB2312" w:eastAsia="仿宋_GB2312" w:cs="仿宋_GB2312" w:hint="eastAsia"/>
          <w:sz w:val="32"/>
          <w:szCs w:val="32"/>
          <w:highlight w:val="auto"/>
        </w:rPr>
        <w:t>万元。 </w:t>
      </w:r>
      <w:r>
        <w:rPr>
          <w:rFonts w:ascii="仿宋" w:eastAsia="仿宋" w:hint="eastAsia"/>
          <w:sz w:val="32"/>
          <w:szCs w:val="32"/>
          <w:highlight w:val="auto"/>
        </w:rPr>
        <w:t>其</w:t>
      </w:r>
      <w:r>
        <w:rPr>
          <w:rFonts w:ascii="仿宋" w:eastAsia="仿宋" w:hint="eastAsia"/>
          <w:sz w:val="32"/>
          <w:szCs w:val="32"/>
        </w:rPr>
        <w:t>中：政府采购货物支出</w:t>
      </w:r>
      <w:r>
        <w:rPr>
          <w:rFonts w:ascii="仿宋_GB2312" w:eastAsia="仿宋_GB2312" w:cs="仿宋_GB2312" w:hint="eastAsia"/>
          <w:sz w:val="32"/>
          <w:szCs w:val="32"/>
          <w:lang w:val="en-US" w:eastAsia="zh-CN"/>
          <w:highlight w:val="auto"/>
        </w:rPr>
        <w:t>1.49万元、政府采购工程支出0万元、政府采购服务支出12.22万元。主要用于采购打印机及空调等1.49万元，车辆维修及车辆保险等服务12.22万元。授予中小企业合同金额10.88万元，占政府采购支出总额的79.4%，其中：授予小微企业合同金额10.88万元</w:t>
      </w:r>
      <w:r>
        <w:rPr>
          <w:rFonts w:ascii="仿宋" w:eastAsia="仿宋" w:hint="eastAsia"/>
          <w:sz w:val="32"/>
          <w:szCs w:val="32"/>
        </w:rPr>
        <w:t>，占政府采购支出总额的</w:t>
      </w:r>
      <w:r>
        <w:rPr>
          <w:rFonts w:ascii="仿宋_GB2312" w:eastAsia="仿宋_GB2312" w:cs="仿宋_GB2312" w:hint="eastAsia"/>
          <w:sz w:val="32"/>
          <w:szCs w:val="32"/>
          <w:lang w:val="en-US" w:eastAsia="zh-CN"/>
          <w:highlight w:val="auto"/>
        </w:rPr>
        <w:t>79.4%</w:t>
      </w:r>
      <w:r>
        <w:rPr>
          <w:rFonts w:ascii="仿宋" w:eastAsia="仿宋" w:hint="eastAsia"/>
          <w:sz w:val="32"/>
          <w:szCs w:val="32"/>
        </w:rPr>
        <w:t>。</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楷体_GB2312" w:eastAsia="楷体_GB2312" w:cs="楷体_GB2312" w:hint="eastAsia"/>
          <w:b/>
          <w:bCs/>
          <w:sz w:val="32"/>
          <w:szCs w:val="32"/>
        </w:rPr>
      </w:pPr>
      <w:r>
        <w:rPr>
          <w:rFonts w:ascii="楷体_GB2312" w:eastAsia="楷体_GB2312" w:cs="楷体_GB2312" w:hint="eastAsia"/>
          <w:b/>
          <w:bCs/>
          <w:sz w:val="32"/>
          <w:szCs w:val="32"/>
        </w:rPr>
        <w:t>（三）国有资产占有使用情况</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rPr>
        <w:t>截至</w:t>
      </w:r>
      <w:r>
        <w:rPr>
          <w:rFonts w:ascii="仿宋_GB2312" w:eastAsia="仿宋_GB2312" w:cs="仿宋_GB2312" w:hint="eastAsia"/>
          <w:sz w:val="32"/>
          <w:szCs w:val="32"/>
          <w:lang w:eastAsia="zh-CN"/>
        </w:rPr>
        <w:t>2025年</w:t>
      </w:r>
      <w:r>
        <w:rPr>
          <w:rFonts w:ascii="仿宋_GB2312" w:eastAsia="仿宋_GB2312" w:cs="仿宋_GB2312" w:hint="eastAsia"/>
          <w:sz w:val="32"/>
          <w:szCs w:val="32"/>
        </w:rPr>
        <w:t>12月31日，</w:t>
      </w:r>
      <w:r>
        <w:rPr>
          <w:rFonts w:ascii="仿宋_GB2312" w:eastAsia="仿宋_GB2312" w:cs="仿宋_GB2312" w:hint="eastAsia"/>
          <w:sz w:val="32"/>
          <w:szCs w:val="32"/>
          <w:lang w:val="en-US" w:eastAsia="zh-CN"/>
        </w:rPr>
        <w:t>我单位</w:t>
      </w:r>
      <w:r>
        <w:rPr>
          <w:rFonts w:ascii="仿宋_GB2312" w:eastAsia="仿宋_GB2312" w:cs="仿宋_GB2312" w:hint="eastAsia"/>
          <w:sz w:val="32"/>
          <w:szCs w:val="32"/>
        </w:rPr>
        <w:t>共有车辆</w:t>
      </w:r>
      <w:r>
        <w:rPr>
          <w:rFonts w:ascii="仿宋_GB2312" w:eastAsia="仿宋_GB2312" w:cs="仿宋_GB2312" w:hint="eastAsia"/>
          <w:sz w:val="32"/>
          <w:szCs w:val="32"/>
          <w:lang w:val="en-US" w:eastAsia="zh-CN"/>
        </w:rPr>
        <w:t>7</w:t>
      </w:r>
      <w:r>
        <w:rPr>
          <w:rFonts w:ascii="仿宋_GB2312" w:eastAsia="仿宋_GB2312" w:cs="仿宋_GB2312" w:hint="eastAsia"/>
          <w:sz w:val="32"/>
          <w:szCs w:val="32"/>
        </w:rPr>
        <w:t>辆，其中：应急保障用车</w:t>
      </w:r>
      <w:r>
        <w:rPr>
          <w:rFonts w:ascii="仿宋_GB2312" w:eastAsia="仿宋_GB2312" w:cs="仿宋_GB2312" w:hint="eastAsia"/>
          <w:sz w:val="32"/>
          <w:szCs w:val="32"/>
          <w:lang w:val="en-US" w:eastAsia="zh-CN"/>
        </w:rPr>
        <w:t>7</w:t>
      </w:r>
      <w:r>
        <w:rPr>
          <w:rFonts w:ascii="仿宋_GB2312" w:eastAsia="仿宋_GB2312" w:cs="仿宋_GB2312" w:hint="eastAsia"/>
          <w:sz w:val="32"/>
          <w:szCs w:val="32"/>
        </w:rPr>
        <w:t>辆。单价100万元（含）以上设备（不含车辆）0台（套）。</w:t>
      </w:r>
    </w:p>
    <w:p>
      <w:pPr>
        <w:keepNext w:val="0"/>
        <w:keepLines w:val="0"/>
        <w:pageBreakBefore w:val="0"/>
        <w:widowControl w:val="0"/>
        <w:numPr>
          <w:ilvl w:val="0"/>
          <w:numId w:val="2"/>
        </w:numPr>
        <w:kinsoku/>
        <w:wordWrap/>
        <w:overflowPunct/>
        <w:topLinePunct w:val="0"/>
        <w:autoSpaceDE/>
        <w:autoSpaceDN/>
        <w:bidi w:val="0"/>
        <w:adjustRightInd/>
        <w:snapToGrid/>
        <w:ind w:left="0" w:firstLineChars="200" w:firstLine="640"/>
        <w:jc w:val="both"/>
        <w:textAlignment w:val="auto"/>
        <w:rPr>
          <w:rFonts w:ascii="楷体_GB2312" w:eastAsia="楷体_GB2312" w:cs="楷体_GB2312" w:hint="eastAsia"/>
          <w:b/>
          <w:bCs/>
          <w:sz w:val="32"/>
          <w:szCs w:val="32"/>
          <w:highlight w:val="auto"/>
        </w:rPr>
      </w:pPr>
      <w:r>
        <w:rPr>
          <w:rFonts w:ascii="楷体_GB2312" w:eastAsia="楷体_GB2312" w:cs="楷体_GB2312" w:hint="eastAsia"/>
          <w:b/>
          <w:bCs/>
          <w:sz w:val="32"/>
          <w:szCs w:val="32"/>
          <w:highlight w:val="auto"/>
        </w:rPr>
        <w:t>预算绩效管理情况</w:t>
      </w:r>
    </w:p>
    <w:p>
      <w:pPr>
        <w:pStyle w:val="15"/>
        <w:keepNext w:val="0"/>
        <w:keepLines w:val="0"/>
        <w:pageBreakBefore w:val="0"/>
        <w:widowControl w:val="0"/>
        <w:kinsoku/>
        <w:wordWrap/>
        <w:overflowPunct/>
        <w:topLinePunct w:val="0"/>
        <w:autoSpaceDE/>
        <w:autoSpaceDN/>
        <w:bidi w:val="0"/>
        <w:adjustRightInd/>
        <w:snapToGrid/>
        <w:spacing w:beforeLines="0" w:before="0"/>
        <w:ind w:firstLineChars="200" w:firstLine="640"/>
        <w:textAlignment w:val="auto"/>
        <w:rPr>
          <w:rFonts w:ascii="仿宋_GB2312" w:eastAsia="仿宋_GB2312" w:cs="仿宋_GB2312" w:hint="eastAsia"/>
          <w:kern w:val="2"/>
          <w:sz w:val="32"/>
          <w:szCs w:val="32"/>
          <w:lang w:val="en-US" w:eastAsia="zh-CN" w:bidi="ar-SA"/>
        </w:rPr>
      </w:pPr>
      <w:r>
        <w:rPr>
          <w:rFonts w:cs="仿宋_GB2312" w:hint="eastAsia"/>
          <w:kern w:val="2"/>
          <w:sz w:val="32"/>
          <w:szCs w:val="32"/>
          <w:lang w:val="en-US" w:eastAsia="zh-CN" w:bidi="ar-SA"/>
        </w:rPr>
        <w:t>2025年</w:t>
      </w:r>
      <w:r>
        <w:rPr>
          <w:rFonts w:cs="仿宋_GB2312" w:hint="eastAsia"/>
          <w:sz w:val="32"/>
          <w:szCs w:val="32"/>
          <w:lang w:val="en-US" w:eastAsia="zh-CN"/>
        </w:rPr>
        <w:t>我单位</w:t>
      </w:r>
      <w:r>
        <w:rPr>
          <w:rFonts w:ascii="仿宋_GB2312" w:eastAsia="仿宋_GB2312" w:cs="仿宋_GB2312" w:hint="eastAsia"/>
          <w:kern w:val="2"/>
          <w:sz w:val="32"/>
          <w:szCs w:val="32"/>
          <w:lang w:val="en-US" w:eastAsia="zh-CN" w:bidi="ar-SA"/>
        </w:rPr>
        <w:t>支出</w:t>
      </w:r>
      <w:r>
        <w:rPr>
          <w:rFonts w:cs="仿宋_GB2312" w:hint="eastAsia"/>
          <w:kern w:val="2"/>
          <w:sz w:val="32"/>
          <w:szCs w:val="32"/>
          <w:lang w:val="en-US" w:eastAsia="zh-CN" w:bidi="ar-SA"/>
        </w:rPr>
        <w:t>959.25</w:t>
      </w:r>
      <w:r>
        <w:rPr>
          <w:rFonts w:ascii="仿宋_GB2312" w:eastAsia="仿宋_GB2312" w:cs="仿宋_GB2312" w:hint="eastAsia"/>
          <w:kern w:val="2"/>
          <w:sz w:val="32"/>
          <w:szCs w:val="32"/>
          <w:lang w:val="en-US" w:eastAsia="zh-CN" w:bidi="ar-SA"/>
        </w:rPr>
        <w:t>万元，支出与目标申报一致。根据预算绩效管理要求</w:t>
      </w:r>
      <w:r>
        <w:rPr>
          <w:rFonts w:cs="仿宋_GB2312" w:hint="eastAsia"/>
          <w:kern w:val="2"/>
          <w:sz w:val="32"/>
          <w:szCs w:val="32"/>
          <w:lang w:val="en-US" w:eastAsia="zh-CN" w:bidi="ar-SA"/>
        </w:rPr>
        <w:t>。2025年我单位</w:t>
      </w:r>
      <w:r>
        <w:rPr>
          <w:rFonts w:ascii="仿宋_GB2312" w:eastAsia="仿宋_GB2312" w:cs="仿宋_GB2312" w:hint="eastAsia"/>
          <w:kern w:val="2"/>
          <w:sz w:val="32"/>
          <w:szCs w:val="32"/>
          <w:lang w:val="en-US" w:eastAsia="zh-CN" w:bidi="ar-SA"/>
        </w:rPr>
        <w:t>完成</w:t>
      </w:r>
      <w:r>
        <w:rPr>
          <w:rFonts w:cs="仿宋_GB2312" w:hint="eastAsia"/>
          <w:kern w:val="2"/>
          <w:sz w:val="32"/>
          <w:szCs w:val="32"/>
          <w:lang w:val="en-US" w:eastAsia="zh-CN" w:bidi="ar-SA"/>
        </w:rPr>
        <w:t>6</w:t>
      </w:r>
      <w:r>
        <w:rPr>
          <w:rFonts w:ascii="仿宋_GB2312" w:eastAsia="仿宋_GB2312" w:cs="仿宋_GB2312" w:hint="eastAsia"/>
          <w:kern w:val="2"/>
          <w:sz w:val="32"/>
          <w:szCs w:val="32"/>
          <w:lang w:val="en-US" w:eastAsia="zh-CN" w:bidi="ar-SA"/>
        </w:rPr>
        <w:t>个项目，项目支出共计</w:t>
      </w:r>
      <w:r>
        <w:rPr>
          <w:rFonts w:cs="仿宋_GB2312" w:hint="eastAsia"/>
          <w:kern w:val="2"/>
          <w:sz w:val="32"/>
          <w:szCs w:val="32"/>
          <w:lang w:val="en-US" w:eastAsia="zh-CN" w:bidi="ar-SA"/>
        </w:rPr>
        <w:t>153.05</w:t>
      </w:r>
      <w:r>
        <w:rPr>
          <w:rFonts w:ascii="仿宋_GB2312" w:eastAsia="仿宋_GB2312" w:cs="仿宋_GB2312" w:hint="eastAsia"/>
          <w:kern w:val="2"/>
          <w:sz w:val="32"/>
          <w:szCs w:val="32"/>
          <w:lang w:val="en-US" w:eastAsia="zh-CN" w:bidi="ar-SA"/>
        </w:rPr>
        <w:t>万元，项目支出与申报目标一致，根据绩效管理要求，</w:t>
      </w:r>
      <w:r>
        <w:rPr>
          <w:rFonts w:cs="仿宋_GB2312" w:hint="eastAsia"/>
          <w:kern w:val="2"/>
          <w:sz w:val="32"/>
          <w:szCs w:val="32"/>
          <w:lang w:val="en-US" w:eastAsia="zh-CN" w:bidi="ar-SA"/>
        </w:rPr>
        <w:t>2025</w:t>
      </w:r>
      <w:r>
        <w:rPr>
          <w:rFonts w:ascii="仿宋_GB2312" w:eastAsia="仿宋_GB2312" w:cs="仿宋_GB2312" w:hint="eastAsia"/>
          <w:kern w:val="2"/>
          <w:sz w:val="32"/>
          <w:szCs w:val="32"/>
          <w:lang w:val="en-US" w:eastAsia="zh-CN" w:bidi="ar-SA"/>
        </w:rPr>
        <w:t>年度预算编制阶段，组织对</w:t>
      </w:r>
      <w:r>
        <w:rPr>
          <w:rFonts w:cs="仿宋_GB2312" w:hint="eastAsia"/>
          <w:kern w:val="2"/>
          <w:sz w:val="32"/>
          <w:szCs w:val="32"/>
          <w:lang w:val="en-US" w:eastAsia="zh-CN" w:bidi="ar-SA"/>
        </w:rPr>
        <w:t>6</w:t>
      </w:r>
      <w:r>
        <w:rPr>
          <w:rFonts w:ascii="仿宋_GB2312" w:eastAsia="仿宋_GB2312" w:cs="仿宋_GB2312" w:hint="eastAsia"/>
          <w:kern w:val="2"/>
          <w:sz w:val="32"/>
          <w:szCs w:val="32"/>
          <w:lang w:val="en-US" w:eastAsia="zh-CN" w:bidi="ar-SA"/>
        </w:rPr>
        <w:t>个项目开展了预算事前绩效评估，对</w:t>
      </w:r>
      <w:r>
        <w:rPr>
          <w:rFonts w:cs="仿宋_GB2312" w:hint="eastAsia"/>
          <w:kern w:val="2"/>
          <w:sz w:val="32"/>
          <w:szCs w:val="32"/>
          <w:lang w:val="en-US" w:eastAsia="zh-CN" w:bidi="ar-SA"/>
        </w:rPr>
        <w:t>6</w:t>
      </w:r>
      <w:r>
        <w:rPr>
          <w:rFonts w:ascii="仿宋_GB2312" w:eastAsia="仿宋_GB2312" w:cs="仿宋_GB2312" w:hint="eastAsia"/>
          <w:kern w:val="2"/>
          <w:sz w:val="32"/>
          <w:szCs w:val="32"/>
          <w:lang w:val="en-US" w:eastAsia="zh-CN" w:bidi="ar-SA"/>
        </w:rPr>
        <w:t>个项目编制了绩效目标，预算执行过程中，选取</w:t>
      </w:r>
      <w:r>
        <w:rPr>
          <w:rFonts w:cs="仿宋_GB2312" w:hint="eastAsia"/>
          <w:kern w:val="2"/>
          <w:sz w:val="32"/>
          <w:szCs w:val="32"/>
          <w:lang w:val="en-US" w:eastAsia="zh-CN" w:bidi="ar-SA"/>
        </w:rPr>
        <w:t>6</w:t>
      </w:r>
      <w:r>
        <w:rPr>
          <w:rFonts w:ascii="仿宋_GB2312" w:eastAsia="仿宋_GB2312" w:cs="仿宋_GB2312" w:hint="eastAsia"/>
          <w:kern w:val="2"/>
          <w:sz w:val="32"/>
          <w:szCs w:val="32"/>
          <w:lang w:val="en-US" w:eastAsia="zh-CN" w:bidi="ar-SA"/>
        </w:rPr>
        <w:t>个项目开展了绩效监控</w:t>
      </w:r>
      <w:r>
        <w:rPr>
          <w:rFonts w:cs="仿宋_GB2312" w:hint="eastAsia"/>
          <w:kern w:val="2"/>
          <w:sz w:val="32"/>
          <w:szCs w:val="32"/>
          <w:lang w:val="en-US" w:eastAsia="zh-CN" w:bidi="ar-SA"/>
        </w:rPr>
        <w:t>。</w:t>
      </w:r>
      <w:r>
        <w:rPr>
          <w:rFonts w:ascii="仿宋_GB2312" w:eastAsia="仿宋_GB2312" w:cs="仿宋_GB2312" w:hint="eastAsia"/>
          <w:kern w:val="2"/>
          <w:sz w:val="32"/>
          <w:szCs w:val="32"/>
          <w:lang w:val="en-US" w:eastAsia="zh-CN" w:bidi="ar-SA"/>
        </w:rPr>
        <w:t>组织对</w:t>
      </w:r>
      <w:r>
        <w:rPr>
          <w:rFonts w:cs="仿宋_GB2312" w:hint="eastAsia"/>
          <w:kern w:val="2"/>
          <w:sz w:val="32"/>
          <w:szCs w:val="32"/>
          <w:lang w:val="en-US" w:eastAsia="zh-CN" w:bidi="ar-SA"/>
        </w:rPr>
        <w:t>6</w:t>
      </w:r>
      <w:r>
        <w:rPr>
          <w:rFonts w:ascii="仿宋_GB2312" w:eastAsia="仿宋_GB2312" w:cs="仿宋_GB2312" w:hint="eastAsia"/>
          <w:kern w:val="2"/>
          <w:sz w:val="32"/>
          <w:szCs w:val="32"/>
          <w:lang w:val="en-US" w:eastAsia="zh-CN" w:bidi="ar-SA"/>
        </w:rPr>
        <w:t>个项目开展绩效自评，其中</w:t>
      </w:r>
      <w:r>
        <w:rPr>
          <w:rFonts w:cs="仿宋_GB2312" w:hint="eastAsia"/>
          <w:kern w:val="2"/>
          <w:sz w:val="32"/>
          <w:szCs w:val="32"/>
          <w:lang w:val="en-US" w:eastAsia="zh-CN" w:bidi="ar-SA"/>
        </w:rPr>
        <w:t>3</w:t>
      </w:r>
      <w:r>
        <w:rPr>
          <w:rFonts w:ascii="仿宋_GB2312" w:eastAsia="仿宋_GB2312" w:cs="仿宋_GB2312" w:hint="eastAsia"/>
          <w:kern w:val="2"/>
          <w:sz w:val="32"/>
          <w:szCs w:val="32"/>
          <w:lang w:val="en-US" w:eastAsia="zh-CN" w:bidi="ar-SA"/>
        </w:rPr>
        <w:t>个项目自评表详见第四部分附件。</w:t>
      </w:r>
    </w:p>
    <w:p>
      <w:pPr>
        <w:pStyle w:val="15"/>
        <w:keepNext w:val="0"/>
        <w:keepLines w:val="0"/>
        <w:pageBreakBefore w:val="0"/>
        <w:widowControl w:val="0"/>
        <w:kinsoku/>
        <w:wordWrap/>
        <w:overflowPunct/>
        <w:topLinePunct w:val="0"/>
        <w:autoSpaceDE/>
        <w:autoSpaceDN/>
        <w:bidi w:val="0"/>
        <w:adjustRightInd/>
        <w:snapToGrid/>
        <w:spacing w:beforeLines="0" w:before="0"/>
        <w:ind w:firstLineChars="200" w:firstLine="640"/>
        <w:textAlignment w:val="auto"/>
        <w:rPr>
          <w:rFonts w:ascii="仿宋_GB2312" w:eastAsia="仿宋_GB2312" w:cs="仿宋_GB2312" w:hint="eastAsia"/>
          <w:kern w:val="2"/>
          <w:sz w:val="32"/>
          <w:szCs w:val="32"/>
          <w:lang w:val="en-US" w:eastAsia="zh-CN" w:bidi="ar-SA"/>
        </w:rPr>
      </w:pPr>
    </w:p>
    <w:p>
      <w:pPr>
        <w:pStyle w:val="15"/>
        <w:keepNext w:val="0"/>
        <w:keepLines w:val="0"/>
        <w:pageBreakBefore w:val="0"/>
        <w:widowControl w:val="0"/>
        <w:kinsoku/>
        <w:wordWrap/>
        <w:overflowPunct/>
        <w:topLinePunct w:val="0"/>
        <w:autoSpaceDE/>
        <w:autoSpaceDN/>
        <w:bidi w:val="0"/>
        <w:adjustRightInd/>
        <w:snapToGrid/>
        <w:spacing w:beforeLines="0" w:before="0"/>
        <w:ind w:firstLineChars="200" w:firstLine="640"/>
        <w:textAlignment w:val="auto"/>
        <w:rPr>
          <w:rFonts w:ascii="仿宋_GB2312" w:eastAsia="仿宋_GB2312" w:cs="仿宋_GB2312" w:hint="eastAsia"/>
          <w:kern w:val="2"/>
          <w:sz w:val="32"/>
          <w:szCs w:val="32"/>
          <w:lang w:val="en-US" w:eastAsia="zh-CN" w:bidi="ar-SA"/>
        </w:rPr>
      </w:pPr>
    </w:p>
    <w:p>
      <w:pPr>
        <w:keepNext w:val="0"/>
        <w:keepLines w:val="0"/>
        <w:pageBreakBefore w:val="0"/>
        <w:widowControl/>
        <w:kinsoku/>
        <w:wordWrap/>
        <w:overflowPunct/>
        <w:topLinePunct w:val="0"/>
        <w:autoSpaceDE/>
        <w:autoSpaceDN/>
        <w:bidi w:val="0"/>
        <w:adjustRightInd/>
        <w:snapToGrid/>
        <w:ind w:firstLineChars="200" w:firstLine="880"/>
        <w:jc w:val="center"/>
        <w:textAlignment w:val="auto"/>
        <w:rPr>
          <w:rFonts w:ascii="方正小标宋简体" w:eastAsia="方正小标宋简体" w:cs="方正小标宋简体" w:hint="eastAsia"/>
          <w:b w:val="0"/>
          <w:bCs/>
          <w:kern w:val="44"/>
          <w:sz w:val="44"/>
          <w:szCs w:val="44"/>
          <w:lang w:val="en-US" w:eastAsia="zh-CN" w:bidi="ar-SA"/>
        </w:rPr>
      </w:pPr>
    </w:p>
    <w:p>
      <w:pPr>
        <w:keepNext w:val="0"/>
        <w:keepLines w:val="0"/>
        <w:pageBreakBefore w:val="0"/>
        <w:widowControl/>
        <w:kinsoku/>
        <w:wordWrap/>
        <w:overflowPunct/>
        <w:topLinePunct w:val="0"/>
        <w:autoSpaceDE/>
        <w:autoSpaceDN/>
        <w:bidi w:val="0"/>
        <w:adjustRightInd/>
        <w:snapToGrid/>
        <w:ind w:firstLineChars="200" w:firstLine="880"/>
        <w:jc w:val="center"/>
        <w:textAlignment w:val="auto"/>
        <w:rPr>
          <w:rFonts w:ascii="方正小标宋简体" w:eastAsia="方正小标宋简体" w:cs="方正小标宋简体" w:hint="eastAsia"/>
          <w:b w:val="0"/>
          <w:bCs/>
          <w:kern w:val="44"/>
          <w:sz w:val="44"/>
          <w:szCs w:val="44"/>
          <w:lang w:val="en-US" w:eastAsia="zh-CN" w:bidi="ar-SA"/>
        </w:rPr>
      </w:pPr>
    </w:p>
    <w:p>
      <w:pPr>
        <w:keepNext w:val="0"/>
        <w:keepLines w:val="0"/>
        <w:pageBreakBefore w:val="0"/>
        <w:widowControl/>
        <w:kinsoku/>
        <w:wordWrap/>
        <w:overflowPunct/>
        <w:topLinePunct w:val="0"/>
        <w:autoSpaceDE/>
        <w:autoSpaceDN/>
        <w:bidi w:val="0"/>
        <w:adjustRightInd/>
        <w:snapToGrid/>
        <w:ind w:firstLineChars="200" w:firstLine="880"/>
        <w:jc w:val="center"/>
        <w:textAlignment w:val="auto"/>
        <w:rPr>
          <w:rFonts w:ascii="方正小标宋简体" w:eastAsia="方正小标宋简体" w:cs="方正小标宋简体" w:hint="eastAsia"/>
          <w:b w:val="0"/>
          <w:bCs/>
          <w:kern w:val="44"/>
          <w:sz w:val="44"/>
          <w:szCs w:val="44"/>
          <w:lang w:val="en-US" w:eastAsia="zh-CN" w:bidi="ar-SA"/>
        </w:rPr>
      </w:pPr>
    </w:p>
    <w:p>
      <w:pPr>
        <w:keepNext w:val="0"/>
        <w:keepLines w:val="0"/>
        <w:pageBreakBefore w:val="0"/>
        <w:widowControl/>
        <w:kinsoku/>
        <w:wordWrap/>
        <w:overflowPunct/>
        <w:topLinePunct w:val="0"/>
        <w:autoSpaceDE/>
        <w:autoSpaceDN/>
        <w:bidi w:val="0"/>
        <w:adjustRightInd/>
        <w:snapToGrid/>
        <w:ind w:firstLineChars="200" w:firstLine="880"/>
        <w:jc w:val="center"/>
        <w:textAlignment w:val="auto"/>
        <w:rPr>
          <w:rFonts w:ascii="方正小标宋简体" w:eastAsia="方正小标宋简体" w:cs="方正小标宋简体" w:hint="eastAsia"/>
          <w:b w:val="0"/>
          <w:bCs/>
          <w:kern w:val="44"/>
          <w:sz w:val="44"/>
          <w:szCs w:val="44"/>
          <w:lang w:val="en-US" w:eastAsia="zh-CN" w:bidi="ar-SA"/>
        </w:rPr>
      </w:pPr>
    </w:p>
    <w:p>
      <w:pPr>
        <w:keepNext w:val="0"/>
        <w:keepLines w:val="0"/>
        <w:pageBreakBefore w:val="0"/>
        <w:widowControl/>
        <w:kinsoku/>
        <w:wordWrap/>
        <w:overflowPunct/>
        <w:topLinePunct w:val="0"/>
        <w:autoSpaceDE/>
        <w:autoSpaceDN/>
        <w:bidi w:val="0"/>
        <w:adjustRightInd/>
        <w:snapToGrid/>
        <w:ind w:firstLineChars="200" w:firstLine="880"/>
        <w:jc w:val="center"/>
        <w:textAlignment w:val="auto"/>
        <w:rPr>
          <w:rFonts w:ascii="方正小标宋简体" w:eastAsia="方正小标宋简体" w:cs="方正小标宋简体" w:hint="eastAsia"/>
          <w:b w:val="0"/>
          <w:bCs/>
          <w:kern w:val="44"/>
          <w:sz w:val="44"/>
          <w:szCs w:val="44"/>
          <w:lang w:val="en-US" w:eastAsia="zh-CN" w:bidi="ar-SA"/>
        </w:rPr>
      </w:pPr>
    </w:p>
    <w:p>
      <w:pPr>
        <w:keepNext w:val="0"/>
        <w:keepLines w:val="0"/>
        <w:pageBreakBefore w:val="0"/>
        <w:widowControl/>
        <w:kinsoku/>
        <w:wordWrap/>
        <w:overflowPunct/>
        <w:topLinePunct w:val="0"/>
        <w:autoSpaceDE/>
        <w:autoSpaceDN/>
        <w:bidi w:val="0"/>
        <w:adjustRightInd/>
        <w:snapToGrid/>
        <w:ind w:firstLineChars="200" w:firstLine="880"/>
        <w:jc w:val="center"/>
        <w:textAlignment w:val="auto"/>
        <w:rPr>
          <w:rFonts w:ascii="方正小标宋简体" w:eastAsia="方正小标宋简体" w:cs="方正小标宋简体" w:hint="eastAsia"/>
          <w:b w:val="0"/>
          <w:bCs/>
          <w:kern w:val="44"/>
          <w:sz w:val="44"/>
          <w:szCs w:val="44"/>
          <w:lang w:val="en-US" w:eastAsia="zh-CN" w:bidi="ar-SA"/>
        </w:rPr>
      </w:pPr>
    </w:p>
    <w:p>
      <w:pPr>
        <w:keepNext w:val="0"/>
        <w:keepLines w:val="0"/>
        <w:pageBreakBefore w:val="0"/>
        <w:widowControl/>
        <w:kinsoku/>
        <w:wordWrap/>
        <w:overflowPunct/>
        <w:topLinePunct w:val="0"/>
        <w:autoSpaceDE/>
        <w:autoSpaceDN/>
        <w:bidi w:val="0"/>
        <w:adjustRightInd/>
        <w:snapToGrid/>
        <w:ind w:firstLineChars="200" w:firstLine="880"/>
        <w:jc w:val="center"/>
        <w:textAlignment w:val="auto"/>
        <w:rPr>
          <w:rFonts w:ascii="方正小标宋简体" w:eastAsia="方正小标宋简体" w:cs="方正小标宋简体" w:hint="eastAsia"/>
          <w:b w:val="0"/>
          <w:bCs/>
          <w:kern w:val="44"/>
          <w:sz w:val="44"/>
          <w:szCs w:val="44"/>
          <w:lang w:val="en-US" w:eastAsia="zh-CN" w:bidi="ar-SA"/>
        </w:rPr>
      </w:pPr>
    </w:p>
    <w:p>
      <w:pPr>
        <w:keepNext w:val="0"/>
        <w:keepLines w:val="0"/>
        <w:pageBreakBefore w:val="0"/>
        <w:widowControl/>
        <w:kinsoku/>
        <w:wordWrap/>
        <w:overflowPunct/>
        <w:topLinePunct w:val="0"/>
        <w:autoSpaceDE/>
        <w:autoSpaceDN/>
        <w:bidi w:val="0"/>
        <w:adjustRightInd/>
        <w:snapToGrid/>
        <w:ind w:firstLineChars="200" w:firstLine="880"/>
        <w:jc w:val="center"/>
        <w:textAlignment w:val="auto"/>
        <w:rPr>
          <w:rFonts w:ascii="方正小标宋简体" w:eastAsia="方正小标宋简体" w:cs="方正小标宋简体" w:hint="eastAsia"/>
          <w:b w:val="0"/>
          <w:bCs/>
          <w:kern w:val="44"/>
          <w:sz w:val="44"/>
          <w:szCs w:val="44"/>
          <w:lang w:val="en-US" w:eastAsia="zh-CN" w:bidi="ar-SA"/>
        </w:rPr>
      </w:pPr>
    </w:p>
    <w:p>
      <w:pPr>
        <w:keepNext w:val="0"/>
        <w:keepLines w:val="0"/>
        <w:pageBreakBefore w:val="0"/>
        <w:widowControl/>
        <w:kinsoku/>
        <w:wordWrap/>
        <w:overflowPunct/>
        <w:topLinePunct w:val="0"/>
        <w:autoSpaceDE/>
        <w:autoSpaceDN/>
        <w:bidi w:val="0"/>
        <w:adjustRightInd/>
        <w:snapToGrid/>
        <w:ind w:firstLineChars="200" w:firstLine="880"/>
        <w:jc w:val="center"/>
        <w:textAlignment w:val="auto"/>
        <w:rPr>
          <w:rFonts w:ascii="方正小标宋简体" w:eastAsia="方正小标宋简体" w:cs="方正小标宋简体" w:hint="eastAsia"/>
          <w:b w:val="0"/>
          <w:bCs/>
          <w:kern w:val="44"/>
          <w:sz w:val="44"/>
          <w:szCs w:val="44"/>
          <w:lang w:val="en-US" w:eastAsia="zh-CN" w:bidi="ar-SA"/>
        </w:rPr>
      </w:pPr>
    </w:p>
    <w:p>
      <w:pPr>
        <w:keepNext w:val="0"/>
        <w:keepLines w:val="0"/>
        <w:pageBreakBefore w:val="0"/>
        <w:widowControl/>
        <w:kinsoku/>
        <w:wordWrap/>
        <w:overflowPunct/>
        <w:topLinePunct w:val="0"/>
        <w:autoSpaceDE/>
        <w:autoSpaceDN/>
        <w:bidi w:val="0"/>
        <w:adjustRightInd/>
        <w:snapToGrid/>
        <w:ind w:firstLineChars="200" w:firstLine="880"/>
        <w:jc w:val="center"/>
        <w:textAlignment w:val="auto"/>
        <w:rPr>
          <w:rFonts w:ascii="方正小标宋简体" w:eastAsia="方正小标宋简体" w:cs="方正小标宋简体" w:hint="eastAsia"/>
          <w:b w:val="0"/>
          <w:bCs/>
          <w:kern w:val="44"/>
          <w:sz w:val="44"/>
          <w:szCs w:val="44"/>
          <w:lang w:val="en-US" w:eastAsia="zh-CN" w:bidi="ar-SA"/>
        </w:rPr>
      </w:pPr>
      <w:r>
        <w:rPr>
          <w:rFonts w:ascii="方正小标宋简体" w:eastAsia="方正小标宋简体" w:cs="方正小标宋简体" w:hint="eastAsia"/>
          <w:b w:val="0"/>
          <w:bCs/>
          <w:kern w:val="44"/>
          <w:sz w:val="44"/>
          <w:szCs w:val="44"/>
          <w:lang w:val="en-US" w:eastAsia="zh-CN" w:bidi="ar-SA"/>
        </w:rPr>
        <w:t>第三部分 名词解释</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rPr>
        <w:t> </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rPr>
        <w:t>1.财政拨款收入：指单位从同级财政部门取得的财政预算资金。</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rPr>
        <w:t>2.年初结转和结余：指以前年度尚未完成、结转到本年按有关规定继续使用的资金。</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rPr>
        <w:t>3.一般公共服务（</w:t>
      </w:r>
      <w:r>
        <w:rPr>
          <w:rFonts w:ascii="仿宋_GB2312" w:eastAsia="仿宋_GB2312" w:cs="仿宋_GB2312" w:hint="eastAsia"/>
          <w:sz w:val="32"/>
          <w:szCs w:val="32"/>
          <w:lang w:val="en-US" w:eastAsia="zh-CN"/>
        </w:rPr>
        <w:t>类</w:t>
      </w:r>
      <w:r>
        <w:rPr>
          <w:rFonts w:ascii="仿宋_GB2312" w:eastAsia="仿宋_GB2312" w:cs="仿宋_GB2312" w:hint="eastAsia"/>
          <w:sz w:val="32"/>
          <w:szCs w:val="32"/>
        </w:rPr>
        <w:t>）人大事务（</w:t>
      </w:r>
      <w:r>
        <w:rPr>
          <w:rFonts w:ascii="仿宋_GB2312" w:eastAsia="仿宋_GB2312" w:cs="仿宋_GB2312" w:hint="eastAsia"/>
          <w:sz w:val="32"/>
          <w:szCs w:val="32"/>
          <w:lang w:val="en-US" w:eastAsia="zh-CN"/>
        </w:rPr>
        <w:t>款</w:t>
      </w:r>
      <w:r>
        <w:rPr>
          <w:rFonts w:ascii="仿宋_GB2312" w:eastAsia="仿宋_GB2312" w:cs="仿宋_GB2312" w:hint="eastAsia"/>
          <w:sz w:val="32"/>
          <w:szCs w:val="32"/>
        </w:rPr>
        <w:t>）行政运行（</w:t>
      </w:r>
      <w:r>
        <w:rPr>
          <w:rFonts w:ascii="仿宋_GB2312" w:eastAsia="仿宋_GB2312" w:cs="仿宋_GB2312" w:hint="eastAsia"/>
          <w:sz w:val="32"/>
          <w:szCs w:val="32"/>
          <w:lang w:val="en-US" w:eastAsia="zh-CN"/>
        </w:rPr>
        <w:t>项</w:t>
      </w:r>
      <w:r>
        <w:rPr>
          <w:rFonts w:ascii="仿宋_GB2312" w:eastAsia="仿宋_GB2312" w:cs="仿宋_GB2312" w:hint="eastAsia"/>
          <w:sz w:val="32"/>
          <w:szCs w:val="32"/>
        </w:rPr>
        <w:t>）：指行政单位（包括实现公务员管理的事业单位）的基本支出。</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rPr>
        <w:t>4.一般公共服务（</w:t>
      </w:r>
      <w:r>
        <w:rPr>
          <w:rFonts w:ascii="仿宋_GB2312" w:eastAsia="仿宋_GB2312" w:cs="仿宋_GB2312" w:hint="eastAsia"/>
          <w:sz w:val="32"/>
          <w:szCs w:val="32"/>
          <w:lang w:val="en-US" w:eastAsia="zh-CN"/>
        </w:rPr>
        <w:t>类</w:t>
      </w:r>
      <w:r>
        <w:rPr>
          <w:rFonts w:ascii="仿宋_GB2312" w:eastAsia="仿宋_GB2312" w:cs="仿宋_GB2312" w:hint="eastAsia"/>
          <w:sz w:val="32"/>
          <w:szCs w:val="32"/>
        </w:rPr>
        <w:t>）人大事务（</w:t>
      </w:r>
      <w:r>
        <w:rPr>
          <w:rFonts w:ascii="仿宋_GB2312" w:eastAsia="仿宋_GB2312" w:cs="仿宋_GB2312" w:hint="eastAsia"/>
          <w:sz w:val="32"/>
          <w:szCs w:val="32"/>
          <w:lang w:val="en-US" w:eastAsia="zh-CN"/>
        </w:rPr>
        <w:t>款</w:t>
      </w:r>
      <w:r>
        <w:rPr>
          <w:rFonts w:ascii="仿宋_GB2312" w:eastAsia="仿宋_GB2312" w:cs="仿宋_GB2312" w:hint="eastAsia"/>
          <w:sz w:val="32"/>
          <w:szCs w:val="32"/>
        </w:rPr>
        <w:t>）人大会议（</w:t>
      </w:r>
      <w:r>
        <w:rPr>
          <w:rFonts w:ascii="仿宋_GB2312" w:eastAsia="仿宋_GB2312" w:cs="仿宋_GB2312" w:hint="eastAsia"/>
          <w:sz w:val="32"/>
          <w:szCs w:val="32"/>
          <w:lang w:val="en-US" w:eastAsia="zh-CN"/>
        </w:rPr>
        <w:t>项</w:t>
      </w:r>
      <w:r>
        <w:rPr>
          <w:rFonts w:ascii="仿宋_GB2312" w:eastAsia="仿宋_GB2312" w:cs="仿宋_GB2312" w:hint="eastAsia"/>
          <w:sz w:val="32"/>
          <w:szCs w:val="32"/>
        </w:rPr>
        <w:t>）：指各级人大召开人民代表大会等专门会议的支出。</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rPr>
        <w:t>5.一般公共服务（</w:t>
      </w:r>
      <w:r>
        <w:rPr>
          <w:rFonts w:ascii="仿宋_GB2312" w:eastAsia="仿宋_GB2312" w:cs="仿宋_GB2312" w:hint="eastAsia"/>
          <w:sz w:val="32"/>
          <w:szCs w:val="32"/>
          <w:lang w:val="en-US" w:eastAsia="zh-CN"/>
        </w:rPr>
        <w:t>类</w:t>
      </w:r>
      <w:r>
        <w:rPr>
          <w:rFonts w:ascii="仿宋_GB2312" w:eastAsia="仿宋_GB2312" w:cs="仿宋_GB2312" w:hint="eastAsia"/>
          <w:sz w:val="32"/>
          <w:szCs w:val="32"/>
        </w:rPr>
        <w:t>）人大事务（</w:t>
      </w:r>
      <w:r>
        <w:rPr>
          <w:rFonts w:ascii="仿宋_GB2312" w:eastAsia="仿宋_GB2312" w:cs="仿宋_GB2312" w:hint="eastAsia"/>
          <w:sz w:val="32"/>
          <w:szCs w:val="32"/>
          <w:lang w:val="en-US" w:eastAsia="zh-CN"/>
        </w:rPr>
        <w:t>款</w:t>
      </w:r>
      <w:r>
        <w:rPr>
          <w:rFonts w:ascii="仿宋_GB2312" w:eastAsia="仿宋_GB2312" w:cs="仿宋_GB2312" w:hint="eastAsia"/>
          <w:sz w:val="32"/>
          <w:szCs w:val="32"/>
        </w:rPr>
        <w:t>）</w:t>
      </w:r>
      <w:r>
        <w:rPr>
          <w:rFonts w:ascii="仿宋_GB2312" w:eastAsia="仿宋_GB2312" w:cs="仿宋_GB2312" w:hint="eastAsia"/>
          <w:sz w:val="32"/>
          <w:szCs w:val="32"/>
          <w:lang w:val="en-US" w:eastAsia="zh-CN"/>
        </w:rPr>
        <w:t>人大监督</w:t>
      </w:r>
      <w:r>
        <w:rPr>
          <w:rFonts w:ascii="仿宋_GB2312" w:eastAsia="仿宋_GB2312" w:cs="仿宋_GB2312" w:hint="eastAsia"/>
          <w:sz w:val="32"/>
          <w:szCs w:val="32"/>
        </w:rPr>
        <w:t>（</w:t>
      </w:r>
      <w:r>
        <w:rPr>
          <w:rFonts w:ascii="仿宋_GB2312" w:eastAsia="仿宋_GB2312" w:cs="仿宋_GB2312" w:hint="eastAsia"/>
          <w:sz w:val="32"/>
          <w:szCs w:val="32"/>
          <w:lang w:val="en-US" w:eastAsia="zh-CN"/>
        </w:rPr>
        <w:t>项</w:t>
      </w:r>
      <w:r>
        <w:rPr>
          <w:rFonts w:ascii="仿宋_GB2312" w:eastAsia="仿宋_GB2312" w:cs="仿宋_GB2312" w:hint="eastAsia"/>
          <w:sz w:val="32"/>
          <w:szCs w:val="32"/>
        </w:rPr>
        <w:t>）：指各级人大</w:t>
      </w:r>
      <w:r>
        <w:rPr>
          <w:rFonts w:ascii="仿宋_GB2312" w:eastAsia="仿宋_GB2312" w:cs="仿宋_GB2312" w:hint="eastAsia"/>
          <w:sz w:val="32"/>
          <w:szCs w:val="32"/>
          <w:lang w:val="en-US" w:eastAsia="zh-CN"/>
        </w:rPr>
        <w:t>开展监督工作的</w:t>
      </w:r>
      <w:r>
        <w:rPr>
          <w:rFonts w:ascii="仿宋_GB2312" w:eastAsia="仿宋_GB2312" w:cs="仿宋_GB2312" w:hint="eastAsia"/>
          <w:sz w:val="32"/>
          <w:szCs w:val="32"/>
        </w:rPr>
        <w:t>支出。</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6</w:t>
      </w:r>
      <w:r>
        <w:rPr>
          <w:rFonts w:ascii="仿宋_GB2312" w:eastAsia="仿宋_GB2312" w:cs="仿宋_GB2312" w:hint="eastAsia"/>
          <w:sz w:val="32"/>
          <w:szCs w:val="32"/>
        </w:rPr>
        <w:t>.一般公共服务（</w:t>
      </w:r>
      <w:r>
        <w:rPr>
          <w:rFonts w:ascii="仿宋_GB2312" w:eastAsia="仿宋_GB2312" w:cs="仿宋_GB2312" w:hint="eastAsia"/>
          <w:sz w:val="32"/>
          <w:szCs w:val="32"/>
          <w:lang w:val="en-US" w:eastAsia="zh-CN"/>
        </w:rPr>
        <w:t>类</w:t>
      </w:r>
      <w:r>
        <w:rPr>
          <w:rFonts w:ascii="仿宋_GB2312" w:eastAsia="仿宋_GB2312" w:cs="仿宋_GB2312" w:hint="eastAsia"/>
          <w:sz w:val="32"/>
          <w:szCs w:val="32"/>
        </w:rPr>
        <w:t>）人大事务（</w:t>
      </w:r>
      <w:r>
        <w:rPr>
          <w:rFonts w:ascii="仿宋_GB2312" w:eastAsia="仿宋_GB2312" w:cs="仿宋_GB2312" w:hint="eastAsia"/>
          <w:sz w:val="32"/>
          <w:szCs w:val="32"/>
          <w:lang w:val="en-US" w:eastAsia="zh-CN"/>
        </w:rPr>
        <w:t>款</w:t>
      </w:r>
      <w:r>
        <w:rPr>
          <w:rFonts w:ascii="仿宋_GB2312" w:eastAsia="仿宋_GB2312" w:cs="仿宋_GB2312" w:hint="eastAsia"/>
          <w:sz w:val="32"/>
          <w:szCs w:val="32"/>
        </w:rPr>
        <w:t>）人大代表履职能力提升（</w:t>
      </w:r>
      <w:r>
        <w:rPr>
          <w:rFonts w:ascii="仿宋_GB2312" w:eastAsia="仿宋_GB2312" w:cs="仿宋_GB2312" w:hint="eastAsia"/>
          <w:sz w:val="32"/>
          <w:szCs w:val="32"/>
          <w:lang w:val="en-US" w:eastAsia="zh-CN"/>
        </w:rPr>
        <w:t>项</w:t>
      </w:r>
      <w:r>
        <w:rPr>
          <w:rFonts w:ascii="仿宋_GB2312" w:eastAsia="仿宋_GB2312" w:cs="仿宋_GB2312" w:hint="eastAsia"/>
          <w:sz w:val="32"/>
          <w:szCs w:val="32"/>
        </w:rPr>
        <w:t>）：指各级人大为提供代表履职能力所发生的各项支出。</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7</w:t>
      </w:r>
      <w:r>
        <w:rPr>
          <w:rFonts w:ascii="仿宋_GB2312" w:eastAsia="仿宋_GB2312" w:cs="仿宋_GB2312" w:hint="eastAsia"/>
          <w:sz w:val="32"/>
          <w:szCs w:val="32"/>
        </w:rPr>
        <w:t>.一般公共服务（</w:t>
      </w:r>
      <w:r>
        <w:rPr>
          <w:rFonts w:ascii="仿宋_GB2312" w:eastAsia="仿宋_GB2312" w:cs="仿宋_GB2312" w:hint="eastAsia"/>
          <w:sz w:val="32"/>
          <w:szCs w:val="32"/>
          <w:lang w:val="en-US" w:eastAsia="zh-CN"/>
        </w:rPr>
        <w:t>类</w:t>
      </w:r>
      <w:r>
        <w:rPr>
          <w:rFonts w:ascii="仿宋_GB2312" w:eastAsia="仿宋_GB2312" w:cs="仿宋_GB2312" w:hint="eastAsia"/>
          <w:sz w:val="32"/>
          <w:szCs w:val="32"/>
        </w:rPr>
        <w:t>）人大事务（</w:t>
      </w:r>
      <w:r>
        <w:rPr>
          <w:rFonts w:ascii="仿宋_GB2312" w:eastAsia="仿宋_GB2312" w:cs="仿宋_GB2312" w:hint="eastAsia"/>
          <w:sz w:val="32"/>
          <w:szCs w:val="32"/>
          <w:lang w:val="en-US" w:eastAsia="zh-CN"/>
        </w:rPr>
        <w:t>款</w:t>
      </w:r>
      <w:r>
        <w:rPr>
          <w:rFonts w:ascii="仿宋_GB2312" w:eastAsia="仿宋_GB2312" w:cs="仿宋_GB2312" w:hint="eastAsia"/>
          <w:sz w:val="32"/>
          <w:szCs w:val="32"/>
        </w:rPr>
        <w:t>）代表工作（</w:t>
      </w:r>
      <w:r>
        <w:rPr>
          <w:rFonts w:ascii="仿宋_GB2312" w:eastAsia="仿宋_GB2312" w:cs="仿宋_GB2312" w:hint="eastAsia"/>
          <w:sz w:val="32"/>
          <w:szCs w:val="32"/>
          <w:lang w:val="en-US" w:eastAsia="zh-CN"/>
        </w:rPr>
        <w:t>项</w:t>
      </w:r>
      <w:r>
        <w:rPr>
          <w:rFonts w:ascii="仿宋_GB2312" w:eastAsia="仿宋_GB2312" w:cs="仿宋_GB2312" w:hint="eastAsia"/>
          <w:sz w:val="32"/>
          <w:szCs w:val="32"/>
        </w:rPr>
        <w:t>）：指人大代表开展各类视察等方面的支出。</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仿宋_GB2312" w:eastAsia="仿宋_GB2312" w:cs="仿宋_GB2312"/>
          <w:sz w:val="32"/>
          <w:szCs w:val="32"/>
          <w:lang w:val="en-US" w:eastAsia="zh-CN"/>
        </w:rPr>
      </w:pPr>
      <w:r>
        <w:rPr>
          <w:rFonts w:ascii="仿宋_GB2312" w:eastAsia="仿宋_GB2312" w:cs="仿宋_GB2312" w:hint="eastAsia"/>
          <w:sz w:val="32"/>
          <w:szCs w:val="32"/>
          <w:lang w:val="en-US" w:eastAsia="zh-CN"/>
        </w:rPr>
        <w:t>8.</w:t>
      </w:r>
      <w:r>
        <w:rPr>
          <w:rFonts w:ascii="仿宋_GB2312" w:eastAsia="仿宋_GB2312" w:cs="仿宋_GB2312" w:hint="eastAsia"/>
          <w:sz w:val="32"/>
          <w:szCs w:val="32"/>
        </w:rPr>
        <w:t>一般公共服务（</w:t>
      </w:r>
      <w:r>
        <w:rPr>
          <w:rFonts w:ascii="仿宋_GB2312" w:eastAsia="仿宋_GB2312" w:cs="仿宋_GB2312" w:hint="eastAsia"/>
          <w:sz w:val="32"/>
          <w:szCs w:val="32"/>
          <w:lang w:val="en-US" w:eastAsia="zh-CN"/>
        </w:rPr>
        <w:t>类</w:t>
      </w:r>
      <w:r>
        <w:rPr>
          <w:rFonts w:ascii="仿宋_GB2312" w:eastAsia="仿宋_GB2312" w:cs="仿宋_GB2312" w:hint="eastAsia"/>
          <w:sz w:val="32"/>
          <w:szCs w:val="32"/>
        </w:rPr>
        <w:t>）人大事务（</w:t>
      </w:r>
      <w:r>
        <w:rPr>
          <w:rFonts w:ascii="仿宋_GB2312" w:eastAsia="仿宋_GB2312" w:cs="仿宋_GB2312" w:hint="eastAsia"/>
          <w:sz w:val="32"/>
          <w:szCs w:val="32"/>
          <w:lang w:val="en-US" w:eastAsia="zh-CN"/>
        </w:rPr>
        <w:t>款</w:t>
      </w:r>
      <w:r>
        <w:rPr>
          <w:rFonts w:ascii="仿宋_GB2312" w:eastAsia="仿宋_GB2312" w:cs="仿宋_GB2312" w:hint="eastAsia"/>
          <w:sz w:val="32"/>
          <w:szCs w:val="32"/>
        </w:rPr>
        <w:t>）</w:t>
      </w:r>
      <w:r>
        <w:rPr>
          <w:rFonts w:ascii="仿宋_GB2312" w:eastAsia="仿宋_GB2312" w:cs="仿宋_GB2312" w:hint="eastAsia"/>
          <w:sz w:val="32"/>
          <w:szCs w:val="32"/>
          <w:lang w:val="en-US" w:eastAsia="zh-CN"/>
        </w:rPr>
        <w:t>其他人大事务支出</w:t>
      </w:r>
      <w:r>
        <w:rPr>
          <w:rFonts w:ascii="仿宋_GB2312" w:eastAsia="仿宋_GB2312" w:cs="仿宋_GB2312" w:hint="eastAsia"/>
          <w:sz w:val="32"/>
          <w:szCs w:val="32"/>
        </w:rPr>
        <w:t>（</w:t>
      </w:r>
      <w:r>
        <w:rPr>
          <w:rFonts w:ascii="仿宋_GB2312" w:eastAsia="仿宋_GB2312" w:cs="仿宋_GB2312" w:hint="eastAsia"/>
          <w:sz w:val="32"/>
          <w:szCs w:val="32"/>
          <w:lang w:val="en-US" w:eastAsia="zh-CN"/>
        </w:rPr>
        <w:t>项</w:t>
      </w:r>
      <w:r>
        <w:rPr>
          <w:rFonts w:ascii="仿宋_GB2312" w:eastAsia="仿宋_GB2312" w:cs="仿宋_GB2312" w:hint="eastAsia"/>
          <w:sz w:val="32"/>
          <w:szCs w:val="32"/>
        </w:rPr>
        <w:t>）：指</w:t>
      </w:r>
      <w:r>
        <w:rPr>
          <w:rFonts w:ascii="仿宋_GB2312" w:eastAsia="仿宋_GB2312" w:cs="仿宋_GB2312" w:hint="eastAsia"/>
          <w:sz w:val="32"/>
          <w:szCs w:val="32"/>
          <w:lang w:val="en-US" w:eastAsia="zh-CN"/>
        </w:rPr>
        <w:t>上述项目以为的其他人大事务支出。</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9</w:t>
      </w:r>
      <w:r>
        <w:rPr>
          <w:rFonts w:ascii="仿宋_GB2312" w:eastAsia="仿宋_GB2312" w:cs="仿宋_GB2312" w:hint="eastAsia"/>
          <w:sz w:val="32"/>
          <w:szCs w:val="32"/>
        </w:rPr>
        <w:t>.社会保障和就业（</w:t>
      </w:r>
      <w:r>
        <w:rPr>
          <w:rFonts w:ascii="仿宋_GB2312" w:eastAsia="仿宋_GB2312" w:cs="仿宋_GB2312" w:hint="eastAsia"/>
          <w:sz w:val="32"/>
          <w:szCs w:val="32"/>
          <w:lang w:val="en-US" w:eastAsia="zh-CN"/>
        </w:rPr>
        <w:t>类</w:t>
      </w:r>
      <w:r>
        <w:rPr>
          <w:rFonts w:ascii="仿宋_GB2312" w:eastAsia="仿宋_GB2312" w:cs="仿宋_GB2312" w:hint="eastAsia"/>
          <w:sz w:val="32"/>
          <w:szCs w:val="32"/>
        </w:rPr>
        <w:t>）行政事业单位养老支出（</w:t>
      </w:r>
      <w:r>
        <w:rPr>
          <w:rFonts w:ascii="仿宋_GB2312" w:eastAsia="仿宋_GB2312" w:cs="仿宋_GB2312" w:hint="eastAsia"/>
          <w:sz w:val="32"/>
          <w:szCs w:val="32"/>
          <w:lang w:val="en-US" w:eastAsia="zh-CN"/>
        </w:rPr>
        <w:t>款</w:t>
      </w:r>
      <w:r>
        <w:rPr>
          <w:rFonts w:ascii="仿宋_GB2312" w:eastAsia="仿宋_GB2312" w:cs="仿宋_GB2312" w:hint="eastAsia"/>
          <w:sz w:val="32"/>
          <w:szCs w:val="32"/>
        </w:rPr>
        <w:t>）机关事业单位基本养老保险缴费支出（</w:t>
      </w:r>
      <w:r>
        <w:rPr>
          <w:rFonts w:ascii="仿宋_GB2312" w:eastAsia="仿宋_GB2312" w:cs="仿宋_GB2312" w:hint="eastAsia"/>
          <w:sz w:val="32"/>
          <w:szCs w:val="32"/>
          <w:lang w:val="en-US" w:eastAsia="zh-CN"/>
        </w:rPr>
        <w:t>项</w:t>
      </w:r>
      <w:r>
        <w:rPr>
          <w:rFonts w:ascii="仿宋_GB2312" w:eastAsia="仿宋_GB2312" w:cs="仿宋_GB2312" w:hint="eastAsia"/>
          <w:sz w:val="32"/>
          <w:szCs w:val="32"/>
        </w:rPr>
        <w:t>）：指用于机关事业单位基本养老保险缴费支出。</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10</w:t>
      </w:r>
      <w:r>
        <w:rPr>
          <w:rFonts w:ascii="仿宋_GB2312" w:eastAsia="仿宋_GB2312" w:cs="仿宋_GB2312" w:hint="eastAsia"/>
          <w:sz w:val="32"/>
          <w:szCs w:val="32"/>
        </w:rPr>
        <w:t>.社会保障和就业（</w:t>
      </w:r>
      <w:r>
        <w:rPr>
          <w:rFonts w:ascii="仿宋_GB2312" w:eastAsia="仿宋_GB2312" w:cs="仿宋_GB2312" w:hint="eastAsia"/>
          <w:sz w:val="32"/>
          <w:szCs w:val="32"/>
          <w:lang w:val="en-US" w:eastAsia="zh-CN"/>
        </w:rPr>
        <w:t>类</w:t>
      </w:r>
      <w:r>
        <w:rPr>
          <w:rFonts w:ascii="仿宋_GB2312" w:eastAsia="仿宋_GB2312" w:cs="仿宋_GB2312" w:hint="eastAsia"/>
          <w:sz w:val="32"/>
          <w:szCs w:val="32"/>
        </w:rPr>
        <w:t>）行政事业单位养老支出（</w:t>
      </w:r>
      <w:r>
        <w:rPr>
          <w:rFonts w:ascii="仿宋_GB2312" w:eastAsia="仿宋_GB2312" w:cs="仿宋_GB2312" w:hint="eastAsia"/>
          <w:sz w:val="32"/>
          <w:szCs w:val="32"/>
          <w:lang w:val="en-US" w:eastAsia="zh-CN"/>
        </w:rPr>
        <w:t>款</w:t>
      </w:r>
      <w:r>
        <w:rPr>
          <w:rFonts w:ascii="仿宋_GB2312" w:eastAsia="仿宋_GB2312" w:cs="仿宋_GB2312" w:hint="eastAsia"/>
          <w:sz w:val="32"/>
          <w:szCs w:val="32"/>
        </w:rPr>
        <w:t>）机关事业单位职业年金缴费支出（</w:t>
      </w:r>
      <w:r>
        <w:rPr>
          <w:rFonts w:ascii="仿宋_GB2312" w:eastAsia="仿宋_GB2312" w:cs="仿宋_GB2312" w:hint="eastAsia"/>
          <w:sz w:val="32"/>
          <w:szCs w:val="32"/>
          <w:lang w:val="en-US" w:eastAsia="zh-CN"/>
        </w:rPr>
        <w:t>项</w:t>
      </w:r>
      <w:r>
        <w:rPr>
          <w:rFonts w:ascii="仿宋_GB2312" w:eastAsia="仿宋_GB2312" w:cs="仿宋_GB2312" w:hint="eastAsia"/>
          <w:sz w:val="32"/>
          <w:szCs w:val="32"/>
        </w:rPr>
        <w:t>）：指机关事业单位职业年金缴费支出。</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11.</w:t>
      </w:r>
      <w:r>
        <w:rPr>
          <w:rFonts w:ascii="仿宋_GB2312" w:eastAsia="仿宋_GB2312" w:cs="仿宋_GB2312" w:hint="eastAsia"/>
          <w:sz w:val="32"/>
          <w:szCs w:val="32"/>
        </w:rPr>
        <w:t>卫生健康（</w:t>
      </w:r>
      <w:r>
        <w:rPr>
          <w:rFonts w:ascii="仿宋_GB2312" w:eastAsia="仿宋_GB2312" w:cs="仿宋_GB2312" w:hint="eastAsia"/>
          <w:sz w:val="32"/>
          <w:szCs w:val="32"/>
          <w:lang w:val="en-US" w:eastAsia="zh-CN"/>
        </w:rPr>
        <w:t>类</w:t>
      </w:r>
      <w:r>
        <w:rPr>
          <w:rFonts w:ascii="仿宋_GB2312" w:eastAsia="仿宋_GB2312" w:cs="仿宋_GB2312" w:hint="eastAsia"/>
          <w:sz w:val="32"/>
          <w:szCs w:val="32"/>
        </w:rPr>
        <w:t>）行政事业单位医疗（</w:t>
      </w:r>
      <w:r>
        <w:rPr>
          <w:rFonts w:ascii="仿宋_GB2312" w:eastAsia="仿宋_GB2312" w:cs="仿宋_GB2312" w:hint="eastAsia"/>
          <w:sz w:val="32"/>
          <w:szCs w:val="32"/>
          <w:lang w:val="en-US" w:eastAsia="zh-CN"/>
        </w:rPr>
        <w:t>款</w:t>
      </w:r>
      <w:r>
        <w:rPr>
          <w:rFonts w:ascii="仿宋_GB2312" w:eastAsia="仿宋_GB2312" w:cs="仿宋_GB2312" w:hint="eastAsia"/>
          <w:sz w:val="32"/>
          <w:szCs w:val="32"/>
        </w:rPr>
        <w:t>）行政单位医疗（</w:t>
      </w:r>
      <w:r>
        <w:rPr>
          <w:rFonts w:ascii="仿宋_GB2312" w:eastAsia="仿宋_GB2312" w:cs="仿宋_GB2312" w:hint="eastAsia"/>
          <w:sz w:val="32"/>
          <w:szCs w:val="32"/>
          <w:lang w:val="en-US" w:eastAsia="zh-CN"/>
        </w:rPr>
        <w:t>项</w:t>
      </w:r>
      <w:r>
        <w:rPr>
          <w:rFonts w:ascii="仿宋_GB2312" w:eastAsia="仿宋_GB2312" w:cs="仿宋_GB2312" w:hint="eastAsia"/>
          <w:sz w:val="32"/>
          <w:szCs w:val="32"/>
        </w:rPr>
        <w:t>）: 指财政部门集中安排的行政单位基本医疗保险缴费。</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12.</w:t>
      </w:r>
      <w:r>
        <w:rPr>
          <w:rFonts w:ascii="仿宋_GB2312" w:eastAsia="仿宋_GB2312" w:cs="仿宋_GB2312" w:hint="eastAsia"/>
          <w:sz w:val="32"/>
          <w:szCs w:val="32"/>
        </w:rPr>
        <w:t>卫生健康（</w:t>
      </w:r>
      <w:r>
        <w:rPr>
          <w:rFonts w:ascii="仿宋_GB2312" w:eastAsia="仿宋_GB2312" w:cs="仿宋_GB2312" w:hint="eastAsia"/>
          <w:sz w:val="32"/>
          <w:szCs w:val="32"/>
          <w:lang w:val="en-US" w:eastAsia="zh-CN"/>
        </w:rPr>
        <w:t>类</w:t>
      </w:r>
      <w:r>
        <w:rPr>
          <w:rFonts w:ascii="仿宋_GB2312" w:eastAsia="仿宋_GB2312" w:cs="仿宋_GB2312" w:hint="eastAsia"/>
          <w:sz w:val="32"/>
          <w:szCs w:val="32"/>
        </w:rPr>
        <w:t>）行政事业单位医疗（</w:t>
      </w:r>
      <w:r>
        <w:rPr>
          <w:rFonts w:ascii="仿宋_GB2312" w:eastAsia="仿宋_GB2312" w:cs="仿宋_GB2312" w:hint="eastAsia"/>
          <w:sz w:val="32"/>
          <w:szCs w:val="32"/>
          <w:lang w:val="en-US" w:eastAsia="zh-CN"/>
        </w:rPr>
        <w:t>款</w:t>
      </w:r>
      <w:r>
        <w:rPr>
          <w:rFonts w:ascii="仿宋_GB2312" w:eastAsia="仿宋_GB2312" w:cs="仿宋_GB2312" w:hint="eastAsia"/>
          <w:sz w:val="32"/>
          <w:szCs w:val="32"/>
        </w:rPr>
        <w:t>）公务员医疗补助（</w:t>
      </w:r>
      <w:r>
        <w:rPr>
          <w:rFonts w:ascii="仿宋_GB2312" w:eastAsia="仿宋_GB2312" w:cs="仿宋_GB2312" w:hint="eastAsia"/>
          <w:sz w:val="32"/>
          <w:szCs w:val="32"/>
          <w:lang w:val="en-US" w:eastAsia="zh-CN"/>
        </w:rPr>
        <w:t>项</w:t>
      </w:r>
      <w:r>
        <w:rPr>
          <w:rFonts w:ascii="仿宋_GB2312" w:eastAsia="仿宋_GB2312" w:cs="仿宋_GB2312" w:hint="eastAsia"/>
          <w:sz w:val="32"/>
          <w:szCs w:val="32"/>
        </w:rPr>
        <w:t>）：指财政部门集中安排的公务员医疗补助经费。</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13.</w:t>
      </w:r>
      <w:r>
        <w:rPr>
          <w:rFonts w:ascii="仿宋_GB2312" w:eastAsia="仿宋_GB2312" w:cs="仿宋_GB2312" w:hint="eastAsia"/>
          <w:sz w:val="32"/>
          <w:szCs w:val="32"/>
        </w:rPr>
        <w:t>住房保障支出（</w:t>
      </w:r>
      <w:r>
        <w:rPr>
          <w:rFonts w:ascii="仿宋_GB2312" w:eastAsia="仿宋_GB2312" w:cs="仿宋_GB2312" w:hint="eastAsia"/>
          <w:sz w:val="32"/>
          <w:szCs w:val="32"/>
          <w:lang w:val="en-US" w:eastAsia="zh-CN"/>
        </w:rPr>
        <w:t>类</w:t>
      </w:r>
      <w:r>
        <w:rPr>
          <w:rFonts w:ascii="仿宋_GB2312" w:eastAsia="仿宋_GB2312" w:cs="仿宋_GB2312" w:hint="eastAsia"/>
          <w:sz w:val="32"/>
          <w:szCs w:val="32"/>
        </w:rPr>
        <w:t>）住房改革支出（</w:t>
      </w:r>
      <w:r>
        <w:rPr>
          <w:rFonts w:ascii="仿宋_GB2312" w:eastAsia="仿宋_GB2312" w:cs="仿宋_GB2312" w:hint="eastAsia"/>
          <w:sz w:val="32"/>
          <w:szCs w:val="32"/>
          <w:lang w:val="en-US" w:eastAsia="zh-CN"/>
        </w:rPr>
        <w:t>款</w:t>
      </w:r>
      <w:r>
        <w:rPr>
          <w:rFonts w:ascii="仿宋_GB2312" w:eastAsia="仿宋_GB2312" w:cs="仿宋_GB2312" w:hint="eastAsia"/>
          <w:sz w:val="32"/>
          <w:szCs w:val="32"/>
        </w:rPr>
        <w:t>）住房公积金（</w:t>
      </w:r>
      <w:r>
        <w:rPr>
          <w:rFonts w:ascii="仿宋_GB2312" w:eastAsia="仿宋_GB2312" w:cs="仿宋_GB2312" w:hint="eastAsia"/>
          <w:sz w:val="32"/>
          <w:szCs w:val="32"/>
          <w:lang w:val="en-US" w:eastAsia="zh-CN"/>
        </w:rPr>
        <w:t>项</w:t>
      </w:r>
      <w:r>
        <w:rPr>
          <w:rFonts w:ascii="仿宋_GB2312" w:eastAsia="仿宋_GB2312" w:cs="仿宋_GB2312" w:hint="eastAsia"/>
          <w:sz w:val="32"/>
          <w:szCs w:val="32"/>
        </w:rPr>
        <w:t>）：指用于按政策规定为职工缴纳的住房公积金支出。</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14</w:t>
      </w:r>
      <w:r>
        <w:rPr>
          <w:rFonts w:ascii="仿宋_GB2312" w:eastAsia="仿宋_GB2312" w:cs="仿宋_GB2312" w:hint="eastAsia"/>
          <w:sz w:val="32"/>
          <w:szCs w:val="32"/>
        </w:rPr>
        <w:t>.基本支出：指为保障机构正常运转、完成日常工作任务而发生的人员支出和公用支出。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15</w:t>
      </w:r>
      <w:r>
        <w:rPr>
          <w:rFonts w:ascii="仿宋_GB2312" w:eastAsia="仿宋_GB2312" w:cs="仿宋_GB2312" w:hint="eastAsia"/>
          <w:sz w:val="32"/>
          <w:szCs w:val="32"/>
        </w:rPr>
        <w:t xml:space="preserve">.项目支出：指在基本支出之外为完成特定行政任务和事业发展目标所发生的支出。 </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16</w:t>
      </w:r>
      <w:r>
        <w:rPr>
          <w:rFonts w:ascii="仿宋_GB2312" w:eastAsia="仿宋_GB2312" w:cs="仿宋_GB2312" w:hint="eastAsia"/>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rPr>
      </w:pPr>
      <w:r>
        <w:rPr>
          <w:rFonts w:ascii="仿宋_GB2312" w:eastAsia="仿宋_GB2312" w:cs="仿宋_GB2312" w:hint="eastAsia"/>
          <w:sz w:val="32"/>
          <w:szCs w:val="32"/>
          <w:lang w:val="en-US" w:eastAsia="zh-CN"/>
        </w:rPr>
        <w:t>17</w:t>
      </w:r>
      <w:r>
        <w:rPr>
          <w:rFonts w:ascii="仿宋_GB2312" w:eastAsia="仿宋_GB2312" w:cs="仿宋_GB2312" w:hint="eastAsia"/>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rPr>
      </w:pPr>
    </w:p>
    <w:p>
      <w:pPr>
        <w:pStyle w:val="15"/>
        <w:rPr>
          <w:rFonts w:ascii="仿宋_GB2312" w:eastAsia="仿宋_GB2312" w:cs="仿宋_GB2312" w:hint="eastAsia"/>
          <w:sz w:val="32"/>
          <w:szCs w:val="32"/>
        </w:rPr>
      </w:pPr>
    </w:p>
    <w:p>
      <w:pPr>
        <w:pStyle w:val="15"/>
        <w:rPr>
          <w:rFonts w:ascii="仿宋_GB2312" w:eastAsia="仿宋_GB2312" w:cs="仿宋_GB2312" w:hint="eastAsia"/>
          <w:sz w:val="32"/>
          <w:szCs w:val="32"/>
        </w:rPr>
      </w:pPr>
    </w:p>
    <w:p>
      <w:pPr>
        <w:pStyle w:val="15"/>
        <w:rPr>
          <w:rFonts w:ascii="仿宋_GB2312" w:eastAsia="仿宋_GB2312" w:cs="仿宋_GB2312" w:hint="eastAsia"/>
          <w:sz w:val="32"/>
          <w:szCs w:val="32"/>
        </w:rPr>
      </w:pPr>
    </w:p>
    <w:p>
      <w:pPr>
        <w:pStyle w:val="15"/>
        <w:rPr>
          <w:rFonts w:ascii="仿宋_GB2312" w:eastAsia="仿宋_GB2312" w:cs="仿宋_GB2312" w:hint="eastAsia"/>
          <w:sz w:val="32"/>
          <w:szCs w:val="32"/>
        </w:rPr>
      </w:pPr>
    </w:p>
    <w:p>
      <w:pPr>
        <w:pStyle w:val="15"/>
        <w:rPr>
          <w:rFonts w:ascii="仿宋_GB2312" w:eastAsia="仿宋_GB2312" w:cs="仿宋_GB2312" w:hint="eastAsia"/>
          <w:sz w:val="32"/>
          <w:szCs w:val="32"/>
        </w:rPr>
      </w:pPr>
    </w:p>
    <w:p>
      <w:pPr>
        <w:pStyle w:val="15"/>
        <w:rPr>
          <w:rFonts w:ascii="仿宋_GB2312" w:eastAsia="仿宋_GB2312" w:cs="仿宋_GB2312" w:hint="eastAsia"/>
          <w:sz w:val="32"/>
          <w:szCs w:val="32"/>
        </w:rPr>
      </w:pPr>
    </w:p>
    <w:p>
      <w:pPr>
        <w:pStyle w:val="15"/>
        <w:rPr>
          <w:rFonts w:ascii="仿宋_GB2312" w:eastAsia="仿宋_GB2312" w:cs="仿宋_GB2312" w:hint="eastAsia"/>
          <w:sz w:val="32"/>
          <w:szCs w:val="32"/>
        </w:rPr>
      </w:pPr>
    </w:p>
    <w:p>
      <w:pPr>
        <w:pStyle w:val="15"/>
        <w:rPr>
          <w:rFonts w:ascii="仿宋_GB2312" w:eastAsia="仿宋_GB2312" w:cs="仿宋_GB2312" w:hint="eastAsia"/>
          <w:sz w:val="32"/>
          <w:szCs w:val="32"/>
        </w:rPr>
      </w:pPr>
    </w:p>
    <w:p>
      <w:pPr>
        <w:pStyle w:val="15"/>
        <w:rPr>
          <w:rFonts w:ascii="仿宋_GB2312" w:eastAsia="仿宋_GB2312" w:cs="仿宋_GB2312" w:hint="eastAsia"/>
          <w:sz w:val="32"/>
          <w:szCs w:val="32"/>
        </w:rPr>
      </w:pP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rPr>
      </w:pP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rPr>
      </w:pPr>
    </w:p>
    <w:p>
      <w:pPr>
        <w:keepNext w:val="0"/>
        <w:keepLines w:val="0"/>
        <w:pageBreakBefore w:val="0"/>
        <w:widowControl w:val="0"/>
        <w:kinsoku/>
        <w:wordWrap/>
        <w:overflowPunct/>
        <w:topLinePunct w:val="0"/>
        <w:autoSpaceDE/>
        <w:autoSpaceDN/>
        <w:bidi w:val="0"/>
        <w:adjustRightInd/>
        <w:snapToGrid/>
        <w:ind w:firstLineChars="200" w:firstLine="640"/>
        <w:jc w:val="both"/>
        <w:textAlignment w:val="auto"/>
        <w:rPr>
          <w:rFonts w:ascii="仿宋_GB2312" w:eastAsia="仿宋_GB2312" w:cs="仿宋_GB2312" w:hint="eastAsia"/>
          <w:sz w:val="32"/>
          <w:szCs w:val="32"/>
        </w:rPr>
      </w:pPr>
    </w:p>
    <w:p>
      <w:pPr>
        <w:keepNext w:val="0"/>
        <w:keepLines w:val="0"/>
        <w:pageBreakBefore w:val="0"/>
        <w:widowControl w:val="0"/>
        <w:numPr>
          <w:ilvl w:val="0"/>
          <w:numId w:val="3"/>
        </w:numPr>
        <w:kinsoku/>
        <w:wordWrap/>
        <w:overflowPunct/>
        <w:topLinePunct w:val="0"/>
        <w:autoSpaceDE/>
        <w:autoSpaceDN/>
        <w:bidi w:val="0"/>
        <w:adjustRightInd/>
        <w:jc w:val="center"/>
        <w:textAlignment w:val="auto"/>
        <w:rPr>
          <w:rStyle w:val="23"/>
          <w:rFonts w:ascii="方正小标宋简体" w:eastAsia="方正小标宋简体" w:hint="eastAsia"/>
          <w:b w:val="0"/>
          <w:sz w:val="44"/>
          <w:szCs w:val="44"/>
        </w:rPr>
      </w:pPr>
      <w:r>
        <w:rPr>
          <w:rStyle w:val="23"/>
          <w:rFonts w:ascii="方正小标宋简体" w:eastAsia="方正小标宋简体" w:hint="eastAsia"/>
          <w:b w:val="0"/>
          <w:sz w:val="44"/>
          <w:szCs w:val="44"/>
        </w:rPr>
        <w:t>附件</w:t>
      </w:r>
    </w:p>
    <w:tbl>
      <w:tblPr>
        <w:jc w:val="left"/>
        <w:tblInd w:w="0" w:type="dxa"/>
        <w:tblBorders>
          <w:top w:val="none" w:sz="0" w:space="0" w:color="auto"/>
          <w:left w:val="none" w:sz="0" w:space="0" w:color="auto"/>
          <w:bottom w:val="none" w:sz="0" w:space="0" w:color="auto"/>
          <w:right w:val="none" w:sz="0" w:space="0" w:color="auto"/>
        </w:tblBorders>
        <w:shd w:val="clear" w:color="auto" w:fill="auto"/>
        <w:tblLayout w:type="fixed"/>
        <w:tblCellMar>
          <w:top w:w="0" w:type="dxa"/>
          <w:left w:w="108" w:type="dxa"/>
          <w:bottom w:w="0" w:type="dxa"/>
          <w:right w:w="108" w:type="dxa"/>
        </w:tblCellMar>
      </w:tblPr>
      <w:tblGrid>
        <w:gridCol w:w="748"/>
        <w:gridCol w:w="1160"/>
        <w:gridCol w:w="1237"/>
        <w:gridCol w:w="1318"/>
        <w:gridCol w:w="424"/>
        <w:gridCol w:w="517"/>
        <w:gridCol w:w="475"/>
        <w:gridCol w:w="738"/>
        <w:gridCol w:w="492"/>
        <w:gridCol w:w="454"/>
        <w:gridCol w:w="1497"/>
      </w:tblGrid>
      <w:tr>
        <w:trPr>
          <w:cantSplit/>
          <w:trHeight w:hRule="exact" w:val="560"/>
        </w:trPr>
        <w:tc>
          <w:tcPr>
            <w:tcW w:w="9060" w:type="dxa"/>
            <w:gridSpan w:val="11"/>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黑体" w:eastAsia="黑体" w:cs="黑体"/>
                <w:b/>
                <w:bCs/>
                <w:i w:val="0"/>
                <w:iCs w:val="0"/>
                <w:color w:val="000000"/>
                <w:w w:val="80"/>
                <w:sz w:val="30"/>
                <w:szCs w:val="30"/>
                <w:u w:val="none"/>
              </w:rPr>
            </w:pPr>
            <w:r>
              <w:rPr>
                <w:rFonts w:ascii="黑体" w:eastAsia="黑体" w:cs="黑体" w:hint="eastAsia"/>
                <w:b/>
                <w:bCs/>
                <w:i w:val="0"/>
                <w:iCs w:val="0"/>
                <w:color w:val="000000"/>
                <w:kern w:val="0"/>
                <w:sz w:val="30"/>
                <w:szCs w:val="30"/>
                <w:u w:val="none"/>
                <w:lang w:val="en-US" w:eastAsia="zh-CN"/>
              </w:rPr>
              <w:t>部门预算项目支出绩效自评表（2025年度）</w:t>
            </w:r>
          </w:p>
        </w:tc>
      </w:tr>
      <w:tr>
        <w:trPr>
          <w:cantSplit/>
          <w:trHeight w:hRule="exact" w:val="328"/>
        </w:trPr>
        <w:tc>
          <w:tcPr>
            <w:tcW w:w="1908"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项目名称</w:t>
            </w:r>
          </w:p>
        </w:tc>
        <w:tc>
          <w:tcPr>
            <w:tcW w:w="7152" w:type="dxa"/>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51322121T000000156443-人大监督工作经费</w:t>
            </w:r>
          </w:p>
        </w:tc>
      </w:tr>
      <w:tr>
        <w:trPr>
          <w:cantSplit/>
          <w:trHeight w:hRule="exact" w:val="354"/>
        </w:trPr>
        <w:tc>
          <w:tcPr>
            <w:tcW w:w="1908"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主管部门</w:t>
            </w:r>
          </w:p>
        </w:tc>
        <w:tc>
          <w:tcPr>
            <w:tcW w:w="3971"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汶川县人民代表大会常务委员会办公室本级</w:t>
            </w:r>
          </w:p>
        </w:tc>
        <w:tc>
          <w:tcPr>
            <w:tcW w:w="7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实施单位 （盖章）</w:t>
            </w:r>
          </w:p>
        </w:tc>
        <w:tc>
          <w:tcPr>
            <w:tcW w:w="2443"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汶川县人民代表大会常务委员会办公室</w:t>
            </w:r>
          </w:p>
        </w:tc>
      </w:tr>
      <w:tr>
        <w:trPr>
          <w:cantSplit/>
          <w:trHeight w:hRule="exact" w:val="283"/>
        </w:trPr>
        <w:tc>
          <w:tcPr>
            <w:tcW w:w="74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项目基本情况</w:t>
            </w: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1.项目年度目标完成情况</w:t>
            </w:r>
          </w:p>
        </w:tc>
        <w:tc>
          <w:tcPr>
            <w:tcW w:w="3971"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项目年度目标</w:t>
            </w:r>
          </w:p>
        </w:tc>
        <w:tc>
          <w:tcPr>
            <w:tcW w:w="3181"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年度目标完成情况</w:t>
            </w:r>
          </w:p>
        </w:tc>
      </w:tr>
      <w:tr>
        <w:trPr>
          <w:cantSplit/>
          <w:trHeight w:hRule="exact" w:val="2084"/>
        </w:trPr>
        <w:tc>
          <w:tcPr>
            <w:tcW w:w="74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971"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保障常委会和委员会日常监督工作顺利开展。紧紧围绕县委工作重点，发挥各委员会及代表的桥梁纽带作用，集中反映民意，促进依法履职监督。服务保障正确监督、有效监督、依法监督工作开展。</w:t>
            </w:r>
          </w:p>
        </w:tc>
        <w:tc>
          <w:tcPr>
            <w:tcW w:w="3181"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圆满完成了县十五届人大四次会议确定的各项目标任务。</w:t>
            </w:r>
            <w:r>
              <w:rPr>
                <w:rFonts w:ascii="宋体" w:cs="宋体" w:hint="eastAsia"/>
                <w:i w:val="0"/>
                <w:iCs w:val="0"/>
                <w:color w:val="000000"/>
                <w:w w:val="80"/>
                <w:kern w:val="0"/>
                <w:sz w:val="13"/>
                <w:szCs w:val="13"/>
                <w:u w:val="none"/>
                <w:lang w:val="en-US" w:eastAsia="zh-CN"/>
              </w:rPr>
              <w:t>及时</w:t>
            </w:r>
            <w:r>
              <w:rPr>
                <w:rFonts w:ascii="宋体" w:eastAsia="宋体" w:cs="宋体" w:hint="eastAsia"/>
                <w:i w:val="0"/>
                <w:iCs w:val="0"/>
                <w:color w:val="000000"/>
                <w:w w:val="80"/>
                <w:kern w:val="0"/>
                <w:sz w:val="13"/>
                <w:szCs w:val="13"/>
                <w:u w:val="none"/>
                <w:lang w:val="en-US" w:eastAsia="zh-CN"/>
              </w:rPr>
              <w:t>完成规范性文件备案审查；审议乡镇人民政府职责事项清单，推动基层治理权责清晰；全过程开展民生实事人大代表票决项目监督工作，8个县级项目、23个镇级项目全面完成，依法任免国家机关工作人员。强化任后履职监督，认真组织开展国家机关工作人员履职评议47人次，提出评议意见68条。</w:t>
            </w:r>
          </w:p>
        </w:tc>
      </w:tr>
      <w:tr>
        <w:trPr>
          <w:cantSplit/>
          <w:trHeight w:hRule="exact" w:val="1045"/>
        </w:trPr>
        <w:tc>
          <w:tcPr>
            <w:tcW w:w="74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1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2.项目实施内容及过程概述</w:t>
            </w:r>
          </w:p>
        </w:tc>
        <w:tc>
          <w:tcPr>
            <w:tcW w:w="7152" w:type="dxa"/>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充分发挥人大监督职能，紧扣中心大局、紧贴民生福祉，行使正确监督、有效监督、依法监督，切实将“制度优势”转化为“治理效能”。</w:t>
            </w:r>
          </w:p>
        </w:tc>
      </w:tr>
      <w:tr>
        <w:trPr>
          <w:cantSplit/>
          <w:trHeight w:hRule="exact" w:val="345"/>
        </w:trPr>
        <w:tc>
          <w:tcPr>
            <w:tcW w:w="74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预算执行情况（10分）</w:t>
            </w:r>
          </w:p>
        </w:tc>
        <w:tc>
          <w:tcPr>
            <w:tcW w:w="11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年度预算数（万元）</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年初预算</w:t>
            </w:r>
          </w:p>
        </w:tc>
        <w:tc>
          <w:tcPr>
            <w:tcW w:w="13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调整后预算数</w:t>
            </w:r>
          </w:p>
        </w:tc>
        <w:tc>
          <w:tcPr>
            <w:tcW w:w="1416"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预算执行数</w:t>
            </w:r>
          </w:p>
        </w:tc>
        <w:tc>
          <w:tcPr>
            <w:tcW w:w="7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预算执行率</w:t>
            </w:r>
          </w:p>
        </w:tc>
        <w:tc>
          <w:tcPr>
            <w:tcW w:w="4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权重</w:t>
            </w:r>
          </w:p>
        </w:tc>
        <w:tc>
          <w:tcPr>
            <w:tcW w:w="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得分</w:t>
            </w:r>
          </w:p>
        </w:tc>
        <w:tc>
          <w:tcPr>
            <w:tcW w:w="14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原因</w:t>
            </w:r>
          </w:p>
        </w:tc>
      </w:tr>
      <w:tr>
        <w:trPr>
          <w:cantSplit/>
          <w:trHeight w:hRule="exact" w:val="287"/>
        </w:trPr>
        <w:tc>
          <w:tcPr>
            <w:tcW w:w="74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1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总额</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25.00</w:t>
            </w:r>
          </w:p>
        </w:tc>
        <w:tc>
          <w:tcPr>
            <w:tcW w:w="13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5.22</w:t>
            </w:r>
          </w:p>
        </w:tc>
        <w:tc>
          <w:tcPr>
            <w:tcW w:w="1416"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5.22</w:t>
            </w:r>
          </w:p>
        </w:tc>
        <w:tc>
          <w:tcPr>
            <w:tcW w:w="7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100.00%</w:t>
            </w:r>
          </w:p>
        </w:tc>
        <w:tc>
          <w:tcPr>
            <w:tcW w:w="4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10</w:t>
            </w:r>
          </w:p>
        </w:tc>
        <w:tc>
          <w:tcPr>
            <w:tcW w:w="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10</w:t>
            </w:r>
          </w:p>
        </w:tc>
        <w:tc>
          <w:tcPr>
            <w:tcW w:w="149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1.预算执行率大100%;2.年末根据工作开展的实际</w:t>
            </w:r>
            <w:r>
              <w:rPr>
                <w:rFonts w:ascii="宋体" w:cs="宋体" w:hint="eastAsia"/>
                <w:i w:val="0"/>
                <w:iCs w:val="0"/>
                <w:color w:val="000000"/>
                <w:w w:val="80"/>
                <w:kern w:val="0"/>
                <w:sz w:val="13"/>
                <w:szCs w:val="13"/>
                <w:u w:val="none"/>
                <w:lang w:val="en-US" w:eastAsia="zh-CN"/>
              </w:rPr>
              <w:t>情况</w:t>
            </w:r>
            <w:r>
              <w:rPr>
                <w:rFonts w:ascii="宋体" w:eastAsia="宋体" w:cs="宋体" w:hint="eastAsia"/>
                <w:i w:val="0"/>
                <w:iCs w:val="0"/>
                <w:color w:val="000000"/>
                <w:w w:val="80"/>
                <w:kern w:val="0"/>
                <w:sz w:val="13"/>
                <w:szCs w:val="13"/>
                <w:u w:val="none"/>
                <w:lang w:val="en-US" w:eastAsia="zh-CN"/>
              </w:rPr>
              <w:t>，调减了年初预算,</w:t>
            </w:r>
          </w:p>
        </w:tc>
      </w:tr>
      <w:tr>
        <w:trPr>
          <w:cantSplit/>
          <w:trHeight w:hRule="exact" w:val="361"/>
        </w:trPr>
        <w:tc>
          <w:tcPr>
            <w:tcW w:w="74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1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其中：财政资金</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25.00</w:t>
            </w:r>
          </w:p>
        </w:tc>
        <w:tc>
          <w:tcPr>
            <w:tcW w:w="13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5.22</w:t>
            </w:r>
          </w:p>
        </w:tc>
        <w:tc>
          <w:tcPr>
            <w:tcW w:w="1416"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5.22</w:t>
            </w:r>
          </w:p>
        </w:tc>
        <w:tc>
          <w:tcPr>
            <w:tcW w:w="7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100.00%</w:t>
            </w:r>
          </w:p>
        </w:tc>
        <w:tc>
          <w:tcPr>
            <w:tcW w:w="4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w:t>
            </w:r>
          </w:p>
        </w:tc>
        <w:tc>
          <w:tcPr>
            <w:tcW w:w="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w:t>
            </w:r>
          </w:p>
        </w:tc>
        <w:tc>
          <w:tcPr>
            <w:tcW w:w="149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cantSplit/>
          <w:trHeight w:hRule="exact" w:val="296"/>
        </w:trPr>
        <w:tc>
          <w:tcPr>
            <w:tcW w:w="74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1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财政专户管理资金</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0.00</w:t>
            </w:r>
          </w:p>
        </w:tc>
        <w:tc>
          <w:tcPr>
            <w:tcW w:w="13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0.00</w:t>
            </w:r>
          </w:p>
        </w:tc>
        <w:tc>
          <w:tcPr>
            <w:tcW w:w="1416"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0.00</w:t>
            </w:r>
          </w:p>
        </w:tc>
        <w:tc>
          <w:tcPr>
            <w:tcW w:w="7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0.00%</w:t>
            </w:r>
          </w:p>
        </w:tc>
        <w:tc>
          <w:tcPr>
            <w:tcW w:w="4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w:t>
            </w:r>
          </w:p>
        </w:tc>
        <w:tc>
          <w:tcPr>
            <w:tcW w:w="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w:t>
            </w:r>
          </w:p>
        </w:tc>
        <w:tc>
          <w:tcPr>
            <w:tcW w:w="149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cantSplit/>
          <w:trHeight w:hRule="exact" w:val="288"/>
        </w:trPr>
        <w:tc>
          <w:tcPr>
            <w:tcW w:w="74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1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单位资金</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0.00</w:t>
            </w:r>
          </w:p>
        </w:tc>
        <w:tc>
          <w:tcPr>
            <w:tcW w:w="13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0.00</w:t>
            </w:r>
          </w:p>
        </w:tc>
        <w:tc>
          <w:tcPr>
            <w:tcW w:w="1416"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0.00</w:t>
            </w:r>
          </w:p>
        </w:tc>
        <w:tc>
          <w:tcPr>
            <w:tcW w:w="7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0.00%</w:t>
            </w:r>
          </w:p>
        </w:tc>
        <w:tc>
          <w:tcPr>
            <w:tcW w:w="4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w:t>
            </w:r>
          </w:p>
        </w:tc>
        <w:tc>
          <w:tcPr>
            <w:tcW w:w="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w:t>
            </w:r>
          </w:p>
        </w:tc>
        <w:tc>
          <w:tcPr>
            <w:tcW w:w="149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cantSplit/>
          <w:trHeight w:hRule="exact" w:val="287"/>
        </w:trPr>
        <w:tc>
          <w:tcPr>
            <w:tcW w:w="74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1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其他资金</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p>
        </w:tc>
        <w:tc>
          <w:tcPr>
            <w:tcW w:w="13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p>
        </w:tc>
        <w:tc>
          <w:tcPr>
            <w:tcW w:w="1416"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p>
        </w:tc>
        <w:tc>
          <w:tcPr>
            <w:tcW w:w="7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p>
        </w:tc>
        <w:tc>
          <w:tcPr>
            <w:tcW w:w="4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w:t>
            </w:r>
          </w:p>
        </w:tc>
        <w:tc>
          <w:tcPr>
            <w:tcW w:w="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w:t>
            </w:r>
          </w:p>
        </w:tc>
        <w:tc>
          <w:tcPr>
            <w:tcW w:w="149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cantSplit/>
          <w:trHeight w:hRule="exact" w:val="378"/>
        </w:trPr>
        <w:tc>
          <w:tcPr>
            <w:tcW w:w="74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绩效指标（90分）</w:t>
            </w:r>
          </w:p>
        </w:tc>
        <w:tc>
          <w:tcPr>
            <w:tcW w:w="11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一级指标</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二级指标</w:t>
            </w:r>
          </w:p>
        </w:tc>
        <w:tc>
          <w:tcPr>
            <w:tcW w:w="13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三级指标</w:t>
            </w:r>
          </w:p>
        </w:tc>
        <w:tc>
          <w:tcPr>
            <w:tcW w:w="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指标性质</w:t>
            </w:r>
          </w:p>
        </w:tc>
        <w:tc>
          <w:tcPr>
            <w:tcW w:w="5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指标值</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度量单位</w:t>
            </w:r>
          </w:p>
        </w:tc>
        <w:tc>
          <w:tcPr>
            <w:tcW w:w="7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完成值</w:t>
            </w:r>
          </w:p>
        </w:tc>
        <w:tc>
          <w:tcPr>
            <w:tcW w:w="4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权重</w:t>
            </w:r>
          </w:p>
        </w:tc>
        <w:tc>
          <w:tcPr>
            <w:tcW w:w="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得分</w:t>
            </w:r>
          </w:p>
        </w:tc>
        <w:tc>
          <w:tcPr>
            <w:tcW w:w="14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未完成原因分析</w:t>
            </w:r>
          </w:p>
        </w:tc>
      </w:tr>
      <w:tr>
        <w:trPr>
          <w:cantSplit/>
          <w:trHeight w:hRule="exact" w:val="283"/>
        </w:trPr>
        <w:tc>
          <w:tcPr>
            <w:tcW w:w="74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16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产出指标</w:t>
            </w:r>
          </w:p>
        </w:tc>
        <w:tc>
          <w:tcPr>
            <w:tcW w:w="123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数量指标</w:t>
            </w:r>
          </w:p>
        </w:tc>
        <w:tc>
          <w:tcPr>
            <w:tcW w:w="13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听取和审议专项工作报告个数</w:t>
            </w:r>
          </w:p>
        </w:tc>
        <w:tc>
          <w:tcPr>
            <w:tcW w:w="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w:t>
            </w:r>
          </w:p>
        </w:tc>
        <w:tc>
          <w:tcPr>
            <w:tcW w:w="5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8</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次</w:t>
            </w:r>
          </w:p>
        </w:tc>
        <w:tc>
          <w:tcPr>
            <w:tcW w:w="7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19</w:t>
            </w:r>
          </w:p>
        </w:tc>
        <w:tc>
          <w:tcPr>
            <w:tcW w:w="4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15</w:t>
            </w:r>
          </w:p>
        </w:tc>
        <w:tc>
          <w:tcPr>
            <w:tcW w:w="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15</w:t>
            </w:r>
          </w:p>
        </w:tc>
        <w:tc>
          <w:tcPr>
            <w:tcW w:w="14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p>
        </w:tc>
      </w:tr>
      <w:tr>
        <w:trPr>
          <w:cantSplit/>
          <w:trHeight w:hRule="exact" w:val="283"/>
        </w:trPr>
        <w:tc>
          <w:tcPr>
            <w:tcW w:w="74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3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3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执法检查次数</w:t>
            </w:r>
          </w:p>
        </w:tc>
        <w:tc>
          <w:tcPr>
            <w:tcW w:w="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w:t>
            </w:r>
          </w:p>
        </w:tc>
        <w:tc>
          <w:tcPr>
            <w:tcW w:w="5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2</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次</w:t>
            </w:r>
          </w:p>
        </w:tc>
        <w:tc>
          <w:tcPr>
            <w:tcW w:w="7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7</w:t>
            </w:r>
          </w:p>
        </w:tc>
        <w:tc>
          <w:tcPr>
            <w:tcW w:w="4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10</w:t>
            </w:r>
          </w:p>
        </w:tc>
        <w:tc>
          <w:tcPr>
            <w:tcW w:w="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10</w:t>
            </w:r>
          </w:p>
        </w:tc>
        <w:tc>
          <w:tcPr>
            <w:tcW w:w="14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p>
        </w:tc>
      </w:tr>
      <w:tr>
        <w:trPr>
          <w:cantSplit/>
          <w:trHeight w:hRule="exact" w:val="283"/>
        </w:trPr>
        <w:tc>
          <w:tcPr>
            <w:tcW w:w="74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3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3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代表建议督办个数</w:t>
            </w:r>
          </w:p>
        </w:tc>
        <w:tc>
          <w:tcPr>
            <w:tcW w:w="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w:t>
            </w:r>
          </w:p>
        </w:tc>
        <w:tc>
          <w:tcPr>
            <w:tcW w:w="5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12</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个</w:t>
            </w:r>
          </w:p>
        </w:tc>
        <w:tc>
          <w:tcPr>
            <w:tcW w:w="7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39</w:t>
            </w:r>
          </w:p>
        </w:tc>
        <w:tc>
          <w:tcPr>
            <w:tcW w:w="4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15</w:t>
            </w:r>
          </w:p>
        </w:tc>
        <w:tc>
          <w:tcPr>
            <w:tcW w:w="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15</w:t>
            </w:r>
          </w:p>
        </w:tc>
        <w:tc>
          <w:tcPr>
            <w:tcW w:w="14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p>
        </w:tc>
      </w:tr>
      <w:tr>
        <w:trPr>
          <w:cantSplit/>
          <w:trHeight w:hRule="exact" w:val="283"/>
        </w:trPr>
        <w:tc>
          <w:tcPr>
            <w:tcW w:w="74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3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3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监督信息收集和分析</w:t>
            </w:r>
          </w:p>
        </w:tc>
        <w:tc>
          <w:tcPr>
            <w:tcW w:w="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w:t>
            </w:r>
          </w:p>
        </w:tc>
        <w:tc>
          <w:tcPr>
            <w:tcW w:w="5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10</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个</w:t>
            </w:r>
          </w:p>
        </w:tc>
        <w:tc>
          <w:tcPr>
            <w:tcW w:w="7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7627</w:t>
            </w:r>
          </w:p>
        </w:tc>
        <w:tc>
          <w:tcPr>
            <w:tcW w:w="4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10</w:t>
            </w:r>
          </w:p>
        </w:tc>
        <w:tc>
          <w:tcPr>
            <w:tcW w:w="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9</w:t>
            </w:r>
          </w:p>
        </w:tc>
        <w:tc>
          <w:tcPr>
            <w:tcW w:w="14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p>
        </w:tc>
      </w:tr>
      <w:tr>
        <w:trPr>
          <w:cantSplit/>
          <w:trHeight w:hRule="exact" w:val="345"/>
        </w:trPr>
        <w:tc>
          <w:tcPr>
            <w:tcW w:w="74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16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质量指标</w:t>
            </w:r>
          </w:p>
        </w:tc>
        <w:tc>
          <w:tcPr>
            <w:tcW w:w="13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备案审查件数</w:t>
            </w:r>
          </w:p>
        </w:tc>
        <w:tc>
          <w:tcPr>
            <w:tcW w:w="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w:t>
            </w:r>
          </w:p>
        </w:tc>
        <w:tc>
          <w:tcPr>
            <w:tcW w:w="5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3</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件</w:t>
            </w:r>
          </w:p>
        </w:tc>
        <w:tc>
          <w:tcPr>
            <w:tcW w:w="7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5</w:t>
            </w:r>
          </w:p>
        </w:tc>
        <w:tc>
          <w:tcPr>
            <w:tcW w:w="4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10</w:t>
            </w:r>
          </w:p>
        </w:tc>
        <w:tc>
          <w:tcPr>
            <w:tcW w:w="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10</w:t>
            </w:r>
          </w:p>
        </w:tc>
        <w:tc>
          <w:tcPr>
            <w:tcW w:w="14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p>
        </w:tc>
      </w:tr>
      <w:tr>
        <w:trPr>
          <w:cantSplit/>
          <w:trHeight w:hRule="exact" w:val="337"/>
        </w:trPr>
        <w:tc>
          <w:tcPr>
            <w:tcW w:w="74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1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效益指标</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社会效益指标</w:t>
            </w:r>
          </w:p>
        </w:tc>
        <w:tc>
          <w:tcPr>
            <w:tcW w:w="13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推动重大方针政策落实发挥作用</w:t>
            </w:r>
          </w:p>
        </w:tc>
        <w:tc>
          <w:tcPr>
            <w:tcW w:w="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定性</w:t>
            </w:r>
          </w:p>
        </w:tc>
        <w:tc>
          <w:tcPr>
            <w:tcW w:w="5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有效</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p>
        </w:tc>
        <w:tc>
          <w:tcPr>
            <w:tcW w:w="7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有效</w:t>
            </w:r>
          </w:p>
        </w:tc>
        <w:tc>
          <w:tcPr>
            <w:tcW w:w="4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20</w:t>
            </w:r>
          </w:p>
        </w:tc>
        <w:tc>
          <w:tcPr>
            <w:tcW w:w="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20</w:t>
            </w:r>
          </w:p>
        </w:tc>
        <w:tc>
          <w:tcPr>
            <w:tcW w:w="14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p>
        </w:tc>
      </w:tr>
      <w:tr>
        <w:trPr>
          <w:cantSplit/>
          <w:trHeight w:hRule="exact" w:val="336"/>
        </w:trPr>
        <w:tc>
          <w:tcPr>
            <w:tcW w:w="74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1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满意度指标</w:t>
            </w:r>
          </w:p>
        </w:tc>
        <w:tc>
          <w:tcPr>
            <w:tcW w:w="12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服务对象满意度指标</w:t>
            </w:r>
          </w:p>
        </w:tc>
        <w:tc>
          <w:tcPr>
            <w:tcW w:w="13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代表满意度</w:t>
            </w:r>
          </w:p>
        </w:tc>
        <w:tc>
          <w:tcPr>
            <w:tcW w:w="4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w:t>
            </w:r>
          </w:p>
        </w:tc>
        <w:tc>
          <w:tcPr>
            <w:tcW w:w="5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95</w:t>
            </w:r>
          </w:p>
        </w:tc>
        <w:tc>
          <w:tcPr>
            <w:tcW w:w="4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w:t>
            </w:r>
          </w:p>
        </w:tc>
        <w:tc>
          <w:tcPr>
            <w:tcW w:w="7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98%</w:t>
            </w:r>
          </w:p>
        </w:tc>
        <w:tc>
          <w:tcPr>
            <w:tcW w:w="4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10</w:t>
            </w:r>
          </w:p>
        </w:tc>
        <w:tc>
          <w:tcPr>
            <w:tcW w:w="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10</w:t>
            </w:r>
          </w:p>
        </w:tc>
        <w:tc>
          <w:tcPr>
            <w:tcW w:w="14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p>
        </w:tc>
      </w:tr>
      <w:tr>
        <w:trPr>
          <w:cantSplit/>
          <w:trHeight w:hRule="exact" w:val="496"/>
        </w:trPr>
        <w:tc>
          <w:tcPr>
            <w:tcW w:w="6617" w:type="dxa"/>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合</w:t>
            </w:r>
            <w:r>
              <w:rPr>
                <w:rFonts w:ascii="宋体" w:cs="宋体" w:hint="eastAsia"/>
                <w:i w:val="0"/>
                <w:iCs w:val="0"/>
                <w:color w:val="000000"/>
                <w:w w:val="80"/>
                <w:kern w:val="0"/>
                <w:sz w:val="13"/>
                <w:szCs w:val="13"/>
                <w:u w:val="none"/>
                <w:lang w:val="en-US" w:eastAsia="zh-CN"/>
              </w:rPr>
              <w:t xml:space="preserve">   </w:t>
            </w:r>
            <w:r>
              <w:rPr>
                <w:rFonts w:ascii="宋体" w:eastAsia="宋体" w:cs="宋体" w:hint="eastAsia"/>
                <w:i w:val="0"/>
                <w:iCs w:val="0"/>
                <w:color w:val="000000"/>
                <w:w w:val="80"/>
                <w:kern w:val="0"/>
                <w:sz w:val="13"/>
                <w:szCs w:val="13"/>
                <w:u w:val="none"/>
                <w:lang w:val="en-US" w:eastAsia="zh-CN"/>
              </w:rPr>
              <w:t>计</w:t>
            </w:r>
          </w:p>
        </w:tc>
        <w:tc>
          <w:tcPr>
            <w:tcW w:w="4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100</w:t>
            </w:r>
          </w:p>
        </w:tc>
        <w:tc>
          <w:tcPr>
            <w:tcW w:w="4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99</w:t>
            </w:r>
          </w:p>
        </w:tc>
        <w:tc>
          <w:tcPr>
            <w:tcW w:w="149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p>
        </w:tc>
      </w:tr>
      <w:tr>
        <w:trPr>
          <w:cantSplit/>
          <w:trHeight w:hRule="exact" w:val="337"/>
        </w:trPr>
        <w:tc>
          <w:tcPr>
            <w:tcW w:w="7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评价结论</w:t>
            </w:r>
          </w:p>
        </w:tc>
        <w:tc>
          <w:tcPr>
            <w:tcW w:w="8312" w:type="dxa"/>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2025年，县人大常委会履行人大监督职能，不断加强和改进监督工作，推动全县各项工作在法治轨道上有序运行。</w:t>
            </w:r>
          </w:p>
        </w:tc>
      </w:tr>
      <w:tr>
        <w:trPr>
          <w:cantSplit/>
          <w:trHeight w:hRule="exact" w:val="402"/>
        </w:trPr>
        <w:tc>
          <w:tcPr>
            <w:tcW w:w="7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存在问题</w:t>
            </w:r>
          </w:p>
        </w:tc>
        <w:tc>
          <w:tcPr>
            <w:tcW w:w="8312" w:type="dxa"/>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监督方式还需进一步创新，监督力度还需进一步加强。</w:t>
            </w:r>
          </w:p>
        </w:tc>
      </w:tr>
      <w:tr>
        <w:trPr>
          <w:cantSplit/>
          <w:trHeight w:hRule="exact" w:val="355"/>
        </w:trPr>
        <w:tc>
          <w:tcPr>
            <w:tcW w:w="7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改进措施</w:t>
            </w:r>
          </w:p>
        </w:tc>
        <w:tc>
          <w:tcPr>
            <w:tcW w:w="8312" w:type="dxa"/>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牢牢把握宪法和法律赋予的职责，大力宣传人大监督的目的和意义，进一步营造依法进行监督、主动接受监督、积极配合监督的良好氛围，确保人大监督工作落到实处</w:t>
            </w:r>
            <w:r>
              <w:rPr>
                <w:rFonts w:ascii="宋体" w:cs="宋体" w:hint="eastAsia"/>
                <w:i w:val="0"/>
                <w:iCs w:val="0"/>
                <w:color w:val="000000"/>
                <w:w w:val="80"/>
                <w:kern w:val="0"/>
                <w:sz w:val="13"/>
                <w:szCs w:val="13"/>
                <w:u w:val="none"/>
                <w:lang w:val="en-US" w:eastAsia="zh-CN"/>
              </w:rPr>
              <w:t>。</w:t>
            </w:r>
          </w:p>
        </w:tc>
      </w:tr>
    </w:tbl>
    <w:p>
      <w:pPr>
        <w:rPr>
          <w:rFonts w:hint="eastAsia"/>
        </w:rPr>
      </w:pPr>
    </w:p>
    <w:p>
      <w:pPr>
        <w:pStyle w:val="15"/>
        <w:rPr>
          <w:rFonts w:hint="eastAsia"/>
        </w:rPr>
      </w:pPr>
    </w:p>
    <w:tbl>
      <w:tblPr>
        <w:tblpPr w:leftFromText="180" w:rightFromText="180" w:vertAnchor="text" w:horzAnchor="page" w:tblpX="1530" w:tblpY="547"/>
        <w:tblOverlap w:val="never"/>
        <w:tblW w:w="5000" w:type="pct"/>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601"/>
        <w:gridCol w:w="1015"/>
        <w:gridCol w:w="1152"/>
        <w:gridCol w:w="1222"/>
        <w:gridCol w:w="515"/>
        <w:gridCol w:w="546"/>
        <w:gridCol w:w="644"/>
        <w:gridCol w:w="834"/>
        <w:gridCol w:w="433"/>
        <w:gridCol w:w="488"/>
        <w:gridCol w:w="1496"/>
      </w:tblGrid>
      <w:tr>
        <w:trPr>
          <w:trHeight w:val="439"/>
        </w:trPr>
        <w:tc>
          <w:tcPr>
            <w:tcW w:w="5000" w:type="pct"/>
            <w:gridSpan w:val="11"/>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黑体" w:eastAsia="黑体" w:cs="黑体"/>
                <w:b/>
                <w:bCs/>
                <w:i w:val="0"/>
                <w:iCs w:val="0"/>
                <w:color w:val="000000"/>
                <w:sz w:val="11"/>
                <w:szCs w:val="11"/>
                <w:u w:val="none"/>
              </w:rPr>
            </w:pPr>
            <w:r>
              <w:rPr>
                <w:rFonts w:ascii="黑体" w:eastAsia="黑体" w:cs="黑体" w:hint="eastAsia"/>
                <w:b/>
                <w:bCs/>
                <w:i w:val="0"/>
                <w:iCs w:val="0"/>
                <w:color w:val="000000"/>
                <w:kern w:val="0"/>
                <w:sz w:val="30"/>
                <w:szCs w:val="30"/>
                <w:u w:val="none"/>
                <w:lang w:val="en-US" w:eastAsia="zh-CN"/>
              </w:rPr>
              <w:t>部门预算项目支出绩效自评表（2025年度）</w:t>
            </w:r>
          </w:p>
        </w:tc>
      </w:tr>
      <w:tr>
        <w:trPr>
          <w:trHeight w:val="286"/>
        </w:trPr>
        <w:tc>
          <w:tcPr>
            <w:tcW w:w="90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项目名称</w:t>
            </w:r>
          </w:p>
        </w:tc>
        <w:tc>
          <w:tcPr>
            <w:tcW w:w="4096"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51322121T000000156739-代表活动经费</w:t>
            </w:r>
          </w:p>
        </w:tc>
      </w:tr>
      <w:tr>
        <w:trPr>
          <w:trHeight w:val="316"/>
        </w:trPr>
        <w:tc>
          <w:tcPr>
            <w:tcW w:w="90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主管部门</w:t>
            </w:r>
          </w:p>
        </w:tc>
        <w:tc>
          <w:tcPr>
            <w:tcW w:w="2280"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汶川县人民代表大会常务委员会办公室本级</w:t>
            </w:r>
          </w:p>
        </w:tc>
        <w:tc>
          <w:tcPr>
            <w:tcW w:w="465"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 xml:space="preserve">实施单位 </w:t>
            </w:r>
          </w:p>
        </w:tc>
        <w:tc>
          <w:tcPr>
            <w:tcW w:w="1350"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汶川县人民代表大会常务委员会办公室</w:t>
            </w:r>
          </w:p>
        </w:tc>
      </w:tr>
      <w:tr>
        <w:trPr>
          <w:trHeight w:val="286"/>
        </w:trPr>
        <w:tc>
          <w:tcPr>
            <w:tcW w:w="336"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项目基本情况</w:t>
            </w:r>
          </w:p>
        </w:tc>
        <w:tc>
          <w:tcPr>
            <w:tcW w:w="567"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1.项目年度目标完成情况</w:t>
            </w:r>
          </w:p>
        </w:tc>
        <w:tc>
          <w:tcPr>
            <w:tcW w:w="2280"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项目年度目标</w:t>
            </w:r>
          </w:p>
        </w:tc>
        <w:tc>
          <w:tcPr>
            <w:tcW w:w="181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年度目标完成情况</w:t>
            </w:r>
          </w:p>
        </w:tc>
      </w:tr>
      <w:tr>
        <w:trPr>
          <w:trHeight w:val="1809"/>
        </w:trPr>
        <w:tc>
          <w:tcPr>
            <w:tcW w:w="33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6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2280"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为支持保障县人大代表依法履行职务、充分发挥代表作用，加强人民代表大会及其常委会的组织制度和工作制度建设，为闭会期间县人大代表活动提供必要经费保障，按照工作安排，为代表订阅杂志，组织代表活动，提高代表素质；开展人大常委会委员联系代表、代表联系选民的活动，收集代表和群众意见，参与视察、执法检查、工作评议和庭审等活动；2.为汶川县代表之家运行提供资金保障，总体上实现“有固定场地、有标识标牌、有办公设施、有规章制度、有活动内容、有工作流程、有信息公示、有活动档案、有工作人员、有专项经费”的“十有”目标，配备一些设施和学习资料，加强运行和管理。</w:t>
            </w:r>
          </w:p>
        </w:tc>
        <w:tc>
          <w:tcPr>
            <w:tcW w:w="1815"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完成9个“代表之家”、30个“代表联络站”迭代升级，代表进站率100%，开展各类活动241次，参与代表370</w:t>
            </w:r>
            <w:r>
              <w:rPr>
                <w:rFonts w:ascii="宋体" w:cs="宋体" w:hint="eastAsia"/>
                <w:i w:val="0"/>
                <w:iCs w:val="0"/>
                <w:color w:val="000000"/>
                <w:w w:val="80"/>
                <w:kern w:val="0"/>
                <w:sz w:val="13"/>
                <w:szCs w:val="13"/>
                <w:u w:val="none"/>
                <w:lang w:val="en-US" w:eastAsia="zh-CN" w:bidi="ar-SA"/>
              </w:rPr>
              <w:t>0</w:t>
            </w:r>
            <w:r>
              <w:rPr>
                <w:rFonts w:ascii="宋体" w:eastAsia="宋体" w:cs="宋体" w:hint="eastAsia"/>
                <w:i w:val="0"/>
                <w:iCs w:val="0"/>
                <w:color w:val="000000"/>
                <w:w w:val="80"/>
                <w:kern w:val="0"/>
                <w:sz w:val="13"/>
                <w:szCs w:val="13"/>
                <w:u w:val="none"/>
                <w:lang w:val="en-US" w:eastAsia="zh-CN" w:bidi="ar-SA"/>
              </w:rPr>
              <w:t>余人次，固定联系群众459户，开展“我为群众办实事—人大代表在行动”活动，走访接待服务群众7000余人次，协调解决农村安全饮水巩固提升项目、县城市政基础设施建设项目等急难愁盼问题280余件，县十五届人大四次会议确定的39件代表建议已全部办结</w:t>
            </w:r>
            <w:r>
              <w:rPr>
                <w:rFonts w:ascii="宋体" w:cs="宋体" w:hint="eastAsia"/>
                <w:i w:val="0"/>
                <w:iCs w:val="0"/>
                <w:color w:val="000000"/>
                <w:w w:val="80"/>
                <w:kern w:val="0"/>
                <w:sz w:val="13"/>
                <w:szCs w:val="13"/>
                <w:u w:val="none"/>
                <w:lang w:val="en-US" w:eastAsia="zh-CN" w:bidi="ar-SA"/>
              </w:rPr>
              <w:t>。</w:t>
            </w:r>
          </w:p>
        </w:tc>
      </w:tr>
      <w:tr>
        <w:trPr>
          <w:trHeight w:val="844"/>
        </w:trPr>
        <w:tc>
          <w:tcPr>
            <w:tcW w:w="33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2.项目实施内容及过程概述</w:t>
            </w:r>
          </w:p>
        </w:tc>
        <w:tc>
          <w:tcPr>
            <w:tcW w:w="4096" w:type="pct"/>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开展各类活动241次，参与代表3700余人次，固定联系群众459户，开展“我为群众办实事—人大代表在行动”活动，走访接待服务群众7000余人次，协调解决农村安全饮水巩固提升项目、县城市政基础设施建设项目等急难愁盼问题280余件，县十五届人大四次会议确定的39件代表建议已全部办结</w:t>
            </w:r>
            <w:r>
              <w:rPr>
                <w:rFonts w:ascii="宋体" w:cs="宋体" w:hint="eastAsia"/>
                <w:i w:val="0"/>
                <w:iCs w:val="0"/>
                <w:color w:val="000000"/>
                <w:w w:val="80"/>
                <w:kern w:val="0"/>
                <w:sz w:val="13"/>
                <w:szCs w:val="13"/>
                <w:u w:val="none"/>
                <w:lang w:val="en-US" w:eastAsia="zh-CN" w:bidi="ar-SA"/>
              </w:rPr>
              <w:t>。</w:t>
            </w:r>
          </w:p>
        </w:tc>
      </w:tr>
      <w:tr>
        <w:trPr>
          <w:trHeight w:val="341"/>
        </w:trPr>
        <w:tc>
          <w:tcPr>
            <w:tcW w:w="336"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预算执行情况（10分）</w:t>
            </w:r>
          </w:p>
        </w:tc>
        <w:tc>
          <w:tcPr>
            <w:tcW w:w="567" w:type="pct"/>
            <w:tcBorders>
              <w:top w:val="single" w:sz="4" w:space="0" w:color="000000"/>
              <w:left w:val="single" w:sz="4" w:space="0" w:color="000000"/>
              <w:bottom w:val="single" w:sz="4" w:space="0" w:color="000000"/>
              <w:right w:val="single" w:sz="4" w:space="0" w:color="000000"/>
            </w:tcBorders>
            <w:shd w:val="clear" w:color="auto" w:fill="auto"/>
            <w:noWrap/>
            <w:tcFitText/>
            <w:vAlign w:val="center"/>
          </w:tcPr>
          <w:p>
            <w:pPr>
              <w:keepNext w:val="0"/>
              <w:keepLines w:val="0"/>
              <w:widowControl/>
              <w:suppressLineNumbers w:val="0"/>
              <w:jc w:val="left"/>
              <w:textAlignment w:val="center"/>
              <w:rPr>
                <w:rFonts w:ascii="宋体" w:eastAsia="宋体" w:cs="宋体" w:hint="eastAsia"/>
                <w:i w:val="0"/>
                <w:iCs w:val="0"/>
                <w:color w:val="000000"/>
                <w:spacing w:val="0"/>
                <w:w w:val="80"/>
                <w:kern w:val="0"/>
                <w:sz w:val="13"/>
                <w:szCs w:val="13"/>
                <w:u w:val="none"/>
                <w:lang w:val="en-US" w:eastAsia="zh-CN" w:bidi="ar-SA"/>
              </w:rPr>
            </w:pPr>
            <w:r>
              <w:rPr>
                <w:rFonts w:ascii="宋体" w:eastAsia="宋体" w:cs="宋体" w:hint="eastAsia"/>
                <w:i w:val="0"/>
                <w:iCs w:val="0"/>
                <w:color w:val="000000"/>
                <w:spacing w:val="0"/>
                <w:w w:val="68"/>
                <w:kern w:val="0"/>
                <w:sz w:val="13"/>
                <w:szCs w:val="13"/>
                <w:u w:val="none"/>
                <w:lang w:val="en-US" w:eastAsia="zh-CN" w:bidi="ar-SA"/>
              </w:rPr>
              <w:t>年度预算数（万元）</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年初预算</w:t>
            </w:r>
          </w:p>
        </w:tc>
        <w:tc>
          <w:tcPr>
            <w:tcW w:w="6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调整后预算数</w:t>
            </w:r>
          </w:p>
        </w:tc>
        <w:tc>
          <w:tcPr>
            <w:tcW w:w="95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预算执行数</w:t>
            </w:r>
          </w:p>
        </w:tc>
        <w:tc>
          <w:tcPr>
            <w:tcW w:w="4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预算执行率</w:t>
            </w: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权重</w:t>
            </w:r>
          </w:p>
        </w:tc>
        <w:tc>
          <w:tcPr>
            <w:tcW w:w="2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得分</w:t>
            </w:r>
          </w:p>
        </w:tc>
        <w:tc>
          <w:tcPr>
            <w:tcW w:w="83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原因</w:t>
            </w:r>
          </w:p>
        </w:tc>
      </w:tr>
      <w:tr>
        <w:trPr>
          <w:trHeight w:val="211"/>
        </w:trPr>
        <w:tc>
          <w:tcPr>
            <w:tcW w:w="33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总额</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42.20</w:t>
            </w:r>
          </w:p>
        </w:tc>
        <w:tc>
          <w:tcPr>
            <w:tcW w:w="6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23.82</w:t>
            </w:r>
          </w:p>
        </w:tc>
        <w:tc>
          <w:tcPr>
            <w:tcW w:w="95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23.82</w:t>
            </w:r>
          </w:p>
        </w:tc>
        <w:tc>
          <w:tcPr>
            <w:tcW w:w="4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100.00%</w:t>
            </w: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2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834"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1.预算执行率大100%;2.年末根据工作开展的实际</w:t>
            </w:r>
            <w:r>
              <w:rPr>
                <w:rFonts w:ascii="宋体" w:cs="宋体" w:hint="eastAsia"/>
                <w:i w:val="0"/>
                <w:iCs w:val="0"/>
                <w:color w:val="000000"/>
                <w:w w:val="80"/>
                <w:kern w:val="0"/>
                <w:sz w:val="13"/>
                <w:szCs w:val="13"/>
                <w:u w:val="none"/>
                <w:lang w:val="en-US" w:eastAsia="zh-CN" w:bidi="ar-SA"/>
              </w:rPr>
              <w:t>情况</w:t>
            </w:r>
            <w:r>
              <w:rPr>
                <w:rFonts w:ascii="宋体" w:eastAsia="宋体" w:cs="宋体" w:hint="eastAsia"/>
                <w:i w:val="0"/>
                <w:iCs w:val="0"/>
                <w:color w:val="000000"/>
                <w:w w:val="80"/>
                <w:kern w:val="0"/>
                <w:sz w:val="13"/>
                <w:szCs w:val="13"/>
                <w:u w:val="none"/>
                <w:lang w:val="en-US" w:eastAsia="zh-CN" w:bidi="ar-SA"/>
              </w:rPr>
              <w:t>，调减了年初预算,</w:t>
            </w:r>
          </w:p>
        </w:tc>
      </w:tr>
      <w:tr>
        <w:trPr>
          <w:trHeight w:val="236"/>
        </w:trPr>
        <w:tc>
          <w:tcPr>
            <w:tcW w:w="33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其中：财政资金</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42.20</w:t>
            </w:r>
          </w:p>
        </w:tc>
        <w:tc>
          <w:tcPr>
            <w:tcW w:w="6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23.82</w:t>
            </w:r>
          </w:p>
        </w:tc>
        <w:tc>
          <w:tcPr>
            <w:tcW w:w="95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23.82</w:t>
            </w:r>
          </w:p>
        </w:tc>
        <w:tc>
          <w:tcPr>
            <w:tcW w:w="4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100.00%</w:t>
            </w: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2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834"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220"/>
        </w:trPr>
        <w:tc>
          <w:tcPr>
            <w:tcW w:w="33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67" w:type="pct"/>
            <w:tcBorders>
              <w:top w:val="single" w:sz="4" w:space="0" w:color="000000"/>
              <w:left w:val="single" w:sz="4" w:space="0" w:color="000000"/>
              <w:bottom w:val="single" w:sz="4" w:space="0" w:color="000000"/>
              <w:right w:val="single" w:sz="4" w:space="0" w:color="000000"/>
            </w:tcBorders>
            <w:shd w:val="clear" w:color="auto" w:fill="auto"/>
            <w:noWrap/>
            <w:tcFitText/>
            <w:vAlign w:val="center"/>
          </w:tcPr>
          <w:p>
            <w:pPr>
              <w:keepNext w:val="0"/>
              <w:keepLines w:val="0"/>
              <w:widowControl/>
              <w:suppressLineNumbers w:val="0"/>
              <w:jc w:val="left"/>
              <w:textAlignment w:val="center"/>
              <w:rPr>
                <w:rFonts w:ascii="宋体" w:eastAsia="宋体" w:cs="宋体" w:hint="eastAsia"/>
                <w:i w:val="0"/>
                <w:iCs w:val="0"/>
                <w:color w:val="000000"/>
                <w:spacing w:val="0"/>
                <w:w w:val="80"/>
                <w:kern w:val="0"/>
                <w:sz w:val="13"/>
                <w:szCs w:val="13"/>
                <w:u w:val="none"/>
                <w:lang w:val="en-US" w:eastAsia="zh-CN"/>
              </w:rPr>
            </w:pPr>
            <w:r>
              <w:rPr>
                <w:rFonts w:ascii="宋体" w:eastAsia="宋体" w:cs="宋体" w:hint="eastAsia"/>
                <w:i w:val="0"/>
                <w:iCs w:val="0"/>
                <w:color w:val="000000"/>
                <w:spacing w:val="0"/>
                <w:w w:val="77"/>
                <w:kern w:val="0"/>
                <w:sz w:val="13"/>
                <w:szCs w:val="13"/>
                <w:u w:val="none"/>
                <w:lang w:val="en-US" w:eastAsia="zh-CN"/>
              </w:rPr>
              <w:t>财政专户管理资金</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0.00</w:t>
            </w:r>
          </w:p>
        </w:tc>
        <w:tc>
          <w:tcPr>
            <w:tcW w:w="6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0.00</w:t>
            </w:r>
          </w:p>
        </w:tc>
        <w:tc>
          <w:tcPr>
            <w:tcW w:w="95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0.00</w:t>
            </w:r>
          </w:p>
        </w:tc>
        <w:tc>
          <w:tcPr>
            <w:tcW w:w="4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0.00%</w:t>
            </w: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2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834"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179"/>
        </w:trPr>
        <w:tc>
          <w:tcPr>
            <w:tcW w:w="33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单位资金</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0.00</w:t>
            </w:r>
          </w:p>
        </w:tc>
        <w:tc>
          <w:tcPr>
            <w:tcW w:w="6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0.00</w:t>
            </w:r>
          </w:p>
        </w:tc>
        <w:tc>
          <w:tcPr>
            <w:tcW w:w="95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0.00</w:t>
            </w:r>
          </w:p>
        </w:tc>
        <w:tc>
          <w:tcPr>
            <w:tcW w:w="4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0.00%</w:t>
            </w: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2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834"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157"/>
        </w:trPr>
        <w:tc>
          <w:tcPr>
            <w:tcW w:w="33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rPr>
            </w:pPr>
            <w:r>
              <w:rPr>
                <w:rFonts w:ascii="宋体" w:eastAsia="宋体" w:cs="宋体" w:hint="eastAsia"/>
                <w:i w:val="0"/>
                <w:iCs w:val="0"/>
                <w:color w:val="000000"/>
                <w:w w:val="80"/>
                <w:kern w:val="0"/>
                <w:sz w:val="13"/>
                <w:szCs w:val="13"/>
                <w:u w:val="none"/>
                <w:lang w:val="en-US" w:eastAsia="zh-CN"/>
              </w:rPr>
              <w:t>其他资金</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iCs w:val="0"/>
                <w:color w:val="000000"/>
                <w:w w:val="80"/>
                <w:kern w:val="0"/>
                <w:sz w:val="13"/>
                <w:szCs w:val="13"/>
                <w:u w:val="none"/>
                <w:lang w:val="en-US" w:eastAsia="zh-CN" w:bidi="ar-SA"/>
              </w:rPr>
            </w:pPr>
          </w:p>
        </w:tc>
        <w:tc>
          <w:tcPr>
            <w:tcW w:w="6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iCs w:val="0"/>
                <w:color w:val="000000"/>
                <w:w w:val="80"/>
                <w:kern w:val="0"/>
                <w:sz w:val="13"/>
                <w:szCs w:val="13"/>
                <w:u w:val="none"/>
                <w:lang w:val="en-US" w:eastAsia="zh-CN" w:bidi="ar-SA"/>
              </w:rPr>
            </w:pPr>
          </w:p>
        </w:tc>
        <w:tc>
          <w:tcPr>
            <w:tcW w:w="953"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iCs w:val="0"/>
                <w:color w:val="000000"/>
                <w:w w:val="80"/>
                <w:kern w:val="0"/>
                <w:sz w:val="13"/>
                <w:szCs w:val="13"/>
                <w:u w:val="none"/>
                <w:lang w:val="en-US" w:eastAsia="zh-CN" w:bidi="ar-SA"/>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iCs w:val="0"/>
                <w:color w:val="000000"/>
                <w:w w:val="80"/>
                <w:kern w:val="0"/>
                <w:sz w:val="13"/>
                <w:szCs w:val="13"/>
                <w:u w:val="none"/>
                <w:lang w:val="en-US" w:eastAsia="zh-CN" w:bidi="ar-SA"/>
              </w:rPr>
            </w:pP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2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834"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426"/>
        </w:trPr>
        <w:tc>
          <w:tcPr>
            <w:tcW w:w="336"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绩效指标（90分）</w:t>
            </w:r>
          </w:p>
        </w:tc>
        <w:tc>
          <w:tcPr>
            <w:tcW w:w="5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一级指标</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二级指标</w:t>
            </w:r>
          </w:p>
        </w:tc>
        <w:tc>
          <w:tcPr>
            <w:tcW w:w="6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三级指标</w:t>
            </w:r>
          </w:p>
        </w:tc>
        <w:tc>
          <w:tcPr>
            <w:tcW w:w="288" w:type="pct"/>
            <w:tcBorders>
              <w:top w:val="single" w:sz="4" w:space="0" w:color="000000"/>
              <w:left w:val="single" w:sz="4" w:space="0" w:color="000000"/>
              <w:bottom w:val="single" w:sz="4" w:space="0" w:color="000000"/>
              <w:right w:val="single" w:sz="4" w:space="0" w:color="000000"/>
            </w:tcBorders>
            <w:shd w:val="clear" w:color="auto" w:fill="auto"/>
            <w:noWrap/>
            <w:tcFitText/>
            <w:vAlign w:val="center"/>
          </w:tcPr>
          <w:p>
            <w:pPr>
              <w:keepNext w:val="0"/>
              <w:keepLines w:val="0"/>
              <w:widowControl/>
              <w:suppressLineNumbers w:val="0"/>
              <w:jc w:val="center"/>
              <w:textAlignment w:val="center"/>
              <w:rPr>
                <w:rFonts w:ascii="宋体" w:eastAsia="宋体" w:cs="宋体" w:hint="eastAsia"/>
                <w:i w:val="0"/>
                <w:iCs w:val="0"/>
                <w:color w:val="000000"/>
                <w:spacing w:val="0"/>
                <w:w w:val="80"/>
                <w:kern w:val="0"/>
                <w:sz w:val="13"/>
                <w:szCs w:val="13"/>
                <w:u w:val="none"/>
                <w:lang w:val="en-US" w:eastAsia="zh-CN" w:bidi="ar-SA"/>
              </w:rPr>
            </w:pPr>
            <w:r>
              <w:rPr>
                <w:rFonts w:ascii="宋体" w:eastAsia="宋体" w:cs="宋体" w:hint="eastAsia"/>
                <w:i w:val="0"/>
                <w:iCs w:val="0"/>
                <w:color w:val="000000"/>
                <w:spacing w:val="1"/>
                <w:w w:val="56"/>
                <w:kern w:val="0"/>
                <w:sz w:val="13"/>
                <w:szCs w:val="13"/>
                <w:u w:val="none"/>
                <w:lang w:val="en-US" w:eastAsia="zh-CN" w:bidi="ar-SA"/>
              </w:rPr>
              <w:t>指标性</w:t>
            </w:r>
            <w:r>
              <w:rPr>
                <w:rFonts w:ascii="宋体" w:eastAsia="宋体" w:cs="宋体" w:hint="eastAsia"/>
                <w:i w:val="0"/>
                <w:iCs w:val="0"/>
                <w:color w:val="000000"/>
                <w:spacing w:val="0"/>
                <w:w w:val="56"/>
                <w:kern w:val="0"/>
                <w:sz w:val="13"/>
                <w:szCs w:val="13"/>
                <w:u w:val="none"/>
                <w:lang w:val="en-US" w:eastAsia="zh-CN" w:bidi="ar-SA"/>
              </w:rPr>
              <w:t>质</w:t>
            </w:r>
          </w:p>
        </w:tc>
        <w:tc>
          <w:tcPr>
            <w:tcW w:w="3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指标值</w:t>
            </w:r>
          </w:p>
        </w:tc>
        <w:tc>
          <w:tcPr>
            <w:tcW w:w="3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度量单位</w:t>
            </w:r>
          </w:p>
        </w:tc>
        <w:tc>
          <w:tcPr>
            <w:tcW w:w="4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完成值</w:t>
            </w: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权重</w:t>
            </w:r>
          </w:p>
        </w:tc>
        <w:tc>
          <w:tcPr>
            <w:tcW w:w="2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得分</w:t>
            </w:r>
          </w:p>
        </w:tc>
        <w:tc>
          <w:tcPr>
            <w:tcW w:w="83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未完成原因分析</w:t>
            </w:r>
          </w:p>
        </w:tc>
      </w:tr>
      <w:tr>
        <w:trPr>
          <w:trHeight w:val="247"/>
        </w:trPr>
        <w:tc>
          <w:tcPr>
            <w:tcW w:w="33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67"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产出指标</w:t>
            </w:r>
          </w:p>
        </w:tc>
        <w:tc>
          <w:tcPr>
            <w:tcW w:w="644" w:type="pct"/>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数量指标</w:t>
            </w:r>
          </w:p>
        </w:tc>
        <w:tc>
          <w:tcPr>
            <w:tcW w:w="6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接待、走访联系选民</w:t>
            </w:r>
          </w:p>
        </w:tc>
        <w:tc>
          <w:tcPr>
            <w:tcW w:w="28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3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800</w:t>
            </w:r>
          </w:p>
        </w:tc>
        <w:tc>
          <w:tcPr>
            <w:tcW w:w="3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人次</w:t>
            </w:r>
          </w:p>
        </w:tc>
        <w:tc>
          <w:tcPr>
            <w:tcW w:w="4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7000</w:t>
            </w: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2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83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iCs w:val="0"/>
                <w:color w:val="000000"/>
                <w:w w:val="80"/>
                <w:kern w:val="0"/>
                <w:sz w:val="13"/>
                <w:szCs w:val="13"/>
                <w:u w:val="none"/>
                <w:lang w:val="en-US" w:eastAsia="zh-CN" w:bidi="ar-SA"/>
              </w:rPr>
            </w:pPr>
          </w:p>
        </w:tc>
      </w:tr>
      <w:tr>
        <w:trPr>
          <w:trHeight w:val="230"/>
        </w:trPr>
        <w:tc>
          <w:tcPr>
            <w:tcW w:w="33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6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44"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代表调研人次</w:t>
            </w:r>
          </w:p>
        </w:tc>
        <w:tc>
          <w:tcPr>
            <w:tcW w:w="28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3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100</w:t>
            </w:r>
          </w:p>
        </w:tc>
        <w:tc>
          <w:tcPr>
            <w:tcW w:w="3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人次</w:t>
            </w:r>
          </w:p>
        </w:tc>
        <w:tc>
          <w:tcPr>
            <w:tcW w:w="4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200</w:t>
            </w: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2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83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iCs w:val="0"/>
                <w:color w:val="000000"/>
                <w:w w:val="80"/>
                <w:kern w:val="0"/>
                <w:sz w:val="13"/>
                <w:szCs w:val="13"/>
                <w:u w:val="none"/>
                <w:lang w:val="en-US" w:eastAsia="zh-CN" w:bidi="ar-SA"/>
              </w:rPr>
            </w:pPr>
          </w:p>
        </w:tc>
      </w:tr>
      <w:tr>
        <w:trPr>
          <w:trHeight w:val="263"/>
        </w:trPr>
        <w:tc>
          <w:tcPr>
            <w:tcW w:w="33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6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44"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代表集中视察次数</w:t>
            </w:r>
          </w:p>
        </w:tc>
        <w:tc>
          <w:tcPr>
            <w:tcW w:w="28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3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w:t>
            </w:r>
          </w:p>
        </w:tc>
        <w:tc>
          <w:tcPr>
            <w:tcW w:w="3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次</w:t>
            </w:r>
          </w:p>
        </w:tc>
        <w:tc>
          <w:tcPr>
            <w:tcW w:w="4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5</w:t>
            </w: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15</w:t>
            </w:r>
          </w:p>
        </w:tc>
        <w:tc>
          <w:tcPr>
            <w:tcW w:w="2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15</w:t>
            </w:r>
          </w:p>
        </w:tc>
        <w:tc>
          <w:tcPr>
            <w:tcW w:w="83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iCs w:val="0"/>
                <w:color w:val="000000"/>
                <w:w w:val="80"/>
                <w:kern w:val="0"/>
                <w:sz w:val="13"/>
                <w:szCs w:val="13"/>
                <w:u w:val="none"/>
                <w:lang w:val="en-US" w:eastAsia="zh-CN" w:bidi="ar-SA"/>
              </w:rPr>
            </w:pPr>
          </w:p>
        </w:tc>
      </w:tr>
      <w:tr>
        <w:trPr>
          <w:trHeight w:val="255"/>
        </w:trPr>
        <w:tc>
          <w:tcPr>
            <w:tcW w:w="33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6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44"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rPr>
              <w:t>参加履职活动人次</w:t>
            </w:r>
          </w:p>
        </w:tc>
        <w:tc>
          <w:tcPr>
            <w:tcW w:w="28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3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159</w:t>
            </w:r>
          </w:p>
        </w:tc>
        <w:tc>
          <w:tcPr>
            <w:tcW w:w="3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人次</w:t>
            </w:r>
          </w:p>
        </w:tc>
        <w:tc>
          <w:tcPr>
            <w:tcW w:w="4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370</w:t>
            </w: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15</w:t>
            </w:r>
          </w:p>
        </w:tc>
        <w:tc>
          <w:tcPr>
            <w:tcW w:w="2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15</w:t>
            </w:r>
          </w:p>
        </w:tc>
        <w:tc>
          <w:tcPr>
            <w:tcW w:w="83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iCs w:val="0"/>
                <w:color w:val="000000"/>
                <w:w w:val="80"/>
                <w:kern w:val="0"/>
                <w:sz w:val="13"/>
                <w:szCs w:val="13"/>
                <w:u w:val="none"/>
                <w:lang w:val="en-US" w:eastAsia="zh-CN" w:bidi="ar-SA"/>
              </w:rPr>
            </w:pPr>
          </w:p>
        </w:tc>
      </w:tr>
      <w:tr>
        <w:trPr>
          <w:trHeight w:val="228"/>
        </w:trPr>
        <w:tc>
          <w:tcPr>
            <w:tcW w:w="33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67"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44"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资料订阅份数</w:t>
            </w:r>
          </w:p>
        </w:tc>
        <w:tc>
          <w:tcPr>
            <w:tcW w:w="28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3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650</w:t>
            </w:r>
          </w:p>
        </w:tc>
        <w:tc>
          <w:tcPr>
            <w:tcW w:w="3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份</w:t>
            </w:r>
          </w:p>
        </w:tc>
        <w:tc>
          <w:tcPr>
            <w:tcW w:w="4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318</w:t>
            </w: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2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8</w:t>
            </w:r>
          </w:p>
        </w:tc>
        <w:tc>
          <w:tcPr>
            <w:tcW w:w="83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根据需要订阅</w:t>
            </w:r>
          </w:p>
        </w:tc>
      </w:tr>
      <w:tr>
        <w:trPr>
          <w:trHeight w:val="400"/>
        </w:trPr>
        <w:tc>
          <w:tcPr>
            <w:tcW w:w="33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效益指标</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社会效益指标</w:t>
            </w:r>
          </w:p>
        </w:tc>
        <w:tc>
          <w:tcPr>
            <w:tcW w:w="683" w:type="pct"/>
            <w:tcBorders>
              <w:top w:val="single" w:sz="4" w:space="0" w:color="000000"/>
              <w:left w:val="single" w:sz="4" w:space="0" w:color="000000"/>
              <w:bottom w:val="single" w:sz="4" w:space="0" w:color="000000"/>
              <w:right w:val="single" w:sz="4" w:space="0" w:color="000000"/>
            </w:tcBorders>
            <w:shd w:val="clear" w:color="auto" w:fill="auto"/>
            <w:noWrap/>
            <w:tcFitText/>
            <w:vAlign w:val="center"/>
          </w:tcPr>
          <w:p>
            <w:pPr>
              <w:keepNext w:val="0"/>
              <w:keepLines w:val="0"/>
              <w:widowControl/>
              <w:suppressLineNumbers w:val="0"/>
              <w:jc w:val="left"/>
              <w:textAlignment w:val="center"/>
              <w:rPr>
                <w:rFonts w:ascii="宋体" w:eastAsia="宋体" w:cs="宋体" w:hint="eastAsia"/>
                <w:i w:val="0"/>
                <w:iCs w:val="0"/>
                <w:color w:val="000000"/>
                <w:spacing w:val="0"/>
                <w:w w:val="80"/>
                <w:kern w:val="0"/>
                <w:sz w:val="13"/>
                <w:szCs w:val="13"/>
                <w:u w:val="none"/>
                <w:lang w:val="en-US" w:eastAsia="zh-CN" w:bidi="ar-SA"/>
              </w:rPr>
            </w:pPr>
            <w:r>
              <w:rPr>
                <w:rFonts w:ascii="宋体" w:eastAsia="宋体" w:cs="宋体" w:hint="eastAsia"/>
                <w:i w:val="0"/>
                <w:iCs w:val="0"/>
                <w:color w:val="000000"/>
                <w:spacing w:val="1"/>
                <w:w w:val="64"/>
                <w:kern w:val="0"/>
                <w:sz w:val="13"/>
                <w:szCs w:val="13"/>
                <w:u w:val="none"/>
                <w:lang w:val="en-US" w:eastAsia="zh-CN" w:bidi="ar-SA"/>
              </w:rPr>
              <w:t>有效保障代表执行职务条</w:t>
            </w:r>
            <w:r>
              <w:rPr>
                <w:rFonts w:ascii="宋体" w:eastAsia="宋体" w:cs="宋体" w:hint="eastAsia"/>
                <w:i w:val="0"/>
                <w:iCs w:val="0"/>
                <w:color w:val="000000"/>
                <w:spacing w:val="0"/>
                <w:w w:val="64"/>
                <w:kern w:val="0"/>
                <w:sz w:val="13"/>
                <w:szCs w:val="13"/>
                <w:u w:val="none"/>
                <w:lang w:val="en-US" w:eastAsia="zh-CN" w:bidi="ar-SA"/>
              </w:rPr>
              <w:t>件</w:t>
            </w:r>
          </w:p>
        </w:tc>
        <w:tc>
          <w:tcPr>
            <w:tcW w:w="28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定性</w:t>
            </w:r>
          </w:p>
        </w:tc>
        <w:tc>
          <w:tcPr>
            <w:tcW w:w="3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好</w:t>
            </w:r>
          </w:p>
        </w:tc>
        <w:tc>
          <w:tcPr>
            <w:tcW w:w="3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iCs w:val="0"/>
                <w:color w:val="000000"/>
                <w:w w:val="80"/>
                <w:kern w:val="0"/>
                <w:sz w:val="13"/>
                <w:szCs w:val="13"/>
                <w:u w:val="none"/>
                <w:lang w:val="en-US" w:eastAsia="zh-CN" w:bidi="ar-SA"/>
              </w:rPr>
            </w:pPr>
          </w:p>
        </w:tc>
        <w:tc>
          <w:tcPr>
            <w:tcW w:w="4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好</w:t>
            </w: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20</w:t>
            </w:r>
          </w:p>
        </w:tc>
        <w:tc>
          <w:tcPr>
            <w:tcW w:w="2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20</w:t>
            </w:r>
          </w:p>
        </w:tc>
        <w:tc>
          <w:tcPr>
            <w:tcW w:w="83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iCs w:val="0"/>
                <w:color w:val="000000"/>
                <w:w w:val="80"/>
                <w:kern w:val="0"/>
                <w:sz w:val="13"/>
                <w:szCs w:val="13"/>
                <w:u w:val="none"/>
                <w:lang w:val="en-US" w:eastAsia="zh-CN" w:bidi="ar-SA"/>
              </w:rPr>
            </w:pPr>
          </w:p>
        </w:tc>
      </w:tr>
      <w:tr>
        <w:trPr>
          <w:trHeight w:val="376"/>
        </w:trPr>
        <w:tc>
          <w:tcPr>
            <w:tcW w:w="336" w:type="pct"/>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5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满意度指标</w:t>
            </w:r>
          </w:p>
        </w:tc>
        <w:tc>
          <w:tcPr>
            <w:tcW w:w="64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both"/>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服务对象满意度指标</w:t>
            </w:r>
          </w:p>
        </w:tc>
        <w:tc>
          <w:tcPr>
            <w:tcW w:w="68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代表满意度</w:t>
            </w:r>
          </w:p>
        </w:tc>
        <w:tc>
          <w:tcPr>
            <w:tcW w:w="28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3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95</w:t>
            </w:r>
          </w:p>
        </w:tc>
        <w:tc>
          <w:tcPr>
            <w:tcW w:w="3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4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95</w:t>
            </w: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2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83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jc w:val="center"/>
              <w:rPr>
                <w:rFonts w:ascii="宋体" w:eastAsia="宋体" w:cs="宋体" w:hint="eastAsia"/>
                <w:i w:val="0"/>
                <w:iCs w:val="0"/>
                <w:color w:val="000000"/>
                <w:w w:val="80"/>
                <w:kern w:val="0"/>
                <w:sz w:val="13"/>
                <w:szCs w:val="13"/>
                <w:u w:val="none"/>
                <w:lang w:val="en-US" w:eastAsia="zh-CN" w:bidi="ar-SA"/>
              </w:rPr>
            </w:pPr>
          </w:p>
        </w:tc>
      </w:tr>
      <w:tr>
        <w:trPr>
          <w:trHeight w:val="359"/>
        </w:trPr>
        <w:tc>
          <w:tcPr>
            <w:tcW w:w="3649" w:type="pct"/>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合</w:t>
            </w:r>
            <w:r>
              <w:rPr>
                <w:rFonts w:ascii="宋体" w:cs="宋体" w:hint="eastAsia"/>
                <w:i w:val="0"/>
                <w:iCs w:val="0"/>
                <w:color w:val="000000"/>
                <w:w w:val="80"/>
                <w:kern w:val="0"/>
                <w:sz w:val="13"/>
                <w:szCs w:val="13"/>
                <w:u w:val="none"/>
                <w:lang w:val="en-US" w:eastAsia="zh-CN" w:bidi="ar-SA"/>
              </w:rPr>
              <w:t xml:space="preserve">   </w:t>
            </w:r>
            <w:r>
              <w:rPr>
                <w:rFonts w:ascii="宋体" w:eastAsia="宋体" w:cs="宋体" w:hint="eastAsia"/>
                <w:i w:val="0"/>
                <w:iCs w:val="0"/>
                <w:color w:val="000000"/>
                <w:w w:val="80"/>
                <w:kern w:val="0"/>
                <w:sz w:val="13"/>
                <w:szCs w:val="13"/>
                <w:u w:val="none"/>
                <w:lang w:val="en-US" w:eastAsia="zh-CN" w:bidi="ar-SA"/>
              </w:rPr>
              <w:t>计</w:t>
            </w:r>
          </w:p>
        </w:tc>
        <w:tc>
          <w:tcPr>
            <w:tcW w:w="2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100</w:t>
            </w:r>
          </w:p>
        </w:tc>
        <w:tc>
          <w:tcPr>
            <w:tcW w:w="27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98</w:t>
            </w:r>
          </w:p>
        </w:tc>
        <w:tc>
          <w:tcPr>
            <w:tcW w:w="83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p>
        </w:tc>
      </w:tr>
      <w:tr>
        <w:trPr>
          <w:trHeight w:val="286"/>
        </w:trPr>
        <w:tc>
          <w:tcPr>
            <w:tcW w:w="336" w:type="pct"/>
            <w:tcBorders>
              <w:top w:val="single" w:sz="4" w:space="0" w:color="000000"/>
              <w:left w:val="single" w:sz="4" w:space="0" w:color="000000"/>
              <w:bottom w:val="single" w:sz="4" w:space="0" w:color="000000"/>
              <w:right w:val="single" w:sz="4" w:space="0" w:color="000000"/>
            </w:tcBorders>
            <w:shd w:val="clear" w:color="auto" w:fill="auto"/>
            <w:noWrap/>
            <w:tcFitText/>
            <w:vAlign w:val="center"/>
          </w:tcPr>
          <w:p>
            <w:pPr>
              <w:keepNext w:val="0"/>
              <w:keepLines w:val="0"/>
              <w:widowControl/>
              <w:suppressLineNumbers w:val="0"/>
              <w:jc w:val="left"/>
              <w:textAlignment w:val="center"/>
              <w:rPr>
                <w:rFonts w:ascii="宋体" w:eastAsia="宋体" w:cs="宋体" w:hint="eastAsia"/>
                <w:i w:val="0"/>
                <w:iCs w:val="0"/>
                <w:color w:val="000000"/>
                <w:spacing w:val="0"/>
                <w:w w:val="80"/>
                <w:kern w:val="0"/>
                <w:sz w:val="13"/>
                <w:szCs w:val="13"/>
                <w:u w:val="none"/>
                <w:lang w:val="en-US" w:eastAsia="zh-CN" w:bidi="ar-SA"/>
              </w:rPr>
            </w:pPr>
            <w:r>
              <w:rPr>
                <w:rFonts w:ascii="宋体" w:eastAsia="宋体" w:cs="宋体" w:hint="eastAsia"/>
                <w:i w:val="0"/>
                <w:iCs w:val="0"/>
                <w:color w:val="000000"/>
                <w:spacing w:val="0"/>
                <w:w w:val="74"/>
                <w:kern w:val="0"/>
                <w:sz w:val="13"/>
                <w:szCs w:val="13"/>
                <w:u w:val="none"/>
                <w:lang w:val="en-US" w:eastAsia="zh-CN" w:bidi="ar-SA"/>
              </w:rPr>
              <w:t>评价结论</w:t>
            </w:r>
          </w:p>
        </w:tc>
        <w:tc>
          <w:tcPr>
            <w:tcW w:w="4663"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组织县代表开展专题调研，参与视察、执法检查、工作评议和庭审等法定履职活动，顺利完成了20225年代表工作计划。</w:t>
            </w:r>
          </w:p>
        </w:tc>
      </w:tr>
      <w:tr>
        <w:trPr>
          <w:trHeight w:val="282"/>
        </w:trPr>
        <w:tc>
          <w:tcPr>
            <w:tcW w:w="336" w:type="pct"/>
            <w:tcBorders>
              <w:top w:val="single" w:sz="4" w:space="0" w:color="000000"/>
              <w:left w:val="single" w:sz="4" w:space="0" w:color="000000"/>
              <w:bottom w:val="single" w:sz="4" w:space="0" w:color="000000"/>
              <w:right w:val="single" w:sz="4" w:space="0" w:color="000000"/>
            </w:tcBorders>
            <w:shd w:val="clear" w:color="auto" w:fill="auto"/>
            <w:noWrap/>
            <w:tcFitText/>
            <w:vAlign w:val="center"/>
          </w:tcPr>
          <w:p>
            <w:pPr>
              <w:keepNext w:val="0"/>
              <w:keepLines w:val="0"/>
              <w:widowControl/>
              <w:suppressLineNumbers w:val="0"/>
              <w:jc w:val="left"/>
              <w:textAlignment w:val="center"/>
              <w:rPr>
                <w:rFonts w:ascii="宋体" w:eastAsia="宋体" w:cs="宋体" w:hint="eastAsia"/>
                <w:i w:val="0"/>
                <w:iCs w:val="0"/>
                <w:color w:val="000000"/>
                <w:spacing w:val="0"/>
                <w:w w:val="80"/>
                <w:kern w:val="0"/>
                <w:sz w:val="13"/>
                <w:szCs w:val="13"/>
                <w:u w:val="none"/>
                <w:lang w:val="en-US" w:eastAsia="zh-CN" w:bidi="ar-SA"/>
              </w:rPr>
            </w:pPr>
            <w:r>
              <w:rPr>
                <w:rFonts w:ascii="宋体" w:eastAsia="宋体" w:cs="宋体" w:hint="eastAsia"/>
                <w:i w:val="0"/>
                <w:iCs w:val="0"/>
                <w:color w:val="000000"/>
                <w:spacing w:val="0"/>
                <w:w w:val="74"/>
                <w:kern w:val="0"/>
                <w:sz w:val="13"/>
                <w:szCs w:val="13"/>
                <w:u w:val="none"/>
                <w:lang w:val="en-US" w:eastAsia="zh-CN" w:bidi="ar-SA"/>
              </w:rPr>
              <w:t>存在问题</w:t>
            </w:r>
          </w:p>
        </w:tc>
        <w:tc>
          <w:tcPr>
            <w:tcW w:w="4663" w:type="pct"/>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绩效目标精细化水平有待提高，绩效目标量化程度不足，未能完全准确体现与预算的匹配</w:t>
            </w:r>
          </w:p>
        </w:tc>
      </w:tr>
      <w:tr>
        <w:trPr>
          <w:trHeight w:val="373"/>
        </w:trPr>
        <w:tc>
          <w:tcPr>
            <w:tcW w:w="336" w:type="pct"/>
            <w:tcBorders>
              <w:top w:val="single" w:sz="4" w:space="0" w:color="000000"/>
              <w:left w:val="single" w:sz="4" w:space="0" w:color="000000"/>
              <w:bottom w:val="single" w:sz="4" w:space="0" w:color="000000"/>
              <w:right w:val="single" w:sz="4" w:space="0" w:color="000000"/>
            </w:tcBorders>
            <w:shd w:val="clear" w:color="auto" w:fill="auto"/>
            <w:noWrap/>
            <w:tcFitText/>
            <w:vAlign w:val="center"/>
          </w:tcPr>
          <w:p>
            <w:pPr>
              <w:keepNext w:val="0"/>
              <w:keepLines w:val="0"/>
              <w:widowControl/>
              <w:suppressLineNumbers w:val="0"/>
              <w:jc w:val="left"/>
              <w:textAlignment w:val="center"/>
              <w:rPr>
                <w:rFonts w:ascii="宋体" w:eastAsia="宋体" w:cs="宋体" w:hint="eastAsia"/>
                <w:i w:val="0"/>
                <w:iCs w:val="0"/>
                <w:color w:val="000000"/>
                <w:spacing w:val="0"/>
                <w:w w:val="80"/>
                <w:kern w:val="0"/>
                <w:sz w:val="13"/>
                <w:szCs w:val="13"/>
                <w:u w:val="none"/>
                <w:lang w:val="en-US" w:eastAsia="zh-CN" w:bidi="ar-SA"/>
              </w:rPr>
            </w:pPr>
            <w:r>
              <w:rPr>
                <w:rFonts w:ascii="宋体" w:eastAsia="宋体" w:cs="宋体" w:hint="eastAsia"/>
                <w:i w:val="0"/>
                <w:iCs w:val="0"/>
                <w:color w:val="000000"/>
                <w:spacing w:val="0"/>
                <w:w w:val="74"/>
                <w:kern w:val="0"/>
                <w:sz w:val="13"/>
                <w:szCs w:val="13"/>
                <w:u w:val="none"/>
                <w:lang w:val="en-US" w:eastAsia="zh-CN" w:bidi="ar-SA"/>
              </w:rPr>
              <w:t>改进措施</w:t>
            </w:r>
          </w:p>
        </w:tc>
        <w:tc>
          <w:tcPr>
            <w:tcW w:w="4663" w:type="pct"/>
            <w:gridSpan w:val="10"/>
            <w:tcBorders>
              <w:top w:val="single" w:sz="4" w:space="0" w:color="000000"/>
              <w:left w:val="single" w:sz="4" w:space="0" w:color="000000"/>
              <w:bottom w:val="single" w:sz="4" w:space="0" w:color="000000"/>
              <w:right w:val="single" w:sz="4" w:space="0" w:color="000000"/>
            </w:tcBorders>
            <w:shd w:val="clear" w:color="auto" w:fill="auto"/>
            <w:noWrap/>
            <w:tcFitText/>
            <w:vAlign w:val="center"/>
          </w:tcPr>
          <w:p>
            <w:pPr>
              <w:keepNext w:val="0"/>
              <w:keepLines w:val="0"/>
              <w:widowControl/>
              <w:suppressLineNumbers w:val="0"/>
              <w:jc w:val="left"/>
              <w:textAlignment w:val="center"/>
              <w:rPr>
                <w:rFonts w:ascii="宋体" w:eastAsia="宋体" w:cs="宋体" w:hint="eastAsia"/>
                <w:i w:val="0"/>
                <w:iCs w:val="0"/>
                <w:color w:val="000000"/>
                <w:spacing w:val="0"/>
                <w:w w:val="80"/>
                <w:kern w:val="0"/>
                <w:sz w:val="13"/>
                <w:szCs w:val="13"/>
                <w:u w:val="none"/>
                <w:lang w:val="en-US" w:eastAsia="zh-CN" w:bidi="ar-SA"/>
              </w:rPr>
            </w:pPr>
            <w:r>
              <w:rPr>
                <w:rFonts w:ascii="宋体" w:eastAsia="宋体" w:cs="宋体" w:hint="eastAsia"/>
                <w:i w:val="0"/>
                <w:iCs w:val="0"/>
                <w:color w:val="000000"/>
                <w:spacing w:val="0"/>
                <w:w w:val="77"/>
                <w:kern w:val="0"/>
                <w:sz w:val="13"/>
                <w:szCs w:val="13"/>
                <w:u w:val="none"/>
                <w:lang w:val="en-US" w:eastAsia="zh-CN" w:bidi="ar-SA"/>
              </w:rPr>
              <w:t>下一年度开展绩效目标编制时，根据项目预期任务，实施内容和完成效果等内容，细化量化绩效目标，使目标和预算相匹配，绩效指标更加科学合理地体现项目预期效果与资金使用效益。</w:t>
            </w:r>
          </w:p>
        </w:tc>
      </w:tr>
    </w:tbl>
    <w:p>
      <w:pPr>
        <w:pageBreakBefore w:val="0"/>
        <w:widowControl w:val="0"/>
        <w:kinsoku/>
        <w:wordWrap/>
        <w:overflowPunct/>
        <w:topLinePunct w:val="0"/>
        <w:bidi w:val="0"/>
        <w:spacing w:line="560" w:lineRule="exact"/>
        <w:jc w:val="center"/>
        <w:rPr>
          <w:rFonts w:ascii="方正小标宋_GBK" w:eastAsia="方正小标宋_GBK" w:cs="方正小标宋_GBK" w:hint="eastAsia"/>
          <w:sz w:val="44"/>
          <w:szCs w:val="44"/>
          <w:lang w:eastAsia="zh-CN"/>
        </w:rPr>
      </w:pPr>
    </w:p>
    <w:p>
      <w:pPr>
        <w:pStyle w:val="15"/>
        <w:rPr>
          <w:rFonts w:hint="eastAsia"/>
          <w:lang w:eastAsia="zh-CN"/>
        </w:rPr>
      </w:pPr>
    </w:p>
    <w:p>
      <w:pPr>
        <w:pStyle w:val="17"/>
        <w:tabs>
          <w:tab w:val="center" w:pos="4153"/>
          <w:tab w:val="right" w:pos="8306"/>
        </w:tabs>
        <w:rPr>
          <w:lang w:val="en-US" w:eastAsia="zh-CN"/>
        </w:rPr>
      </w:pPr>
    </w:p>
    <w:tbl>
      <w:tblPr>
        <w:jc w:val="left"/>
        <w:tblInd w:w="91" w:type="dxa"/>
        <w:tblW w:w="9092" w:type="dxa"/>
        <w:tblBorders>
          <w:top w:val="none" w:sz="0" w:space="0" w:color="auto"/>
          <w:left w:val="none" w:sz="0" w:space="0" w:color="auto"/>
          <w:bottom w:val="none" w:sz="0" w:space="0" w:color="auto"/>
          <w:right w:val="none" w:sz="0" w:space="0" w:color="auto"/>
        </w:tblBorders>
        <w:shd w:val="clear" w:color="auto" w:fill="auto"/>
        <w:tblLayout w:type="fixed"/>
        <w:tblCellMar>
          <w:top w:w="0" w:type="dxa"/>
          <w:left w:w="108" w:type="dxa"/>
          <w:bottom w:w="0" w:type="dxa"/>
          <w:right w:w="108" w:type="dxa"/>
        </w:tblCellMar>
      </w:tblPr>
      <w:tblGrid>
        <w:gridCol w:w="731"/>
        <w:gridCol w:w="1057"/>
        <w:gridCol w:w="853"/>
        <w:gridCol w:w="1008"/>
        <w:gridCol w:w="555"/>
        <w:gridCol w:w="535"/>
        <w:gridCol w:w="681"/>
        <w:gridCol w:w="671"/>
        <w:gridCol w:w="434"/>
        <w:gridCol w:w="484"/>
        <w:gridCol w:w="2083"/>
      </w:tblGrid>
      <w:tr>
        <w:trPr>
          <w:trHeight w:val="904"/>
        </w:trPr>
        <w:tc>
          <w:tcPr>
            <w:tcW w:w="9092" w:type="dxa"/>
            <w:gridSpan w:val="11"/>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黑体" w:eastAsia="黑体" w:cs="黑体"/>
                <w:b/>
                <w:bCs/>
                <w:i w:val="0"/>
                <w:iCs w:val="0"/>
                <w:color w:val="000000"/>
                <w:sz w:val="30"/>
                <w:szCs w:val="30"/>
                <w:u w:val="none"/>
              </w:rPr>
            </w:pPr>
            <w:r>
              <w:rPr>
                <w:rFonts w:ascii="黑体" w:eastAsia="黑体" w:cs="黑体" w:hint="eastAsia"/>
                <w:b/>
                <w:bCs/>
                <w:i w:val="0"/>
                <w:iCs w:val="0"/>
                <w:color w:val="000000"/>
                <w:kern w:val="0"/>
                <w:sz w:val="30"/>
                <w:szCs w:val="30"/>
                <w:u w:val="none"/>
                <w:lang w:val="en-US" w:eastAsia="zh-CN"/>
              </w:rPr>
              <w:t>部门预算项目支出绩效自评表（2025年度）</w:t>
            </w:r>
          </w:p>
        </w:tc>
      </w:tr>
      <w:tr>
        <w:trPr>
          <w:trHeight w:val="286"/>
        </w:trPr>
        <w:tc>
          <w:tcPr>
            <w:tcW w:w="1788"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项目名称</w:t>
            </w:r>
          </w:p>
        </w:tc>
        <w:tc>
          <w:tcPr>
            <w:tcW w:w="7304" w:type="dxa"/>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51322121T000000156775-代表培训</w:t>
            </w:r>
          </w:p>
        </w:tc>
      </w:tr>
      <w:tr>
        <w:trPr>
          <w:trHeight w:val="457"/>
        </w:trPr>
        <w:tc>
          <w:tcPr>
            <w:tcW w:w="1788"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主管部门</w:t>
            </w:r>
          </w:p>
        </w:tc>
        <w:tc>
          <w:tcPr>
            <w:tcW w:w="3632"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汶川县人民代表大会常务委员会办公室本级</w:t>
            </w:r>
          </w:p>
        </w:tc>
        <w:tc>
          <w:tcPr>
            <w:tcW w:w="671"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 xml:space="preserve">实施单位 </w:t>
            </w:r>
          </w:p>
        </w:tc>
        <w:tc>
          <w:tcPr>
            <w:tcW w:w="300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汶川县人民代表大会常务委员会办公室</w:t>
            </w:r>
          </w:p>
        </w:tc>
      </w:tr>
      <w:tr>
        <w:trPr>
          <w:trHeight w:val="286"/>
        </w:trPr>
        <w:tc>
          <w:tcPr>
            <w:tcW w:w="731"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项目基本情况</w:t>
            </w:r>
          </w:p>
        </w:tc>
        <w:tc>
          <w:tcPr>
            <w:tcW w:w="105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1.项目年度目标完成情况</w:t>
            </w:r>
          </w:p>
        </w:tc>
        <w:tc>
          <w:tcPr>
            <w:tcW w:w="3632"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项目年度目标</w:t>
            </w:r>
          </w:p>
        </w:tc>
        <w:tc>
          <w:tcPr>
            <w:tcW w:w="3672"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年度目标完成情况</w:t>
            </w:r>
          </w:p>
        </w:tc>
      </w:tr>
      <w:tr>
        <w:trPr>
          <w:trHeight w:val="1809"/>
        </w:trPr>
        <w:tc>
          <w:tcPr>
            <w:tcW w:w="73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05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3632"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健全学习机制，强化理论武装，加强人大工作队伍建设依法治国的法治思维和新时代人民代表大会制度、发展全过程人民民主、新时代的地方人大工作、人大业务工作培训等。过学习培训，促进相互交流，提升县人大代表和人大系统干部对新时代人民代表大会地位和人大工作的认识，增强代表依法履行职务的综合素质和能力水平，充分展现新时代人大代表风采，规范人大工作程序，促进人大系统干部队伍依法规范履职，努力开创新时代人大工作新局面，推动经济社会发展发挥积极作用。</w:t>
            </w:r>
          </w:p>
        </w:tc>
        <w:tc>
          <w:tcPr>
            <w:tcW w:w="3672"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高标准组织召开全县人大规范化建设现场会、系统培训及各类学习活动10余场，有效提升专业素养。组织县人大系统干部和人大代表能力培训110</w:t>
            </w:r>
            <w:r>
              <w:rPr>
                <w:rFonts w:ascii="宋体" w:cs="宋体" w:hint="eastAsia"/>
                <w:i w:val="0"/>
                <w:iCs w:val="0"/>
                <w:color w:val="000000"/>
                <w:w w:val="80"/>
                <w:kern w:val="0"/>
                <w:sz w:val="13"/>
                <w:szCs w:val="13"/>
                <w:u w:val="none"/>
                <w:lang w:val="en-US" w:eastAsia="zh-CN" w:bidi="ar-SA"/>
              </w:rPr>
              <w:t>余</w:t>
            </w:r>
            <w:r>
              <w:rPr>
                <w:rFonts w:ascii="宋体" w:eastAsia="宋体" w:cs="宋体" w:hint="eastAsia"/>
                <w:i w:val="0"/>
                <w:iCs w:val="0"/>
                <w:color w:val="000000"/>
                <w:w w:val="80"/>
                <w:kern w:val="0"/>
                <w:sz w:val="13"/>
                <w:szCs w:val="13"/>
                <w:u w:val="none"/>
                <w:lang w:val="en-US" w:eastAsia="zh-CN" w:bidi="ar-SA"/>
              </w:rPr>
              <w:t>人次；赴嘉兴市、武汉市、长兴县、平武县、北川县等地开展培训、“三交活动”等，不断拓宽代表视野。</w:t>
            </w:r>
          </w:p>
        </w:tc>
      </w:tr>
      <w:tr>
        <w:trPr>
          <w:trHeight w:val="693"/>
        </w:trPr>
        <w:tc>
          <w:tcPr>
            <w:tcW w:w="73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0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2.项目实施内容及过程概述</w:t>
            </w:r>
          </w:p>
        </w:tc>
        <w:tc>
          <w:tcPr>
            <w:tcW w:w="7304" w:type="dxa"/>
            <w:gridSpan w:val="9"/>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通过举办专题培训及考察学习，不断提高代表理论武装水平，激发代表履职热情，加强人大系统干部队伍建设。</w:t>
            </w:r>
          </w:p>
        </w:tc>
      </w:tr>
      <w:tr>
        <w:trPr>
          <w:trHeight w:val="363"/>
        </w:trPr>
        <w:tc>
          <w:tcPr>
            <w:tcW w:w="731"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预算执行情况（10分）</w:t>
            </w:r>
          </w:p>
        </w:tc>
        <w:tc>
          <w:tcPr>
            <w:tcW w:w="10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年度预算数（万元）</w:t>
            </w:r>
          </w:p>
        </w:tc>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年初预算</w:t>
            </w:r>
          </w:p>
        </w:tc>
        <w:tc>
          <w:tcPr>
            <w:tcW w:w="10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调整后预算数</w:t>
            </w:r>
          </w:p>
        </w:tc>
        <w:tc>
          <w:tcPr>
            <w:tcW w:w="17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预算执行数</w:t>
            </w:r>
          </w:p>
        </w:tc>
        <w:tc>
          <w:tcPr>
            <w:tcW w:w="671" w:type="dxa"/>
            <w:tcBorders>
              <w:top w:val="single" w:sz="4" w:space="0" w:color="000000"/>
              <w:left w:val="single" w:sz="4" w:space="0" w:color="000000"/>
              <w:bottom w:val="single" w:sz="4" w:space="0" w:color="000000"/>
              <w:right w:val="single" w:sz="4" w:space="0" w:color="000000"/>
            </w:tcBorders>
            <w:shd w:val="clear" w:color="auto" w:fill="auto"/>
            <w:noWrap/>
            <w:tcFitText/>
            <w:vAlign w:val="center"/>
          </w:tcPr>
          <w:p>
            <w:pPr>
              <w:keepNext w:val="0"/>
              <w:keepLines w:val="0"/>
              <w:widowControl/>
              <w:suppressLineNumbers w:val="0"/>
              <w:jc w:val="center"/>
              <w:textAlignment w:val="center"/>
              <w:rPr>
                <w:rFonts w:ascii="宋体" w:eastAsia="宋体" w:cs="宋体" w:hint="eastAsia"/>
                <w:i w:val="0"/>
                <w:iCs w:val="0"/>
                <w:color w:val="000000"/>
                <w:spacing w:val="0"/>
                <w:w w:val="80"/>
                <w:kern w:val="0"/>
                <w:sz w:val="13"/>
                <w:szCs w:val="13"/>
                <w:u w:val="none"/>
                <w:lang w:val="en-US" w:eastAsia="zh-CN" w:bidi="ar-SA"/>
              </w:rPr>
            </w:pPr>
            <w:r>
              <w:rPr>
                <w:rFonts w:ascii="宋体" w:eastAsia="宋体" w:cs="宋体" w:hint="eastAsia"/>
                <w:i w:val="0"/>
                <w:iCs w:val="0"/>
                <w:color w:val="000000"/>
                <w:spacing w:val="0"/>
                <w:w w:val="68"/>
                <w:kern w:val="0"/>
                <w:sz w:val="13"/>
                <w:szCs w:val="13"/>
                <w:u w:val="none"/>
                <w:lang w:val="en-US" w:eastAsia="zh-CN" w:bidi="ar-SA"/>
              </w:rPr>
              <w:t>预算执行率</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权重</w:t>
            </w: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得分</w:t>
            </w:r>
          </w:p>
        </w:tc>
        <w:tc>
          <w:tcPr>
            <w:tcW w:w="20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原因</w:t>
            </w:r>
          </w:p>
        </w:tc>
      </w:tr>
      <w:tr>
        <w:trPr>
          <w:trHeight w:val="279"/>
        </w:trPr>
        <w:tc>
          <w:tcPr>
            <w:tcW w:w="73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0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总额</w:t>
            </w:r>
          </w:p>
        </w:tc>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115.80</w:t>
            </w:r>
          </w:p>
        </w:tc>
        <w:tc>
          <w:tcPr>
            <w:tcW w:w="10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29.47</w:t>
            </w:r>
          </w:p>
        </w:tc>
        <w:tc>
          <w:tcPr>
            <w:tcW w:w="17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29.47</w:t>
            </w:r>
          </w:p>
        </w:tc>
        <w:tc>
          <w:tcPr>
            <w:tcW w:w="6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100.00%</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8</w:t>
            </w:r>
          </w:p>
        </w:tc>
        <w:tc>
          <w:tcPr>
            <w:tcW w:w="2083"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1.预算执行率大100%;2.年末根据工作开展的实际支出数，调减了年初预算,</w:t>
            </w:r>
          </w:p>
        </w:tc>
      </w:tr>
      <w:tr>
        <w:trPr>
          <w:trHeight w:val="323"/>
        </w:trPr>
        <w:tc>
          <w:tcPr>
            <w:tcW w:w="73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0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其中：财政资金</w:t>
            </w:r>
          </w:p>
        </w:tc>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115.80</w:t>
            </w:r>
          </w:p>
        </w:tc>
        <w:tc>
          <w:tcPr>
            <w:tcW w:w="10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29.47</w:t>
            </w:r>
          </w:p>
        </w:tc>
        <w:tc>
          <w:tcPr>
            <w:tcW w:w="17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29.47</w:t>
            </w:r>
          </w:p>
        </w:tc>
        <w:tc>
          <w:tcPr>
            <w:tcW w:w="6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100.00%</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208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340"/>
        </w:trPr>
        <w:tc>
          <w:tcPr>
            <w:tcW w:w="73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0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财政专户管理资金</w:t>
            </w:r>
          </w:p>
        </w:tc>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0.00</w:t>
            </w:r>
          </w:p>
        </w:tc>
        <w:tc>
          <w:tcPr>
            <w:tcW w:w="10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0.00</w:t>
            </w:r>
          </w:p>
        </w:tc>
        <w:tc>
          <w:tcPr>
            <w:tcW w:w="17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0.00</w:t>
            </w:r>
          </w:p>
        </w:tc>
        <w:tc>
          <w:tcPr>
            <w:tcW w:w="6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0.00%</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208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286"/>
        </w:trPr>
        <w:tc>
          <w:tcPr>
            <w:tcW w:w="73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0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单位资金</w:t>
            </w:r>
          </w:p>
        </w:tc>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0.00</w:t>
            </w:r>
          </w:p>
        </w:tc>
        <w:tc>
          <w:tcPr>
            <w:tcW w:w="10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0.00</w:t>
            </w:r>
          </w:p>
        </w:tc>
        <w:tc>
          <w:tcPr>
            <w:tcW w:w="17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0.00</w:t>
            </w:r>
          </w:p>
        </w:tc>
        <w:tc>
          <w:tcPr>
            <w:tcW w:w="6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0.00%</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208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255"/>
        </w:trPr>
        <w:tc>
          <w:tcPr>
            <w:tcW w:w="73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0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其他资金</w:t>
            </w:r>
          </w:p>
        </w:tc>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p>
        </w:tc>
        <w:tc>
          <w:tcPr>
            <w:tcW w:w="10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p>
        </w:tc>
        <w:tc>
          <w:tcPr>
            <w:tcW w:w="1771"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p>
        </w:tc>
        <w:tc>
          <w:tcPr>
            <w:tcW w:w="6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208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r>
      <w:tr>
        <w:trPr>
          <w:trHeight w:val="90"/>
        </w:trPr>
        <w:tc>
          <w:tcPr>
            <w:tcW w:w="731"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绩效指标（90分）</w:t>
            </w:r>
          </w:p>
        </w:tc>
        <w:tc>
          <w:tcPr>
            <w:tcW w:w="10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一级指标</w:t>
            </w:r>
          </w:p>
        </w:tc>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二级指标</w:t>
            </w:r>
          </w:p>
        </w:tc>
        <w:tc>
          <w:tcPr>
            <w:tcW w:w="10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三级指标</w:t>
            </w:r>
          </w:p>
        </w:tc>
        <w:tc>
          <w:tcPr>
            <w:tcW w:w="555" w:type="dxa"/>
            <w:tcBorders>
              <w:top w:val="single" w:sz="4" w:space="0" w:color="000000"/>
              <w:left w:val="single" w:sz="4" w:space="0" w:color="000000"/>
              <w:bottom w:val="single" w:sz="4" w:space="0" w:color="000000"/>
              <w:right w:val="single" w:sz="4" w:space="0" w:color="000000"/>
            </w:tcBorders>
            <w:shd w:val="clear" w:color="auto" w:fill="auto"/>
            <w:noWrap/>
            <w:tcFitText/>
            <w:vAlign w:val="center"/>
          </w:tcPr>
          <w:p>
            <w:pPr>
              <w:keepNext w:val="0"/>
              <w:keepLines w:val="0"/>
              <w:widowControl/>
              <w:suppressLineNumbers w:val="0"/>
              <w:jc w:val="center"/>
              <w:textAlignment w:val="center"/>
              <w:rPr>
                <w:rFonts w:ascii="宋体" w:eastAsia="宋体" w:cs="宋体" w:hint="eastAsia"/>
                <w:i w:val="0"/>
                <w:iCs w:val="0"/>
                <w:color w:val="000000"/>
                <w:spacing w:val="0"/>
                <w:w w:val="80"/>
                <w:kern w:val="0"/>
                <w:sz w:val="13"/>
                <w:szCs w:val="13"/>
                <w:u w:val="none"/>
                <w:lang w:val="en-US" w:eastAsia="zh-CN" w:bidi="ar-SA"/>
              </w:rPr>
            </w:pPr>
            <w:r>
              <w:rPr>
                <w:rFonts w:ascii="宋体" w:eastAsia="宋体" w:cs="宋体" w:hint="eastAsia"/>
                <w:i w:val="0"/>
                <w:iCs w:val="0"/>
                <w:color w:val="000000"/>
                <w:spacing w:val="0"/>
                <w:w w:val="63"/>
                <w:kern w:val="0"/>
                <w:sz w:val="13"/>
                <w:szCs w:val="13"/>
                <w:u w:val="none"/>
                <w:lang w:val="en-US" w:eastAsia="zh-CN" w:bidi="ar-SA"/>
              </w:rPr>
              <w:t>指标性质</w:t>
            </w:r>
          </w:p>
        </w:tc>
        <w:tc>
          <w:tcPr>
            <w:tcW w:w="535" w:type="dxa"/>
            <w:tcBorders>
              <w:top w:val="single" w:sz="4" w:space="0" w:color="000000"/>
              <w:left w:val="single" w:sz="4" w:space="0" w:color="000000"/>
              <w:bottom w:val="single" w:sz="4" w:space="0" w:color="000000"/>
              <w:right w:val="single" w:sz="4" w:space="0" w:color="000000"/>
            </w:tcBorders>
            <w:shd w:val="clear" w:color="auto" w:fill="auto"/>
            <w:noWrap/>
            <w:tcFitText/>
            <w:vAlign w:val="center"/>
          </w:tcPr>
          <w:p>
            <w:pPr>
              <w:keepNext w:val="0"/>
              <w:keepLines w:val="0"/>
              <w:widowControl/>
              <w:suppressLineNumbers w:val="0"/>
              <w:jc w:val="center"/>
              <w:textAlignment w:val="center"/>
              <w:rPr>
                <w:rFonts w:ascii="宋体" w:eastAsia="宋体" w:cs="宋体" w:hint="eastAsia"/>
                <w:i w:val="0"/>
                <w:iCs w:val="0"/>
                <w:color w:val="000000"/>
                <w:spacing w:val="0"/>
                <w:w w:val="80"/>
                <w:kern w:val="0"/>
                <w:sz w:val="13"/>
                <w:szCs w:val="13"/>
                <w:u w:val="none"/>
                <w:lang w:val="en-US" w:eastAsia="zh-CN" w:bidi="ar-SA"/>
              </w:rPr>
            </w:pPr>
            <w:r>
              <w:rPr>
                <w:rFonts w:ascii="宋体" w:eastAsia="宋体" w:cs="宋体" w:hint="eastAsia"/>
                <w:i w:val="0"/>
                <w:iCs w:val="0"/>
                <w:color w:val="000000"/>
                <w:spacing w:val="14"/>
                <w:w w:val="65"/>
                <w:kern w:val="0"/>
                <w:sz w:val="13"/>
                <w:szCs w:val="13"/>
                <w:u w:val="none"/>
                <w:lang w:val="en-US" w:eastAsia="zh-CN" w:bidi="ar-SA"/>
              </w:rPr>
              <w:t>指标</w:t>
            </w:r>
            <w:r>
              <w:rPr>
                <w:rFonts w:ascii="宋体" w:eastAsia="宋体" w:cs="宋体" w:hint="eastAsia"/>
                <w:i w:val="0"/>
                <w:iCs w:val="0"/>
                <w:color w:val="000000"/>
                <w:spacing w:val="0"/>
                <w:w w:val="65"/>
                <w:kern w:val="0"/>
                <w:sz w:val="13"/>
                <w:szCs w:val="13"/>
                <w:u w:val="none"/>
                <w:lang w:val="en-US" w:eastAsia="zh-CN" w:bidi="ar-SA"/>
              </w:rPr>
              <w:t>值</w:t>
            </w:r>
          </w:p>
        </w:tc>
        <w:tc>
          <w:tcPr>
            <w:tcW w:w="6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度量单位</w:t>
            </w:r>
          </w:p>
        </w:tc>
        <w:tc>
          <w:tcPr>
            <w:tcW w:w="6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完成值</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权重</w:t>
            </w: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得分</w:t>
            </w:r>
          </w:p>
        </w:tc>
        <w:tc>
          <w:tcPr>
            <w:tcW w:w="20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未完成原因分析</w:t>
            </w:r>
          </w:p>
        </w:tc>
      </w:tr>
      <w:tr>
        <w:trPr>
          <w:trHeight w:val="339"/>
        </w:trPr>
        <w:tc>
          <w:tcPr>
            <w:tcW w:w="73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05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产出指标</w:t>
            </w:r>
          </w:p>
        </w:tc>
        <w:tc>
          <w:tcPr>
            <w:tcW w:w="853"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数量指标</w:t>
            </w:r>
          </w:p>
        </w:tc>
        <w:tc>
          <w:tcPr>
            <w:tcW w:w="10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现场教学点位</w:t>
            </w:r>
          </w:p>
        </w:tc>
        <w:tc>
          <w:tcPr>
            <w:tcW w:w="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5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4</w:t>
            </w:r>
          </w:p>
        </w:tc>
        <w:tc>
          <w:tcPr>
            <w:tcW w:w="6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个</w:t>
            </w:r>
          </w:p>
        </w:tc>
        <w:tc>
          <w:tcPr>
            <w:tcW w:w="6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5</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20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p>
        </w:tc>
      </w:tr>
      <w:tr>
        <w:trPr>
          <w:trHeight w:val="340"/>
        </w:trPr>
        <w:tc>
          <w:tcPr>
            <w:tcW w:w="73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05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85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0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培训人次</w:t>
            </w:r>
          </w:p>
        </w:tc>
        <w:tc>
          <w:tcPr>
            <w:tcW w:w="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5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400</w:t>
            </w:r>
          </w:p>
        </w:tc>
        <w:tc>
          <w:tcPr>
            <w:tcW w:w="6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人次</w:t>
            </w:r>
          </w:p>
        </w:tc>
        <w:tc>
          <w:tcPr>
            <w:tcW w:w="6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110</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15</w:t>
            </w: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13</w:t>
            </w:r>
          </w:p>
        </w:tc>
        <w:tc>
          <w:tcPr>
            <w:tcW w:w="2083" w:type="dxa"/>
            <w:tcBorders>
              <w:top w:val="single" w:sz="4" w:space="0" w:color="000000"/>
              <w:left w:val="single" w:sz="4" w:space="0" w:color="000000"/>
              <w:bottom w:val="single" w:sz="4" w:space="0" w:color="000000"/>
              <w:right w:val="single" w:sz="4" w:space="0" w:color="000000"/>
            </w:tcBorders>
            <w:shd w:val="clear" w:color="auto" w:fill="auto"/>
            <w:noWrap/>
            <w:tcFitText/>
            <w:vAlign w:val="center"/>
          </w:tcPr>
          <w:p>
            <w:pPr>
              <w:keepNext w:val="0"/>
              <w:keepLines w:val="0"/>
              <w:widowControl/>
              <w:suppressLineNumbers w:val="0"/>
              <w:jc w:val="left"/>
              <w:textAlignment w:val="center"/>
              <w:rPr>
                <w:rFonts w:ascii="宋体" w:eastAsia="宋体" w:cs="宋体"/>
                <w:i w:val="0"/>
                <w:iCs w:val="0"/>
                <w:color w:val="000000"/>
                <w:spacing w:val="0"/>
                <w:w w:val="80"/>
                <w:kern w:val="0"/>
                <w:sz w:val="13"/>
                <w:szCs w:val="13"/>
                <w:u w:val="none"/>
                <w:lang w:val="en-US" w:eastAsia="zh-CN" w:bidi="ar-SA"/>
              </w:rPr>
            </w:pPr>
            <w:r>
              <w:rPr>
                <w:rFonts w:ascii="宋体" w:cs="宋体" w:hint="eastAsia"/>
                <w:i w:val="0"/>
                <w:iCs w:val="0"/>
                <w:color w:val="000000"/>
                <w:w w:val="75"/>
                <w:kern w:val="0"/>
                <w:sz w:val="13"/>
                <w:szCs w:val="13"/>
                <w:u w:val="none"/>
                <w:lang w:val="en-US" w:eastAsia="zh-CN" w:bidi="ar-SA"/>
              </w:rPr>
              <w:t>因时间冲突，实际参加人数较预算人数减少</w:t>
            </w:r>
          </w:p>
        </w:tc>
      </w:tr>
      <w:tr>
        <w:trPr>
          <w:trHeight w:val="339"/>
        </w:trPr>
        <w:tc>
          <w:tcPr>
            <w:tcW w:w="73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05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85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0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交流学习人次</w:t>
            </w:r>
          </w:p>
        </w:tc>
        <w:tc>
          <w:tcPr>
            <w:tcW w:w="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5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150</w:t>
            </w:r>
          </w:p>
        </w:tc>
        <w:tc>
          <w:tcPr>
            <w:tcW w:w="6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人次</w:t>
            </w:r>
          </w:p>
        </w:tc>
        <w:tc>
          <w:tcPr>
            <w:tcW w:w="6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300</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15</w:t>
            </w: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15</w:t>
            </w:r>
          </w:p>
        </w:tc>
        <w:tc>
          <w:tcPr>
            <w:tcW w:w="20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p>
        </w:tc>
      </w:tr>
      <w:tr>
        <w:trPr>
          <w:trHeight w:val="339"/>
        </w:trPr>
        <w:tc>
          <w:tcPr>
            <w:tcW w:w="73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05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853"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质量指标</w:t>
            </w:r>
          </w:p>
        </w:tc>
        <w:tc>
          <w:tcPr>
            <w:tcW w:w="10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发放资料份数</w:t>
            </w:r>
          </w:p>
        </w:tc>
        <w:tc>
          <w:tcPr>
            <w:tcW w:w="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5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500</w:t>
            </w:r>
          </w:p>
        </w:tc>
        <w:tc>
          <w:tcPr>
            <w:tcW w:w="6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份</w:t>
            </w:r>
          </w:p>
        </w:tc>
        <w:tc>
          <w:tcPr>
            <w:tcW w:w="6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500</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20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p>
        </w:tc>
      </w:tr>
      <w:tr>
        <w:trPr>
          <w:trHeight w:val="339"/>
        </w:trPr>
        <w:tc>
          <w:tcPr>
            <w:tcW w:w="73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05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85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0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学习合格率</w:t>
            </w:r>
          </w:p>
        </w:tc>
        <w:tc>
          <w:tcPr>
            <w:tcW w:w="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5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98</w:t>
            </w:r>
          </w:p>
        </w:tc>
        <w:tc>
          <w:tcPr>
            <w:tcW w:w="6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6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98</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20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p>
        </w:tc>
      </w:tr>
      <w:tr>
        <w:trPr>
          <w:trHeight w:val="454"/>
        </w:trPr>
        <w:tc>
          <w:tcPr>
            <w:tcW w:w="73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0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效益指标</w:t>
            </w:r>
          </w:p>
        </w:tc>
        <w:tc>
          <w:tcPr>
            <w:tcW w:w="853" w:type="dxa"/>
            <w:tcBorders>
              <w:top w:val="single" w:sz="4" w:space="0" w:color="000000"/>
              <w:left w:val="single" w:sz="4" w:space="0" w:color="000000"/>
              <w:bottom w:val="single" w:sz="4" w:space="0" w:color="000000"/>
              <w:right w:val="single" w:sz="4" w:space="0" w:color="000000"/>
            </w:tcBorders>
            <w:shd w:val="clear" w:color="auto" w:fill="auto"/>
            <w:noWrap/>
            <w:tcFitText/>
            <w:vAlign w:val="center"/>
          </w:tcPr>
          <w:p>
            <w:pPr>
              <w:keepNext w:val="0"/>
              <w:keepLines w:val="0"/>
              <w:widowControl/>
              <w:suppressLineNumbers w:val="0"/>
              <w:jc w:val="left"/>
              <w:textAlignment w:val="center"/>
              <w:rPr>
                <w:rFonts w:ascii="宋体" w:eastAsia="宋体" w:cs="宋体" w:hint="eastAsia"/>
                <w:i w:val="0"/>
                <w:iCs w:val="0"/>
                <w:color w:val="000000"/>
                <w:spacing w:val="0"/>
                <w:w w:val="80"/>
                <w:kern w:val="0"/>
                <w:sz w:val="13"/>
                <w:szCs w:val="13"/>
                <w:u w:val="none"/>
                <w:lang w:val="en-US" w:eastAsia="zh-CN" w:bidi="ar-SA"/>
              </w:rPr>
            </w:pPr>
            <w:r>
              <w:rPr>
                <w:rFonts w:ascii="宋体" w:eastAsia="宋体" w:cs="宋体" w:hint="eastAsia"/>
                <w:i w:val="0"/>
                <w:iCs w:val="0"/>
                <w:color w:val="000000"/>
                <w:spacing w:val="7"/>
                <w:w w:val="71"/>
                <w:kern w:val="0"/>
                <w:sz w:val="13"/>
                <w:szCs w:val="13"/>
                <w:u w:val="none"/>
                <w:lang w:val="en-US" w:eastAsia="zh-CN" w:bidi="ar-SA"/>
              </w:rPr>
              <w:t>社会效益指</w:t>
            </w:r>
            <w:r>
              <w:rPr>
                <w:rFonts w:ascii="宋体" w:eastAsia="宋体" w:cs="宋体" w:hint="eastAsia"/>
                <w:i w:val="0"/>
                <w:iCs w:val="0"/>
                <w:color w:val="000000"/>
                <w:spacing w:val="0"/>
                <w:w w:val="71"/>
                <w:kern w:val="0"/>
                <w:sz w:val="13"/>
                <w:szCs w:val="13"/>
                <w:u w:val="none"/>
                <w:lang w:val="en-US" w:eastAsia="zh-CN" w:bidi="ar-SA"/>
              </w:rPr>
              <w:t>标</w:t>
            </w:r>
          </w:p>
        </w:tc>
        <w:tc>
          <w:tcPr>
            <w:tcW w:w="10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spacing w:val="0"/>
                <w:w w:val="10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推动经济社会发展发挥作用</w:t>
            </w:r>
          </w:p>
        </w:tc>
        <w:tc>
          <w:tcPr>
            <w:tcW w:w="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定性</w:t>
            </w:r>
          </w:p>
        </w:tc>
        <w:tc>
          <w:tcPr>
            <w:tcW w:w="5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好</w:t>
            </w:r>
          </w:p>
        </w:tc>
        <w:tc>
          <w:tcPr>
            <w:tcW w:w="6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p>
        </w:tc>
        <w:tc>
          <w:tcPr>
            <w:tcW w:w="6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好</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20</w:t>
            </w: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20</w:t>
            </w:r>
          </w:p>
        </w:tc>
        <w:tc>
          <w:tcPr>
            <w:tcW w:w="20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p>
        </w:tc>
      </w:tr>
      <w:tr>
        <w:trPr>
          <w:trHeight w:val="454"/>
        </w:trPr>
        <w:tc>
          <w:tcPr>
            <w:tcW w:w="73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105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满意度指标</w:t>
            </w:r>
          </w:p>
        </w:tc>
        <w:tc>
          <w:tcPr>
            <w:tcW w:w="853" w:type="dxa"/>
            <w:tcBorders>
              <w:top w:val="single" w:sz="4" w:space="0" w:color="000000"/>
              <w:left w:val="single" w:sz="4" w:space="0" w:color="000000"/>
              <w:bottom w:val="single" w:sz="4" w:space="0" w:color="000000"/>
              <w:right w:val="single" w:sz="4" w:space="0" w:color="000000"/>
            </w:tcBorders>
            <w:shd w:val="clear" w:color="auto" w:fill="auto"/>
            <w:noWrap/>
            <w:tcFitText/>
            <w:vAlign w:val="center"/>
          </w:tcPr>
          <w:p>
            <w:pPr>
              <w:keepNext w:val="0"/>
              <w:keepLines w:val="0"/>
              <w:widowControl/>
              <w:suppressLineNumbers w:val="0"/>
              <w:jc w:val="left"/>
              <w:textAlignment w:val="center"/>
              <w:rPr>
                <w:rFonts w:ascii="宋体" w:eastAsia="宋体" w:cs="宋体" w:hint="eastAsia"/>
                <w:i w:val="0"/>
                <w:iCs w:val="0"/>
                <w:color w:val="000000"/>
                <w:spacing w:val="0"/>
                <w:w w:val="80"/>
                <w:kern w:val="0"/>
                <w:sz w:val="13"/>
                <w:szCs w:val="13"/>
                <w:u w:val="none"/>
                <w:lang w:val="en-US" w:eastAsia="zh-CN" w:bidi="ar-SA"/>
              </w:rPr>
            </w:pPr>
            <w:r>
              <w:rPr>
                <w:rFonts w:ascii="宋体" w:eastAsia="宋体" w:cs="宋体" w:hint="eastAsia"/>
                <w:i w:val="0"/>
                <w:iCs w:val="0"/>
                <w:color w:val="000000"/>
                <w:spacing w:val="0"/>
                <w:w w:val="52"/>
                <w:kern w:val="0"/>
                <w:sz w:val="13"/>
                <w:szCs w:val="13"/>
                <w:u w:val="none"/>
                <w:lang w:val="en-US" w:eastAsia="zh-CN" w:bidi="ar-SA"/>
              </w:rPr>
              <w:t>服务对象满意度指标</w:t>
            </w:r>
          </w:p>
        </w:tc>
        <w:tc>
          <w:tcPr>
            <w:tcW w:w="10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代表对象满意度</w:t>
            </w:r>
          </w:p>
        </w:tc>
        <w:tc>
          <w:tcPr>
            <w:tcW w:w="5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5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95</w:t>
            </w:r>
          </w:p>
        </w:tc>
        <w:tc>
          <w:tcPr>
            <w:tcW w:w="6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w:t>
            </w:r>
          </w:p>
        </w:tc>
        <w:tc>
          <w:tcPr>
            <w:tcW w:w="6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98</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w:t>
            </w:r>
          </w:p>
        </w:tc>
        <w:tc>
          <w:tcPr>
            <w:tcW w:w="20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p>
        </w:tc>
      </w:tr>
      <w:tr>
        <w:trPr>
          <w:trHeight w:val="286"/>
        </w:trPr>
        <w:tc>
          <w:tcPr>
            <w:tcW w:w="6091" w:type="dxa"/>
            <w:gridSpan w:val="8"/>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合计</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100</w:t>
            </w: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96</w:t>
            </w:r>
          </w:p>
        </w:tc>
        <w:tc>
          <w:tcPr>
            <w:tcW w:w="20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p>
        </w:tc>
      </w:tr>
      <w:tr>
        <w:trPr>
          <w:trHeight w:val="90"/>
        </w:trPr>
        <w:tc>
          <w:tcPr>
            <w:tcW w:w="7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评价结论</w:t>
            </w:r>
          </w:p>
        </w:tc>
        <w:tc>
          <w:tcPr>
            <w:tcW w:w="8361" w:type="dxa"/>
            <w:gridSpan w:val="10"/>
            <w:tcBorders>
              <w:top w:val="single" w:sz="4" w:space="0" w:color="000000"/>
              <w:left w:val="single" w:sz="4" w:space="0" w:color="000000"/>
              <w:bottom w:val="single" w:sz="4" w:space="0" w:color="000000"/>
              <w:right w:val="single" w:sz="4" w:space="0" w:color="000000"/>
            </w:tcBorders>
            <w:shd w:val="clear" w:color="auto" w:fill="auto"/>
            <w:noWrap/>
            <w:tcFitText/>
            <w:vAlign w:val="center"/>
          </w:tcPr>
          <w:p>
            <w:pPr>
              <w:keepNext w:val="0"/>
              <w:keepLines w:val="0"/>
              <w:widowControl/>
              <w:suppressLineNumbers w:val="0"/>
              <w:jc w:val="left"/>
              <w:textAlignment w:val="center"/>
              <w:rPr>
                <w:rFonts w:ascii="宋体" w:eastAsia="宋体" w:cs="宋体" w:hint="eastAsia"/>
                <w:i w:val="0"/>
                <w:iCs w:val="0"/>
                <w:color w:val="000000"/>
                <w:spacing w:val="0"/>
                <w:w w:val="80"/>
                <w:kern w:val="0"/>
                <w:sz w:val="13"/>
                <w:szCs w:val="13"/>
                <w:u w:val="none"/>
                <w:lang w:val="en-US" w:eastAsia="zh-CN" w:bidi="ar-SA"/>
              </w:rPr>
            </w:pPr>
            <w:r>
              <w:rPr>
                <w:rFonts w:ascii="宋体" w:eastAsia="宋体" w:cs="宋体" w:hint="eastAsia"/>
                <w:i w:val="0"/>
                <w:iCs w:val="0"/>
                <w:color w:val="000000"/>
                <w:spacing w:val="0"/>
                <w:w w:val="74"/>
                <w:kern w:val="0"/>
                <w:sz w:val="13"/>
                <w:szCs w:val="13"/>
                <w:u w:val="none"/>
                <w:lang w:val="en-US" w:eastAsia="zh-CN" w:bidi="ar-SA"/>
              </w:rPr>
              <w:t>实施中，因部分代表时间冲突，参训人数未达到预期，项目的实施规范，提升了绩效管理工作水平，强化支出责任，培训资金使用规范，提高财政资金使用效益，参与培训代表的满意度达到98%</w:t>
            </w:r>
          </w:p>
        </w:tc>
      </w:tr>
      <w:tr>
        <w:trPr>
          <w:trHeight w:val="331"/>
        </w:trPr>
        <w:tc>
          <w:tcPr>
            <w:tcW w:w="7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存在问题</w:t>
            </w:r>
          </w:p>
        </w:tc>
        <w:tc>
          <w:tcPr>
            <w:tcW w:w="8361" w:type="dxa"/>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项目的指标值设置的科学性还有待进一步提高。</w:t>
            </w:r>
          </w:p>
        </w:tc>
      </w:tr>
      <w:tr>
        <w:trPr>
          <w:trHeight w:val="354"/>
        </w:trPr>
        <w:tc>
          <w:tcPr>
            <w:tcW w:w="73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改进措施</w:t>
            </w:r>
          </w:p>
        </w:tc>
        <w:tc>
          <w:tcPr>
            <w:tcW w:w="8361" w:type="dxa"/>
            <w:gridSpan w:val="10"/>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r>
              <w:rPr>
                <w:rFonts w:ascii="宋体" w:eastAsia="宋体" w:cs="宋体" w:hint="eastAsia"/>
                <w:i w:val="0"/>
                <w:iCs w:val="0"/>
                <w:color w:val="000000"/>
                <w:w w:val="80"/>
                <w:kern w:val="0"/>
                <w:sz w:val="13"/>
                <w:szCs w:val="13"/>
                <w:u w:val="none"/>
                <w:lang w:val="en-US" w:eastAsia="zh-CN" w:bidi="ar-SA"/>
              </w:rPr>
              <w:t>下一年开展绩效目标编制时，指标值的设置应更为科学、严谨，以便更好的反映项目预期效果和资金使用效益。</w:t>
            </w:r>
          </w:p>
        </w:tc>
      </w:tr>
    </w:tbl>
    <w:p>
      <w:pPr>
        <w:keepNext w:val="0"/>
        <w:keepLines w:val="0"/>
        <w:widowControl/>
        <w:suppressLineNumbers w:val="0"/>
        <w:jc w:val="left"/>
        <w:textAlignment w:val="center"/>
        <w:rPr>
          <w:rFonts w:ascii="宋体" w:eastAsia="宋体" w:cs="宋体" w:hint="eastAsia"/>
          <w:i w:val="0"/>
          <w:iCs w:val="0"/>
          <w:color w:val="000000"/>
          <w:w w:val="80"/>
          <w:kern w:val="0"/>
          <w:sz w:val="13"/>
          <w:szCs w:val="13"/>
          <w:u w:val="none"/>
          <w:lang w:val="en-US" w:eastAsia="zh-CN" w:bidi="ar-SA"/>
        </w:rPr>
      </w:pPr>
    </w:p>
    <w:p>
      <w:pPr>
        <w:pStyle w:val="17"/>
        <w:tabs>
          <w:tab w:val="center" w:pos="4153"/>
          <w:tab w:val="right" w:pos="8306"/>
        </w:tabs>
        <w:rPr>
          <w:lang w:val="en-US" w:eastAsia="zh-CN"/>
        </w:rPr>
      </w:pPr>
    </w:p>
    <w:p>
      <w:pPr>
        <w:pStyle w:val="15"/>
        <w:rPr>
          <w:rFonts w:hint="eastAsia"/>
        </w:rPr>
      </w:pPr>
    </w:p>
    <w:p>
      <w:pPr>
        <w:keepNext w:val="0"/>
        <w:keepLines w:val="0"/>
        <w:pageBreakBefore w:val="0"/>
        <w:widowControl/>
        <w:numPr>
          <w:ilvl w:val="0"/>
          <w:numId w:val="3"/>
        </w:numPr>
        <w:kinsoku/>
        <w:wordWrap/>
        <w:overflowPunct/>
        <w:topLinePunct w:val="0"/>
        <w:autoSpaceDE/>
        <w:autoSpaceDN/>
        <w:bidi w:val="0"/>
        <w:adjustRightInd/>
        <w:snapToGrid/>
        <w:ind w:left="0" w:firstLine="0"/>
        <w:jc w:val="center"/>
        <w:textAlignment w:val="auto"/>
        <w:rPr>
          <w:rFonts w:ascii="方正小标宋简体" w:eastAsia="方正小标宋简体" w:cs="方正小标宋简体" w:hint="eastAsia"/>
          <w:b w:val="0"/>
          <w:bCs/>
          <w:kern w:val="44"/>
          <w:sz w:val="44"/>
          <w:szCs w:val="44"/>
          <w:lang w:val="en-US" w:eastAsia="zh-CN" w:bidi="ar-SA"/>
        </w:rPr>
      </w:pPr>
      <w:r>
        <w:rPr>
          <w:rFonts w:ascii="方正小标宋简体" w:eastAsia="方正小标宋简体" w:cs="方正小标宋简体" w:hint="eastAsia"/>
          <w:b w:val="0"/>
          <w:bCs/>
          <w:kern w:val="44"/>
          <w:sz w:val="44"/>
          <w:szCs w:val="44"/>
          <w:lang w:val="en-US" w:eastAsia="zh-CN" w:bidi="ar-SA"/>
        </w:rPr>
        <w:t>附表</w:t>
      </w:r>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cs="仿宋_GB2312" w:hint="eastAsia"/>
          <w:b w:val="0"/>
          <w:bCs/>
          <w:kern w:val="44"/>
          <w:sz w:val="32"/>
          <w:szCs w:val="32"/>
          <w:lang w:val="en-US" w:eastAsia="zh-CN" w:bidi="ar-SA"/>
        </w:rPr>
      </w:pPr>
      <w:r>
        <w:rPr>
          <w:rFonts w:ascii="仿宋_GB2312" w:eastAsia="仿宋_GB2312" w:cs="仿宋_GB2312" w:hint="eastAsia"/>
          <w:b w:val="0"/>
          <w:bCs/>
          <w:kern w:val="44"/>
          <w:sz w:val="32"/>
          <w:szCs w:val="32"/>
          <w:lang w:val="en-US" w:eastAsia="zh-CN" w:bidi="ar-SA"/>
        </w:rPr>
        <w:t>一、收入支出决算总表</w:t>
      </w:r>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cs="仿宋_GB2312" w:hint="eastAsia"/>
          <w:b w:val="0"/>
          <w:bCs/>
          <w:kern w:val="44"/>
          <w:sz w:val="32"/>
          <w:szCs w:val="32"/>
          <w:lang w:val="en-US" w:eastAsia="zh-CN" w:bidi="ar-SA"/>
        </w:rPr>
      </w:pPr>
      <w:r>
        <w:rPr>
          <w:rFonts w:ascii="仿宋_GB2312" w:eastAsia="仿宋_GB2312" w:cs="仿宋_GB2312" w:hint="eastAsia"/>
          <w:b w:val="0"/>
          <w:bCs/>
          <w:kern w:val="44"/>
          <w:sz w:val="32"/>
          <w:szCs w:val="32"/>
          <w:lang w:val="en-US" w:eastAsia="zh-CN" w:bidi="ar-SA"/>
        </w:rPr>
        <w:t>二、收入决算表</w:t>
      </w:r>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cs="仿宋_GB2312" w:hint="eastAsia"/>
          <w:b w:val="0"/>
          <w:bCs/>
          <w:kern w:val="44"/>
          <w:sz w:val="32"/>
          <w:szCs w:val="32"/>
          <w:lang w:val="en-US" w:eastAsia="zh-CN" w:bidi="ar-SA"/>
        </w:rPr>
      </w:pPr>
      <w:r>
        <w:rPr>
          <w:rFonts w:ascii="仿宋_GB2312" w:eastAsia="仿宋_GB2312" w:cs="仿宋_GB2312" w:hint="eastAsia"/>
          <w:b w:val="0"/>
          <w:bCs/>
          <w:kern w:val="44"/>
          <w:sz w:val="32"/>
          <w:szCs w:val="32"/>
          <w:lang w:val="en-US" w:eastAsia="zh-CN" w:bidi="ar-SA"/>
        </w:rPr>
        <w:t>三、支出决算表</w:t>
      </w:r>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cs="仿宋_GB2312" w:hint="eastAsia"/>
          <w:b w:val="0"/>
          <w:bCs/>
          <w:kern w:val="44"/>
          <w:sz w:val="32"/>
          <w:szCs w:val="32"/>
          <w:lang w:val="en-US" w:eastAsia="zh-CN" w:bidi="ar-SA"/>
        </w:rPr>
      </w:pPr>
      <w:r>
        <w:rPr>
          <w:rFonts w:ascii="仿宋_GB2312" w:eastAsia="仿宋_GB2312" w:cs="仿宋_GB2312" w:hint="eastAsia"/>
          <w:b w:val="0"/>
          <w:bCs/>
          <w:kern w:val="44"/>
          <w:sz w:val="32"/>
          <w:szCs w:val="32"/>
          <w:lang w:val="en-US" w:eastAsia="zh-CN" w:bidi="ar-SA"/>
        </w:rPr>
        <w:t>四、财政拨款收入支出决算总表</w:t>
      </w:r>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cs="仿宋_GB2312" w:hint="eastAsia"/>
          <w:b w:val="0"/>
          <w:bCs/>
          <w:kern w:val="44"/>
          <w:sz w:val="32"/>
          <w:szCs w:val="32"/>
          <w:lang w:val="en-US" w:eastAsia="zh-CN" w:bidi="ar-SA"/>
        </w:rPr>
      </w:pPr>
      <w:r>
        <w:rPr>
          <w:rFonts w:ascii="仿宋_GB2312" w:eastAsia="仿宋_GB2312" w:cs="仿宋_GB2312" w:hint="eastAsia"/>
          <w:b w:val="0"/>
          <w:bCs/>
          <w:kern w:val="44"/>
          <w:sz w:val="32"/>
          <w:szCs w:val="32"/>
          <w:lang w:val="en-US" w:eastAsia="zh-CN" w:bidi="ar-SA"/>
        </w:rPr>
        <w:t>五、财政拨款支出决算明细表</w:t>
      </w:r>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cs="仿宋_GB2312" w:hint="eastAsia"/>
          <w:b w:val="0"/>
          <w:bCs/>
          <w:kern w:val="44"/>
          <w:sz w:val="32"/>
          <w:szCs w:val="32"/>
          <w:lang w:val="en-US" w:eastAsia="zh-CN" w:bidi="ar-SA"/>
        </w:rPr>
      </w:pPr>
      <w:r>
        <w:rPr>
          <w:rFonts w:ascii="仿宋_GB2312" w:eastAsia="仿宋_GB2312" w:cs="仿宋_GB2312" w:hint="eastAsia"/>
          <w:b w:val="0"/>
          <w:bCs/>
          <w:kern w:val="44"/>
          <w:sz w:val="32"/>
          <w:szCs w:val="32"/>
          <w:lang w:val="en-US" w:eastAsia="zh-CN" w:bidi="ar-SA"/>
        </w:rPr>
        <w:t>六、一般公共预算财政拨款支出决算表</w:t>
      </w:r>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cs="仿宋_GB2312" w:hint="eastAsia"/>
          <w:b w:val="0"/>
          <w:bCs/>
          <w:kern w:val="44"/>
          <w:sz w:val="32"/>
          <w:szCs w:val="32"/>
          <w:lang w:val="en-US" w:eastAsia="zh-CN" w:bidi="ar-SA"/>
        </w:rPr>
      </w:pPr>
      <w:r>
        <w:rPr>
          <w:rFonts w:ascii="仿宋_GB2312" w:eastAsia="仿宋_GB2312" w:cs="仿宋_GB2312" w:hint="eastAsia"/>
          <w:b w:val="0"/>
          <w:bCs/>
          <w:kern w:val="44"/>
          <w:sz w:val="32"/>
          <w:szCs w:val="32"/>
          <w:lang w:val="en-US" w:eastAsia="zh-CN" w:bidi="ar-SA"/>
        </w:rPr>
        <w:t>七、一般公共预算财政拨款支出决算明细表</w:t>
      </w:r>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cs="仿宋_GB2312" w:hint="eastAsia"/>
          <w:b w:val="0"/>
          <w:bCs/>
          <w:kern w:val="44"/>
          <w:sz w:val="32"/>
          <w:szCs w:val="32"/>
          <w:lang w:val="en-US" w:eastAsia="zh-CN" w:bidi="ar-SA"/>
        </w:rPr>
      </w:pPr>
      <w:r>
        <w:rPr>
          <w:rFonts w:ascii="仿宋_GB2312" w:eastAsia="仿宋_GB2312" w:cs="仿宋_GB2312" w:hint="eastAsia"/>
          <w:b w:val="0"/>
          <w:bCs/>
          <w:kern w:val="44"/>
          <w:sz w:val="32"/>
          <w:szCs w:val="32"/>
          <w:lang w:val="en-US" w:eastAsia="zh-CN" w:bidi="ar-SA"/>
        </w:rPr>
        <w:t>八、一般公共预算财政拨款基本支出决算表</w:t>
      </w:r>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cs="仿宋_GB2312" w:hint="eastAsia"/>
          <w:b w:val="0"/>
          <w:bCs/>
          <w:kern w:val="44"/>
          <w:sz w:val="32"/>
          <w:szCs w:val="32"/>
          <w:lang w:val="en-US" w:eastAsia="zh-CN" w:bidi="ar-SA"/>
        </w:rPr>
      </w:pPr>
      <w:r>
        <w:rPr>
          <w:rFonts w:ascii="仿宋_GB2312" w:eastAsia="仿宋_GB2312" w:cs="仿宋_GB2312" w:hint="eastAsia"/>
          <w:b w:val="0"/>
          <w:bCs/>
          <w:kern w:val="44"/>
          <w:sz w:val="32"/>
          <w:szCs w:val="32"/>
          <w:lang w:val="en-US" w:eastAsia="zh-CN" w:bidi="ar-SA"/>
        </w:rPr>
        <w:t>九、一般公共预算财政拨款项目支出决算表</w:t>
      </w:r>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cs="仿宋_GB2312" w:hint="eastAsia"/>
          <w:b w:val="0"/>
          <w:bCs/>
          <w:kern w:val="44"/>
          <w:sz w:val="32"/>
          <w:szCs w:val="32"/>
          <w:lang w:val="en-US" w:eastAsia="zh-CN" w:bidi="ar-SA"/>
        </w:rPr>
      </w:pPr>
      <w:r>
        <w:rPr>
          <w:rFonts w:ascii="仿宋_GB2312" w:eastAsia="仿宋_GB2312" w:cs="仿宋_GB2312" w:hint="eastAsia"/>
          <w:b w:val="0"/>
          <w:bCs/>
          <w:kern w:val="44"/>
          <w:sz w:val="32"/>
          <w:szCs w:val="32"/>
          <w:lang w:val="en-US" w:eastAsia="zh-CN" w:bidi="ar-SA"/>
        </w:rPr>
        <w:t>十、政府性基金预算财政拨款收入支出决算表</w:t>
      </w:r>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cs="仿宋_GB2312" w:hint="eastAsia"/>
          <w:b w:val="0"/>
          <w:bCs/>
          <w:kern w:val="44"/>
          <w:sz w:val="32"/>
          <w:szCs w:val="32"/>
          <w:lang w:val="en-US" w:eastAsia="zh-CN" w:bidi="ar-SA"/>
        </w:rPr>
      </w:pPr>
      <w:r>
        <w:rPr>
          <w:rFonts w:ascii="仿宋_GB2312" w:eastAsia="仿宋_GB2312" w:cs="仿宋_GB2312" w:hint="eastAsia"/>
          <w:b w:val="0"/>
          <w:bCs/>
          <w:kern w:val="44"/>
          <w:sz w:val="32"/>
          <w:szCs w:val="32"/>
          <w:lang w:val="en-US" w:eastAsia="zh-CN" w:bidi="ar-SA"/>
        </w:rPr>
        <w:t>十一、国有资本经营预算财政拨款收入支出决算表</w:t>
      </w:r>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cs="仿宋_GB2312" w:hint="eastAsia"/>
          <w:b w:val="0"/>
          <w:bCs/>
          <w:kern w:val="44"/>
          <w:sz w:val="32"/>
          <w:szCs w:val="32"/>
          <w:lang w:val="en-US" w:eastAsia="zh-CN" w:bidi="ar-SA"/>
        </w:rPr>
      </w:pPr>
      <w:r>
        <w:rPr>
          <w:rFonts w:ascii="仿宋_GB2312" w:eastAsia="仿宋_GB2312" w:cs="仿宋_GB2312" w:hint="eastAsia"/>
          <w:b w:val="0"/>
          <w:bCs/>
          <w:kern w:val="44"/>
          <w:sz w:val="32"/>
          <w:szCs w:val="32"/>
          <w:lang w:val="en-US" w:eastAsia="zh-CN" w:bidi="ar-SA"/>
        </w:rPr>
        <w:t>十二、国有资本经营预算财政拨款支出决算表</w:t>
      </w:r>
    </w:p>
    <w:p>
      <w:pPr>
        <w:keepNext w:val="0"/>
        <w:keepLines w:val="0"/>
        <w:pageBreakBefore w:val="0"/>
        <w:widowControl/>
        <w:kinsoku/>
        <w:wordWrap/>
        <w:overflowPunct/>
        <w:topLinePunct w:val="0"/>
        <w:autoSpaceDE/>
        <w:autoSpaceDN/>
        <w:bidi w:val="0"/>
        <w:adjustRightInd/>
        <w:snapToGrid/>
        <w:jc w:val="both"/>
        <w:textAlignment w:val="auto"/>
        <w:rPr>
          <w:rFonts w:ascii="仿宋_GB2312" w:eastAsia="仿宋_GB2312" w:cs="仿宋_GB2312" w:hint="eastAsia"/>
          <w:b w:val="0"/>
          <w:bCs/>
          <w:kern w:val="44"/>
          <w:sz w:val="32"/>
          <w:szCs w:val="32"/>
          <w:lang w:val="en-US" w:eastAsia="zh-CN" w:bidi="ar-SA"/>
        </w:rPr>
      </w:pPr>
      <w:r>
        <w:rPr>
          <w:rFonts w:ascii="仿宋_GB2312" w:eastAsia="仿宋_GB2312" w:cs="仿宋_GB2312" w:hint="eastAsia"/>
          <w:b w:val="0"/>
          <w:bCs/>
          <w:kern w:val="44"/>
          <w:sz w:val="32"/>
          <w:szCs w:val="32"/>
          <w:lang w:val="en-US" w:eastAsia="zh-CN" w:bidi="ar-SA"/>
        </w:rPr>
        <w:t>十三、财政拨款“三公”经费支出决算表</w:t>
      </w:r>
    </w:p>
    <w:p>
      <w:pPr>
        <w:keepNext w:val="0"/>
        <w:keepLines w:val="0"/>
        <w:pageBreakBefore w:val="0"/>
        <w:widowControl w:val="0"/>
        <w:kinsoku/>
        <w:wordWrap/>
        <w:overflowPunct/>
        <w:topLinePunct w:val="0"/>
        <w:autoSpaceDE/>
        <w:autoSpaceDN/>
        <w:bidi w:val="0"/>
        <w:adjustRightInd/>
        <w:snapToGrid/>
        <w:jc w:val="both"/>
        <w:textAlignment w:val="auto"/>
        <w:rPr>
          <w:rStyle w:val="23"/>
          <w:rFonts w:ascii="仿宋_GB2312" w:eastAsia="仿宋_GB2312" w:cs="仿宋_GB2312" w:hint="eastAsia"/>
          <w:b w:val="0"/>
          <w:sz w:val="44"/>
          <w:szCs w:val="44"/>
        </w:rPr>
      </w:pPr>
    </w:p>
    <w:p>
      <w:pPr>
        <w:keepNext w:val="0"/>
        <w:keepLines w:val="0"/>
        <w:pageBreakBefore w:val="0"/>
        <w:widowControl w:val="0"/>
        <w:kinsoku/>
        <w:wordWrap/>
        <w:overflowPunct/>
        <w:topLinePunct w:val="0"/>
        <w:autoSpaceDE/>
        <w:autoSpaceDN/>
        <w:bidi w:val="0"/>
        <w:adjustRightInd/>
        <w:snapToGrid/>
        <w:jc w:val="both"/>
        <w:textAlignment w:val="auto"/>
        <w:rPr>
          <w:rStyle w:val="23"/>
          <w:rFonts w:ascii="仿宋_GB2312" w:eastAsia="仿宋_GB2312" w:cs="仿宋_GB2312" w:hint="eastAsia"/>
          <w:b w:val="0"/>
          <w:sz w:val="44"/>
          <w:szCs w:val="44"/>
          <w:lang w:val="en-US" w:eastAsia="zh-CN"/>
        </w:rPr>
      </w:pPr>
    </w:p>
    <w:sectPr>
      <w:footerReference w:type="default" r:id="rId2"/>
      <w:footerReference w:type="even" r:id="rId3"/>
      <w:pgSz w:w="11906" w:h="16838"/>
      <w:pgMar w:top="2098" w:right="1531" w:bottom="1984" w:left="1531" w:header="851" w:footer="992" w:gutter="0"/>
      <w:pgNumType w:fmt="numberInDash"/>
      <w:titlePg/>
      <w:docGrid w:type="lines" w:linePitch="312" w:charSpace="0"/>
    </w:sectPr>
  </w:body>
</w:document>
</file>

<file path=word/fontTable.xml><?xml version="1.0" encoding="utf-8"?>
<w:fonts xmlns:w="http://schemas.openxmlformats.org/wordprocessingml/2006/main" xmlns:r="http://schemas.openxmlformats.org/officeDocument/2006/relationships">
  <w:font w:name="宋体">
    <w:panose1 w:val="02010600030101010101"/>
    <w:charset w:val="7A"/>
    <w:family w:val="auto"/>
    <w:pitch w:val="variable"/>
    <w:sig w:usb0="00000003" w:usb1="288F0000" w:usb2="00000006" w:usb3="00000000" w:csb0="00040001" w:csb1="00000000"/>
  </w:font>
  <w:font w:name="黑体">
    <w:panose1 w:val="02010609060101010101"/>
    <w:charset w:val="86"/>
    <w:family w:val="auto"/>
    <w:pitch w:val="variable"/>
    <w:sig w:usb0="800002BF" w:usb1="38CF7CFA" w:usb2="00000016" w:usb3="00000000" w:csb0="00040001" w:csb1="00000000"/>
  </w:font>
  <w:font w:name="方正小标宋简体">
    <w:panose1 w:val="02010601030101010101"/>
    <w:charset w:val="86"/>
    <w:family w:val="auto"/>
    <w:pitch w:val="variable"/>
    <w:sig w:usb0="00000001" w:usb1="080E0000" w:usb2="00000000" w:usb3="00000000" w:csb0="00040000" w:csb1="00000000"/>
  </w:font>
  <w:font w:name="仿宋_GB2312">
    <w:panose1 w:val="02010609030101010101"/>
    <w:charset w:val="86"/>
    <w:family w:val="modern"/>
    <w:pitch w:val="variable"/>
    <w:sig w:usb0="00000001" w:usb1="080E0000" w:usb2="00000000" w:usb3="00000000" w:csb0="00040000" w:csb1="00000000"/>
  </w:font>
  <w:font w:name="Times New Roman">
    <w:panose1 w:val="02020603050405020304"/>
    <w:charset w:val="01"/>
    <w:family w:val="auto"/>
    <w:pitch w:val="variable"/>
    <w:sig w:usb0="E0002EFF" w:usb1="C000785B" w:usb2="00000009" w:usb3="00000000" w:csb0="400001FF" w:csb1="FFFF0000"/>
  </w:font>
  <w:font w:name="仿宋">
    <w:panose1 w:val="02010609060101010101"/>
    <w:charset w:val="86"/>
    <w:family w:val="modern"/>
    <w:pitch w:val="variable"/>
    <w:sig w:usb0="800002BF" w:usb1="38CF7CFA" w:usb2="00000016" w:usb3="00000000" w:csb0="00040001" w:csb1="00000000"/>
  </w:font>
  <w:font w:name="楷体_GB2312">
    <w:panose1 w:val="02010609030101010101"/>
    <w:charset w:val="86"/>
    <w:family w:val="modern"/>
    <w:pitch w:val="variable"/>
    <w:sig w:usb0="00000001" w:usb1="080E0000" w:usb2="00000000" w:usb3="00000000" w:csb0="00040000" w:csb1="00000000"/>
  </w:font>
  <w:font w:name="方正小标宋_GBK">
    <w:altName w:val="微软雅黑"/>
    <w:panose1 w:val="03000509000000000000"/>
    <w:charset w:val="86"/>
    <w:family w:val="auto"/>
    <w:pitch w:val="variable"/>
    <w:sig w:usb0="00000001" w:usb1="080E0000" w:usb2="00000000" w:usb3="00000000" w:csb0="00040000" w:csb1="00000000"/>
  </w:font>
  <w:font w:name="Cambria">
    <w:panose1 w:val="02040503050406030204"/>
    <w:charset w:val="00"/>
    <w:family w:val="roman"/>
    <w:pitch w:val="variable"/>
    <w:sig w:usb0="E00006FF" w:usb1="420024FF" w:usb2="02000000" w:usb3="00000000" w:csb0="2000019F" w:csb1="00000000"/>
  </w:font>
  <w:font w:name="等线">
    <w:altName w:val="微软雅黑"/>
    <w:panose1 w:val="02010600030101010101"/>
    <w:charset w:val="86"/>
    <w:family w:val="auto"/>
    <w:pitch w:val="variable"/>
    <w:sig w:usb0="A00002BF" w:usb1="38CF7CFA" w:usb2="00000016" w:usb3="00000000" w:csb0="0004000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7"/>
      <w:framePr w:w="0" w:hRule="auto" w:wrap="around" w:vAnchor="text" w:hAnchor="margin" w:xAlign="outside" w:y="1" w:anchorLock="0"/>
      <w:tabs>
        <w:tab w:val="center" w:pos="4153"/>
        <w:tab w:val="right" w:pos="8306"/>
      </w:tabs>
      <w:rPr>
        <w:rStyle w:val="24"/>
        <w:rFonts w:ascii="宋体"/>
        <w:sz w:val="28"/>
        <w:szCs w:val="28"/>
      </w:rPr>
    </w:pPr>
    <w:r>
      <w:rPr>
        <w:rStyle w:val="24"/>
        <w:rFonts w:ascii="宋体"/>
        <w:sz w:val="28"/>
        <w:szCs w:val="28"/>
      </w:rPr>
      <w:fldChar w:fldCharType="begin"/>
    </w:r>
    <w:r>
      <w:rPr>
        <w:rStyle w:val="24"/>
        <w:rFonts w:ascii="宋体"/>
        <w:sz w:val="28"/>
        <w:szCs w:val="28"/>
      </w:rPr>
      <w:instrText xml:space="preserve">PAGE  </w:instrText>
    </w:r>
    <w:r>
      <w:rPr>
        <w:rFonts w:ascii="宋体"/>
        <w:sz w:val="28"/>
        <w:szCs w:val="28"/>
      </w:rPr>
      <w:fldChar w:fldCharType="separate"/>
    </w:r>
    <w:r>
      <w:rPr>
        <w:rStyle w:val="24"/>
        <w:rFonts w:ascii="宋体"/>
        <w:sz w:val="28"/>
        <w:szCs w:val="28"/>
      </w:rPr>
      <w:t>- 32 -</w:t>
    </w:r>
    <w:r>
      <w:rPr>
        <w:rFonts w:ascii="宋体"/>
        <w:sz w:val="28"/>
        <w:szCs w:val="28"/>
      </w:rPr>
      <w:fldChar w:fldCharType="end"/>
    </w:r>
  </w:p>
  <w:p>
    <w:pPr>
      <w:pStyle w:val="17"/>
      <w:tabs>
        <w:tab w:val="center" w:pos="4153"/>
        <w:tab w:val="right" w:pos="8306"/>
      </w:tabs>
      <w:ind w:right="360" w:firstLine="360"/>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7"/>
      <w:framePr w:w="0" w:hRule="auto" w:wrap="around" w:vAnchor="text" w:hAnchor="margin" w:xAlign="outside" w:y="1" w:anchorLock="0"/>
      <w:tabs>
        <w:tab w:val="center" w:pos="4153"/>
        <w:tab w:val="right" w:pos="8306"/>
      </w:tabs>
      <w:rPr>
        <w:rStyle w:val="24"/>
      </w:rPr>
    </w:pPr>
    <w:r>
      <w:rPr>
        <w:rStyle w:val="24"/>
      </w:rPr>
      <w:fldChar w:fldCharType="begin"/>
    </w:r>
    <w:r>
      <w:rPr>
        <w:rStyle w:val="24"/>
      </w:rPr>
      <w:instrText xml:space="preserve">PAGE  </w:instrText>
    </w:r>
    <w:r>
      <w:fldChar w:fldCharType="separate"/>
    </w:r>
    <w:r>
      <w:t xml:space="preserve"> </w:t>
    </w:r>
    <w:r>
      <w:fldChar w:fldCharType="end"/>
    </w:r>
  </w:p>
  <w:p>
    <w:pPr>
      <w:pStyle w:val="17"/>
      <w:tabs>
        <w:tab w:val="center" w:pos="4153"/>
        <w:tab w:val="right" w:pos="8306"/>
      </w:tabs>
      <w:ind w:right="360" w:firstLine="360"/>
    </w:pP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28514CBF"/>
    <w:multiLevelType w:val="singleLevel"/>
    <w:tmpl w:val="28514CBF"/>
    <w:lvl w:ilvl="0">
      <w:start w:val="2"/>
      <w:numFmt w:val="chineseCounting"/>
      <w:lvlRestart w:val="0"/>
      <w:suff w:val="space"/>
      <w:lvlText w:val="第%1部分"/>
      <w:lvlJc w:val="left"/>
      <w:pPr>
        <w:ind w:left="0" w:hanging="0"/>
      </w:pPr>
      <w:rPr>
        <w:rFonts w:hint="eastAsia"/>
      </w:rPr>
    </w:lvl>
  </w:abstractNum>
  <w:abstractNum w:abstractNumId="1">
    <w:nsid w:val="2B108F42"/>
    <w:multiLevelType w:val="singleLevel"/>
    <w:tmpl w:val="2B108F42"/>
    <w:lvl w:ilvl="0">
      <w:start w:val="4"/>
      <w:numFmt w:val="chineseCounting"/>
      <w:lvlRestart w:val="0"/>
      <w:suff w:val="nothing"/>
      <w:lvlText w:val="（%1）"/>
      <w:lvlJc w:val="left"/>
      <w:pPr>
        <w:ind w:left="0" w:hanging="0"/>
      </w:pPr>
      <w:rPr>
        <w:rFonts w:hint="eastAsia"/>
      </w:rPr>
    </w:lvl>
  </w:abstractNum>
  <w:abstractNum w:abstractNumId="2">
    <w:nsid w:val="CAD9E26F"/>
    <w:multiLevelType w:val="singleLevel"/>
    <w:tmpl w:val="CAD9E26F"/>
    <w:lvl w:ilvl="0">
      <w:start w:val="4"/>
      <w:numFmt w:val="chineseCounting"/>
      <w:lvlRestart w:val="0"/>
      <w:suff w:val="space"/>
      <w:lvlText w:val="第%1部分"/>
      <w:lvlJc w:val="left"/>
      <w:pPr>
        <w:ind w:left="0" w:hanging="0"/>
      </w:pPr>
      <w:rPr>
        <w:rFonts w:hint="eastAsia"/>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bestFit" w:percent="100"/>
  <w:doNotDisplayPageBoundaries/>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doNotUseIndentAsNumberingTabStop/>
    <w:compatSetting w:name="compatibilityMode" w:uri="http://schemas.microsoft.com/office/word" w:val="14"/>
  </w:compat>
  <w:docVars>
    <w:docVar w:name="commondata" w:val="eyJoZGlkIjoiMDQ4MzIyOThlOGFmMzNkMzJmOGM5YzgwN2VmODRhNzc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Cambria" w:hAnsi="Cambria"/>
      <w:b/>
      <w:bCs/>
      <w:sz w:val="32"/>
      <w:szCs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Body Text"/>
    <w:basedOn w:val="0"/>
    <w:pPr>
      <w:spacing w:beforeLines="30" w:before="30"/>
    </w:pPr>
    <w:rPr>
      <w:rFonts w:ascii="仿宋_GB2312" w:eastAsia="仿宋_GB2312"/>
      <w:kern w:val="0"/>
      <w:sz w:val="30"/>
    </w:rPr>
  </w:style>
  <w:style w:type="paragraph" w:styleId="16">
    <w:name w:val="Date"/>
    <w:basedOn w:val="0"/>
    <w:next w:val="0"/>
    <w:pPr>
      <w:ind w:leftChars="2500" w:left="2500"/>
    </w:pPr>
  </w:style>
  <w:style w:type="paragraph" w:styleId="17">
    <w:name w:val="footer"/>
    <w:basedOn w:val="0"/>
    <w:next w:val="0"/>
    <w:pPr>
      <w:tabs>
        <w:tab w:val="center" w:pos="4153"/>
        <w:tab w:val="right" w:pos="8306"/>
      </w:tabs>
      <w:snapToGrid w:val="0"/>
      <w:jc w:val="left"/>
    </w:pPr>
    <w:rPr>
      <w:sz w:val="18"/>
      <w:szCs w:val="18"/>
    </w:rPr>
  </w:style>
  <w:style w:type="paragraph" w:styleId="18">
    <w:name w:val="header"/>
    <w:basedOn w:val="0"/>
    <w:pPr>
      <w:pBdr>
        <w:bottom w:val="single" w:sz="6" w:space="1" w:color="auto"/>
      </w:pBdr>
      <w:tabs>
        <w:tab w:val="center" w:pos="4153"/>
        <w:tab w:val="right" w:pos="8306"/>
      </w:tabs>
      <w:snapToGrid w:val="0"/>
      <w:jc w:val="center"/>
    </w:pPr>
    <w:rPr>
      <w:sz w:val="18"/>
      <w:szCs w:val="18"/>
    </w:rPr>
  </w:style>
  <w:style w:type="paragraph" w:styleId="19">
    <w:name w:val="toc 1"/>
    <w:basedOn w:val="0"/>
    <w:next w:val="0"/>
    <w:pPr>
      <w:spacing w:before="120" w:after="120"/>
      <w:jc w:val="left"/>
    </w:pPr>
    <w:rPr>
      <w:rFonts w:ascii="等线" w:eastAsia="等线"/>
      <w:b/>
      <w:bCs/>
      <w:caps/>
      <w:smallCaps w:val="0"/>
      <w:sz w:val="20"/>
      <w:szCs w:val="20"/>
    </w:rPr>
  </w:style>
  <w:style w:type="paragraph" w:styleId="20">
    <w:name w:val="table of figures"/>
    <w:basedOn w:val="0"/>
    <w:next w:val="0"/>
    <w:pPr>
      <w:spacing w:before="100" w:beforeAutospacing="1" w:after="100" w:afterAutospacing="1"/>
      <w:ind w:leftChars="200" w:left="400" w:hangingChars="200" w:hanging="200"/>
    </w:pPr>
    <w:rPr>
      <w:kern w:val="0"/>
      <w:sz w:val="20"/>
      <w:szCs w:val="21"/>
    </w:rPr>
  </w:style>
  <w:style w:type="paragraph" w:styleId="21">
    <w:name w:val="toc 2"/>
    <w:basedOn w:val="0"/>
    <w:next w:val="0"/>
    <w:pPr>
      <w:ind w:left="210"/>
      <w:jc w:val="left"/>
    </w:pPr>
    <w:rPr>
      <w:rFonts w:ascii="等线" w:eastAsia="等线"/>
      <w:caps w:val="0"/>
      <w:smallCaps/>
      <w:sz w:val="20"/>
      <w:szCs w:val="20"/>
    </w:rPr>
  </w:style>
  <w:style w:type="paragraph" w:styleId="22">
    <w:name w:val="Normal (Web)"/>
    <w:basedOn w:val="0"/>
    <w:pPr>
      <w:widowControl/>
      <w:spacing w:before="100" w:beforeAutospacing="1" w:after="100" w:afterAutospacing="1"/>
      <w:jc w:val="left"/>
    </w:pPr>
    <w:rPr>
      <w:rFonts w:ascii="宋体" w:cs="宋体"/>
      <w:kern w:val="0"/>
      <w:sz w:val="24"/>
    </w:rPr>
  </w:style>
  <w:style w:type="character" w:styleId="23">
    <w:name w:val="Strong"/>
    <w:basedOn w:val="10"/>
    <w:rPr>
      <w:b/>
      <w:bCs/>
    </w:rPr>
  </w:style>
  <w:style w:type="character" w:styleId="24">
    <w:name w:val="page number"/>
    <w:basedOn w:val="10"/>
  </w:style>
  <w:style w:type="paragraph" w:customStyle="1" w:styleId="25">
    <w:name w:val="p0"/>
    <w:basedOn w:val="0"/>
    <w:pPr>
      <w:widowControl/>
      <w:spacing w:line="365" w:lineRule="atLeast"/>
      <w:ind w:left="1"/>
      <w:textAlignment w:val="bottom"/>
    </w:pPr>
    <w:rPr>
      <w:kern w:val="0"/>
      <w:sz w:val="20"/>
      <w:szCs w:val="20"/>
    </w:rPr>
  </w:style>
  <w:style w:type="paragraph" w:customStyle="1" w:styleId="26">
    <w:name w:val="p1"/>
    <w:basedOn w:val="0"/>
    <w:pPr>
      <w:widowControl/>
      <w:spacing w:before="100" w:beforeAutospacing="1" w:after="100" w:afterAutospacing="1"/>
      <w:jc w:val="left"/>
    </w:pPr>
    <w:rPr>
      <w:rFonts w:ascii="宋体" w:eastAsia="宋体" w:cs="宋体"/>
      <w:kern w:val="0"/>
      <w:sz w:val="24"/>
      <w:szCs w:val="24"/>
    </w:rPr>
  </w:style>
  <w:style w:type="paragraph" w:styleId="27">
    <w:name w:val="List Paragraph"/>
    <w:basedOn w:val="0"/>
    <w:pPr>
      <w:ind w:firstLineChars="200" w:firstLine="200"/>
    </w:pPr>
  </w:style>
  <w:style w:type="paragraph" w:customStyle="1" w:styleId="28">
    <w:name w:val="Default"/>
    <w:pPr>
      <w:widowControl w:val="0"/>
      <w:autoSpaceDE w:val="0"/>
      <w:autoSpaceDN w:val="0"/>
      <w:adjustRightInd w:val="0"/>
    </w:pPr>
    <w:rPr>
      <w:rFonts w:ascii="仿宋" w:eastAsia="仿宋" w:cs="仿宋"/>
      <w:color w:val="000000"/>
      <w:sz w:val="24"/>
      <w:szCs w:val="24"/>
      <w:lang w:val="en-US" w:eastAsia="zh-CN" w:bidi="ar-SA"/>
    </w:rPr>
  </w:style>
  <w:style w:type="paragraph" w:customStyle="1" w:styleId="29">
    <w:name w:val="闻政正文"/>
    <w:basedOn w:val="0"/>
    <w:pPr>
      <w:spacing w:line="600" w:lineRule="exact"/>
      <w:ind w:firstLineChars="200" w:firstLine="200"/>
    </w:pPr>
    <w:rPr>
      <w:rFonts w:ascii="Times New Roman" w:eastAsia="仿宋_GB2312" w:cs="Times New Roman" w:hAnsi="Times New Roman"/>
      <w:kern w:val="0"/>
      <w:sz w:val="28"/>
      <w:szCs w:val="28"/>
      <w:lang w:val="zh-CN"/>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image" Target="media/2.emf"/><Relationship Id="rId5" Type="http://schemas.openxmlformats.org/officeDocument/2006/relationships/oleObject" Target="embeddings/oleObject1.bin"/><Relationship Id="rId6" Type="http://schemas.openxmlformats.org/officeDocument/2006/relationships/image" Target="media/4.emf"/><Relationship Id="rId7" Type="http://schemas.openxmlformats.org/officeDocument/2006/relationships/oleObject" Target="embeddings/oleObject2.bin"/><Relationship Id="rId8" Type="http://schemas.openxmlformats.org/officeDocument/2006/relationships/styles" Target="styles.xml"/><Relationship Id="rId9" Type="http://schemas.openxmlformats.org/officeDocument/2006/relationships/numbering" Target="numbering.xml"/><Relationship Id="rId10" Type="http://schemas.openxmlformats.org/officeDocument/2006/relationships/fontTable" Target="fontTable.xml"/></Relationships>
</file>

<file path=docProps/app.xml><?xml version="1.0" encoding="utf-8"?>
<Properties xmlns="http://schemas.openxmlformats.org/officeDocument/2006/extended-properties">
  <Template>Normal.eit</Template>
  <TotalTime>9</TotalTime>
  <Application>Yozo_Office27021597764231179</Application>
  <Pages>20</Pages>
  <Words>7965</Words>
  <Characters>8930</Characters>
  <Lines>792</Lines>
  <Paragraphs>521</Paragraphs>
  <CharactersWithSpaces>9049</CharactersWithSpaces>
  <Company>China</Company>
</Properties>
</file>

<file path=docProps/core.xml><?xml version="1.0" encoding="utf-8"?>
<cp:coreProperties xmlns:cp="http://schemas.openxmlformats.org/package/2006/metadata/core-properties" xmlns:dc="http://purl.org/dc/elements/1.1/" xmlns:dcterms="http://purl.org/dc/terms/" xmlns:xsi="http://www.w3.org/2001/XMLSchema-instance">
  <dc:creator>XXL</dc:creator>
  <cp:lastModifiedBy>Administrator</cp:lastModifiedBy>
  <cp:revision>28</cp:revision>
  <cp:lastPrinted>2026-10-04T07:18:00Z</cp:lastPrinted>
  <dcterms:created xsi:type="dcterms:W3CDTF">2023-09-18T07:11:00Z</dcterms:created>
  <dcterms:modified xsi:type="dcterms:W3CDTF">2026-10-20T09:01:19Z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4A8D79B23E0648E69717FF1B55240FD7_13</vt:lpwstr>
  </property>
  <property fmtid="{D5CDD505-2E9C-101B-9397-08002B2CF9AE}" pid="4" name="KSOTemplateDocerSaveRecord">
    <vt:lpwstr>eyJoZGlkIjoiMDQ4MzIyOThlOGFmMzNkMzJmOGM5YzgwN2VmODRhNzciLCJ1c2VySWQiOiIxNDc1ODk4MjU2In0=</vt:lpwstr>
  </property>
</Properties>
</file>