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39B13">
      <w:pPr>
        <w:spacing w:line="600" w:lineRule="exact"/>
        <w:jc w:val="left"/>
        <w:outlineLvl w:val="0"/>
        <w:rPr>
          <w:rFonts w:ascii="方正小标宋简体" w:hAnsi="宋体" w:eastAsia="方正小标宋简体"/>
          <w:szCs w:val="21"/>
        </w:rPr>
      </w:pPr>
      <w:bookmarkStart w:id="0" w:name="_Toc15306267"/>
    </w:p>
    <w:p w14:paraId="34FFAC66">
      <w:pPr>
        <w:spacing w:line="600" w:lineRule="exact"/>
        <w:jc w:val="center"/>
        <w:outlineLvl w:val="0"/>
        <w:rPr>
          <w:rFonts w:ascii="方正小标宋简体" w:hAnsi="宋体" w:eastAsia="方正小标宋简体"/>
          <w:sz w:val="72"/>
          <w:szCs w:val="72"/>
        </w:rPr>
      </w:pPr>
    </w:p>
    <w:p w14:paraId="3F97140B">
      <w:pPr>
        <w:spacing w:line="600" w:lineRule="exact"/>
        <w:jc w:val="center"/>
        <w:outlineLvl w:val="0"/>
        <w:rPr>
          <w:rFonts w:ascii="方正小标宋简体" w:hAnsi="宋体" w:eastAsia="方正小标宋简体"/>
          <w:sz w:val="72"/>
          <w:szCs w:val="72"/>
        </w:rPr>
      </w:pPr>
    </w:p>
    <w:bookmarkEnd w:id="0"/>
    <w:p w14:paraId="629940E0">
      <w:pPr>
        <w:jc w:val="center"/>
        <w:rPr>
          <w:rFonts w:ascii="方正小标宋简体" w:hAnsi="方正小标宋简体" w:eastAsia="方正小标宋简体" w:cs="方正小标宋简体"/>
          <w:sz w:val="72"/>
          <w:szCs w:val="72"/>
        </w:rPr>
      </w:pPr>
      <w:bookmarkStart w:id="1" w:name="_Toc15378441"/>
      <w:bookmarkStart w:id="2" w:name="_Toc15377193"/>
      <w:bookmarkStart w:id="3" w:name="_Toc15396475"/>
      <w:bookmarkStart w:id="4" w:name="_Toc15396597"/>
      <w:bookmarkStart w:id="5" w:name="_Toc15377425"/>
      <w:bookmarkStart w:id="6" w:name="_Toc15377194"/>
      <w:bookmarkStart w:id="7" w:name="_Toc15306268"/>
      <w:bookmarkStart w:id="8" w:name="_Toc15378442"/>
      <w:bookmarkStart w:id="9" w:name="_Toc15396598"/>
      <w:bookmarkStart w:id="10" w:name="_Toc15377426"/>
      <w:bookmarkStart w:id="11" w:name="_Toc15396476"/>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1"/>
      <w:bookmarkEnd w:id="2"/>
      <w:bookmarkEnd w:id="3"/>
      <w:bookmarkEnd w:id="4"/>
      <w:bookmarkEnd w:id="5"/>
    </w:p>
    <w:p w14:paraId="14BED0BB">
      <w:pPr>
        <w:jc w:val="center"/>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四川省阿坝州</w:t>
      </w:r>
      <w:r>
        <w:rPr>
          <w:rFonts w:hint="eastAsia" w:ascii="方正小标宋简体" w:hAnsi="方正小标宋简体" w:eastAsia="方正小标宋简体" w:cs="方正小标宋简体"/>
          <w:sz w:val="72"/>
          <w:szCs w:val="72"/>
          <w:lang w:eastAsia="zh-CN"/>
        </w:rPr>
        <w:t>汶川县文学艺术界联合会</w:t>
      </w:r>
      <w:r>
        <w:rPr>
          <w:rFonts w:hint="eastAsia" w:ascii="方正小标宋简体" w:hAnsi="方正小标宋简体" w:eastAsia="方正小标宋简体" w:cs="方正小标宋简体"/>
          <w:sz w:val="72"/>
          <w:szCs w:val="72"/>
          <w:lang w:val="en-US" w:eastAsia="zh-CN"/>
        </w:rPr>
        <w:t>部门</w:t>
      </w:r>
      <w:r>
        <w:rPr>
          <w:rFonts w:hint="eastAsia" w:ascii="方正小标宋简体" w:hAnsi="方正小标宋简体" w:eastAsia="方正小标宋简体" w:cs="方正小标宋简体"/>
          <w:sz w:val="72"/>
          <w:szCs w:val="72"/>
        </w:rPr>
        <w:t>决算</w:t>
      </w:r>
      <w:bookmarkEnd w:id="6"/>
      <w:bookmarkEnd w:id="7"/>
      <w:bookmarkEnd w:id="8"/>
      <w:bookmarkEnd w:id="9"/>
      <w:bookmarkEnd w:id="10"/>
      <w:bookmarkEnd w:id="11"/>
    </w:p>
    <w:p w14:paraId="1FC90A32">
      <w:pPr>
        <w:autoSpaceDE w:val="0"/>
        <w:autoSpaceDN w:val="0"/>
        <w:adjustRightInd w:val="0"/>
        <w:ind w:left="420" w:leftChars="200"/>
        <w:jc w:val="left"/>
        <w:rPr>
          <w:rFonts w:ascii="宋体" w:cs="仿宋_GB2312"/>
          <w:sz w:val="32"/>
          <w:szCs w:val="32"/>
        </w:rPr>
      </w:pPr>
    </w:p>
    <w:p w14:paraId="3A1379A8">
      <w:pPr>
        <w:autoSpaceDE w:val="0"/>
        <w:autoSpaceDN w:val="0"/>
        <w:adjustRightInd w:val="0"/>
        <w:ind w:left="420" w:leftChars="200"/>
        <w:jc w:val="left"/>
        <w:rPr>
          <w:rFonts w:ascii="宋体" w:cs="仿宋_GB2312"/>
          <w:sz w:val="32"/>
          <w:szCs w:val="32"/>
        </w:rPr>
      </w:pPr>
    </w:p>
    <w:p w14:paraId="1463343F">
      <w:pPr>
        <w:autoSpaceDE w:val="0"/>
        <w:autoSpaceDN w:val="0"/>
        <w:adjustRightInd w:val="0"/>
        <w:ind w:left="420" w:leftChars="200"/>
        <w:jc w:val="left"/>
        <w:rPr>
          <w:rFonts w:ascii="宋体" w:cs="仿宋_GB2312"/>
          <w:sz w:val="32"/>
          <w:szCs w:val="32"/>
        </w:rPr>
      </w:pPr>
    </w:p>
    <w:p w14:paraId="5D106FB5">
      <w:pPr>
        <w:autoSpaceDE w:val="0"/>
        <w:autoSpaceDN w:val="0"/>
        <w:adjustRightInd w:val="0"/>
        <w:ind w:left="420" w:leftChars="200"/>
        <w:jc w:val="left"/>
        <w:rPr>
          <w:rFonts w:ascii="宋体" w:cs="仿宋_GB2312"/>
          <w:sz w:val="32"/>
          <w:szCs w:val="32"/>
        </w:rPr>
      </w:pPr>
    </w:p>
    <w:p w14:paraId="31E0FD04">
      <w:pPr>
        <w:autoSpaceDE w:val="0"/>
        <w:autoSpaceDN w:val="0"/>
        <w:adjustRightInd w:val="0"/>
        <w:ind w:left="420" w:leftChars="200"/>
        <w:jc w:val="left"/>
        <w:rPr>
          <w:rFonts w:ascii="宋体" w:cs="仿宋_GB2312"/>
          <w:sz w:val="32"/>
          <w:szCs w:val="32"/>
        </w:rPr>
      </w:pPr>
    </w:p>
    <w:p w14:paraId="28F7A95A">
      <w:pPr>
        <w:autoSpaceDE w:val="0"/>
        <w:autoSpaceDN w:val="0"/>
        <w:adjustRightInd w:val="0"/>
        <w:ind w:left="420" w:leftChars="200"/>
        <w:jc w:val="left"/>
        <w:rPr>
          <w:rFonts w:ascii="宋体" w:cs="仿宋_GB2312"/>
          <w:sz w:val="32"/>
          <w:szCs w:val="32"/>
        </w:rPr>
      </w:pPr>
    </w:p>
    <w:p w14:paraId="48F35EDC">
      <w:pPr>
        <w:autoSpaceDE w:val="0"/>
        <w:autoSpaceDN w:val="0"/>
        <w:adjustRightInd w:val="0"/>
        <w:ind w:left="420" w:leftChars="200"/>
        <w:jc w:val="left"/>
        <w:rPr>
          <w:rFonts w:ascii="宋体" w:cs="仿宋_GB2312"/>
          <w:sz w:val="32"/>
          <w:szCs w:val="32"/>
        </w:rPr>
      </w:pPr>
    </w:p>
    <w:p w14:paraId="64807A5D">
      <w:pPr>
        <w:autoSpaceDE w:val="0"/>
        <w:autoSpaceDN w:val="0"/>
        <w:adjustRightInd w:val="0"/>
        <w:ind w:left="420" w:leftChars="200"/>
        <w:jc w:val="left"/>
        <w:rPr>
          <w:rFonts w:ascii="宋体" w:cs="仿宋_GB2312"/>
          <w:sz w:val="32"/>
          <w:szCs w:val="32"/>
        </w:rPr>
      </w:pPr>
    </w:p>
    <w:p w14:paraId="08886501">
      <w:pPr>
        <w:autoSpaceDE w:val="0"/>
        <w:autoSpaceDN w:val="0"/>
        <w:adjustRightInd w:val="0"/>
        <w:ind w:left="420" w:leftChars="200"/>
        <w:jc w:val="left"/>
        <w:rPr>
          <w:rFonts w:ascii="宋体" w:cs="仿宋_GB2312"/>
          <w:sz w:val="32"/>
          <w:szCs w:val="32"/>
        </w:rPr>
      </w:pPr>
    </w:p>
    <w:p w14:paraId="03692A79">
      <w:pPr>
        <w:autoSpaceDE w:val="0"/>
        <w:autoSpaceDN w:val="0"/>
        <w:adjustRightInd w:val="0"/>
        <w:jc w:val="left"/>
        <w:rPr>
          <w:rFonts w:ascii="宋体"/>
          <w:sz w:val="32"/>
          <w:szCs w:val="32"/>
        </w:rPr>
      </w:pPr>
      <w:r>
        <w:rPr>
          <w:rFonts w:hint="eastAsia" w:ascii="宋体" w:cs="仿宋_GB2312"/>
          <w:sz w:val="32"/>
          <w:szCs w:val="32"/>
        </w:rPr>
        <w:t>保密审查情况：已审查，内容审定</w:t>
      </w:r>
    </w:p>
    <w:p w14:paraId="3FCA6A8F">
      <w:pPr>
        <w:autoSpaceDE w:val="0"/>
        <w:autoSpaceDN w:val="0"/>
        <w:adjustRightInd w:val="0"/>
        <w:jc w:val="left"/>
        <w:rPr>
          <w:rFonts w:hint="eastAsia" w:ascii="宋体" w:cs="仿宋_GB2312"/>
          <w:sz w:val="32"/>
          <w:szCs w:val="32"/>
        </w:rPr>
      </w:pPr>
      <w:r>
        <w:rPr>
          <w:rFonts w:hint="eastAsia" w:ascii="宋体" w:cs="仿宋_GB2312"/>
          <w:sz w:val="32"/>
          <w:szCs w:val="32"/>
        </w:rPr>
        <w:t>部门主要负责人审签情况：已审签，同意对外公开</w:t>
      </w:r>
    </w:p>
    <w:p w14:paraId="5BFCF11B">
      <w:pPr>
        <w:autoSpaceDE w:val="0"/>
        <w:autoSpaceDN w:val="0"/>
        <w:adjustRightInd w:val="0"/>
        <w:jc w:val="left"/>
        <w:rPr>
          <w:rFonts w:hint="eastAsia" w:ascii="宋体" w:cs="仿宋_GB2312"/>
          <w:sz w:val="32"/>
          <w:szCs w:val="32"/>
        </w:rPr>
      </w:pPr>
    </w:p>
    <w:p w14:paraId="28098220">
      <w:pPr>
        <w:autoSpaceDE w:val="0"/>
        <w:autoSpaceDN w:val="0"/>
        <w:adjustRightInd w:val="0"/>
        <w:jc w:val="left"/>
        <w:rPr>
          <w:rFonts w:hint="eastAsia" w:ascii="宋体" w:cs="仿宋_GB2312"/>
          <w:sz w:val="32"/>
          <w:szCs w:val="32"/>
        </w:rPr>
      </w:pPr>
    </w:p>
    <w:p w14:paraId="125F7ED3">
      <w:pPr>
        <w:widowControl/>
        <w:jc w:val="center"/>
        <w:rPr>
          <w:rFonts w:hint="eastAsia" w:ascii="黑体" w:hAnsi="黑体" w:eastAsia="黑体"/>
          <w:sz w:val="48"/>
          <w:szCs w:val="48"/>
        </w:rPr>
        <w:sectPr>
          <w:headerReference r:id="rId3" w:type="default"/>
          <w:footerReference r:id="rId4" w:type="default"/>
          <w:pgSz w:w="11906" w:h="16838"/>
          <w:pgMar w:top="1440" w:right="1800" w:bottom="1440" w:left="1800" w:header="851" w:footer="992" w:gutter="0"/>
          <w:pgNumType w:fmt="decimal" w:start="0"/>
          <w:cols w:space="425" w:num="1"/>
          <w:titlePg/>
          <w:docGrid w:type="lines" w:linePitch="312" w:charSpace="0"/>
        </w:sectPr>
      </w:pPr>
    </w:p>
    <w:p w14:paraId="684FEF51">
      <w:pPr>
        <w:widowControl/>
        <w:jc w:val="center"/>
        <w:rPr>
          <w:rFonts w:ascii="黑体" w:hAnsi="黑体" w:eastAsia="黑体"/>
          <w:sz w:val="48"/>
          <w:szCs w:val="48"/>
        </w:rPr>
      </w:pPr>
      <w:r>
        <w:rPr>
          <w:rFonts w:hint="eastAsia" w:ascii="黑体" w:hAnsi="黑体" w:eastAsia="黑体"/>
          <w:sz w:val="48"/>
          <w:szCs w:val="48"/>
        </w:rPr>
        <w:t>目录</w:t>
      </w:r>
    </w:p>
    <w:p w14:paraId="0CAB07B0">
      <w:pPr>
        <w:widowControl/>
        <w:jc w:val="center"/>
        <w:rPr>
          <w:rFonts w:ascii="黑体" w:hAnsi="黑体" w:eastAsia="黑体" w:cstheme="minorBidi"/>
          <w:sz w:val="28"/>
          <w:szCs w:val="28"/>
        </w:rPr>
      </w:pPr>
    </w:p>
    <w:p w14:paraId="431963B2">
      <w:pPr>
        <w:pStyle w:val="11"/>
        <w:rPr>
          <w:rFonts w:hint="eastAsia"/>
        </w:rPr>
      </w:pPr>
      <w:r>
        <w:rPr>
          <w:rFonts w:hint="eastAsia"/>
        </w:rPr>
        <w:t>公开时间：20</w:t>
      </w:r>
      <w:r>
        <w:rPr>
          <w:rFonts w:hint="eastAsia"/>
          <w:lang w:val="en-US" w:eastAsia="zh-CN"/>
        </w:rPr>
        <w:t>25</w:t>
      </w:r>
      <w:r>
        <w:rPr>
          <w:rFonts w:hint="eastAsia"/>
        </w:rPr>
        <w:t>年</w:t>
      </w:r>
      <w:r>
        <w:rPr>
          <w:rFonts w:hint="eastAsia"/>
          <w:lang w:val="en-US" w:eastAsia="zh-CN"/>
        </w:rPr>
        <w:t>10</w:t>
      </w:r>
      <w:r>
        <w:rPr>
          <w:rFonts w:hint="eastAsia"/>
        </w:rPr>
        <w:t xml:space="preserve"> 月</w:t>
      </w:r>
      <w:r>
        <w:rPr>
          <w:rFonts w:hint="eastAsia"/>
          <w:lang w:val="en-US" w:eastAsia="zh-CN"/>
        </w:rPr>
        <w:t xml:space="preserve">  </w:t>
      </w:r>
      <w:r>
        <w:rPr>
          <w:rFonts w:hint="eastAsia"/>
        </w:rPr>
        <w:t>日</w:t>
      </w:r>
    </w:p>
    <w:p w14:paraId="29C8372E">
      <w:pPr>
        <w:pStyle w:val="11"/>
        <w:spacing w:beforeLines="0" w:afterLines="0"/>
        <w:rPr>
          <w:rFonts w:hint="eastAsia" w:eastAsia="仿宋"/>
          <w:b w:val="0"/>
          <w:sz w:val="21"/>
          <w:szCs w:val="24"/>
          <w:lang w:eastAsia="zh-CN"/>
        </w:rPr>
      </w:pPr>
      <w:r>
        <w:rPr>
          <w:rFonts w:hint="eastAsia"/>
          <w:b w:val="0"/>
          <w:sz w:val="20"/>
          <w:szCs w:val="24"/>
        </w:rPr>
        <w:fldChar w:fldCharType="begin"/>
      </w:r>
      <w:r>
        <w:rPr>
          <w:rFonts w:hint="eastAsia"/>
          <w:b w:val="0"/>
          <w:sz w:val="20"/>
          <w:szCs w:val="24"/>
        </w:rPr>
        <w:instrText xml:space="preserve"> TOC \o \u </w:instrText>
      </w:r>
      <w:r>
        <w:rPr>
          <w:rFonts w:hint="eastAsia"/>
          <w:b w:val="0"/>
          <w:sz w:val="20"/>
          <w:szCs w:val="24"/>
        </w:rPr>
        <w:fldChar w:fldCharType="separate"/>
      </w:r>
      <w:r>
        <w:rPr>
          <w:rFonts w:hint="eastAsia" w:ascii="黑体" w:eastAsia="黑体"/>
          <w:b w:val="0"/>
          <w:sz w:val="20"/>
          <w:szCs w:val="24"/>
        </w:rPr>
        <w:t>第一部分 部门概况</w:t>
      </w:r>
      <w:r>
        <w:rPr>
          <w:rFonts w:hint="eastAsia"/>
          <w:sz w:val="20"/>
          <w:szCs w:val="24"/>
        </w:rPr>
        <w:tab/>
      </w:r>
      <w:r>
        <w:rPr>
          <w:rFonts w:hint="eastAsia"/>
          <w:sz w:val="20"/>
          <w:szCs w:val="24"/>
          <w:lang w:val="en-US" w:eastAsia="zh-CN"/>
        </w:rPr>
        <w:t>1</w:t>
      </w:r>
    </w:p>
    <w:p w14:paraId="37CBC64D">
      <w:pPr>
        <w:pStyle w:val="12"/>
        <w:spacing w:beforeLines="0" w:afterLines="0"/>
        <w:rPr>
          <w:rFonts w:hint="eastAsia" w:eastAsia="宋体"/>
          <w:sz w:val="21"/>
          <w:szCs w:val="24"/>
          <w:lang w:eastAsia="zh-CN"/>
        </w:rPr>
      </w:pPr>
      <w:r>
        <w:rPr>
          <w:rFonts w:hint="eastAsia" w:ascii="黑体" w:eastAsia="黑体"/>
          <w:color w:val="000000"/>
          <w:sz w:val="20"/>
          <w:szCs w:val="24"/>
        </w:rPr>
        <w:t>一、基</w:t>
      </w:r>
      <w:r>
        <w:rPr>
          <w:rFonts w:hint="eastAsia" w:ascii="黑体" w:eastAsia="黑体"/>
          <w:sz w:val="20"/>
          <w:szCs w:val="24"/>
        </w:rPr>
        <w:t>本职能及主要工作</w:t>
      </w:r>
      <w:r>
        <w:rPr>
          <w:rFonts w:hint="eastAsia"/>
          <w:sz w:val="20"/>
          <w:szCs w:val="24"/>
        </w:rPr>
        <w:tab/>
      </w:r>
      <w:r>
        <w:rPr>
          <w:rFonts w:hint="eastAsia"/>
          <w:sz w:val="20"/>
          <w:szCs w:val="24"/>
          <w:lang w:val="en-US" w:eastAsia="zh-CN"/>
        </w:rPr>
        <w:t>1</w:t>
      </w:r>
    </w:p>
    <w:p w14:paraId="0AED5D2F">
      <w:pPr>
        <w:pStyle w:val="12"/>
        <w:spacing w:beforeLines="0" w:afterLines="0"/>
        <w:rPr>
          <w:rFonts w:hint="eastAsia" w:eastAsia="宋体"/>
          <w:sz w:val="21"/>
          <w:szCs w:val="24"/>
          <w:lang w:val="en-US" w:eastAsia="zh-CN"/>
        </w:rPr>
      </w:pPr>
      <w:r>
        <w:rPr>
          <w:rFonts w:hint="eastAsia" w:ascii="黑体" w:eastAsia="黑体"/>
          <w:color w:val="000000"/>
          <w:sz w:val="20"/>
          <w:szCs w:val="24"/>
        </w:rPr>
        <w:t>二、机</w:t>
      </w:r>
      <w:r>
        <w:rPr>
          <w:rFonts w:hint="eastAsia" w:ascii="黑体" w:eastAsia="黑体"/>
          <w:sz w:val="20"/>
          <w:szCs w:val="24"/>
        </w:rPr>
        <w:t>构设置</w:t>
      </w:r>
      <w:r>
        <w:rPr>
          <w:rFonts w:hint="eastAsia"/>
          <w:sz w:val="20"/>
          <w:szCs w:val="24"/>
        </w:rPr>
        <w:tab/>
      </w:r>
      <w:r>
        <w:rPr>
          <w:rFonts w:hint="eastAsia"/>
          <w:sz w:val="20"/>
          <w:szCs w:val="24"/>
          <w:lang w:val="en-US" w:eastAsia="zh-CN"/>
        </w:rPr>
        <w:t>3</w:t>
      </w:r>
    </w:p>
    <w:p w14:paraId="1B880CE9">
      <w:pPr>
        <w:pStyle w:val="11"/>
        <w:spacing w:beforeLines="0" w:afterLines="0"/>
        <w:rPr>
          <w:rFonts w:hint="eastAsia" w:eastAsia="仿宋"/>
          <w:b w:val="0"/>
          <w:sz w:val="21"/>
          <w:szCs w:val="24"/>
          <w:lang w:val="en-US" w:eastAsia="zh-CN"/>
        </w:rPr>
      </w:pPr>
      <w:r>
        <w:rPr>
          <w:rFonts w:hint="eastAsia" w:ascii="黑体" w:eastAsia="黑体"/>
          <w:b w:val="0"/>
          <w:color w:val="000000"/>
          <w:sz w:val="20"/>
          <w:szCs w:val="24"/>
        </w:rPr>
        <w:t>第二部分</w:t>
      </w:r>
      <w:r>
        <w:rPr>
          <w:rFonts w:hint="eastAsia" w:ascii="黑体" w:eastAsia="黑体"/>
          <w:color w:val="000000"/>
          <w:sz w:val="20"/>
          <w:szCs w:val="24"/>
        </w:rPr>
        <w:t xml:space="preserve"> </w:t>
      </w:r>
      <w:r>
        <w:rPr>
          <w:rFonts w:hint="eastAsia" w:ascii="黑体" w:eastAsia="黑体"/>
          <w:b w:val="0"/>
          <w:sz w:val="20"/>
          <w:szCs w:val="24"/>
        </w:rPr>
        <w:t>202</w:t>
      </w:r>
      <w:r>
        <w:rPr>
          <w:rFonts w:hint="eastAsia" w:ascii="黑体" w:eastAsia="黑体"/>
          <w:b w:val="0"/>
          <w:sz w:val="20"/>
          <w:szCs w:val="24"/>
          <w:lang w:val="en-US" w:eastAsia="zh-CN"/>
        </w:rPr>
        <w:t>5</w:t>
      </w:r>
      <w:r>
        <w:rPr>
          <w:rFonts w:hint="eastAsia" w:ascii="黑体" w:eastAsia="黑体"/>
          <w:b w:val="0"/>
          <w:sz w:val="20"/>
          <w:szCs w:val="24"/>
        </w:rPr>
        <w:t>年度部门决算情况说明</w:t>
      </w:r>
      <w:r>
        <w:rPr>
          <w:rFonts w:hint="eastAsia"/>
          <w:sz w:val="20"/>
          <w:szCs w:val="24"/>
        </w:rPr>
        <w:tab/>
      </w:r>
      <w:r>
        <w:rPr>
          <w:rFonts w:hint="eastAsia"/>
          <w:sz w:val="20"/>
          <w:szCs w:val="24"/>
          <w:lang w:val="en-US" w:eastAsia="zh-CN"/>
        </w:rPr>
        <w:t>4</w:t>
      </w:r>
    </w:p>
    <w:p w14:paraId="747231C9">
      <w:pPr>
        <w:pStyle w:val="12"/>
        <w:tabs>
          <w:tab w:val="left" w:pos="840"/>
        </w:tabs>
        <w:spacing w:beforeLines="0" w:afterLines="0"/>
        <w:rPr>
          <w:rFonts w:hint="eastAsia" w:eastAsia="宋体"/>
          <w:sz w:val="21"/>
          <w:szCs w:val="24"/>
          <w:lang w:val="en-US" w:eastAsia="zh-CN"/>
        </w:rPr>
      </w:pPr>
      <w:r>
        <w:rPr>
          <w:rFonts w:hint="eastAsia" w:ascii="黑体" w:eastAsia="黑体"/>
          <w:sz w:val="20"/>
          <w:szCs w:val="24"/>
        </w:rPr>
        <w:t>一、</w:t>
      </w:r>
      <w:r>
        <w:rPr>
          <w:rFonts w:hint="eastAsia"/>
          <w:sz w:val="21"/>
          <w:szCs w:val="24"/>
        </w:rPr>
        <w:tab/>
      </w:r>
      <w:r>
        <w:rPr>
          <w:rFonts w:hint="eastAsia" w:ascii="黑体" w:eastAsia="黑体"/>
          <w:color w:val="000000"/>
          <w:sz w:val="20"/>
          <w:szCs w:val="24"/>
        </w:rPr>
        <w:t>收</w:t>
      </w:r>
      <w:r>
        <w:rPr>
          <w:rFonts w:hint="eastAsia" w:ascii="黑体" w:eastAsia="黑体"/>
          <w:sz w:val="20"/>
          <w:szCs w:val="24"/>
        </w:rPr>
        <w:t>入支出决算总体情况说明</w:t>
      </w:r>
      <w:r>
        <w:rPr>
          <w:rFonts w:hint="eastAsia"/>
          <w:sz w:val="20"/>
          <w:szCs w:val="24"/>
        </w:rPr>
        <w:tab/>
      </w:r>
      <w:r>
        <w:rPr>
          <w:rFonts w:hint="eastAsia"/>
          <w:sz w:val="20"/>
          <w:szCs w:val="24"/>
          <w:lang w:val="en-US" w:eastAsia="zh-CN"/>
        </w:rPr>
        <w:t>4</w:t>
      </w:r>
    </w:p>
    <w:p w14:paraId="4D92FFA5">
      <w:pPr>
        <w:pStyle w:val="12"/>
        <w:tabs>
          <w:tab w:val="left" w:pos="840"/>
        </w:tabs>
        <w:spacing w:beforeLines="0" w:afterLines="0"/>
        <w:rPr>
          <w:rFonts w:hint="eastAsia" w:eastAsia="宋体"/>
          <w:sz w:val="21"/>
          <w:szCs w:val="24"/>
          <w:lang w:val="en-US" w:eastAsia="zh-CN"/>
        </w:rPr>
      </w:pPr>
      <w:r>
        <w:rPr>
          <w:rFonts w:hint="eastAsia" w:ascii="黑体" w:eastAsia="黑体"/>
          <w:sz w:val="20"/>
          <w:szCs w:val="24"/>
        </w:rPr>
        <w:t>二、</w:t>
      </w:r>
      <w:r>
        <w:rPr>
          <w:rFonts w:hint="eastAsia"/>
          <w:sz w:val="21"/>
          <w:szCs w:val="24"/>
        </w:rPr>
        <w:tab/>
      </w:r>
      <w:r>
        <w:rPr>
          <w:rFonts w:hint="eastAsia" w:ascii="黑体" w:eastAsia="黑体"/>
          <w:color w:val="000000"/>
          <w:sz w:val="20"/>
          <w:szCs w:val="24"/>
        </w:rPr>
        <w:t>收</w:t>
      </w:r>
      <w:r>
        <w:rPr>
          <w:rFonts w:hint="eastAsia" w:ascii="黑体" w:eastAsia="黑体"/>
          <w:sz w:val="20"/>
          <w:szCs w:val="24"/>
        </w:rPr>
        <w:t>入决算情况说明</w:t>
      </w:r>
      <w:r>
        <w:rPr>
          <w:rFonts w:hint="eastAsia"/>
          <w:sz w:val="20"/>
          <w:szCs w:val="24"/>
        </w:rPr>
        <w:tab/>
      </w:r>
      <w:r>
        <w:rPr>
          <w:rFonts w:hint="eastAsia"/>
          <w:sz w:val="20"/>
          <w:szCs w:val="24"/>
          <w:lang w:val="en-US" w:eastAsia="zh-CN"/>
        </w:rPr>
        <w:t>4</w:t>
      </w:r>
    </w:p>
    <w:p w14:paraId="5E6461A4">
      <w:pPr>
        <w:pStyle w:val="12"/>
        <w:tabs>
          <w:tab w:val="left" w:pos="840"/>
        </w:tabs>
        <w:spacing w:beforeLines="0" w:afterLines="0"/>
        <w:rPr>
          <w:rFonts w:hint="eastAsia" w:eastAsia="宋体"/>
          <w:sz w:val="21"/>
          <w:szCs w:val="24"/>
          <w:lang w:val="en-US" w:eastAsia="zh-CN"/>
        </w:rPr>
      </w:pPr>
      <w:r>
        <w:rPr>
          <w:rFonts w:hint="eastAsia" w:ascii="黑体" w:eastAsia="黑体"/>
          <w:sz w:val="20"/>
          <w:szCs w:val="24"/>
        </w:rPr>
        <w:t>三、</w:t>
      </w:r>
      <w:r>
        <w:rPr>
          <w:rFonts w:hint="eastAsia"/>
          <w:sz w:val="21"/>
          <w:szCs w:val="24"/>
        </w:rPr>
        <w:tab/>
      </w:r>
      <w:r>
        <w:rPr>
          <w:rFonts w:hint="eastAsia" w:ascii="黑体" w:eastAsia="黑体"/>
          <w:color w:val="000000"/>
          <w:sz w:val="20"/>
          <w:szCs w:val="24"/>
        </w:rPr>
        <w:t>支</w:t>
      </w:r>
      <w:r>
        <w:rPr>
          <w:rFonts w:hint="eastAsia" w:ascii="黑体" w:eastAsia="黑体"/>
          <w:sz w:val="20"/>
          <w:szCs w:val="24"/>
        </w:rPr>
        <w:t>出决算情况说明</w:t>
      </w:r>
      <w:r>
        <w:rPr>
          <w:rFonts w:hint="eastAsia"/>
          <w:sz w:val="20"/>
          <w:szCs w:val="24"/>
        </w:rPr>
        <w:tab/>
      </w:r>
      <w:r>
        <w:rPr>
          <w:rFonts w:hint="eastAsia"/>
          <w:sz w:val="20"/>
          <w:szCs w:val="24"/>
          <w:lang w:val="en-US" w:eastAsia="zh-CN"/>
        </w:rPr>
        <w:t>5</w:t>
      </w:r>
    </w:p>
    <w:p w14:paraId="5C35DBEB">
      <w:pPr>
        <w:pStyle w:val="12"/>
        <w:spacing w:beforeLines="0" w:afterLines="0"/>
        <w:rPr>
          <w:rFonts w:hint="eastAsia" w:eastAsia="宋体"/>
          <w:sz w:val="21"/>
          <w:szCs w:val="24"/>
          <w:lang w:val="en-US" w:eastAsia="zh-CN"/>
        </w:rPr>
      </w:pPr>
      <w:r>
        <w:rPr>
          <w:rFonts w:hint="eastAsia" w:ascii="黑体" w:eastAsia="黑体"/>
          <w:color w:val="000000"/>
          <w:sz w:val="20"/>
          <w:szCs w:val="24"/>
        </w:rPr>
        <w:t>四、财</w:t>
      </w:r>
      <w:r>
        <w:rPr>
          <w:rFonts w:hint="eastAsia" w:ascii="黑体" w:eastAsia="黑体"/>
          <w:sz w:val="20"/>
          <w:szCs w:val="24"/>
        </w:rPr>
        <w:t>政拨款收入支出决算总体情况说明</w:t>
      </w:r>
      <w:r>
        <w:rPr>
          <w:rFonts w:hint="eastAsia"/>
          <w:sz w:val="20"/>
          <w:szCs w:val="24"/>
        </w:rPr>
        <w:tab/>
      </w:r>
      <w:r>
        <w:rPr>
          <w:rFonts w:hint="eastAsia"/>
          <w:sz w:val="20"/>
          <w:szCs w:val="24"/>
          <w:lang w:val="en-US" w:eastAsia="zh-CN"/>
        </w:rPr>
        <w:t>6</w:t>
      </w:r>
    </w:p>
    <w:p w14:paraId="0B3DAE3E">
      <w:pPr>
        <w:pStyle w:val="12"/>
        <w:spacing w:beforeLines="0" w:afterLines="0"/>
        <w:rPr>
          <w:rFonts w:hint="eastAsia" w:eastAsia="宋体"/>
          <w:sz w:val="21"/>
          <w:szCs w:val="24"/>
          <w:lang w:val="en-US" w:eastAsia="zh-CN"/>
        </w:rPr>
      </w:pPr>
      <w:r>
        <w:rPr>
          <w:rFonts w:hint="eastAsia" w:ascii="黑体" w:eastAsia="黑体"/>
          <w:color w:val="000000"/>
          <w:sz w:val="20"/>
          <w:szCs w:val="24"/>
        </w:rPr>
        <w:t>五、</w:t>
      </w:r>
      <w:r>
        <w:rPr>
          <w:rFonts w:hint="eastAsia" w:ascii="黑体" w:eastAsia="黑体"/>
          <w:b/>
          <w:color w:val="000000"/>
          <w:sz w:val="20"/>
          <w:szCs w:val="24"/>
        </w:rPr>
        <w:t>一</w:t>
      </w:r>
      <w:r>
        <w:rPr>
          <w:rFonts w:hint="eastAsia" w:ascii="黑体" w:eastAsia="黑体"/>
          <w:sz w:val="20"/>
          <w:szCs w:val="24"/>
        </w:rPr>
        <w:t>般公共预算财政拨款支出决算情况说明</w:t>
      </w:r>
      <w:r>
        <w:rPr>
          <w:rFonts w:hint="eastAsia"/>
          <w:sz w:val="20"/>
          <w:szCs w:val="24"/>
        </w:rPr>
        <w:tab/>
      </w:r>
      <w:r>
        <w:rPr>
          <w:rFonts w:hint="eastAsia"/>
          <w:sz w:val="20"/>
          <w:szCs w:val="24"/>
          <w:lang w:val="en-US" w:eastAsia="zh-CN"/>
        </w:rPr>
        <w:t>6</w:t>
      </w:r>
    </w:p>
    <w:p w14:paraId="4C4E9712">
      <w:pPr>
        <w:pStyle w:val="12"/>
        <w:spacing w:beforeLines="0" w:afterLines="0"/>
        <w:rPr>
          <w:rFonts w:hint="eastAsia" w:eastAsia="宋体"/>
          <w:sz w:val="21"/>
          <w:szCs w:val="24"/>
          <w:lang w:val="en-US" w:eastAsia="zh-CN"/>
        </w:rPr>
      </w:pPr>
      <w:r>
        <w:rPr>
          <w:rFonts w:hint="eastAsia" w:ascii="黑体" w:eastAsia="黑体"/>
          <w:color w:val="000000"/>
          <w:sz w:val="20"/>
          <w:szCs w:val="24"/>
        </w:rPr>
        <w:t>六</w:t>
      </w:r>
      <w:r>
        <w:rPr>
          <w:rFonts w:hint="eastAsia" w:ascii="黑体" w:eastAsia="黑体"/>
          <w:b/>
          <w:color w:val="000000"/>
          <w:sz w:val="20"/>
          <w:szCs w:val="24"/>
        </w:rPr>
        <w:t>、一</w:t>
      </w:r>
      <w:r>
        <w:rPr>
          <w:rFonts w:hint="eastAsia" w:ascii="黑体" w:eastAsia="黑体"/>
          <w:sz w:val="20"/>
          <w:szCs w:val="24"/>
        </w:rPr>
        <w:t>般公共预算财政拨款基本支出决算情况说明</w:t>
      </w:r>
      <w:r>
        <w:rPr>
          <w:rFonts w:hint="eastAsia"/>
          <w:sz w:val="20"/>
          <w:szCs w:val="24"/>
        </w:rPr>
        <w:tab/>
      </w:r>
      <w:r>
        <w:rPr>
          <w:rFonts w:hint="eastAsia"/>
          <w:sz w:val="20"/>
          <w:szCs w:val="24"/>
          <w:lang w:val="en-US" w:eastAsia="zh-CN"/>
        </w:rPr>
        <w:t>9</w:t>
      </w:r>
    </w:p>
    <w:p w14:paraId="4D5949A7">
      <w:pPr>
        <w:pStyle w:val="12"/>
        <w:spacing w:beforeLines="0" w:afterLines="0"/>
        <w:rPr>
          <w:rFonts w:hint="default" w:eastAsia="宋体"/>
          <w:sz w:val="21"/>
          <w:szCs w:val="24"/>
          <w:lang w:val="en-US" w:eastAsia="zh-CN"/>
        </w:rPr>
      </w:pPr>
      <w:r>
        <w:rPr>
          <w:rFonts w:hint="eastAsia" w:ascii="黑体" w:eastAsia="黑体"/>
          <w:color w:val="000000"/>
          <w:sz w:val="20"/>
          <w:szCs w:val="24"/>
        </w:rPr>
        <w:t>七、</w:t>
      </w:r>
      <w:r>
        <w:rPr>
          <w:rFonts w:hint="eastAsia" w:ascii="黑体" w:eastAsia="黑体"/>
          <w:b/>
          <w:sz w:val="20"/>
          <w:szCs w:val="24"/>
        </w:rPr>
        <w:t>“</w:t>
      </w:r>
      <w:r>
        <w:rPr>
          <w:rFonts w:hint="eastAsia" w:ascii="黑体" w:eastAsia="黑体"/>
          <w:sz w:val="20"/>
          <w:szCs w:val="24"/>
        </w:rPr>
        <w:t>三公”经费财政拨款支出决算情况说明</w:t>
      </w:r>
      <w:r>
        <w:rPr>
          <w:rFonts w:hint="eastAsia"/>
          <w:sz w:val="20"/>
          <w:szCs w:val="24"/>
        </w:rPr>
        <w:tab/>
      </w:r>
      <w:r>
        <w:rPr>
          <w:rFonts w:hint="eastAsia"/>
          <w:sz w:val="20"/>
          <w:szCs w:val="24"/>
          <w:lang w:val="en-US" w:eastAsia="zh-CN"/>
        </w:rPr>
        <w:t>10</w:t>
      </w:r>
    </w:p>
    <w:p w14:paraId="3CB6E6B1">
      <w:pPr>
        <w:pStyle w:val="12"/>
        <w:spacing w:beforeLines="0" w:afterLines="0"/>
        <w:rPr>
          <w:rFonts w:hint="default" w:eastAsia="宋体"/>
          <w:sz w:val="21"/>
          <w:szCs w:val="24"/>
          <w:lang w:val="en-US" w:eastAsia="zh-CN"/>
        </w:rPr>
      </w:pPr>
      <w:r>
        <w:rPr>
          <w:rFonts w:hint="eastAsia" w:ascii="黑体" w:eastAsia="黑体"/>
          <w:color w:val="000000"/>
          <w:sz w:val="20"/>
          <w:szCs w:val="24"/>
        </w:rPr>
        <w:t>八、</w:t>
      </w:r>
      <w:r>
        <w:rPr>
          <w:rFonts w:hint="eastAsia" w:ascii="黑体" w:eastAsia="黑体"/>
          <w:sz w:val="20"/>
          <w:szCs w:val="24"/>
        </w:rPr>
        <w:t>政府性基金预算支出决算情况说明</w:t>
      </w:r>
      <w:r>
        <w:rPr>
          <w:rFonts w:hint="eastAsia"/>
          <w:sz w:val="20"/>
          <w:szCs w:val="24"/>
        </w:rPr>
        <w:tab/>
      </w:r>
      <w:r>
        <w:rPr>
          <w:rFonts w:hint="eastAsia"/>
          <w:sz w:val="20"/>
          <w:szCs w:val="24"/>
          <w:lang w:val="en-US" w:eastAsia="zh-CN"/>
        </w:rPr>
        <w:t>11</w:t>
      </w:r>
    </w:p>
    <w:p w14:paraId="4F84221B">
      <w:pPr>
        <w:pStyle w:val="12"/>
        <w:spacing w:beforeLines="0" w:afterLines="0"/>
        <w:rPr>
          <w:rFonts w:hint="default" w:eastAsia="宋体"/>
          <w:sz w:val="21"/>
          <w:szCs w:val="24"/>
          <w:lang w:val="en-US" w:eastAsia="zh-CN"/>
        </w:rPr>
      </w:pPr>
      <w:r>
        <w:rPr>
          <w:rFonts w:hint="eastAsia" w:ascii="黑体" w:eastAsia="黑体"/>
          <w:sz w:val="20"/>
          <w:szCs w:val="24"/>
        </w:rPr>
        <w:t>九、 国有资本经营预算支出决算情况说明</w:t>
      </w:r>
      <w:r>
        <w:rPr>
          <w:rFonts w:hint="eastAsia"/>
          <w:sz w:val="20"/>
          <w:szCs w:val="24"/>
        </w:rPr>
        <w:tab/>
      </w:r>
      <w:r>
        <w:rPr>
          <w:rFonts w:hint="eastAsia"/>
          <w:sz w:val="20"/>
          <w:szCs w:val="24"/>
          <w:lang w:val="en-US" w:eastAsia="zh-CN"/>
        </w:rPr>
        <w:t>11</w:t>
      </w:r>
    </w:p>
    <w:p w14:paraId="3D357DCB">
      <w:pPr>
        <w:pStyle w:val="12"/>
        <w:spacing w:beforeLines="0" w:afterLines="0"/>
        <w:rPr>
          <w:rFonts w:hint="default" w:eastAsia="宋体"/>
          <w:sz w:val="21"/>
          <w:szCs w:val="24"/>
          <w:lang w:val="en-US" w:eastAsia="zh-CN"/>
        </w:rPr>
      </w:pPr>
      <w:r>
        <w:rPr>
          <w:rFonts w:hint="eastAsia" w:ascii="黑体" w:eastAsia="黑体"/>
          <w:color w:val="000000"/>
          <w:sz w:val="20"/>
          <w:szCs w:val="24"/>
        </w:rPr>
        <w:t>十</w:t>
      </w:r>
      <w:r>
        <w:rPr>
          <w:rFonts w:hint="eastAsia" w:ascii="黑体" w:eastAsia="黑体"/>
          <w:b/>
          <w:sz w:val="20"/>
          <w:szCs w:val="24"/>
        </w:rPr>
        <w:t>、</w:t>
      </w:r>
      <w:r>
        <w:rPr>
          <w:rFonts w:hint="eastAsia" w:ascii="黑体" w:eastAsia="黑体"/>
          <w:sz w:val="20"/>
          <w:szCs w:val="24"/>
        </w:rPr>
        <w:t>其他重要事项的情况说明</w:t>
      </w:r>
      <w:r>
        <w:rPr>
          <w:rFonts w:hint="eastAsia"/>
          <w:sz w:val="20"/>
          <w:szCs w:val="24"/>
        </w:rPr>
        <w:tab/>
      </w:r>
      <w:r>
        <w:rPr>
          <w:rFonts w:hint="eastAsia"/>
          <w:sz w:val="20"/>
          <w:szCs w:val="24"/>
          <w:lang w:val="en-US" w:eastAsia="zh-CN"/>
        </w:rPr>
        <w:t>11</w:t>
      </w:r>
    </w:p>
    <w:p w14:paraId="10C7D43B">
      <w:pPr>
        <w:pStyle w:val="11"/>
        <w:spacing w:beforeLines="0" w:afterLines="0"/>
        <w:rPr>
          <w:rFonts w:hint="default" w:eastAsia="仿宋"/>
          <w:b w:val="0"/>
          <w:sz w:val="21"/>
          <w:szCs w:val="24"/>
          <w:lang w:val="en-US" w:eastAsia="zh-CN"/>
        </w:rPr>
      </w:pPr>
      <w:r>
        <w:rPr>
          <w:rFonts w:hint="eastAsia" w:ascii="黑体" w:eastAsia="黑体"/>
          <w:kern w:val="44"/>
          <w:sz w:val="20"/>
          <w:szCs w:val="24"/>
        </w:rPr>
        <w:t>第三部分</w:t>
      </w:r>
      <w:r>
        <w:rPr>
          <w:rFonts w:hint="eastAsia" w:ascii="黑体" w:eastAsia="黑体"/>
          <w:color w:val="000000"/>
          <w:sz w:val="20"/>
          <w:szCs w:val="24"/>
        </w:rPr>
        <w:t xml:space="preserve"> 名</w:t>
      </w:r>
      <w:r>
        <w:rPr>
          <w:rFonts w:hint="eastAsia" w:ascii="黑体" w:eastAsia="黑体"/>
          <w:kern w:val="44"/>
          <w:sz w:val="20"/>
          <w:szCs w:val="24"/>
        </w:rPr>
        <w:t>词解释</w:t>
      </w:r>
      <w:r>
        <w:rPr>
          <w:rFonts w:hint="eastAsia"/>
          <w:sz w:val="20"/>
          <w:szCs w:val="24"/>
        </w:rPr>
        <w:tab/>
      </w:r>
      <w:r>
        <w:rPr>
          <w:rFonts w:hint="eastAsia"/>
          <w:sz w:val="20"/>
          <w:szCs w:val="24"/>
          <w:lang w:val="en-US" w:eastAsia="zh-CN"/>
        </w:rPr>
        <w:t>13</w:t>
      </w:r>
    </w:p>
    <w:p w14:paraId="44A8DF2A">
      <w:pPr>
        <w:pStyle w:val="11"/>
        <w:spacing w:beforeLines="0" w:afterLines="0"/>
        <w:rPr>
          <w:rFonts w:hint="default" w:eastAsia="仿宋"/>
          <w:b w:val="0"/>
          <w:sz w:val="21"/>
          <w:szCs w:val="24"/>
          <w:lang w:val="en-US" w:eastAsia="zh-CN"/>
        </w:rPr>
      </w:pPr>
      <w:r>
        <w:rPr>
          <w:rFonts w:hint="eastAsia" w:ascii="黑体" w:eastAsia="黑体"/>
          <w:color w:val="000000"/>
          <w:sz w:val="20"/>
          <w:szCs w:val="24"/>
        </w:rPr>
        <w:t>第</w:t>
      </w:r>
      <w:r>
        <w:rPr>
          <w:rFonts w:hint="eastAsia" w:ascii="黑体" w:eastAsia="黑体"/>
          <w:kern w:val="44"/>
          <w:sz w:val="20"/>
          <w:szCs w:val="24"/>
        </w:rPr>
        <w:t>四部分 附件</w:t>
      </w:r>
      <w:r>
        <w:rPr>
          <w:rFonts w:hint="eastAsia"/>
          <w:sz w:val="20"/>
          <w:szCs w:val="24"/>
        </w:rPr>
        <w:tab/>
      </w:r>
      <w:r>
        <w:rPr>
          <w:rFonts w:hint="eastAsia"/>
          <w:sz w:val="20"/>
          <w:szCs w:val="24"/>
          <w:lang w:val="en-US" w:eastAsia="zh-CN"/>
        </w:rPr>
        <w:t>16</w:t>
      </w:r>
    </w:p>
    <w:p w14:paraId="7755AA01">
      <w:pPr>
        <w:pStyle w:val="11"/>
        <w:spacing w:beforeLines="0" w:afterLines="0"/>
        <w:rPr>
          <w:rFonts w:hint="default" w:eastAsia="仿宋"/>
          <w:b w:val="0"/>
          <w:sz w:val="21"/>
          <w:szCs w:val="24"/>
          <w:lang w:val="en-US" w:eastAsia="zh-CN"/>
        </w:rPr>
      </w:pPr>
      <w:r>
        <w:rPr>
          <w:rFonts w:hint="eastAsia" w:ascii="黑体" w:eastAsia="黑体"/>
          <w:color w:val="000000"/>
          <w:sz w:val="20"/>
          <w:szCs w:val="24"/>
        </w:rPr>
        <w:t>第</w:t>
      </w:r>
      <w:r>
        <w:rPr>
          <w:rFonts w:hint="eastAsia" w:ascii="黑体" w:eastAsia="黑体"/>
          <w:kern w:val="44"/>
          <w:sz w:val="20"/>
          <w:szCs w:val="24"/>
        </w:rPr>
        <w:t>五部分 附表</w:t>
      </w:r>
      <w:r>
        <w:rPr>
          <w:rFonts w:hint="eastAsia"/>
          <w:sz w:val="20"/>
          <w:szCs w:val="24"/>
        </w:rPr>
        <w:tab/>
      </w:r>
      <w:r>
        <w:rPr>
          <w:rFonts w:hint="eastAsia"/>
          <w:sz w:val="20"/>
          <w:szCs w:val="24"/>
          <w:lang w:val="en-US" w:eastAsia="zh-CN"/>
        </w:rPr>
        <w:t>55</w:t>
      </w:r>
    </w:p>
    <w:p w14:paraId="7483A450">
      <w:pPr>
        <w:pStyle w:val="12"/>
        <w:spacing w:beforeLines="0" w:afterLines="0"/>
        <w:rPr>
          <w:rFonts w:hint="default" w:eastAsia="宋体"/>
          <w:sz w:val="21"/>
          <w:szCs w:val="24"/>
          <w:lang w:val="en-US" w:eastAsia="zh-CN"/>
        </w:rPr>
      </w:pPr>
      <w:r>
        <w:rPr>
          <w:rFonts w:hint="eastAsia" w:ascii="仿宋" w:eastAsia="仿宋"/>
          <w:color w:val="000000"/>
          <w:sz w:val="20"/>
          <w:szCs w:val="24"/>
        </w:rPr>
        <w:t>一、收</w:t>
      </w:r>
      <w:r>
        <w:rPr>
          <w:rFonts w:hint="eastAsia" w:ascii="仿宋" w:eastAsia="仿宋"/>
          <w:sz w:val="20"/>
          <w:szCs w:val="24"/>
        </w:rPr>
        <w:t>入支出决算总表</w:t>
      </w:r>
      <w:r>
        <w:rPr>
          <w:rFonts w:hint="eastAsia"/>
          <w:sz w:val="20"/>
          <w:szCs w:val="24"/>
        </w:rPr>
        <w:tab/>
      </w:r>
      <w:r>
        <w:rPr>
          <w:rFonts w:hint="eastAsia"/>
          <w:sz w:val="20"/>
          <w:szCs w:val="24"/>
          <w:lang w:val="en-US" w:eastAsia="zh-CN"/>
        </w:rPr>
        <w:t>55</w:t>
      </w:r>
    </w:p>
    <w:p w14:paraId="199A0FE9">
      <w:pPr>
        <w:pStyle w:val="12"/>
        <w:spacing w:beforeLines="0" w:afterLines="0"/>
        <w:rPr>
          <w:rFonts w:hint="default" w:eastAsia="宋体"/>
          <w:sz w:val="21"/>
          <w:szCs w:val="24"/>
          <w:lang w:val="en-US" w:eastAsia="zh-CN"/>
        </w:rPr>
      </w:pPr>
      <w:r>
        <w:rPr>
          <w:rFonts w:hint="eastAsia" w:ascii="仿宋" w:eastAsia="仿宋"/>
          <w:color w:val="000000"/>
          <w:sz w:val="20"/>
          <w:szCs w:val="24"/>
        </w:rPr>
        <w:t>二、收</w:t>
      </w:r>
      <w:r>
        <w:rPr>
          <w:rFonts w:hint="eastAsia" w:ascii="仿宋" w:eastAsia="仿宋"/>
          <w:sz w:val="20"/>
          <w:szCs w:val="24"/>
        </w:rPr>
        <w:t>入决算表</w:t>
      </w:r>
      <w:r>
        <w:rPr>
          <w:rFonts w:hint="eastAsia"/>
          <w:sz w:val="20"/>
          <w:szCs w:val="24"/>
        </w:rPr>
        <w:tab/>
      </w:r>
      <w:r>
        <w:rPr>
          <w:rFonts w:hint="eastAsia"/>
          <w:sz w:val="20"/>
          <w:szCs w:val="24"/>
          <w:lang w:val="en-US" w:eastAsia="zh-CN"/>
        </w:rPr>
        <w:t>55</w:t>
      </w:r>
    </w:p>
    <w:p w14:paraId="511896C1">
      <w:pPr>
        <w:pStyle w:val="12"/>
        <w:spacing w:beforeLines="0" w:afterLines="0"/>
        <w:rPr>
          <w:rFonts w:hint="default" w:eastAsia="宋体"/>
          <w:sz w:val="21"/>
          <w:szCs w:val="24"/>
          <w:lang w:val="en-US" w:eastAsia="zh-CN"/>
        </w:rPr>
      </w:pPr>
      <w:r>
        <w:rPr>
          <w:rFonts w:hint="eastAsia" w:ascii="仿宋" w:eastAsia="仿宋"/>
          <w:sz w:val="20"/>
          <w:szCs w:val="24"/>
        </w:rPr>
        <w:t>三、</w:t>
      </w:r>
      <w:r>
        <w:rPr>
          <w:rFonts w:hint="eastAsia" w:ascii="仿宋" w:eastAsia="仿宋"/>
          <w:color w:val="000000"/>
          <w:sz w:val="20"/>
          <w:szCs w:val="24"/>
        </w:rPr>
        <w:t>支</w:t>
      </w:r>
      <w:r>
        <w:rPr>
          <w:rFonts w:hint="eastAsia" w:ascii="仿宋" w:eastAsia="仿宋"/>
          <w:sz w:val="20"/>
          <w:szCs w:val="24"/>
        </w:rPr>
        <w:t>出决算表</w:t>
      </w:r>
      <w:r>
        <w:rPr>
          <w:rFonts w:hint="eastAsia"/>
          <w:sz w:val="20"/>
          <w:szCs w:val="24"/>
        </w:rPr>
        <w:tab/>
      </w:r>
      <w:r>
        <w:rPr>
          <w:rFonts w:hint="eastAsia"/>
          <w:sz w:val="20"/>
          <w:szCs w:val="24"/>
          <w:lang w:val="en-US" w:eastAsia="zh-CN"/>
        </w:rPr>
        <w:t>55</w:t>
      </w:r>
    </w:p>
    <w:p w14:paraId="54C6D450">
      <w:pPr>
        <w:pStyle w:val="12"/>
        <w:spacing w:beforeLines="0" w:afterLines="0"/>
        <w:rPr>
          <w:rFonts w:hint="default" w:eastAsia="宋体"/>
          <w:sz w:val="21"/>
          <w:szCs w:val="24"/>
          <w:lang w:val="en-US" w:eastAsia="zh-CN"/>
        </w:rPr>
      </w:pPr>
      <w:r>
        <w:rPr>
          <w:rFonts w:hint="eastAsia" w:ascii="仿宋" w:eastAsia="仿宋"/>
          <w:sz w:val="20"/>
          <w:szCs w:val="24"/>
        </w:rPr>
        <w:t>四、财政拨款收入支出决算总表</w:t>
      </w:r>
      <w:r>
        <w:rPr>
          <w:rFonts w:hint="eastAsia"/>
          <w:sz w:val="20"/>
          <w:szCs w:val="24"/>
        </w:rPr>
        <w:tab/>
      </w:r>
      <w:r>
        <w:rPr>
          <w:rFonts w:hint="eastAsia"/>
          <w:sz w:val="20"/>
          <w:szCs w:val="24"/>
          <w:lang w:val="en-US" w:eastAsia="zh-CN"/>
        </w:rPr>
        <w:t>55</w:t>
      </w:r>
    </w:p>
    <w:p w14:paraId="45329350">
      <w:pPr>
        <w:pStyle w:val="12"/>
        <w:spacing w:beforeLines="0" w:afterLines="0"/>
        <w:rPr>
          <w:rFonts w:hint="default" w:eastAsia="宋体"/>
          <w:sz w:val="21"/>
          <w:szCs w:val="24"/>
          <w:lang w:val="en-US" w:eastAsia="zh-CN"/>
        </w:rPr>
      </w:pPr>
      <w:r>
        <w:rPr>
          <w:rFonts w:hint="eastAsia" w:ascii="仿宋" w:eastAsia="仿宋"/>
          <w:sz w:val="20"/>
          <w:szCs w:val="24"/>
        </w:rPr>
        <w:t>五、</w:t>
      </w:r>
      <w:r>
        <w:rPr>
          <w:rFonts w:hint="eastAsia" w:ascii="仿宋" w:eastAsia="仿宋"/>
          <w:color w:val="000000"/>
          <w:sz w:val="20"/>
          <w:szCs w:val="24"/>
        </w:rPr>
        <w:t>财</w:t>
      </w:r>
      <w:r>
        <w:rPr>
          <w:rFonts w:hint="eastAsia" w:ascii="仿宋" w:eastAsia="仿宋"/>
          <w:sz w:val="20"/>
          <w:szCs w:val="24"/>
        </w:rPr>
        <w:t>政拨款支出决算明细表</w:t>
      </w:r>
      <w:r>
        <w:rPr>
          <w:rFonts w:hint="eastAsia"/>
          <w:sz w:val="20"/>
          <w:szCs w:val="24"/>
        </w:rPr>
        <w:tab/>
      </w:r>
      <w:r>
        <w:rPr>
          <w:rFonts w:hint="eastAsia"/>
          <w:sz w:val="20"/>
          <w:szCs w:val="24"/>
          <w:lang w:val="en-US" w:eastAsia="zh-CN"/>
        </w:rPr>
        <w:t>55</w:t>
      </w:r>
    </w:p>
    <w:p w14:paraId="579B1D00">
      <w:pPr>
        <w:pStyle w:val="12"/>
        <w:spacing w:beforeLines="0" w:afterLines="0"/>
        <w:rPr>
          <w:rFonts w:hint="default" w:eastAsia="宋体"/>
          <w:sz w:val="21"/>
          <w:szCs w:val="24"/>
          <w:lang w:val="en-US" w:eastAsia="zh-CN"/>
        </w:rPr>
      </w:pPr>
      <w:r>
        <w:rPr>
          <w:rFonts w:hint="eastAsia" w:ascii="仿宋" w:eastAsia="仿宋"/>
          <w:sz w:val="20"/>
          <w:szCs w:val="24"/>
        </w:rPr>
        <w:t>六、</w:t>
      </w:r>
      <w:r>
        <w:rPr>
          <w:rFonts w:hint="eastAsia" w:ascii="仿宋" w:eastAsia="仿宋"/>
          <w:color w:val="000000"/>
          <w:sz w:val="20"/>
          <w:szCs w:val="24"/>
        </w:rPr>
        <w:t>一</w:t>
      </w:r>
      <w:r>
        <w:rPr>
          <w:rFonts w:hint="eastAsia" w:ascii="仿宋" w:eastAsia="仿宋"/>
          <w:sz w:val="20"/>
          <w:szCs w:val="24"/>
        </w:rPr>
        <w:t>般公共预算财政拨款支出决算表</w:t>
      </w:r>
      <w:r>
        <w:rPr>
          <w:rFonts w:hint="eastAsia"/>
          <w:sz w:val="20"/>
          <w:szCs w:val="24"/>
        </w:rPr>
        <w:tab/>
      </w:r>
      <w:r>
        <w:rPr>
          <w:rFonts w:hint="eastAsia"/>
          <w:sz w:val="20"/>
          <w:szCs w:val="24"/>
          <w:lang w:val="en-US" w:eastAsia="zh-CN"/>
        </w:rPr>
        <w:t>55</w:t>
      </w:r>
    </w:p>
    <w:p w14:paraId="1EEA1E77">
      <w:pPr>
        <w:pStyle w:val="12"/>
        <w:spacing w:beforeLines="0" w:afterLines="0"/>
        <w:rPr>
          <w:rFonts w:hint="default" w:eastAsia="宋体"/>
          <w:sz w:val="21"/>
          <w:szCs w:val="24"/>
          <w:lang w:val="en-US" w:eastAsia="zh-CN"/>
        </w:rPr>
      </w:pPr>
      <w:r>
        <w:rPr>
          <w:rFonts w:hint="eastAsia" w:ascii="仿宋" w:eastAsia="仿宋"/>
          <w:sz w:val="20"/>
          <w:szCs w:val="24"/>
        </w:rPr>
        <w:t>七、</w:t>
      </w:r>
      <w:r>
        <w:rPr>
          <w:rFonts w:hint="eastAsia" w:ascii="仿宋" w:eastAsia="仿宋"/>
          <w:color w:val="000000"/>
          <w:sz w:val="20"/>
          <w:szCs w:val="24"/>
        </w:rPr>
        <w:t>一</w:t>
      </w:r>
      <w:r>
        <w:rPr>
          <w:rFonts w:hint="eastAsia" w:ascii="仿宋" w:eastAsia="仿宋"/>
          <w:sz w:val="20"/>
          <w:szCs w:val="24"/>
        </w:rPr>
        <w:t>般公共预算财政拨款支出决算明细表</w:t>
      </w:r>
      <w:r>
        <w:rPr>
          <w:rFonts w:hint="eastAsia"/>
          <w:sz w:val="20"/>
          <w:szCs w:val="24"/>
        </w:rPr>
        <w:tab/>
      </w:r>
      <w:r>
        <w:rPr>
          <w:rFonts w:hint="eastAsia"/>
          <w:sz w:val="20"/>
          <w:szCs w:val="24"/>
          <w:lang w:val="en-US" w:eastAsia="zh-CN"/>
        </w:rPr>
        <w:t>55</w:t>
      </w:r>
    </w:p>
    <w:p w14:paraId="4911CB58">
      <w:pPr>
        <w:pStyle w:val="12"/>
        <w:spacing w:beforeLines="0" w:afterLines="0"/>
        <w:rPr>
          <w:rFonts w:hint="default" w:eastAsia="宋体"/>
          <w:sz w:val="21"/>
          <w:szCs w:val="24"/>
          <w:lang w:val="en-US" w:eastAsia="zh-CN"/>
        </w:rPr>
      </w:pPr>
      <w:r>
        <w:rPr>
          <w:rFonts w:hint="eastAsia" w:ascii="仿宋" w:eastAsia="仿宋"/>
          <w:sz w:val="20"/>
          <w:szCs w:val="24"/>
        </w:rPr>
        <w:t>八、</w:t>
      </w:r>
      <w:r>
        <w:rPr>
          <w:rFonts w:hint="eastAsia" w:ascii="仿宋" w:eastAsia="仿宋"/>
          <w:color w:val="000000"/>
          <w:sz w:val="20"/>
          <w:szCs w:val="24"/>
        </w:rPr>
        <w:t>一</w:t>
      </w:r>
      <w:r>
        <w:rPr>
          <w:rFonts w:hint="eastAsia" w:ascii="仿宋" w:eastAsia="仿宋"/>
          <w:sz w:val="20"/>
          <w:szCs w:val="24"/>
        </w:rPr>
        <w:t>般公共预算财政拨款基本支出决算表</w:t>
      </w:r>
      <w:r>
        <w:rPr>
          <w:rFonts w:hint="eastAsia"/>
          <w:sz w:val="20"/>
          <w:szCs w:val="24"/>
        </w:rPr>
        <w:tab/>
      </w:r>
      <w:r>
        <w:rPr>
          <w:rFonts w:hint="eastAsia"/>
          <w:sz w:val="20"/>
          <w:szCs w:val="24"/>
          <w:lang w:val="en-US" w:eastAsia="zh-CN"/>
        </w:rPr>
        <w:t>55</w:t>
      </w:r>
    </w:p>
    <w:p w14:paraId="3FFCF3CD">
      <w:pPr>
        <w:pStyle w:val="12"/>
        <w:spacing w:beforeLines="0" w:afterLines="0"/>
        <w:rPr>
          <w:rFonts w:hint="default" w:eastAsia="宋体"/>
          <w:sz w:val="21"/>
          <w:szCs w:val="24"/>
          <w:lang w:val="en-US" w:eastAsia="zh-CN"/>
        </w:rPr>
      </w:pPr>
      <w:r>
        <w:rPr>
          <w:rFonts w:hint="eastAsia" w:ascii="仿宋" w:eastAsia="仿宋"/>
          <w:sz w:val="20"/>
          <w:szCs w:val="24"/>
        </w:rPr>
        <w:t>九、</w:t>
      </w:r>
      <w:r>
        <w:rPr>
          <w:rFonts w:hint="eastAsia" w:ascii="仿宋" w:eastAsia="仿宋"/>
          <w:color w:val="000000"/>
          <w:sz w:val="20"/>
          <w:szCs w:val="24"/>
        </w:rPr>
        <w:t>一</w:t>
      </w:r>
      <w:r>
        <w:rPr>
          <w:rFonts w:hint="eastAsia" w:ascii="仿宋" w:eastAsia="仿宋"/>
          <w:sz w:val="20"/>
          <w:szCs w:val="24"/>
        </w:rPr>
        <w:t>般公共预算财政拨款项目支出决算表</w:t>
      </w:r>
      <w:r>
        <w:rPr>
          <w:rFonts w:hint="eastAsia"/>
          <w:sz w:val="20"/>
          <w:szCs w:val="24"/>
        </w:rPr>
        <w:tab/>
      </w:r>
      <w:r>
        <w:rPr>
          <w:rFonts w:hint="eastAsia"/>
          <w:sz w:val="20"/>
          <w:szCs w:val="24"/>
          <w:lang w:val="en-US" w:eastAsia="zh-CN"/>
        </w:rPr>
        <w:t>55</w:t>
      </w:r>
    </w:p>
    <w:p w14:paraId="7694CF93">
      <w:pPr>
        <w:pStyle w:val="12"/>
        <w:spacing w:beforeLines="0" w:afterLines="0"/>
        <w:rPr>
          <w:rFonts w:hint="default" w:eastAsia="宋体"/>
          <w:sz w:val="21"/>
          <w:szCs w:val="24"/>
          <w:lang w:val="en-US" w:eastAsia="zh-CN"/>
        </w:rPr>
      </w:pPr>
      <w:r>
        <w:rPr>
          <w:rFonts w:hint="eastAsia" w:ascii="仿宋" w:eastAsia="仿宋"/>
          <w:sz w:val="20"/>
          <w:szCs w:val="24"/>
        </w:rPr>
        <w:t>十、</w:t>
      </w:r>
      <w:r>
        <w:rPr>
          <w:rFonts w:hint="eastAsia" w:ascii="仿宋" w:eastAsia="仿宋"/>
          <w:color w:val="000000"/>
          <w:sz w:val="20"/>
          <w:szCs w:val="24"/>
        </w:rPr>
        <w:t>政</w:t>
      </w:r>
      <w:r>
        <w:rPr>
          <w:rFonts w:hint="eastAsia" w:ascii="仿宋" w:eastAsia="仿宋"/>
          <w:sz w:val="20"/>
          <w:szCs w:val="24"/>
        </w:rPr>
        <w:t>府性基金预算财政拨款收入支出决算表</w:t>
      </w:r>
      <w:r>
        <w:rPr>
          <w:rFonts w:hint="eastAsia"/>
          <w:sz w:val="20"/>
          <w:szCs w:val="24"/>
        </w:rPr>
        <w:tab/>
      </w:r>
      <w:r>
        <w:rPr>
          <w:rFonts w:hint="eastAsia"/>
          <w:sz w:val="20"/>
          <w:szCs w:val="24"/>
          <w:lang w:val="en-US" w:eastAsia="zh-CN"/>
        </w:rPr>
        <w:t>55</w:t>
      </w:r>
    </w:p>
    <w:p w14:paraId="0F81E13E">
      <w:pPr>
        <w:pStyle w:val="12"/>
        <w:spacing w:beforeLines="0" w:afterLines="0"/>
        <w:rPr>
          <w:rFonts w:hint="default" w:eastAsia="宋体"/>
          <w:sz w:val="21"/>
          <w:szCs w:val="24"/>
          <w:lang w:val="en-US" w:eastAsia="zh-CN"/>
        </w:rPr>
      </w:pPr>
      <w:r>
        <w:rPr>
          <w:rFonts w:hint="eastAsia" w:ascii="仿宋" w:eastAsia="仿宋"/>
          <w:sz w:val="20"/>
          <w:szCs w:val="24"/>
        </w:rPr>
        <w:t>十一、</w:t>
      </w:r>
      <w:r>
        <w:rPr>
          <w:rFonts w:hint="eastAsia" w:ascii="仿宋" w:eastAsia="仿宋"/>
          <w:color w:val="000000"/>
          <w:sz w:val="20"/>
          <w:szCs w:val="24"/>
        </w:rPr>
        <w:t>国</w:t>
      </w:r>
      <w:r>
        <w:rPr>
          <w:rFonts w:hint="eastAsia" w:ascii="仿宋" w:eastAsia="仿宋"/>
          <w:sz w:val="20"/>
          <w:szCs w:val="24"/>
        </w:rPr>
        <w:t>有资本经营预算财政拨款支出决算表</w:t>
      </w:r>
      <w:r>
        <w:rPr>
          <w:rFonts w:hint="eastAsia"/>
          <w:sz w:val="20"/>
          <w:szCs w:val="24"/>
        </w:rPr>
        <w:tab/>
      </w:r>
      <w:r>
        <w:rPr>
          <w:rFonts w:hint="eastAsia"/>
          <w:sz w:val="20"/>
          <w:szCs w:val="24"/>
          <w:lang w:val="en-US" w:eastAsia="zh-CN"/>
        </w:rPr>
        <w:t>55</w:t>
      </w:r>
    </w:p>
    <w:p w14:paraId="0F60246B">
      <w:pPr>
        <w:pStyle w:val="12"/>
        <w:spacing w:beforeLines="0" w:afterLines="0"/>
        <w:rPr>
          <w:rFonts w:hint="default" w:eastAsia="宋体"/>
          <w:sz w:val="21"/>
          <w:szCs w:val="24"/>
          <w:lang w:val="en-US" w:eastAsia="zh-CN"/>
        </w:rPr>
      </w:pPr>
      <w:r>
        <w:rPr>
          <w:rFonts w:hint="eastAsia" w:ascii="仿宋" w:eastAsia="仿宋"/>
          <w:sz w:val="20"/>
          <w:szCs w:val="24"/>
        </w:rPr>
        <w:t>十二、国有资本经营预算财政拨款支出决算表</w:t>
      </w:r>
      <w:r>
        <w:rPr>
          <w:rFonts w:hint="eastAsia"/>
          <w:sz w:val="20"/>
          <w:szCs w:val="24"/>
        </w:rPr>
        <w:tab/>
      </w:r>
      <w:r>
        <w:rPr>
          <w:rFonts w:hint="eastAsia"/>
          <w:sz w:val="20"/>
          <w:szCs w:val="24"/>
          <w:lang w:val="en-US" w:eastAsia="zh-CN"/>
        </w:rPr>
        <w:t>55</w:t>
      </w:r>
    </w:p>
    <w:p w14:paraId="2C7CFAB1">
      <w:pPr>
        <w:pStyle w:val="12"/>
        <w:spacing w:beforeLines="0" w:afterLines="0"/>
        <w:rPr>
          <w:rFonts w:hint="default" w:eastAsia="宋体"/>
          <w:sz w:val="21"/>
          <w:szCs w:val="24"/>
          <w:lang w:val="en-US" w:eastAsia="zh-CN"/>
        </w:rPr>
      </w:pPr>
      <w:r>
        <w:rPr>
          <w:rFonts w:hint="eastAsia" w:ascii="仿宋" w:eastAsia="仿宋"/>
          <w:sz w:val="20"/>
          <w:szCs w:val="24"/>
        </w:rPr>
        <w:t>十三、财政拨款“三公”经费支出决算表</w:t>
      </w:r>
      <w:r>
        <w:rPr>
          <w:rFonts w:hint="eastAsia"/>
          <w:sz w:val="20"/>
          <w:szCs w:val="24"/>
        </w:rPr>
        <w:tab/>
      </w:r>
      <w:r>
        <w:rPr>
          <w:rFonts w:hint="eastAsia"/>
          <w:sz w:val="20"/>
          <w:szCs w:val="24"/>
          <w:lang w:val="en-US" w:eastAsia="zh-CN"/>
        </w:rPr>
        <w:t>55</w:t>
      </w:r>
    </w:p>
    <w:p w14:paraId="4A22DEBC">
      <w:pPr>
        <w:pStyle w:val="12"/>
        <w:spacing w:beforeLines="0" w:afterLines="0"/>
        <w:rPr>
          <w:rFonts w:hint="default" w:eastAsia="宋体"/>
          <w:sz w:val="20"/>
          <w:szCs w:val="24"/>
          <w:lang w:val="en-US" w:eastAsia="zh-CN"/>
        </w:rPr>
      </w:pPr>
    </w:p>
    <w:p w14:paraId="648EA4E5">
      <w:pPr>
        <w:spacing w:beforeLines="0" w:afterLines="0"/>
        <w:rPr>
          <w:rFonts w:hint="default"/>
          <w:sz w:val="21"/>
          <w:szCs w:val="24"/>
        </w:rPr>
      </w:pPr>
    </w:p>
    <w:p w14:paraId="4F962B3E">
      <w:pPr>
        <w:pStyle w:val="2"/>
        <w:jc w:val="center"/>
        <w:rPr>
          <w:rStyle w:val="18"/>
          <w:rFonts w:ascii="黑体" w:hAnsi="黑体" w:eastAsia="黑体"/>
          <w:b/>
          <w:bCs w:val="0"/>
        </w:rPr>
      </w:pPr>
      <w:r>
        <w:rPr>
          <w:rFonts w:hint="default"/>
          <w:sz w:val="21"/>
          <w:szCs w:val="24"/>
        </w:rPr>
        <w:fldChar w:fldCharType="end"/>
      </w:r>
      <w:bookmarkStart w:id="12" w:name="_Toc15396599"/>
      <w:bookmarkStart w:id="13" w:name="_Toc15377196"/>
      <w:r>
        <w:rPr>
          <w:rFonts w:hint="eastAsia" w:ascii="黑体" w:hAnsi="黑体" w:eastAsia="黑体"/>
          <w:b w:val="0"/>
        </w:rPr>
        <w:t>第一部分 单位</w:t>
      </w:r>
      <w:r>
        <w:rPr>
          <w:rStyle w:val="18"/>
          <w:rFonts w:hint="eastAsia" w:ascii="黑体" w:hAnsi="黑体" w:eastAsia="黑体"/>
          <w:b w:val="0"/>
          <w:bCs w:val="0"/>
        </w:rPr>
        <w:t>概况</w:t>
      </w:r>
      <w:bookmarkEnd w:id="12"/>
      <w:bookmarkEnd w:id="13"/>
    </w:p>
    <w:p w14:paraId="4B514774">
      <w:pPr>
        <w:pStyle w:val="3"/>
        <w:numPr>
          <w:ilvl w:val="0"/>
          <w:numId w:val="0"/>
        </w:numPr>
        <w:shd w:val="clear" w:color="auto" w:fill="FFFFFF"/>
        <w:spacing w:line="560" w:lineRule="exact"/>
        <w:ind w:firstLine="643" w:firstLineChars="200"/>
        <w:rPr>
          <w:rFonts w:hint="eastAsia" w:ascii="黑体" w:hAnsi="黑体" w:eastAsia="黑体"/>
        </w:rPr>
      </w:pPr>
      <w:bookmarkStart w:id="14" w:name="_Toc15377197"/>
      <w:bookmarkStart w:id="15" w:name="_Toc15396600"/>
      <w:r>
        <w:rPr>
          <w:rFonts w:hint="eastAsia" w:ascii="黑体" w:hAnsi="黑体" w:eastAsia="黑体"/>
          <w:lang w:val="en-US" w:eastAsia="zh-CN"/>
        </w:rPr>
        <w:t xml:space="preserve"> 一、</w:t>
      </w:r>
      <w:r>
        <w:rPr>
          <w:rFonts w:hint="eastAsia" w:ascii="黑体" w:hAnsi="黑体" w:eastAsia="黑体"/>
        </w:rPr>
        <w:t>基本职能及主要工作</w:t>
      </w:r>
    </w:p>
    <w:p w14:paraId="464CCE6B">
      <w:pPr>
        <w:pStyle w:val="3"/>
        <w:shd w:val="clear" w:color="auto" w:fill="FFFFFF"/>
        <w:spacing w:line="560" w:lineRule="exact"/>
        <w:ind w:firstLine="643" w:firstLineChars="200"/>
        <w:rPr>
          <w:rFonts w:hint="eastAsia"/>
        </w:rPr>
      </w:pPr>
      <w:r>
        <w:rPr>
          <w:rFonts w:hint="eastAsia" w:ascii="仿宋" w:hAnsi="仿宋" w:eastAsia="仿宋"/>
        </w:rPr>
        <w:t>（一）主要职能。</w:t>
      </w:r>
    </w:p>
    <w:p w14:paraId="28539C42">
      <w:pPr>
        <w:keepNext w:val="0"/>
        <w:keepLines w:val="0"/>
        <w:pageBreakBefore w:val="0"/>
        <w:widowControl/>
        <w:kinsoku/>
        <w:wordWrap/>
        <w:overflowPunct/>
        <w:topLinePunct w:val="0"/>
        <w:autoSpaceDE/>
        <w:autoSpaceDN/>
        <w:adjustRightInd/>
        <w:snapToGrid/>
        <w:spacing w:line="540" w:lineRule="exact"/>
        <w:ind w:firstLine="640" w:firstLineChars="200"/>
        <w:jc w:val="left"/>
        <w:rPr>
          <w:rFonts w:hint="eastAsia" w:ascii="仿宋_GB2312" w:hAnsi="仿宋_GB2312" w:eastAsia="仿宋_GB2312" w:cs="仿宋_GB2312"/>
          <w:b/>
          <w:color w:val="000000"/>
          <w:kern w:val="0"/>
          <w:sz w:val="32"/>
          <w:szCs w:val="32"/>
          <w:lang w:bidi="ar-SA"/>
        </w:rPr>
      </w:pPr>
      <w:r>
        <w:rPr>
          <w:rFonts w:hint="eastAsia" w:ascii="仿宋_GB2312" w:hAnsi="仿宋_GB2312" w:eastAsia="仿宋_GB2312" w:cs="仿宋_GB2312"/>
          <w:color w:val="000000"/>
          <w:kern w:val="0"/>
          <w:sz w:val="32"/>
          <w:szCs w:val="32"/>
          <w:lang w:bidi="ar-SA"/>
        </w:rPr>
        <w:t>以高度责任感和使命感，团结组织县内广大文学艺术工作者，坚持“二为”方向（为人民服务、为社会主义服务）、“双百”方针（百花齐放、百家争鸣）和“三贴近”原则（贴近实际、贴近生活、贴近群众），认真履行“组织、联络、协调、服务”的桥梁纽带职能，紧紧围绕汶川县委、县政府文化强县和“高原奔驰，加快发展”的发展战略，大力推进汶川文艺建设，为实现汶川文学艺术大发展大繁荣而努力奋斗。</w:t>
      </w:r>
    </w:p>
    <w:p w14:paraId="1A30678C">
      <w:pPr>
        <w:keepNext w:val="0"/>
        <w:keepLines w:val="0"/>
        <w:pageBreakBefore w:val="0"/>
        <w:widowControl/>
        <w:kinsoku/>
        <w:wordWrap/>
        <w:overflowPunct/>
        <w:topLinePunct w:val="0"/>
        <w:autoSpaceDE/>
        <w:autoSpaceDN/>
        <w:bidi w:val="0"/>
        <w:adjustRightInd/>
        <w:snapToGrid/>
        <w:spacing w:line="540" w:lineRule="exact"/>
        <w:ind w:left="0" w:right="0" w:firstLine="629"/>
        <w:jc w:val="left"/>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SA"/>
        </w:rPr>
        <w:t>对各团体会员开展联络、协调、服务工作。通过组织深入活动、文艺创作、理论研究、学术交流、人才培训、书刊出版、文艺评奖等工作，对团体会员进行业务指导。</w:t>
      </w:r>
    </w:p>
    <w:p w14:paraId="086060BC">
      <w:pPr>
        <w:keepNext w:val="0"/>
        <w:keepLines w:val="0"/>
        <w:pageBreakBefore w:val="0"/>
        <w:widowControl/>
        <w:kinsoku/>
        <w:wordWrap/>
        <w:overflowPunct/>
        <w:topLinePunct w:val="0"/>
        <w:autoSpaceDE/>
        <w:autoSpaceDN/>
        <w:bidi w:val="0"/>
        <w:adjustRightInd/>
        <w:snapToGrid/>
        <w:spacing w:line="540" w:lineRule="exact"/>
        <w:ind w:left="0" w:right="0" w:firstLine="629"/>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贯彻中央文艺精神，切实完成县委县政府部署安排，全力有序推进各项工作，在抓好文化惠民、开展文艺座谈、作品展览、创作交流等多种活动，向县内外文艺报刊推荐汶川优秀文艺作品，完成编辑《羌族文学》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年度4期出版发送工作。</w:t>
      </w:r>
    </w:p>
    <w:p w14:paraId="76EBDFC2">
      <w:pPr>
        <w:pStyle w:val="13"/>
        <w:numPr>
          <w:ilvl w:val="0"/>
          <w:numId w:val="0"/>
        </w:numPr>
        <w:shd w:val="clear" w:color="auto" w:fill="FFFFFF"/>
        <w:spacing w:line="560" w:lineRule="exact"/>
        <w:ind w:firstLine="643" w:firstLineChars="200"/>
        <w:rPr>
          <w:rFonts w:hint="eastAsia" w:ascii="仿宋" w:hAnsi="仿宋" w:eastAsia="仿宋"/>
          <w:b/>
          <w:bCs/>
          <w:sz w:val="32"/>
          <w:szCs w:val="32"/>
        </w:rPr>
      </w:pPr>
      <w:r>
        <w:rPr>
          <w:rFonts w:hint="eastAsia" w:ascii="仿宋" w:hAnsi="仿宋" w:eastAsia="仿宋"/>
          <w:b/>
          <w:bCs/>
          <w:sz w:val="32"/>
          <w:szCs w:val="32"/>
          <w:lang w:eastAsia="zh-CN"/>
        </w:rPr>
        <w:t>（二）</w:t>
      </w:r>
      <w:r>
        <w:rPr>
          <w:rFonts w:hint="eastAsia" w:ascii="仿宋" w:hAnsi="仿宋" w:eastAsia="仿宋"/>
          <w:b/>
          <w:bCs/>
          <w:sz w:val="32"/>
          <w:szCs w:val="32"/>
        </w:rPr>
        <w:t>202</w:t>
      </w:r>
      <w:r>
        <w:rPr>
          <w:rFonts w:hint="eastAsia" w:ascii="仿宋" w:hAnsi="仿宋" w:eastAsia="仿宋"/>
          <w:b/>
          <w:bCs/>
          <w:sz w:val="32"/>
          <w:szCs w:val="32"/>
          <w:lang w:val="en-US" w:eastAsia="zh-CN"/>
        </w:rPr>
        <w:t>5</w:t>
      </w:r>
      <w:r>
        <w:rPr>
          <w:rFonts w:hint="eastAsia" w:ascii="仿宋" w:hAnsi="仿宋" w:eastAsia="仿宋"/>
          <w:b/>
          <w:bCs/>
          <w:sz w:val="32"/>
          <w:szCs w:val="32"/>
        </w:rPr>
        <w:t>年重点工作完成情况。</w:t>
      </w:r>
    </w:p>
    <w:p w14:paraId="10DEA455">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20" w:lineRule="exact"/>
        <w:ind w:right="0" w:righ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w:t>
      </w:r>
      <w:r>
        <w:rPr>
          <w:rFonts w:hint="default" w:ascii="仿宋_GB2312" w:hAnsi="仿宋_GB2312" w:eastAsia="仿宋_GB2312" w:cs="仿宋_GB2312"/>
          <w:b/>
          <w:bCs/>
          <w:kern w:val="2"/>
          <w:sz w:val="32"/>
          <w:szCs w:val="32"/>
          <w:lang w:val="en-US" w:eastAsia="zh-CN" w:bidi="ar-SA"/>
        </w:rPr>
        <w:t>重点文艺活动高效落实</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成功举办“温暖汶川·追光向前——2025逐梦新年HUI活动”，展出主题图片26幅，发放本土书籍400余册。开展文艺“五下乡”活动9场，赠送春联春福3000副、书籍1200册，指导群众自导自演文艺节目。协助开放阿来书屋，组织作家交流活动。国庆期间举办“礼赞祖国·奋进汶川”文艺作品综合展，展出文艺精品80件。组织音乐舞蹈家协会参加“铸牢中华民族共同体意识”主题晚会，表演合唱《百年筑梦 净土阿坝》。</w:t>
      </w:r>
    </w:p>
    <w:p w14:paraId="7732B5D2">
      <w:pPr>
        <w:pStyle w:val="1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right="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w:t>
      </w:r>
      <w:r>
        <w:rPr>
          <w:rFonts w:hint="default" w:ascii="仿宋_GB2312" w:hAnsi="仿宋_GB2312" w:eastAsia="仿宋_GB2312" w:cs="仿宋_GB2312"/>
          <w:b/>
          <w:bCs/>
          <w:kern w:val="2"/>
          <w:sz w:val="32"/>
          <w:szCs w:val="32"/>
          <w:lang w:val="en-US" w:eastAsia="zh-CN" w:bidi="ar-SA"/>
        </w:rPr>
        <w:t>文艺创作与品牌建设持续深化</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推进《羌族文学》编审工作，开设“文学赋能乡村振兴”专栏，扶持新人创作，推荐5件作品在省级刊物发表。开展“景云碑”书法作品、“大禹杯”文艺作品征集活动，挖掘大禹文化。申报中国文联“文艺两新”集聚区实践基地，推进新兴文艺群体孵化。制作《新旧对比图册》，助力“石榴籽”工程宣传。</w:t>
      </w:r>
    </w:p>
    <w:p w14:paraId="404F55CA">
      <w:pPr>
        <w:pStyle w:val="1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right="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default" w:ascii="仿宋_GB2312" w:hAnsi="仿宋_GB2312" w:eastAsia="仿宋_GB2312" w:cs="仿宋_GB2312"/>
          <w:b/>
          <w:bCs/>
          <w:kern w:val="2"/>
          <w:sz w:val="32"/>
          <w:szCs w:val="32"/>
          <w:lang w:val="en-US" w:eastAsia="zh-CN" w:bidi="ar-SA"/>
        </w:rPr>
        <w:t>文化交流与协作稳步开展</w:t>
      </w:r>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在浙江绍兴、嘉兴、湖州、宁波、温州开展人文交流，搭建互联互通渠道。</w:t>
      </w:r>
      <w:r>
        <w:rPr>
          <w:rFonts w:hint="default" w:ascii="仿宋_GB2312" w:hAnsi="仿宋_GB2312" w:eastAsia="仿宋_GB2312" w:cs="仿宋_GB2312"/>
          <w:kern w:val="2"/>
          <w:sz w:val="32"/>
          <w:szCs w:val="32"/>
          <w:lang w:val="en-US" w:eastAsia="zh-CN" w:bidi="ar-SA"/>
        </w:rPr>
        <w:t>召开《禹的传说》编纂座谈会、大禹文化宣传推广座谈会，联动郫都区扬雄学会、子云书院探讨禹文化与扬雄文化融合。组织各协会学习省州县全会精神，明确“以文塑旅、以旅彰文”工作方向。召开《羌族文学》编审会，研讨下半年发展计划。</w:t>
      </w:r>
    </w:p>
    <w:p w14:paraId="52A99225">
      <w:pPr>
        <w:pStyle w:val="1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right="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w:t>
      </w:r>
      <w:r>
        <w:rPr>
          <w:rFonts w:hint="default" w:ascii="仿宋_GB2312" w:hAnsi="仿宋_GB2312" w:eastAsia="仿宋_GB2312" w:cs="仿宋_GB2312"/>
          <w:b/>
          <w:bCs/>
          <w:kern w:val="2"/>
          <w:sz w:val="32"/>
          <w:szCs w:val="32"/>
          <w:lang w:val="en-US" w:eastAsia="zh-CN" w:bidi="ar-SA"/>
        </w:rPr>
        <w:t>特色亮点</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文化品牌辨识度持续提升，《羌族文学》聚焦“文学性、民族性、地域性、创新性”，成为展示汶川文化的重要窗口。大禹文化宣传推广座谈会搭建跨区域文化合作桥梁，深化“大禹故里”品牌内涵。文艺惠民精准度提高，“五下乡”活动按需供给，阿来书屋成为文艺交流新阵地。新兴文艺群体孵化加速，申报中国文联“文艺两新”集聚区实践基地，探索新兴群体培育模式。</w:t>
      </w:r>
    </w:p>
    <w:p w14:paraId="594711EA">
      <w:pPr>
        <w:pStyle w:val="1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right="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w:t>
      </w:r>
      <w:r>
        <w:rPr>
          <w:rFonts w:hint="default" w:ascii="仿宋_GB2312" w:hAnsi="仿宋_GB2312" w:eastAsia="仿宋_GB2312" w:cs="仿宋_GB2312"/>
          <w:b/>
          <w:bCs/>
          <w:kern w:val="2"/>
          <w:sz w:val="32"/>
          <w:szCs w:val="32"/>
          <w:lang w:val="en-US" w:eastAsia="zh-CN" w:bidi="ar-SA"/>
        </w:rPr>
        <w:t>存在的困难和问题</w:t>
      </w:r>
      <w:r>
        <w:rPr>
          <w:rFonts w:hint="eastAsia" w:ascii="仿宋_GB2312" w:hAnsi="仿宋_GB2312" w:eastAsia="仿宋_GB2312" w:cs="仿宋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文艺创作质量与数量需进一步平衡，部分协会创作热情不高，反映时代精神和地域特色的精品力作仍然偏少，年轻创作者挖掘与培养力度不足。协会联动与资源整合不够，大型活动策划和跨门类创作中资源整合不充分，整体合力未完全发挥。县级文艺奖励基金制度不完善，基层创作激励不足，影响创作者积极性。文化转化与产业融合不足，文艺作品向文旅产品、文创产品的转化能力较弱，“文学+旅游”“文艺+产业”融合模式仍需深化，文化价值向经济价值转化不充分。</w:t>
      </w:r>
    </w:p>
    <w:p w14:paraId="3F1B7449">
      <w:pPr>
        <w:pStyle w:val="3"/>
        <w:rPr>
          <w:rFonts w:ascii="黑体" w:hAnsi="黑体" w:eastAsia="黑体"/>
          <w:b w:val="0"/>
        </w:rPr>
      </w:pPr>
      <w:r>
        <w:rPr>
          <w:rFonts w:hint="eastAsia" w:ascii="黑体" w:hAnsi="黑体" w:eastAsia="黑体"/>
          <w:b w:val="0"/>
        </w:rPr>
        <w:t>二、机构设置</w:t>
      </w:r>
    </w:p>
    <w:bookmarkEnd w:id="14"/>
    <w:bookmarkEnd w:id="15"/>
    <w:p w14:paraId="3292312F">
      <w:pPr>
        <w:pStyle w:val="5"/>
        <w:pageBreakBefore w:val="0"/>
        <w:kinsoku/>
        <w:wordWrap/>
        <w:overflowPunct/>
        <w:topLinePunct w:val="0"/>
        <w:autoSpaceDE/>
        <w:autoSpaceDN/>
        <w:bidi w:val="0"/>
        <w:adjustRightInd w:val="0"/>
        <w:snapToGrid w:val="0"/>
        <w:spacing w:before="0" w:beforeLines="0" w:line="576" w:lineRule="exact"/>
        <w:ind w:firstLine="640" w:firstLineChars="200"/>
        <w:textAlignment w:val="auto"/>
        <w:rPr>
          <w:rFonts w:hint="eastAsia" w:ascii="仿宋" w:eastAsia="仿宋"/>
          <w:color w:val="000000"/>
          <w:sz w:val="32"/>
          <w:szCs w:val="32"/>
        </w:rPr>
      </w:pPr>
      <w:bookmarkStart w:id="16" w:name="_Toc15377201"/>
      <w:bookmarkStart w:id="17" w:name="_Toc15378448"/>
      <w:bookmarkStart w:id="18" w:name="_Toc79163606"/>
      <w:bookmarkStart w:id="19" w:name="_Toc15306275"/>
      <w:bookmarkStart w:id="20" w:name="_Toc15377432"/>
      <w:bookmarkStart w:id="21" w:name="_Toc79163856"/>
      <w:r>
        <w:rPr>
          <w:rFonts w:hint="eastAsia" w:ascii="仿宋_GB2312" w:hAnsi="仿宋_GB2312" w:eastAsia="仿宋_GB2312" w:cs="仿宋_GB2312"/>
          <w:kern w:val="0"/>
          <w:sz w:val="32"/>
          <w:szCs w:val="32"/>
          <w:lang w:bidi="ar-SA"/>
        </w:rPr>
        <w:t>本部门下属二级预算单位</w:t>
      </w:r>
      <w:r>
        <w:rPr>
          <w:rFonts w:hint="eastAsia" w:ascii="仿宋_GB2312" w:hAnsi="仿宋_GB2312" w:eastAsia="仿宋_GB2312" w:cs="仿宋_GB2312"/>
          <w:kern w:val="0"/>
          <w:sz w:val="32"/>
          <w:szCs w:val="32"/>
          <w:u w:val="single"/>
          <w:lang w:val="en-US" w:eastAsia="zh-CN" w:bidi="ar-SA"/>
        </w:rPr>
        <w:t>0</w:t>
      </w:r>
      <w:r>
        <w:rPr>
          <w:rFonts w:hint="eastAsia" w:ascii="仿宋_GB2312" w:hAnsi="仿宋_GB2312" w:eastAsia="仿宋_GB2312" w:cs="仿宋_GB2312"/>
          <w:kern w:val="0"/>
          <w:sz w:val="32"/>
          <w:szCs w:val="32"/>
          <w:lang w:bidi="ar-SA"/>
        </w:rPr>
        <w:t>个，其中内设机</w:t>
      </w:r>
      <w:r>
        <w:rPr>
          <w:rFonts w:hint="eastAsia" w:ascii="仿宋_GB2312" w:hAnsi="仿宋_GB2312" w:eastAsia="仿宋_GB2312" w:cs="仿宋_GB2312"/>
          <w:color w:val="auto"/>
          <w:kern w:val="0"/>
          <w:sz w:val="32"/>
          <w:szCs w:val="32"/>
          <w:lang w:bidi="ar-SA"/>
        </w:rPr>
        <w:t>构</w:t>
      </w:r>
      <w:r>
        <w:rPr>
          <w:rFonts w:hint="eastAsia" w:ascii="仿宋_GB2312" w:hAnsi="仿宋_GB2312" w:eastAsia="仿宋_GB2312" w:cs="仿宋_GB2312"/>
          <w:color w:val="000000"/>
          <w:kern w:val="0"/>
          <w:sz w:val="32"/>
          <w:szCs w:val="32"/>
          <w:u w:val="single"/>
          <w:lang w:val="en-US" w:eastAsia="zh-CN" w:bidi="ar-SA"/>
        </w:rPr>
        <w:t>3</w:t>
      </w:r>
      <w:r>
        <w:rPr>
          <w:rFonts w:hint="eastAsia" w:ascii="仿宋_GB2312" w:hAnsi="仿宋_GB2312" w:eastAsia="仿宋_GB2312" w:cs="仿宋_GB2312"/>
          <w:color w:val="auto"/>
          <w:kern w:val="0"/>
          <w:sz w:val="32"/>
          <w:szCs w:val="32"/>
          <w:lang w:bidi="ar-SA"/>
        </w:rPr>
        <w:t>个</w:t>
      </w:r>
      <w:r>
        <w:rPr>
          <w:rFonts w:hint="eastAsia" w:ascii="仿宋_GB2312" w:hAnsi="仿宋_GB2312" w:eastAsia="仿宋_GB2312" w:cs="仿宋_GB2312"/>
          <w:kern w:val="0"/>
          <w:sz w:val="32"/>
          <w:szCs w:val="32"/>
          <w:lang w:bidi="ar-SA"/>
        </w:rPr>
        <w:t>。</w:t>
      </w:r>
      <w:bookmarkEnd w:id="16"/>
      <w:bookmarkEnd w:id="17"/>
      <w:bookmarkEnd w:id="18"/>
      <w:bookmarkEnd w:id="19"/>
      <w:bookmarkEnd w:id="20"/>
      <w:bookmarkEnd w:id="21"/>
      <w:r>
        <w:rPr>
          <w:rFonts w:hint="eastAsia" w:ascii="仿宋_GB2312" w:hAnsi="仿宋_GB2312" w:eastAsia="仿宋_GB2312" w:cs="仿宋_GB2312"/>
          <w:kern w:val="0"/>
          <w:sz w:val="32"/>
          <w:szCs w:val="32"/>
          <w:lang w:bidi="ar-SA"/>
        </w:rPr>
        <w:t>我会总编制</w:t>
      </w:r>
      <w:r>
        <w:rPr>
          <w:rFonts w:hint="eastAsia" w:hAnsi="仿宋_GB2312" w:cs="仿宋_GB2312"/>
          <w:kern w:val="0"/>
          <w:sz w:val="32"/>
          <w:szCs w:val="32"/>
          <w:lang w:val="en-US" w:eastAsia="zh-CN" w:bidi="ar-SA"/>
        </w:rPr>
        <w:t>6</w:t>
      </w:r>
      <w:r>
        <w:rPr>
          <w:rFonts w:hint="eastAsia" w:ascii="仿宋_GB2312" w:hAnsi="仿宋_GB2312" w:eastAsia="仿宋_GB2312" w:cs="仿宋_GB2312"/>
          <w:kern w:val="0"/>
          <w:sz w:val="32"/>
          <w:szCs w:val="32"/>
          <w:lang w:bidi="ar-SA"/>
        </w:rPr>
        <w:t>名,其中:行政编制</w:t>
      </w:r>
      <w:r>
        <w:rPr>
          <w:rFonts w:hint="eastAsia" w:hAnsi="仿宋_GB2312" w:cs="仿宋_GB2312"/>
          <w:kern w:val="0"/>
          <w:sz w:val="32"/>
          <w:szCs w:val="32"/>
          <w:lang w:val="en-US" w:eastAsia="zh-CN" w:bidi="ar-SA"/>
        </w:rPr>
        <w:t>0</w:t>
      </w:r>
      <w:r>
        <w:rPr>
          <w:rFonts w:hint="eastAsia" w:ascii="仿宋_GB2312" w:hAnsi="仿宋_GB2312" w:eastAsia="仿宋_GB2312" w:cs="仿宋_GB2312"/>
          <w:kern w:val="0"/>
          <w:sz w:val="32"/>
          <w:szCs w:val="32"/>
          <w:lang w:bidi="ar-SA"/>
        </w:rPr>
        <w:t>名，事业编制</w:t>
      </w:r>
      <w:r>
        <w:rPr>
          <w:rFonts w:hint="eastAsia" w:hAnsi="仿宋_GB2312" w:cs="仿宋_GB2312"/>
          <w:kern w:val="0"/>
          <w:sz w:val="32"/>
          <w:szCs w:val="32"/>
          <w:lang w:val="en-US" w:eastAsia="zh-CN" w:bidi="ar-SA"/>
        </w:rPr>
        <w:t>6</w:t>
      </w:r>
      <w:r>
        <w:rPr>
          <w:rFonts w:hint="eastAsia" w:ascii="仿宋_GB2312" w:hAnsi="仿宋_GB2312" w:eastAsia="仿宋_GB2312" w:cs="仿宋_GB2312"/>
          <w:kern w:val="0"/>
          <w:sz w:val="32"/>
          <w:szCs w:val="32"/>
          <w:lang w:bidi="ar-SA"/>
        </w:rPr>
        <w:t>名。在职人员总数</w:t>
      </w:r>
      <w:r>
        <w:rPr>
          <w:rFonts w:hint="eastAsia" w:hAnsi="仿宋_GB2312" w:cs="仿宋_GB2312"/>
          <w:kern w:val="0"/>
          <w:sz w:val="32"/>
          <w:szCs w:val="32"/>
          <w:lang w:val="en-US" w:eastAsia="zh-CN" w:bidi="ar-SA"/>
        </w:rPr>
        <w:t>6</w:t>
      </w:r>
      <w:r>
        <w:rPr>
          <w:rFonts w:hint="eastAsia" w:ascii="仿宋_GB2312" w:hAnsi="仿宋_GB2312" w:eastAsia="仿宋_GB2312" w:cs="仿宋_GB2312"/>
          <w:kern w:val="0"/>
          <w:sz w:val="32"/>
          <w:szCs w:val="32"/>
          <w:lang w:bidi="ar-SA"/>
        </w:rPr>
        <w:t>名，其中：事业人员</w:t>
      </w:r>
      <w:r>
        <w:rPr>
          <w:rFonts w:hint="eastAsia" w:hAnsi="仿宋_GB2312" w:cs="仿宋_GB2312"/>
          <w:kern w:val="0"/>
          <w:sz w:val="32"/>
          <w:szCs w:val="32"/>
          <w:lang w:val="en-US" w:eastAsia="zh-CN" w:bidi="ar-SA"/>
        </w:rPr>
        <w:t>6</w:t>
      </w:r>
      <w:r>
        <w:rPr>
          <w:rFonts w:hint="eastAsia" w:ascii="仿宋_GB2312" w:hAnsi="仿宋_GB2312" w:eastAsia="仿宋_GB2312" w:cs="仿宋_GB2312"/>
          <w:kern w:val="0"/>
          <w:sz w:val="32"/>
          <w:szCs w:val="32"/>
          <w:lang w:bidi="ar-SA"/>
        </w:rPr>
        <w:t>人。</w:t>
      </w:r>
    </w:p>
    <w:p w14:paraId="00442C6A">
      <w:pPr>
        <w:widowControl/>
        <w:jc w:val="left"/>
        <w:rPr>
          <w:rFonts w:ascii="仿宋" w:hAnsi="仿宋" w:eastAsia="仿宋"/>
          <w:kern w:val="0"/>
          <w:sz w:val="32"/>
          <w:szCs w:val="32"/>
        </w:rPr>
      </w:pPr>
      <w:r>
        <w:rPr>
          <w:rFonts w:ascii="仿宋" w:hAnsi="仿宋" w:eastAsia="仿宋"/>
          <w:sz w:val="32"/>
          <w:szCs w:val="32"/>
        </w:rPr>
        <w:br w:type="page"/>
      </w:r>
    </w:p>
    <w:p w14:paraId="02B3B10A">
      <w:pPr>
        <w:pStyle w:val="2"/>
        <w:ind w:right="440"/>
        <w:jc w:val="center"/>
        <w:rPr>
          <w:rStyle w:val="18"/>
          <w:rFonts w:ascii="黑体" w:hAnsi="黑体" w:eastAsia="黑体"/>
          <w:b w:val="0"/>
          <w:bCs/>
        </w:rPr>
      </w:pPr>
      <w:bookmarkStart w:id="22" w:name="_Toc15396602"/>
      <w:bookmarkStart w:id="23" w:name="_Toc15377204"/>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18"/>
          <w:rFonts w:hint="eastAsia" w:ascii="黑体" w:hAnsi="黑体" w:eastAsia="黑体"/>
          <w:b w:val="0"/>
          <w:bCs/>
        </w:rPr>
        <w:t>单位决算情况说明</w:t>
      </w:r>
      <w:bookmarkEnd w:id="22"/>
      <w:bookmarkEnd w:id="23"/>
    </w:p>
    <w:p w14:paraId="10BB39CC"/>
    <w:p w14:paraId="1EFB1A6E">
      <w:pPr>
        <w:pStyle w:val="20"/>
        <w:numPr>
          <w:ilvl w:val="0"/>
          <w:numId w:val="1"/>
        </w:numPr>
        <w:spacing w:line="600" w:lineRule="exact"/>
        <w:ind w:firstLineChars="0"/>
        <w:outlineLvl w:val="1"/>
        <w:rPr>
          <w:rStyle w:val="19"/>
          <w:rFonts w:ascii="黑体" w:hAnsi="黑体" w:eastAsia="黑体"/>
          <w:b w:val="0"/>
        </w:rPr>
      </w:pPr>
      <w:bookmarkStart w:id="24" w:name="_Toc15377205"/>
      <w:bookmarkStart w:id="25" w:name="_Toc15396603"/>
      <w:r>
        <w:rPr>
          <w:rFonts w:hint="eastAsia" w:ascii="黑体" w:hAnsi="黑体" w:eastAsia="黑体"/>
          <w:sz w:val="32"/>
          <w:szCs w:val="32"/>
        </w:rPr>
        <w:t>收</w:t>
      </w:r>
      <w:r>
        <w:rPr>
          <w:rStyle w:val="19"/>
          <w:rFonts w:hint="eastAsia" w:ascii="黑体" w:hAnsi="黑体" w:eastAsia="黑体"/>
          <w:b w:val="0"/>
        </w:rPr>
        <w:t>入支出决算总体情况说明</w:t>
      </w:r>
      <w:bookmarkEnd w:id="24"/>
      <w:bookmarkEnd w:id="25"/>
    </w:p>
    <w:p w14:paraId="4C7B6D80">
      <w:pPr>
        <w:pStyle w:val="22"/>
        <w:keepNext w:val="0"/>
        <w:keepLines w:val="0"/>
        <w:pageBreakBefore w:val="0"/>
        <w:numPr>
          <w:ilvl w:val="0"/>
          <w:numId w:val="0"/>
        </w:numPr>
        <w:kinsoku/>
        <w:wordWrap/>
        <w:overflowPunct/>
        <w:topLinePunct w:val="0"/>
        <w:bidi w:val="0"/>
        <w:snapToGrid/>
        <w:spacing w:line="540" w:lineRule="exact"/>
        <w:ind w:firstLine="640" w:firstLineChars="200"/>
        <w:jc w:val="both"/>
        <w:textAlignment w:val="auto"/>
        <w:outlineLvl w:val="1"/>
        <w:rPr>
          <w:rFonts w:hint="eastAsia" w:ascii="仿宋" w:hAnsi="仿宋" w:eastAsia="仿宋"/>
          <w:color w:val="000000"/>
          <w:sz w:val="32"/>
          <w:szCs w:val="32"/>
          <w:lang w:eastAsia="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186.11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（含年初结转和结余资金</w:t>
      </w:r>
      <w:r>
        <w:rPr>
          <w:rFonts w:hint="eastAsia" w:ascii="仿宋" w:hAnsi="仿宋" w:eastAsia="仿宋"/>
          <w:color w:val="000000"/>
          <w:sz w:val="32"/>
          <w:szCs w:val="32"/>
          <w:lang w:val="en-US" w:eastAsia="zh-CN"/>
        </w:rPr>
        <w:t>0.7万元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7.14</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增加人员经费预算</w:t>
      </w:r>
      <w:r>
        <w:rPr>
          <w:rFonts w:hint="eastAsia" w:ascii="仿宋" w:hAnsi="仿宋" w:eastAsia="仿宋"/>
          <w:color w:val="000000"/>
          <w:sz w:val="32"/>
          <w:szCs w:val="32"/>
          <w:lang w:val="en-US" w:eastAsia="zh-CN"/>
        </w:rPr>
        <w:t>。</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186.11</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7.14</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增加人员经费预算</w:t>
      </w:r>
      <w:r>
        <w:rPr>
          <w:rFonts w:hint="eastAsia" w:ascii="仿宋" w:hAnsi="仿宋" w:eastAsia="仿宋"/>
          <w:color w:val="000000"/>
          <w:sz w:val="32"/>
          <w:szCs w:val="32"/>
          <w:lang w:val="en-US" w:eastAsia="zh-CN"/>
        </w:rPr>
        <w:t>。</w:t>
      </w:r>
    </w:p>
    <w:p w14:paraId="7E0A36EB">
      <w:pPr>
        <w:pStyle w:val="13"/>
        <w:shd w:val="clear" w:color="auto" w:fill="FFFFFF"/>
        <w:spacing w:line="560" w:lineRule="exact"/>
        <w:ind w:firstLine="640" w:firstLineChars="200"/>
        <w:rPr>
          <w:rFonts w:hint="eastAsia" w:ascii="仿宋" w:hAnsi="仿宋" w:eastAsia="仿宋"/>
          <w:sz w:val="32"/>
          <w:szCs w:val="32"/>
        </w:rPr>
      </w:pPr>
      <w:r>
        <w:rPr>
          <w:rFonts w:hint="eastAsia" w:ascii="仿宋_GB2312" w:eastAsia="仿宋_GB2312"/>
          <w:color w:val="000000"/>
          <w:sz w:val="32"/>
          <w:szCs w:val="32"/>
          <w:lang w:eastAsia="zh-CN"/>
        </w:rPr>
        <w:drawing>
          <wp:anchor distT="0" distB="0" distL="114300" distR="114300" simplePos="0" relativeHeight="251660288" behindDoc="0" locked="0" layoutInCell="1" allowOverlap="1">
            <wp:simplePos x="0" y="0"/>
            <wp:positionH relativeFrom="column">
              <wp:posOffset>86360</wp:posOffset>
            </wp:positionH>
            <wp:positionV relativeFrom="paragraph">
              <wp:posOffset>202565</wp:posOffset>
            </wp:positionV>
            <wp:extent cx="5080000" cy="2659380"/>
            <wp:effectExtent l="5080" t="4445" r="20320" b="2222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sz w:val="32"/>
          <w:szCs w:val="32"/>
        </w:rPr>
        <w:t>（图1：收、支决算总计变动情况图）（柱状图）</w:t>
      </w:r>
    </w:p>
    <w:p w14:paraId="6403B887">
      <w:pPr>
        <w:pStyle w:val="20"/>
        <w:numPr>
          <w:ilvl w:val="0"/>
          <w:numId w:val="0"/>
        </w:numPr>
        <w:spacing w:line="600" w:lineRule="exact"/>
        <w:ind w:firstLine="640" w:firstLineChars="200"/>
        <w:outlineLvl w:val="1"/>
        <w:rPr>
          <w:rStyle w:val="19"/>
          <w:rFonts w:ascii="黑体" w:hAnsi="黑体" w:eastAsia="黑体"/>
          <w:b w:val="0"/>
        </w:rPr>
      </w:pPr>
      <w:bookmarkStart w:id="26" w:name="_Toc15377206"/>
      <w:bookmarkStart w:id="27" w:name="_Toc15396604"/>
      <w:r>
        <w:rPr>
          <w:rFonts w:hint="eastAsia" w:ascii="黑体" w:hAnsi="黑体" w:eastAsia="黑体"/>
          <w:sz w:val="32"/>
          <w:szCs w:val="32"/>
          <w:lang w:val="en-US" w:eastAsia="zh-CN"/>
        </w:rPr>
        <w:t>二、</w:t>
      </w:r>
      <w:r>
        <w:rPr>
          <w:rFonts w:hint="eastAsia" w:ascii="黑体" w:hAnsi="黑体" w:eastAsia="黑体"/>
          <w:sz w:val="32"/>
          <w:szCs w:val="32"/>
        </w:rPr>
        <w:t>收</w:t>
      </w:r>
      <w:r>
        <w:rPr>
          <w:rStyle w:val="19"/>
          <w:rFonts w:hint="eastAsia" w:ascii="黑体" w:hAnsi="黑体" w:eastAsia="黑体"/>
          <w:b w:val="0"/>
        </w:rPr>
        <w:t>入决算情况说明</w:t>
      </w:r>
      <w:bookmarkEnd w:id="26"/>
      <w:bookmarkEnd w:id="27"/>
    </w:p>
    <w:p w14:paraId="56E5E477">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185.41</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185.41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1879EEB6">
      <w:pPr>
        <w:spacing w:line="600" w:lineRule="exact"/>
        <w:ind w:firstLine="640" w:firstLineChars="200"/>
        <w:rPr>
          <w:rFonts w:hint="eastAsia" w:ascii="黑体" w:hAnsi="黑体" w:eastAsia="黑体"/>
          <w:sz w:val="32"/>
          <w:szCs w:val="32"/>
        </w:rPr>
      </w:pPr>
      <w:r>
        <w:rPr>
          <w:rFonts w:ascii="仿宋" w:eastAsia="仿宋"/>
          <w:color w:val="000000"/>
          <w:sz w:val="32"/>
          <w:szCs w:val="32"/>
        </w:rPr>
        <w:drawing>
          <wp:anchor distT="0" distB="0" distL="0" distR="0" simplePos="0" relativeHeight="251661312" behindDoc="0" locked="0" layoutInCell="1" allowOverlap="1">
            <wp:simplePos x="0" y="0"/>
            <wp:positionH relativeFrom="column">
              <wp:posOffset>115570</wp:posOffset>
            </wp:positionH>
            <wp:positionV relativeFrom="page">
              <wp:posOffset>1121410</wp:posOffset>
            </wp:positionV>
            <wp:extent cx="5274310" cy="2590165"/>
            <wp:effectExtent l="6350" t="6350" r="15240" b="1333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8" w:name="_Toc15396605"/>
      <w:bookmarkStart w:id="29" w:name="_Toc15377207"/>
      <w:r>
        <w:rPr>
          <w:rFonts w:hint="eastAsia" w:ascii="仿宋" w:eastAsia="仿宋"/>
          <w:color w:val="000000"/>
          <w:sz w:val="32"/>
          <w:szCs w:val="32"/>
          <w:lang w:val="en-US" w:eastAsia="zh-CN"/>
        </w:rPr>
        <w:t xml:space="preserve">     </w:t>
      </w:r>
      <w:r>
        <w:rPr>
          <w:rFonts w:hint="eastAsia" w:ascii="仿宋" w:eastAsia="仿宋"/>
          <w:color w:val="000000"/>
          <w:sz w:val="32"/>
          <w:szCs w:val="32"/>
        </w:rPr>
        <w:t>（图2：收入决算结构图）（饼状图）</w:t>
      </w:r>
    </w:p>
    <w:p w14:paraId="5C4CB508">
      <w:pPr>
        <w:pStyle w:val="20"/>
        <w:numPr>
          <w:ilvl w:val="0"/>
          <w:numId w:val="0"/>
        </w:numPr>
        <w:spacing w:line="600" w:lineRule="exact"/>
        <w:ind w:firstLine="640" w:firstLineChars="200"/>
        <w:outlineLvl w:val="1"/>
        <w:rPr>
          <w:rStyle w:val="19"/>
          <w:rFonts w:ascii="黑体" w:hAnsi="黑体" w:eastAsia="黑体"/>
          <w:b w:val="0"/>
        </w:rPr>
      </w:pPr>
      <w:r>
        <w:rPr>
          <w:rFonts w:hint="eastAsia" w:ascii="黑体" w:hAnsi="黑体" w:eastAsia="黑体"/>
          <w:sz w:val="32"/>
          <w:szCs w:val="32"/>
          <w:lang w:val="en-US" w:eastAsia="zh-CN"/>
        </w:rPr>
        <w:t>三、</w:t>
      </w:r>
      <w:r>
        <w:rPr>
          <w:rFonts w:hint="eastAsia" w:ascii="黑体" w:hAnsi="黑体" w:eastAsia="黑体"/>
          <w:sz w:val="32"/>
          <w:szCs w:val="32"/>
        </w:rPr>
        <w:t>支</w:t>
      </w:r>
      <w:r>
        <w:rPr>
          <w:rStyle w:val="19"/>
          <w:rFonts w:hint="eastAsia" w:ascii="黑体" w:hAnsi="黑体" w:eastAsia="黑体"/>
          <w:b w:val="0"/>
        </w:rPr>
        <w:t>出决算情况说明</w:t>
      </w:r>
      <w:bookmarkEnd w:id="28"/>
      <w:bookmarkEnd w:id="29"/>
    </w:p>
    <w:p w14:paraId="2D8E074A">
      <w:pPr>
        <w:spacing w:line="600" w:lineRule="exact"/>
        <w:ind w:firstLine="640" w:firstLineChars="200"/>
        <w:rPr>
          <w:rFonts w:hint="eastAsia" w:ascii="仿宋_GB2312" w:eastAsia="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186.11</w:t>
      </w:r>
      <w:r>
        <w:rPr>
          <w:rFonts w:hint="eastAsia" w:ascii="仿宋_GB2312" w:eastAsia="仿宋_GB2312"/>
          <w:sz w:val="32"/>
          <w:szCs w:val="32"/>
        </w:rPr>
        <w:t>万元，其中：基本支出</w:t>
      </w:r>
      <w:r>
        <w:rPr>
          <w:rFonts w:hint="eastAsia" w:ascii="仿宋_GB2312" w:eastAsia="仿宋_GB2312"/>
          <w:sz w:val="32"/>
          <w:szCs w:val="32"/>
          <w:lang w:val="en-US" w:eastAsia="zh-CN"/>
        </w:rPr>
        <w:t>155.9</w:t>
      </w:r>
      <w:r>
        <w:rPr>
          <w:rFonts w:hint="eastAsia" w:ascii="仿宋_GB2312" w:eastAsia="仿宋_GB2312"/>
          <w:sz w:val="32"/>
          <w:szCs w:val="32"/>
        </w:rPr>
        <w:t>万元，占</w:t>
      </w:r>
      <w:r>
        <w:rPr>
          <w:rFonts w:hint="eastAsia" w:ascii="仿宋_GB2312" w:eastAsia="仿宋_GB2312"/>
          <w:sz w:val="32"/>
          <w:szCs w:val="32"/>
          <w:lang w:val="en-US" w:eastAsia="zh-CN"/>
        </w:rPr>
        <w:t>83.77</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30.21</w:t>
      </w:r>
      <w:r>
        <w:rPr>
          <w:rFonts w:hint="eastAsia" w:ascii="仿宋_GB2312" w:eastAsia="仿宋_GB2312"/>
          <w:sz w:val="32"/>
          <w:szCs w:val="32"/>
        </w:rPr>
        <w:t>万元，占</w:t>
      </w:r>
      <w:r>
        <w:rPr>
          <w:rFonts w:hint="eastAsia" w:ascii="仿宋_GB2312" w:eastAsia="仿宋_GB2312"/>
          <w:sz w:val="32"/>
          <w:szCs w:val="32"/>
          <w:lang w:val="en-US" w:eastAsia="zh-CN"/>
        </w:rPr>
        <w:t>16.23</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14:paraId="0A786BF1">
      <w:pPr>
        <w:spacing w:line="600" w:lineRule="exact"/>
        <w:ind w:firstLine="640" w:firstLineChars="200"/>
        <w:rPr>
          <w:rFonts w:hint="eastAsia" w:ascii="仿宋" w:eastAsia="仿宋"/>
          <w:color w:val="000000"/>
          <w:sz w:val="32"/>
          <w:szCs w:val="32"/>
        </w:rPr>
      </w:pPr>
      <w:r>
        <w:rPr>
          <w:rFonts w:ascii="仿宋" w:eastAsia="仿宋"/>
          <w:color w:val="000000"/>
          <w:sz w:val="32"/>
          <w:szCs w:val="32"/>
        </w:rPr>
        <w:drawing>
          <wp:anchor distT="0" distB="0" distL="0" distR="0" simplePos="0" relativeHeight="251664384" behindDoc="0" locked="0" layoutInCell="1" allowOverlap="1">
            <wp:simplePos x="0" y="0"/>
            <wp:positionH relativeFrom="column">
              <wp:posOffset>132080</wp:posOffset>
            </wp:positionH>
            <wp:positionV relativeFrom="paragraph">
              <wp:posOffset>155575</wp:posOffset>
            </wp:positionV>
            <wp:extent cx="4678680" cy="2167255"/>
            <wp:effectExtent l="6350" t="6350" r="20320" b="17145"/>
            <wp:wrapTopAndBottom/>
            <wp:docPr id="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0" w:name="_Toc15396606"/>
      <w:bookmarkStart w:id="31" w:name="_Toc15377208"/>
      <w:r>
        <w:rPr>
          <w:rFonts w:hint="eastAsia" w:ascii="仿宋" w:eastAsia="仿宋"/>
          <w:color w:val="000000"/>
          <w:sz w:val="32"/>
          <w:szCs w:val="32"/>
          <w:lang w:val="en-US" w:eastAsia="zh-CN"/>
        </w:rPr>
        <w:t xml:space="preserve">  </w:t>
      </w:r>
      <w:r>
        <w:rPr>
          <w:rFonts w:hint="eastAsia" w:ascii="仿宋" w:eastAsia="仿宋"/>
          <w:color w:val="000000"/>
          <w:sz w:val="32"/>
          <w:szCs w:val="32"/>
        </w:rPr>
        <w:t>（图3：支出决算结构图）（饼状图）</w:t>
      </w:r>
    </w:p>
    <w:p w14:paraId="11329BE5">
      <w:pPr>
        <w:spacing w:line="600" w:lineRule="exact"/>
        <w:ind w:firstLine="1280" w:firstLineChars="400"/>
        <w:rPr>
          <w:rFonts w:hint="eastAsia" w:ascii="仿宋" w:eastAsia="仿宋"/>
          <w:color w:val="000000"/>
          <w:sz w:val="32"/>
          <w:szCs w:val="32"/>
          <w:lang w:val="en-US" w:eastAsia="zh-CN"/>
        </w:rPr>
      </w:pPr>
    </w:p>
    <w:p w14:paraId="7D1B4B58">
      <w:pPr>
        <w:numPr>
          <w:ilvl w:val="0"/>
          <w:numId w:val="0"/>
        </w:numPr>
        <w:spacing w:line="600" w:lineRule="exact"/>
        <w:ind w:left="640" w:leftChars="0"/>
        <w:outlineLvl w:val="1"/>
        <w:rPr>
          <w:rStyle w:val="19"/>
          <w:rFonts w:hint="eastAsia" w:ascii="黑体" w:hAnsi="黑体" w:eastAsia="黑体"/>
          <w:b w:val="0"/>
        </w:rPr>
      </w:pPr>
      <w:r>
        <w:rPr>
          <w:rFonts w:hint="eastAsia" w:ascii="黑体" w:hAnsi="黑体" w:eastAsia="黑体"/>
          <w:sz w:val="32"/>
          <w:szCs w:val="32"/>
          <w:lang w:val="en-US" w:eastAsia="zh-CN"/>
        </w:rPr>
        <w:t>四、</w:t>
      </w:r>
      <w:r>
        <w:rPr>
          <w:rFonts w:hint="eastAsia" w:ascii="黑体" w:hAnsi="黑体" w:eastAsia="黑体"/>
          <w:sz w:val="32"/>
          <w:szCs w:val="32"/>
        </w:rPr>
        <w:t>财</w:t>
      </w:r>
      <w:r>
        <w:rPr>
          <w:rStyle w:val="19"/>
          <w:rFonts w:hint="eastAsia" w:ascii="黑体" w:hAnsi="黑体" w:eastAsia="黑体"/>
          <w:b w:val="0"/>
        </w:rPr>
        <w:t>政拨款收入支出决算总体情况说明</w:t>
      </w:r>
      <w:bookmarkEnd w:id="30"/>
      <w:bookmarkEnd w:id="31"/>
    </w:p>
    <w:p w14:paraId="2ADC208E">
      <w:pPr>
        <w:pStyle w:val="22"/>
        <w:keepNext w:val="0"/>
        <w:keepLines w:val="0"/>
        <w:pageBreakBefore w:val="0"/>
        <w:numPr>
          <w:ilvl w:val="0"/>
          <w:numId w:val="0"/>
        </w:numPr>
        <w:kinsoku/>
        <w:wordWrap/>
        <w:overflowPunct/>
        <w:topLinePunct w:val="0"/>
        <w:bidi w:val="0"/>
        <w:snapToGrid/>
        <w:spacing w:line="540" w:lineRule="exact"/>
        <w:ind w:firstLine="640" w:firstLineChars="200"/>
        <w:jc w:val="both"/>
        <w:textAlignment w:val="auto"/>
        <w:outlineLvl w:val="1"/>
        <w:rPr>
          <w:rFonts w:hint="eastAsia" w:ascii="仿宋" w:eastAsia="仿宋"/>
          <w:color w:val="000000"/>
          <w:sz w:val="32"/>
          <w:szCs w:val="32"/>
          <w:lang w:val="en-US" w:eastAsia="zh-CN"/>
        </w:rPr>
      </w:pPr>
      <w:bookmarkStart w:id="32" w:name="_Toc15377209"/>
      <w:bookmarkStart w:id="33" w:name="_Toc15396607"/>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财政拨款</w:t>
      </w:r>
      <w:r>
        <w:rPr>
          <w:rFonts w:hint="eastAsia" w:ascii="仿宋" w:hAnsi="仿宋" w:eastAsia="仿宋"/>
          <w:color w:val="000000"/>
          <w:sz w:val="32"/>
          <w:szCs w:val="32"/>
        </w:rPr>
        <w:t>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185.41</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6.44</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3.6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增加人员经费预算</w:t>
      </w:r>
      <w:r>
        <w:rPr>
          <w:rFonts w:hint="eastAsia" w:ascii="仿宋" w:hAnsi="仿宋" w:eastAsia="仿宋"/>
          <w:color w:val="000000"/>
          <w:sz w:val="32"/>
          <w:szCs w:val="32"/>
          <w:lang w:val="en-US" w:eastAsia="zh-CN"/>
        </w:rPr>
        <w:t>。</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w:t>
      </w:r>
      <w:r>
        <w:rPr>
          <w:rFonts w:hint="eastAsia" w:ascii="仿宋" w:hAnsi="仿宋" w:eastAsia="仿宋"/>
          <w:color w:val="000000"/>
          <w:sz w:val="32"/>
          <w:szCs w:val="32"/>
          <w:lang w:eastAsia="zh-CN"/>
        </w:rPr>
        <w:t>财政笔款支出</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185.41</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总计</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6.44</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3.6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增加人员经费预算</w:t>
      </w:r>
      <w:r>
        <w:rPr>
          <w:rFonts w:hint="eastAsia" w:ascii="仿宋" w:hAnsi="仿宋" w:eastAsia="仿宋"/>
          <w:color w:val="000000"/>
          <w:sz w:val="32"/>
          <w:szCs w:val="32"/>
          <w:lang w:val="en-US" w:eastAsia="zh-CN"/>
        </w:rPr>
        <w:t>。</w:t>
      </w:r>
      <w:r>
        <w:rPr>
          <w:rFonts w:ascii="仿宋" w:eastAsia="仿宋"/>
          <w:color w:val="000000"/>
          <w:sz w:val="32"/>
          <w:szCs w:val="32"/>
        </w:rPr>
        <w:drawing>
          <wp:anchor distT="0" distB="0" distL="0" distR="0" simplePos="0" relativeHeight="251665408" behindDoc="0" locked="0" layoutInCell="1" allowOverlap="1">
            <wp:simplePos x="0" y="0"/>
            <wp:positionH relativeFrom="column">
              <wp:posOffset>93345</wp:posOffset>
            </wp:positionH>
            <wp:positionV relativeFrom="page">
              <wp:posOffset>3228975</wp:posOffset>
            </wp:positionV>
            <wp:extent cx="5274310" cy="2448560"/>
            <wp:effectExtent l="6350" t="6350" r="15240" b="21590"/>
            <wp:wrapTopAndBottom/>
            <wp:docPr id="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D3A38BE">
      <w:pPr>
        <w:numPr>
          <w:ilvl w:val="0"/>
          <w:numId w:val="0"/>
        </w:numPr>
        <w:spacing w:line="600" w:lineRule="exact"/>
        <w:outlineLvl w:val="1"/>
        <w:rPr>
          <w:rFonts w:hint="eastAsia" w:ascii="黑体" w:hAnsi="黑体" w:eastAsia="黑体"/>
          <w:sz w:val="32"/>
          <w:szCs w:val="32"/>
        </w:rPr>
      </w:pPr>
      <w:r>
        <w:rPr>
          <w:rFonts w:hint="eastAsia" w:ascii="仿宋" w:eastAsia="仿宋"/>
          <w:color w:val="000000"/>
          <w:sz w:val="32"/>
          <w:szCs w:val="32"/>
          <w:lang w:val="en-US" w:eastAsia="zh-CN"/>
        </w:rPr>
        <w:t xml:space="preserve">  </w:t>
      </w:r>
      <w:r>
        <w:rPr>
          <w:rFonts w:hint="eastAsia" w:ascii="仿宋" w:hAnsi="仿宋" w:eastAsia="仿宋"/>
          <w:sz w:val="32"/>
          <w:szCs w:val="32"/>
        </w:rPr>
        <w:t>（图4：财政拨款收、支决算总计变动情况）（柱状图）</w:t>
      </w:r>
    </w:p>
    <w:p w14:paraId="01254CC4">
      <w:pPr>
        <w:numPr>
          <w:ilvl w:val="0"/>
          <w:numId w:val="0"/>
        </w:numPr>
        <w:spacing w:line="600" w:lineRule="exact"/>
        <w:ind w:firstLine="640" w:firstLineChars="200"/>
        <w:outlineLvl w:val="1"/>
        <w:rPr>
          <w:rStyle w:val="19"/>
          <w:rFonts w:ascii="黑体" w:hAnsi="黑体" w:eastAsia="黑体"/>
          <w:b w:val="0"/>
        </w:rPr>
      </w:pPr>
      <w:r>
        <w:rPr>
          <w:rFonts w:hint="eastAsia" w:ascii="黑体" w:hAnsi="黑体" w:eastAsia="黑体"/>
          <w:sz w:val="32"/>
          <w:szCs w:val="32"/>
        </w:rPr>
        <w:t>五、</w:t>
      </w:r>
      <w:r>
        <w:rPr>
          <w:rFonts w:hint="eastAsia" w:ascii="黑体" w:hAnsi="黑体" w:eastAsia="黑体"/>
          <w:b/>
          <w:sz w:val="32"/>
          <w:szCs w:val="32"/>
        </w:rPr>
        <w:t>一</w:t>
      </w:r>
      <w:r>
        <w:rPr>
          <w:rStyle w:val="19"/>
          <w:rFonts w:hint="eastAsia" w:ascii="黑体" w:hAnsi="黑体" w:eastAsia="黑体"/>
          <w:b w:val="0"/>
        </w:rPr>
        <w:t>般公共预算财政拨款支出决算情况说明</w:t>
      </w:r>
      <w:bookmarkEnd w:id="32"/>
      <w:bookmarkEnd w:id="33"/>
    </w:p>
    <w:p w14:paraId="6468028A">
      <w:pPr>
        <w:spacing w:line="600" w:lineRule="exact"/>
        <w:ind w:firstLine="643" w:firstLineChars="200"/>
        <w:outlineLvl w:val="2"/>
        <w:rPr>
          <w:rFonts w:hint="eastAsia" w:ascii="仿宋" w:hAnsi="仿宋" w:eastAsia="仿宋"/>
          <w:b/>
          <w:sz w:val="32"/>
          <w:szCs w:val="32"/>
        </w:rPr>
      </w:pPr>
      <w:bookmarkStart w:id="34" w:name="_Toc15377210"/>
      <w:r>
        <w:rPr>
          <w:rFonts w:hint="eastAsia" w:ascii="仿宋" w:hAnsi="仿宋" w:eastAsia="仿宋"/>
          <w:b/>
          <w:sz w:val="32"/>
          <w:szCs w:val="32"/>
        </w:rPr>
        <w:t>（一）一般公共预算财政拨款支出决算总体情况</w:t>
      </w:r>
      <w:bookmarkEnd w:id="34"/>
    </w:p>
    <w:p w14:paraId="2E35235C">
      <w:pPr>
        <w:spacing w:line="600" w:lineRule="exact"/>
        <w:ind w:firstLine="640" w:firstLineChars="200"/>
        <w:outlineLvl w:val="2"/>
        <w:rPr>
          <w:rFonts w:hint="eastAsia" w:ascii="仿宋" w:hAnsi="仿宋" w:eastAsia="仿宋"/>
          <w:b/>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185.41</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年相比，一般公共预算财政拨款增加</w:t>
      </w:r>
      <w:r>
        <w:rPr>
          <w:rFonts w:hint="eastAsia" w:ascii="仿宋" w:hAnsi="仿宋" w:eastAsia="仿宋"/>
          <w:color w:val="000000"/>
          <w:sz w:val="32"/>
          <w:szCs w:val="32"/>
          <w:lang w:val="en-US" w:eastAsia="zh-CN"/>
        </w:rPr>
        <w:t>6.44</w:t>
      </w:r>
      <w:r>
        <w:rPr>
          <w:rFonts w:hint="eastAsia" w:ascii="仿宋" w:hAnsi="仿宋" w:eastAsia="仿宋"/>
          <w:color w:val="000000"/>
          <w:sz w:val="32"/>
          <w:szCs w:val="32"/>
        </w:rPr>
        <w:t>万元，增加</w:t>
      </w:r>
      <w:r>
        <w:rPr>
          <w:rFonts w:hint="eastAsia" w:ascii="仿宋" w:hAnsi="仿宋" w:eastAsia="仿宋"/>
          <w:color w:val="000000"/>
          <w:sz w:val="32"/>
          <w:szCs w:val="32"/>
          <w:lang w:val="en-US" w:eastAsia="zh-CN"/>
        </w:rPr>
        <w:t>3.6</w:t>
      </w:r>
      <w:r>
        <w:rPr>
          <w:rFonts w:hint="eastAsia" w:ascii="仿宋" w:hAnsi="仿宋" w:eastAsia="仿宋"/>
          <w:color w:val="000000"/>
          <w:sz w:val="32"/>
          <w:szCs w:val="32"/>
        </w:rPr>
        <w:t>%。</w:t>
      </w:r>
    </w:p>
    <w:p w14:paraId="70534323">
      <w:pPr>
        <w:pStyle w:val="13"/>
        <w:shd w:val="clear" w:color="auto" w:fill="FFFFFF"/>
        <w:spacing w:line="560" w:lineRule="exact"/>
        <w:ind w:firstLine="643" w:firstLineChars="200"/>
        <w:rPr>
          <w:rFonts w:hint="eastAsia" w:ascii="仿宋" w:hAnsi="仿宋" w:eastAsia="仿宋"/>
          <w:sz w:val="32"/>
          <w:szCs w:val="32"/>
        </w:rPr>
      </w:pPr>
      <w:r>
        <w:rPr>
          <w:rFonts w:hint="eastAsia" w:ascii="仿宋" w:hAnsi="仿宋" w:eastAsia="仿宋"/>
          <w:b/>
          <w:sz w:val="32"/>
          <w:szCs w:val="32"/>
        </w:rPr>
        <w:drawing>
          <wp:anchor distT="0" distB="0" distL="0" distR="0" simplePos="0" relativeHeight="251662336" behindDoc="0" locked="0" layoutInCell="1" allowOverlap="1">
            <wp:simplePos x="0" y="0"/>
            <wp:positionH relativeFrom="column">
              <wp:posOffset>107315</wp:posOffset>
            </wp:positionH>
            <wp:positionV relativeFrom="page">
              <wp:posOffset>1241425</wp:posOffset>
            </wp:positionV>
            <wp:extent cx="4924425" cy="2857500"/>
            <wp:effectExtent l="6350" t="6350" r="22225" b="12700"/>
            <wp:wrapTopAndBottom/>
            <wp:docPr id="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sz w:val="32"/>
          <w:szCs w:val="32"/>
        </w:rPr>
        <w:t>（图5：一般公共预算财政拨款支出决算变动情况）（柱状图）</w:t>
      </w:r>
    </w:p>
    <w:p w14:paraId="399BF877">
      <w:pPr>
        <w:spacing w:line="600" w:lineRule="exact"/>
        <w:ind w:firstLine="643" w:firstLineChars="200"/>
        <w:outlineLvl w:val="2"/>
        <w:rPr>
          <w:rFonts w:hint="eastAsia" w:ascii="仿宋" w:hAnsi="仿宋" w:eastAsia="仿宋"/>
          <w:b/>
          <w:sz w:val="32"/>
          <w:szCs w:val="32"/>
        </w:rPr>
      </w:pPr>
      <w:bookmarkStart w:id="35" w:name="_Toc15377211"/>
      <w:r>
        <w:rPr>
          <w:rFonts w:hint="eastAsia" w:ascii="仿宋" w:hAnsi="仿宋" w:eastAsia="仿宋"/>
          <w:b/>
          <w:sz w:val="32"/>
          <w:szCs w:val="32"/>
          <w:lang w:eastAsia="zh-CN"/>
        </w:rPr>
        <w:t>（</w:t>
      </w:r>
      <w:r>
        <w:rPr>
          <w:rFonts w:hint="eastAsia" w:ascii="仿宋" w:hAnsi="仿宋" w:eastAsia="仿宋"/>
          <w:b/>
          <w:sz w:val="32"/>
          <w:szCs w:val="32"/>
          <w:lang w:val="en-US" w:eastAsia="zh-CN"/>
        </w:rPr>
        <w:t>二</w:t>
      </w:r>
      <w:r>
        <w:rPr>
          <w:rFonts w:hint="eastAsia" w:ascii="仿宋" w:hAnsi="仿宋" w:eastAsia="仿宋"/>
          <w:b/>
          <w:sz w:val="32"/>
          <w:szCs w:val="32"/>
          <w:lang w:eastAsia="zh-CN"/>
        </w:rPr>
        <w:t>）</w:t>
      </w:r>
      <w:r>
        <w:rPr>
          <w:rFonts w:hint="eastAsia" w:ascii="仿宋" w:hAnsi="仿宋" w:eastAsia="仿宋"/>
          <w:b/>
          <w:sz w:val="32"/>
          <w:szCs w:val="32"/>
        </w:rPr>
        <w:t>一般公共预算财政拨款支出决算结构情况</w:t>
      </w:r>
      <w:bookmarkEnd w:id="35"/>
    </w:p>
    <w:p w14:paraId="7E496FBD">
      <w:pPr>
        <w:spacing w:line="600" w:lineRule="exact"/>
        <w:ind w:firstLine="640" w:firstLineChars="200"/>
        <w:outlineLvl w:val="2"/>
        <w:rPr>
          <w:rFonts w:hint="eastAsia" w:ascii="仿宋" w:hAnsi="仿宋" w:eastAsia="仿宋"/>
          <w:color w:val="000000"/>
          <w:sz w:val="32"/>
          <w:szCs w:val="32"/>
        </w:rPr>
      </w:pPr>
      <w:r>
        <w:rPr>
          <w:rFonts w:ascii="仿宋" w:eastAsia="仿宋"/>
          <w:color w:val="000000"/>
          <w:sz w:val="32"/>
          <w:szCs w:val="32"/>
        </w:rPr>
        <w:drawing>
          <wp:anchor distT="0" distB="0" distL="0" distR="0" simplePos="0" relativeHeight="251663360" behindDoc="0" locked="0" layoutInCell="1" allowOverlap="1">
            <wp:simplePos x="0" y="0"/>
            <wp:positionH relativeFrom="column">
              <wp:posOffset>248285</wp:posOffset>
            </wp:positionH>
            <wp:positionV relativeFrom="page">
              <wp:posOffset>7574915</wp:posOffset>
            </wp:positionV>
            <wp:extent cx="4380865" cy="1921510"/>
            <wp:effectExtent l="6350" t="6350" r="13335" b="15240"/>
            <wp:wrapTopAndBottom/>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185.41</w:t>
      </w:r>
      <w:r>
        <w:rPr>
          <w:rFonts w:hint="eastAsia" w:ascii="仿宋" w:hAnsi="仿宋" w:eastAsia="仿宋"/>
          <w:color w:val="000000"/>
          <w:sz w:val="32"/>
          <w:szCs w:val="32"/>
        </w:rPr>
        <w:t>万元，主要用于以下方</w:t>
      </w:r>
      <w:r>
        <w:rPr>
          <w:rFonts w:hint="eastAsia" w:ascii="仿宋" w:hAnsi="仿宋" w:eastAsia="仿宋"/>
          <w:b w:val="0"/>
          <w:bCs w:val="0"/>
          <w:color w:val="000000"/>
          <w:sz w:val="32"/>
          <w:szCs w:val="32"/>
        </w:rPr>
        <w:t>面</w:t>
      </w:r>
      <w:r>
        <w:rPr>
          <w:rFonts w:ascii="仿宋" w:hAnsi="仿宋" w:eastAsia="仿宋"/>
          <w:b w:val="0"/>
          <w:bCs w:val="0"/>
          <w:color w:val="000000"/>
          <w:sz w:val="32"/>
          <w:szCs w:val="32"/>
        </w:rPr>
        <w:t>:</w:t>
      </w:r>
      <w:r>
        <w:rPr>
          <w:rFonts w:hint="eastAsia" w:ascii="仿宋" w:hAnsi="仿宋" w:eastAsia="仿宋"/>
          <w:b w:val="0"/>
          <w:bCs w:val="0"/>
          <w:color w:val="000000"/>
          <w:sz w:val="32"/>
          <w:szCs w:val="32"/>
        </w:rPr>
        <w:t>文化旅游体育与传媒（类）支出</w:t>
      </w:r>
      <w:r>
        <w:rPr>
          <w:rFonts w:hint="eastAsia" w:ascii="仿宋" w:hAnsi="仿宋" w:eastAsia="仿宋"/>
          <w:b w:val="0"/>
          <w:bCs w:val="0"/>
          <w:color w:val="000000"/>
          <w:sz w:val="32"/>
          <w:szCs w:val="32"/>
          <w:lang w:val="en-US" w:eastAsia="zh-CN"/>
        </w:rPr>
        <w:t>145.77</w:t>
      </w:r>
      <w:r>
        <w:rPr>
          <w:rFonts w:hint="eastAsia" w:ascii="仿宋" w:hAnsi="仿宋" w:eastAsia="仿宋"/>
          <w:b w:val="0"/>
          <w:bCs w:val="0"/>
          <w:color w:val="000000"/>
          <w:sz w:val="32"/>
          <w:szCs w:val="32"/>
        </w:rPr>
        <w:t>万元，占</w:t>
      </w:r>
      <w:r>
        <w:rPr>
          <w:rFonts w:hint="eastAsia" w:ascii="仿宋" w:hAnsi="仿宋" w:eastAsia="仿宋"/>
          <w:b w:val="0"/>
          <w:bCs w:val="0"/>
          <w:color w:val="000000"/>
          <w:sz w:val="32"/>
          <w:szCs w:val="32"/>
          <w:lang w:val="en-US" w:eastAsia="zh-CN"/>
        </w:rPr>
        <w:t>78.62</w:t>
      </w:r>
      <w:r>
        <w:rPr>
          <w:rFonts w:ascii="仿宋" w:hAnsi="仿宋" w:eastAsia="仿宋"/>
          <w:b w:val="0"/>
          <w:bCs w:val="0"/>
          <w:color w:val="000000"/>
          <w:sz w:val="32"/>
          <w:szCs w:val="32"/>
        </w:rPr>
        <w:t>%</w:t>
      </w:r>
      <w:r>
        <w:rPr>
          <w:rFonts w:hint="eastAsia" w:ascii="仿宋" w:hAnsi="仿宋" w:eastAsia="仿宋"/>
          <w:b w:val="0"/>
          <w:bCs w:val="0"/>
          <w:color w:val="000000"/>
          <w:sz w:val="32"/>
          <w:szCs w:val="32"/>
        </w:rPr>
        <w:t>；社会保障和就业（类）支出</w:t>
      </w:r>
      <w:r>
        <w:rPr>
          <w:rFonts w:hint="eastAsia" w:ascii="仿宋" w:hAnsi="仿宋" w:eastAsia="仿宋"/>
          <w:b w:val="0"/>
          <w:bCs w:val="0"/>
          <w:color w:val="000000"/>
          <w:sz w:val="32"/>
          <w:szCs w:val="32"/>
          <w:lang w:val="en-US" w:eastAsia="zh-CN"/>
        </w:rPr>
        <w:t>20.67</w:t>
      </w:r>
      <w:r>
        <w:rPr>
          <w:rFonts w:hint="eastAsia" w:ascii="仿宋" w:hAnsi="仿宋" w:eastAsia="仿宋"/>
          <w:b w:val="0"/>
          <w:bCs w:val="0"/>
          <w:color w:val="000000"/>
          <w:sz w:val="32"/>
          <w:szCs w:val="32"/>
        </w:rPr>
        <w:t>万元，占</w:t>
      </w:r>
      <w:r>
        <w:rPr>
          <w:rFonts w:hint="eastAsia" w:ascii="仿宋" w:hAnsi="仿宋" w:eastAsia="仿宋"/>
          <w:b w:val="0"/>
          <w:bCs w:val="0"/>
          <w:color w:val="000000"/>
          <w:sz w:val="32"/>
          <w:szCs w:val="32"/>
          <w:lang w:val="en-US" w:eastAsia="zh-CN"/>
        </w:rPr>
        <w:t>11.15</w:t>
      </w:r>
      <w:r>
        <w:rPr>
          <w:rFonts w:ascii="仿宋" w:hAnsi="仿宋" w:eastAsia="仿宋"/>
          <w:b w:val="0"/>
          <w:bCs w:val="0"/>
          <w:color w:val="000000"/>
          <w:sz w:val="32"/>
          <w:szCs w:val="32"/>
        </w:rPr>
        <w:t>%</w:t>
      </w:r>
      <w:r>
        <w:rPr>
          <w:rFonts w:hint="eastAsia" w:ascii="仿宋" w:hAnsi="仿宋" w:eastAsia="仿宋"/>
          <w:b w:val="0"/>
          <w:bCs w:val="0"/>
          <w:color w:val="000000"/>
          <w:sz w:val="32"/>
          <w:szCs w:val="32"/>
        </w:rPr>
        <w:t>；卫生健康支出</w:t>
      </w:r>
      <w:r>
        <w:rPr>
          <w:rFonts w:hint="eastAsia" w:ascii="仿宋" w:hAnsi="仿宋" w:eastAsia="仿宋"/>
          <w:b w:val="0"/>
          <w:bCs w:val="0"/>
          <w:color w:val="000000"/>
          <w:sz w:val="32"/>
          <w:szCs w:val="32"/>
          <w:lang w:val="en-US" w:eastAsia="zh-CN"/>
        </w:rPr>
        <w:t>7.75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4.15</w:t>
      </w:r>
      <w:r>
        <w:rPr>
          <w:rFonts w:ascii="仿宋" w:hAnsi="仿宋" w:eastAsia="仿宋"/>
          <w:color w:val="000000"/>
          <w:sz w:val="32"/>
          <w:szCs w:val="32"/>
        </w:rPr>
        <w:t>%</w:t>
      </w:r>
      <w:r>
        <w:rPr>
          <w:rFonts w:hint="eastAsia" w:ascii="仿宋" w:hAnsi="仿宋" w:eastAsia="仿宋"/>
          <w:color w:val="000000"/>
          <w:sz w:val="32"/>
          <w:szCs w:val="32"/>
        </w:rPr>
        <w:t>；住房保障支出</w:t>
      </w:r>
      <w:r>
        <w:rPr>
          <w:rFonts w:hint="eastAsia" w:ascii="仿宋" w:hAnsi="仿宋" w:eastAsia="仿宋"/>
          <w:color w:val="000000"/>
          <w:sz w:val="32"/>
          <w:szCs w:val="32"/>
          <w:lang w:val="en-US" w:eastAsia="zh-CN"/>
        </w:rPr>
        <w:t>11.22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6.05</w:t>
      </w:r>
      <w:r>
        <w:rPr>
          <w:rFonts w:ascii="仿宋" w:hAnsi="仿宋" w:eastAsia="仿宋"/>
          <w:color w:val="000000"/>
          <w:sz w:val="32"/>
          <w:szCs w:val="32"/>
        </w:rPr>
        <w:t>%</w:t>
      </w:r>
      <w:r>
        <w:rPr>
          <w:rFonts w:hint="eastAsia" w:ascii="仿宋" w:hAnsi="仿宋" w:eastAsia="仿宋"/>
          <w:color w:val="000000"/>
          <w:sz w:val="32"/>
          <w:szCs w:val="32"/>
        </w:rPr>
        <w:t>；</w:t>
      </w:r>
    </w:p>
    <w:p w14:paraId="0A3BB260">
      <w:pPr>
        <w:pStyle w:val="13"/>
        <w:shd w:val="clear" w:color="auto" w:fill="FFFFFF"/>
        <w:spacing w:line="560" w:lineRule="exact"/>
        <w:ind w:firstLine="640" w:firstLineChars="200"/>
        <w:rPr>
          <w:rFonts w:hint="eastAsia" w:ascii="仿宋" w:hAnsi="仿宋" w:eastAsia="仿宋"/>
          <w:b/>
          <w:bCs/>
          <w:sz w:val="32"/>
          <w:szCs w:val="32"/>
        </w:rPr>
      </w:pPr>
      <w:r>
        <w:rPr>
          <w:rFonts w:hint="eastAsia" w:ascii="仿宋" w:hAnsi="仿宋" w:eastAsia="仿宋"/>
          <w:sz w:val="32"/>
          <w:szCs w:val="32"/>
        </w:rPr>
        <w:t>（图6：一般公共预算财政拨款支出决算结构）（饼状图）</w:t>
      </w:r>
    </w:p>
    <w:p w14:paraId="0595E7B1">
      <w:pPr>
        <w:numPr>
          <w:ilvl w:val="0"/>
          <w:numId w:val="0"/>
        </w:numPr>
        <w:spacing w:line="600" w:lineRule="exact"/>
        <w:outlineLvl w:val="2"/>
        <w:rPr>
          <w:rFonts w:hint="eastAsia" w:ascii="仿宋" w:hAnsi="仿宋" w:eastAsia="仿宋"/>
          <w:b/>
          <w:sz w:val="32"/>
          <w:szCs w:val="32"/>
        </w:rPr>
      </w:pPr>
      <w:bookmarkStart w:id="36" w:name="_Toc15377212"/>
      <w:r>
        <w:rPr>
          <w:rFonts w:hint="eastAsia" w:ascii="仿宋" w:eastAsia="仿宋"/>
          <w:color w:val="000000"/>
          <w:sz w:val="32"/>
          <w:szCs w:val="32"/>
          <w:lang w:val="en-US" w:eastAsia="zh-CN"/>
        </w:rPr>
        <w:t xml:space="preserve">   </w:t>
      </w:r>
      <w:r>
        <w:rPr>
          <w:rFonts w:hint="eastAsia" w:ascii="仿宋" w:hAnsi="仿宋" w:eastAsia="仿宋"/>
          <w:b/>
          <w:sz w:val="32"/>
          <w:szCs w:val="32"/>
          <w:lang w:eastAsia="zh-CN"/>
        </w:rPr>
        <w:t>（</w:t>
      </w:r>
      <w:r>
        <w:rPr>
          <w:rFonts w:hint="eastAsia" w:ascii="仿宋" w:hAnsi="仿宋" w:eastAsia="仿宋"/>
          <w:b/>
          <w:sz w:val="32"/>
          <w:szCs w:val="32"/>
          <w:lang w:val="en-US" w:eastAsia="zh-CN"/>
        </w:rPr>
        <w:t>三</w:t>
      </w:r>
      <w:r>
        <w:rPr>
          <w:rFonts w:hint="eastAsia" w:ascii="仿宋" w:hAnsi="仿宋" w:eastAsia="仿宋"/>
          <w:b/>
          <w:sz w:val="32"/>
          <w:szCs w:val="32"/>
          <w:lang w:eastAsia="zh-CN"/>
        </w:rPr>
        <w:t>）</w:t>
      </w:r>
      <w:r>
        <w:rPr>
          <w:rFonts w:hint="eastAsia" w:ascii="仿宋" w:hAnsi="仿宋" w:eastAsia="仿宋"/>
          <w:b/>
          <w:sz w:val="32"/>
          <w:szCs w:val="32"/>
        </w:rPr>
        <w:t>一般公共预算财政拨款支出决算具体情况</w:t>
      </w:r>
      <w:bookmarkEnd w:id="36"/>
    </w:p>
    <w:p w14:paraId="28848C84">
      <w:pPr>
        <w:spacing w:line="600" w:lineRule="exact"/>
        <w:ind w:firstLine="643" w:firstLineChars="200"/>
        <w:rPr>
          <w:rFonts w:hint="eastAsia" w:ascii="仿宋_GB2312" w:eastAsia="仿宋_GB2312"/>
          <w:b/>
          <w:bCs/>
          <w:sz w:val="32"/>
          <w:szCs w:val="32"/>
        </w:rPr>
      </w:pPr>
      <w:r>
        <w:rPr>
          <w:rFonts w:ascii="仿宋_GB2312" w:eastAsia="仿宋_GB2312"/>
          <w:b/>
          <w:bCs/>
          <w:sz w:val="32"/>
          <w:szCs w:val="32"/>
        </w:rPr>
        <w:t>202</w:t>
      </w:r>
      <w:r>
        <w:rPr>
          <w:rFonts w:hint="eastAsia" w:ascii="仿宋_GB2312" w:eastAsia="仿宋_GB2312"/>
          <w:b/>
          <w:bCs/>
          <w:sz w:val="32"/>
          <w:szCs w:val="32"/>
          <w:lang w:val="en-US" w:eastAsia="zh-CN"/>
        </w:rPr>
        <w:t>5</w:t>
      </w:r>
      <w:r>
        <w:rPr>
          <w:rFonts w:hint="eastAsia" w:ascii="仿宋_GB2312" w:eastAsia="仿宋_GB2312"/>
          <w:b/>
          <w:bCs/>
          <w:sz w:val="32"/>
          <w:szCs w:val="32"/>
        </w:rPr>
        <w:t>年一般公共预算支出决算数为</w:t>
      </w:r>
      <w:r>
        <w:rPr>
          <w:rFonts w:hint="eastAsia" w:ascii="仿宋_GB2312" w:eastAsia="仿宋_GB2312"/>
          <w:b/>
          <w:bCs/>
          <w:sz w:val="32"/>
          <w:szCs w:val="32"/>
          <w:lang w:val="en-US" w:eastAsia="zh-CN"/>
        </w:rPr>
        <w:t>171.77</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p>
    <w:p w14:paraId="62B36030">
      <w:pPr>
        <w:numPr>
          <w:ilvl w:val="0"/>
          <w:numId w:val="2"/>
        </w:numPr>
        <w:spacing w:line="600" w:lineRule="exact"/>
        <w:ind w:firstLine="643" w:firstLineChars="200"/>
        <w:rPr>
          <w:rStyle w:val="16"/>
          <w:rFonts w:hint="eastAsia" w:ascii="仿宋" w:hAnsi="仿宋" w:eastAsia="仿宋"/>
          <w:b w:val="0"/>
          <w:bCs/>
          <w:sz w:val="32"/>
          <w:szCs w:val="32"/>
          <w:lang w:eastAsia="zh-CN"/>
        </w:rPr>
      </w:pPr>
      <w:r>
        <w:rPr>
          <w:rStyle w:val="16"/>
          <w:rFonts w:hint="eastAsia" w:ascii="仿宋" w:hAnsi="仿宋" w:eastAsia="仿宋"/>
          <w:bCs/>
          <w:color w:val="000000"/>
          <w:sz w:val="32"/>
          <w:szCs w:val="32"/>
        </w:rPr>
        <w:t>文化旅游体育与传媒（类）</w:t>
      </w:r>
      <w:r>
        <w:rPr>
          <w:rStyle w:val="16"/>
          <w:rFonts w:hint="eastAsia" w:ascii="仿宋" w:hAnsi="仿宋" w:eastAsia="仿宋"/>
          <w:bCs/>
          <w:color w:val="000000"/>
          <w:sz w:val="32"/>
          <w:szCs w:val="32"/>
          <w:lang w:val="en-US" w:eastAsia="zh-CN"/>
        </w:rPr>
        <w:t>文化和旅游</w:t>
      </w:r>
      <w:r>
        <w:rPr>
          <w:rStyle w:val="16"/>
          <w:rFonts w:hint="eastAsia" w:ascii="仿宋" w:hAnsi="仿宋" w:eastAsia="仿宋"/>
          <w:bCs/>
          <w:color w:val="000000"/>
          <w:sz w:val="32"/>
          <w:szCs w:val="32"/>
        </w:rPr>
        <w:t>（款）</w:t>
      </w:r>
      <w:r>
        <w:rPr>
          <w:rStyle w:val="16"/>
          <w:rFonts w:hint="eastAsia" w:ascii="仿宋" w:hAnsi="仿宋" w:eastAsia="仿宋"/>
          <w:bCs/>
          <w:color w:val="000000"/>
          <w:sz w:val="32"/>
          <w:szCs w:val="32"/>
          <w:lang w:val="en-US" w:eastAsia="zh-CN"/>
        </w:rPr>
        <w:t>群众文化支出</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116.85</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lang w:eastAsia="zh-CN"/>
        </w:rPr>
        <w:t>。</w:t>
      </w:r>
      <w:r>
        <w:rPr>
          <w:rStyle w:val="16"/>
          <w:rFonts w:hint="eastAsia" w:ascii="仿宋" w:hAnsi="仿宋" w:eastAsia="仿宋"/>
          <w:b w:val="0"/>
          <w:bCs/>
          <w:sz w:val="32"/>
          <w:szCs w:val="32"/>
          <w:lang w:eastAsia="zh-CN"/>
        </w:rPr>
        <w:t>决算数与预算数持平。</w:t>
      </w:r>
    </w:p>
    <w:p w14:paraId="3FCF1CE4">
      <w:pPr>
        <w:numPr>
          <w:ilvl w:val="0"/>
          <w:numId w:val="0"/>
        </w:numPr>
        <w:spacing w:line="600" w:lineRule="exact"/>
        <w:ind w:firstLine="643" w:firstLineChars="200"/>
        <w:rPr>
          <w:rFonts w:hint="eastAsia"/>
          <w:lang w:eastAsia="zh-CN"/>
        </w:rPr>
      </w:pPr>
      <w:r>
        <w:rPr>
          <w:rStyle w:val="16"/>
          <w:rFonts w:hint="eastAsia" w:ascii="仿宋" w:hAnsi="仿宋" w:eastAsia="仿宋"/>
          <w:bCs/>
          <w:color w:val="000000"/>
          <w:sz w:val="32"/>
          <w:szCs w:val="32"/>
          <w:lang w:val="en-US" w:eastAsia="zh-CN"/>
        </w:rPr>
        <w:t>2</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文化旅游体育与传媒（类）</w:t>
      </w:r>
      <w:r>
        <w:rPr>
          <w:rStyle w:val="16"/>
          <w:rFonts w:hint="eastAsia" w:ascii="仿宋" w:hAnsi="仿宋" w:eastAsia="仿宋"/>
          <w:bCs/>
          <w:color w:val="000000"/>
          <w:sz w:val="32"/>
          <w:szCs w:val="32"/>
          <w:lang w:val="en-US" w:eastAsia="zh-CN"/>
        </w:rPr>
        <w:t>文化和旅游</w:t>
      </w:r>
      <w:r>
        <w:rPr>
          <w:rStyle w:val="16"/>
          <w:rFonts w:hint="eastAsia" w:ascii="仿宋" w:hAnsi="仿宋" w:eastAsia="仿宋"/>
          <w:bCs/>
          <w:color w:val="000000"/>
          <w:sz w:val="32"/>
          <w:szCs w:val="32"/>
        </w:rPr>
        <w:t>（款）</w:t>
      </w:r>
      <w:r>
        <w:rPr>
          <w:rStyle w:val="16"/>
          <w:rFonts w:hint="eastAsia" w:ascii="仿宋" w:hAnsi="仿宋" w:eastAsia="仿宋"/>
          <w:bCs/>
          <w:color w:val="000000"/>
          <w:sz w:val="32"/>
          <w:szCs w:val="32"/>
          <w:lang w:val="en-US" w:eastAsia="zh-CN"/>
        </w:rPr>
        <w:t>文化创作与保护</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17.11</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b w:val="0"/>
          <w:bCs/>
          <w:sz w:val="32"/>
          <w:szCs w:val="32"/>
          <w:lang w:eastAsia="zh-CN"/>
        </w:rPr>
        <w:t>决算数与预算数持平</w:t>
      </w:r>
      <w:r>
        <w:rPr>
          <w:rStyle w:val="16"/>
          <w:rFonts w:hint="eastAsia" w:ascii="仿宋" w:hAnsi="仿宋" w:eastAsia="仿宋"/>
          <w:b w:val="0"/>
          <w:bCs/>
          <w:color w:val="000000"/>
          <w:sz w:val="32"/>
          <w:szCs w:val="32"/>
        </w:rPr>
        <w:t>。</w:t>
      </w:r>
    </w:p>
    <w:p w14:paraId="72278CBE">
      <w:pPr>
        <w:numPr>
          <w:ilvl w:val="0"/>
          <w:numId w:val="0"/>
        </w:numPr>
        <w:spacing w:line="600" w:lineRule="exact"/>
        <w:ind w:firstLine="643" w:firstLineChars="200"/>
        <w:rPr>
          <w:rStyle w:val="16"/>
          <w:rFonts w:hint="eastAsia" w:ascii="仿宋" w:hAnsi="仿宋" w:eastAsia="仿宋"/>
          <w:b w:val="0"/>
          <w:bCs/>
          <w:color w:val="000000"/>
          <w:sz w:val="32"/>
          <w:szCs w:val="32"/>
        </w:rPr>
      </w:pPr>
      <w:r>
        <w:rPr>
          <w:rStyle w:val="16"/>
          <w:rFonts w:hint="eastAsia" w:ascii="仿宋" w:hAnsi="仿宋" w:eastAsia="仿宋"/>
          <w:bCs/>
          <w:color w:val="000000"/>
          <w:sz w:val="32"/>
          <w:szCs w:val="32"/>
          <w:lang w:val="en-US" w:eastAsia="zh-CN"/>
        </w:rPr>
        <w:t>3</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文化旅游体育与传媒（类）</w:t>
      </w:r>
      <w:r>
        <w:rPr>
          <w:rStyle w:val="16"/>
          <w:rFonts w:hint="eastAsia" w:ascii="仿宋" w:hAnsi="仿宋" w:eastAsia="仿宋"/>
          <w:bCs/>
          <w:color w:val="000000"/>
          <w:sz w:val="32"/>
          <w:szCs w:val="32"/>
          <w:lang w:val="en-US" w:eastAsia="zh-CN"/>
        </w:rPr>
        <w:t>文化和旅游</w:t>
      </w:r>
      <w:r>
        <w:rPr>
          <w:rStyle w:val="16"/>
          <w:rFonts w:hint="eastAsia" w:ascii="仿宋" w:hAnsi="仿宋" w:eastAsia="仿宋"/>
          <w:bCs/>
          <w:color w:val="000000"/>
          <w:sz w:val="32"/>
          <w:szCs w:val="32"/>
        </w:rPr>
        <w:t>（款）</w:t>
      </w:r>
      <w:r>
        <w:rPr>
          <w:rStyle w:val="16"/>
          <w:rFonts w:hint="eastAsia" w:ascii="仿宋" w:hAnsi="仿宋" w:eastAsia="仿宋"/>
          <w:bCs/>
          <w:color w:val="000000"/>
          <w:sz w:val="32"/>
          <w:szCs w:val="32"/>
          <w:lang w:val="en-US" w:eastAsia="zh-CN"/>
        </w:rPr>
        <w:t>其他文化和旅游支出</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17.11</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b w:val="0"/>
          <w:bCs/>
          <w:sz w:val="32"/>
          <w:szCs w:val="32"/>
          <w:lang w:eastAsia="zh-CN"/>
        </w:rPr>
        <w:t>决算数与预算数持平</w:t>
      </w:r>
      <w:r>
        <w:rPr>
          <w:rStyle w:val="16"/>
          <w:rFonts w:hint="eastAsia" w:ascii="仿宋" w:hAnsi="仿宋" w:eastAsia="仿宋"/>
          <w:b w:val="0"/>
          <w:bCs/>
          <w:color w:val="000000"/>
          <w:sz w:val="32"/>
          <w:szCs w:val="32"/>
        </w:rPr>
        <w:t>。</w:t>
      </w:r>
    </w:p>
    <w:p w14:paraId="4978009F">
      <w:pPr>
        <w:pStyle w:val="8"/>
        <w:ind w:firstLine="643" w:firstLineChars="200"/>
        <w:rPr>
          <w:rFonts w:hint="eastAsia"/>
        </w:rPr>
      </w:pPr>
      <w:r>
        <w:rPr>
          <w:rStyle w:val="16"/>
          <w:rFonts w:hint="eastAsia" w:ascii="仿宋" w:hAnsi="仿宋"/>
          <w:bCs/>
          <w:color w:val="000000"/>
          <w:sz w:val="32"/>
          <w:szCs w:val="32"/>
          <w:lang w:val="en-US" w:eastAsia="zh-CN"/>
        </w:rPr>
        <w:t>4</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文化旅游体育与传媒（类）</w:t>
      </w:r>
      <w:r>
        <w:rPr>
          <w:rStyle w:val="16"/>
          <w:rFonts w:hint="eastAsia" w:ascii="仿宋" w:hAnsi="仿宋"/>
          <w:bCs/>
          <w:color w:val="000000"/>
          <w:sz w:val="32"/>
          <w:szCs w:val="32"/>
          <w:lang w:eastAsia="zh-CN"/>
        </w:rPr>
        <w:t>其他</w:t>
      </w:r>
      <w:r>
        <w:rPr>
          <w:rStyle w:val="16"/>
          <w:rFonts w:hint="eastAsia" w:ascii="仿宋" w:hAnsi="仿宋" w:eastAsia="仿宋"/>
          <w:bCs/>
          <w:color w:val="000000"/>
          <w:sz w:val="32"/>
          <w:szCs w:val="32"/>
          <w:lang w:val="en-US" w:eastAsia="zh-CN"/>
        </w:rPr>
        <w:t>文化旅游体育与传媒</w:t>
      </w:r>
      <w:r>
        <w:rPr>
          <w:rStyle w:val="16"/>
          <w:rFonts w:hint="eastAsia" w:ascii="仿宋" w:hAnsi="仿宋"/>
          <w:bCs/>
          <w:color w:val="000000"/>
          <w:sz w:val="32"/>
          <w:szCs w:val="32"/>
          <w:lang w:val="en-US" w:eastAsia="zh-CN"/>
        </w:rPr>
        <w:t>支出</w:t>
      </w:r>
      <w:r>
        <w:rPr>
          <w:rStyle w:val="16"/>
          <w:rFonts w:hint="eastAsia" w:ascii="仿宋" w:hAnsi="仿宋" w:eastAsia="仿宋"/>
          <w:bCs/>
          <w:color w:val="000000"/>
          <w:sz w:val="32"/>
          <w:szCs w:val="32"/>
        </w:rPr>
        <w:t>（款）</w:t>
      </w:r>
      <w:r>
        <w:rPr>
          <w:rStyle w:val="16"/>
          <w:rFonts w:hint="eastAsia" w:ascii="仿宋" w:hAnsi="仿宋"/>
          <w:bCs/>
          <w:color w:val="000000"/>
          <w:sz w:val="32"/>
          <w:szCs w:val="32"/>
          <w:lang w:val="en-US" w:eastAsia="zh-CN"/>
        </w:rPr>
        <w:t>文化产业发展专项支出</w:t>
      </w:r>
      <w:r>
        <w:rPr>
          <w:rStyle w:val="16"/>
          <w:rFonts w:hint="eastAsia" w:ascii="仿宋" w:hAnsi="仿宋" w:eastAsia="仿宋"/>
          <w:bCs/>
          <w:color w:val="000000"/>
          <w:sz w:val="32"/>
          <w:szCs w:val="32"/>
        </w:rPr>
        <w:t>（项）</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决算为</w:t>
      </w:r>
      <w:r>
        <w:rPr>
          <w:rStyle w:val="16"/>
          <w:rFonts w:hint="eastAsia" w:ascii="仿宋" w:hAnsi="仿宋"/>
          <w:b w:val="0"/>
          <w:bCs/>
          <w:color w:val="000000"/>
          <w:sz w:val="32"/>
          <w:szCs w:val="32"/>
          <w:lang w:val="en-US" w:eastAsia="zh-CN"/>
        </w:rPr>
        <w:t>0.7</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b w:val="0"/>
          <w:bCs/>
          <w:sz w:val="32"/>
          <w:szCs w:val="32"/>
          <w:lang w:eastAsia="zh-CN"/>
        </w:rPr>
        <w:t>决算数与预算数持平</w:t>
      </w:r>
      <w:r>
        <w:rPr>
          <w:rStyle w:val="16"/>
          <w:rFonts w:hint="eastAsia" w:ascii="仿宋" w:hAnsi="仿宋" w:eastAsia="仿宋"/>
          <w:b w:val="0"/>
          <w:bCs/>
          <w:color w:val="000000"/>
          <w:sz w:val="32"/>
          <w:szCs w:val="32"/>
        </w:rPr>
        <w:t>。</w:t>
      </w:r>
    </w:p>
    <w:p w14:paraId="03879773">
      <w:pPr>
        <w:spacing w:line="600" w:lineRule="exact"/>
        <w:ind w:firstLine="643" w:firstLineChars="200"/>
        <w:rPr>
          <w:rStyle w:val="16"/>
          <w:rFonts w:hint="eastAsia" w:ascii="仿宋" w:hAnsi="仿宋" w:eastAsia="仿宋"/>
          <w:b w:val="0"/>
          <w:bCs/>
          <w:color w:val="000000"/>
          <w:sz w:val="32"/>
          <w:szCs w:val="32"/>
          <w:lang w:eastAsia="zh-CN"/>
        </w:rPr>
      </w:pPr>
      <w:r>
        <w:rPr>
          <w:rStyle w:val="16"/>
          <w:rFonts w:hint="eastAsia" w:ascii="仿宋" w:hAnsi="仿宋" w:eastAsia="仿宋"/>
          <w:bCs/>
          <w:color w:val="000000"/>
          <w:sz w:val="32"/>
          <w:szCs w:val="32"/>
          <w:lang w:val="en-US" w:eastAsia="zh-CN"/>
        </w:rPr>
        <w:t>5</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社会保障和就业（类）行政事业单位养老支出（款）机关事业单位养老保险缴费支出（项）</w:t>
      </w:r>
      <w:r>
        <w:rPr>
          <w:rStyle w:val="16"/>
          <w:rFonts w:hint="eastAsia" w:ascii="仿宋" w:hAnsi="仿宋" w:eastAsia="仿宋"/>
          <w:b w:val="0"/>
          <w:bCs/>
          <w:color w:val="000000"/>
          <w:sz w:val="32"/>
          <w:szCs w:val="32"/>
          <w:lang w:eastAsia="zh-CN"/>
        </w:rPr>
        <w:t>：</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13.8</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lang w:eastAsia="zh-CN"/>
        </w:rPr>
        <w:t>。</w:t>
      </w:r>
      <w:r>
        <w:rPr>
          <w:rStyle w:val="16"/>
          <w:rFonts w:hint="eastAsia" w:ascii="仿宋" w:hAnsi="仿宋" w:eastAsia="仿宋"/>
          <w:b w:val="0"/>
          <w:bCs/>
          <w:sz w:val="32"/>
          <w:szCs w:val="32"/>
          <w:lang w:eastAsia="zh-CN"/>
        </w:rPr>
        <w:t>决算数与预算数持平。</w:t>
      </w:r>
    </w:p>
    <w:p w14:paraId="046A35DD">
      <w:pPr>
        <w:spacing w:line="600" w:lineRule="exact"/>
        <w:ind w:firstLine="643" w:firstLineChars="200"/>
        <w:rPr>
          <w:rStyle w:val="16"/>
          <w:rFonts w:hint="eastAsia" w:ascii="仿宋" w:hAnsi="仿宋" w:eastAsia="仿宋"/>
          <w:b w:val="0"/>
          <w:bCs/>
          <w:color w:val="000000"/>
          <w:sz w:val="32"/>
          <w:szCs w:val="32"/>
          <w:lang w:eastAsia="zh-CN"/>
        </w:rPr>
      </w:pPr>
      <w:r>
        <w:rPr>
          <w:rStyle w:val="16"/>
          <w:rFonts w:hint="eastAsia" w:ascii="仿宋" w:hAnsi="仿宋" w:eastAsia="仿宋"/>
          <w:bCs/>
          <w:color w:val="000000"/>
          <w:sz w:val="32"/>
          <w:szCs w:val="32"/>
          <w:lang w:val="en-US" w:eastAsia="zh-CN"/>
        </w:rPr>
        <w:t>6</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社会保障和就业（类）行政事业单位养老支出（款）机关事业单位职业年金缴费支出（项）:</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6.87</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lang w:eastAsia="zh-CN"/>
        </w:rPr>
        <w:t>。</w:t>
      </w:r>
      <w:r>
        <w:rPr>
          <w:rStyle w:val="16"/>
          <w:rFonts w:hint="eastAsia" w:ascii="仿宋" w:hAnsi="仿宋" w:eastAsia="仿宋"/>
          <w:b w:val="0"/>
          <w:bCs/>
          <w:sz w:val="32"/>
          <w:szCs w:val="32"/>
          <w:lang w:eastAsia="zh-CN"/>
        </w:rPr>
        <w:t>决算数与预算数持平。</w:t>
      </w:r>
    </w:p>
    <w:p w14:paraId="3D658DF8">
      <w:pPr>
        <w:spacing w:line="600" w:lineRule="exact"/>
        <w:ind w:firstLine="643" w:firstLineChars="200"/>
        <w:rPr>
          <w:rStyle w:val="16"/>
          <w:rFonts w:hint="eastAsia" w:ascii="仿宋" w:hAnsi="仿宋" w:eastAsia="仿宋"/>
          <w:b w:val="0"/>
          <w:bCs/>
          <w:color w:val="000000"/>
          <w:sz w:val="32"/>
          <w:szCs w:val="32"/>
          <w:lang w:eastAsia="zh-CN"/>
        </w:rPr>
      </w:pPr>
      <w:r>
        <w:rPr>
          <w:rStyle w:val="16"/>
          <w:rFonts w:hint="eastAsia" w:ascii="仿宋" w:hAnsi="仿宋" w:eastAsia="仿宋"/>
          <w:bCs/>
          <w:color w:val="000000"/>
          <w:sz w:val="32"/>
          <w:szCs w:val="32"/>
          <w:lang w:val="en-US" w:eastAsia="zh-CN"/>
        </w:rPr>
        <w:t>7</w:t>
      </w:r>
      <w:r>
        <w:rPr>
          <w:rStyle w:val="16"/>
          <w:rFonts w:ascii="仿宋" w:hAnsi="仿宋" w:eastAsia="仿宋"/>
          <w:bCs/>
          <w:color w:val="000000"/>
          <w:sz w:val="32"/>
          <w:szCs w:val="32"/>
        </w:rPr>
        <w:t>.</w:t>
      </w:r>
      <w:r>
        <w:rPr>
          <w:rFonts w:hint="eastAsia" w:ascii="仿宋" w:hAnsi="仿宋" w:eastAsia="仿宋"/>
          <w:b/>
          <w:bCs/>
          <w:color w:val="000000"/>
          <w:sz w:val="32"/>
          <w:szCs w:val="32"/>
        </w:rPr>
        <w:t>卫生健康（类）行政事业单位医疗（款）事业单位医疗支出（项）:</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6.67</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lang w:eastAsia="zh-CN"/>
        </w:rPr>
        <w:t>。</w:t>
      </w:r>
      <w:r>
        <w:rPr>
          <w:rStyle w:val="16"/>
          <w:rFonts w:hint="eastAsia" w:ascii="仿宋" w:hAnsi="仿宋" w:eastAsia="仿宋"/>
          <w:b w:val="0"/>
          <w:bCs/>
          <w:sz w:val="32"/>
          <w:szCs w:val="32"/>
          <w:lang w:eastAsia="zh-CN"/>
        </w:rPr>
        <w:t>决算数与预算数持平。</w:t>
      </w:r>
    </w:p>
    <w:p w14:paraId="1482D30B">
      <w:pPr>
        <w:spacing w:line="600" w:lineRule="exact"/>
        <w:ind w:firstLine="643" w:firstLineChars="200"/>
        <w:rPr>
          <w:rStyle w:val="16"/>
          <w:rFonts w:hint="eastAsia" w:ascii="仿宋" w:hAnsi="仿宋" w:eastAsia="仿宋"/>
          <w:b w:val="0"/>
          <w:bCs/>
          <w:color w:val="000000"/>
          <w:sz w:val="32"/>
          <w:szCs w:val="32"/>
          <w:lang w:val="en-US" w:eastAsia="zh-CN"/>
        </w:rPr>
      </w:pPr>
      <w:r>
        <w:rPr>
          <w:rStyle w:val="16"/>
          <w:rFonts w:hint="eastAsia" w:ascii="仿宋" w:hAnsi="仿宋" w:eastAsia="仿宋"/>
          <w:bCs/>
          <w:color w:val="000000"/>
          <w:sz w:val="32"/>
          <w:szCs w:val="32"/>
          <w:lang w:val="en-US" w:eastAsia="zh-CN"/>
        </w:rPr>
        <w:t>8</w:t>
      </w:r>
      <w:r>
        <w:rPr>
          <w:rStyle w:val="16"/>
          <w:rFonts w:ascii="仿宋" w:hAnsi="仿宋" w:eastAsia="仿宋"/>
          <w:bCs/>
          <w:color w:val="000000"/>
          <w:sz w:val="32"/>
          <w:szCs w:val="32"/>
        </w:rPr>
        <w:t>.</w:t>
      </w:r>
      <w:r>
        <w:rPr>
          <w:rFonts w:hint="eastAsia" w:ascii="仿宋" w:hAnsi="仿宋" w:eastAsia="仿宋"/>
          <w:b/>
          <w:bCs/>
          <w:color w:val="000000"/>
          <w:sz w:val="32"/>
          <w:szCs w:val="32"/>
        </w:rPr>
        <w:t>生健康（类）行政事业单位医疗（款）其他行政事业单位医疗支出（项）:</w:t>
      </w:r>
      <w:r>
        <w:rPr>
          <w:rStyle w:val="16"/>
          <w:rFonts w:hint="eastAsia" w:ascii="仿宋" w:hAnsi="仿宋" w:eastAsia="仿宋"/>
          <w:b w:val="0"/>
          <w:bCs w:val="0"/>
          <w:color w:val="000000"/>
          <w:sz w:val="32"/>
          <w:szCs w:val="32"/>
        </w:rPr>
        <w:t>决算为</w:t>
      </w:r>
      <w:r>
        <w:rPr>
          <w:rStyle w:val="16"/>
          <w:rFonts w:hint="eastAsia" w:ascii="仿宋" w:hAnsi="仿宋" w:eastAsia="仿宋"/>
          <w:b w:val="0"/>
          <w:bCs w:val="0"/>
          <w:color w:val="000000"/>
          <w:sz w:val="32"/>
          <w:szCs w:val="32"/>
          <w:lang w:val="en-US" w:eastAsia="zh-CN"/>
        </w:rPr>
        <w:t>1.08</w:t>
      </w:r>
      <w:r>
        <w:rPr>
          <w:rStyle w:val="16"/>
          <w:rFonts w:hint="eastAsia" w:ascii="仿宋" w:hAnsi="仿宋" w:eastAsia="仿宋"/>
          <w:b w:val="0"/>
          <w:bCs w:val="0"/>
          <w:color w:val="000000"/>
          <w:sz w:val="32"/>
          <w:szCs w:val="32"/>
        </w:rPr>
        <w:t>万元，完成</w:t>
      </w:r>
      <w:r>
        <w:rPr>
          <w:rStyle w:val="16"/>
          <w:rFonts w:hint="eastAsia" w:ascii="仿宋" w:hAnsi="仿宋" w:eastAsia="仿宋"/>
          <w:b w:val="0"/>
          <w:bCs/>
          <w:color w:val="000000"/>
          <w:sz w:val="32"/>
          <w:szCs w:val="32"/>
        </w:rPr>
        <w:t>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lang w:eastAsia="zh-CN"/>
        </w:rPr>
        <w:t>，</w:t>
      </w:r>
      <w:r>
        <w:rPr>
          <w:rStyle w:val="16"/>
          <w:rFonts w:hint="eastAsia" w:ascii="仿宋" w:hAnsi="仿宋" w:eastAsia="仿宋"/>
          <w:b w:val="0"/>
          <w:bCs/>
          <w:sz w:val="32"/>
          <w:szCs w:val="32"/>
          <w:lang w:eastAsia="zh-CN"/>
        </w:rPr>
        <w:t>决算数与预算数持平。</w:t>
      </w:r>
    </w:p>
    <w:p w14:paraId="02EF2C97">
      <w:pPr>
        <w:spacing w:line="600" w:lineRule="exact"/>
        <w:ind w:firstLine="643" w:firstLineChars="200"/>
        <w:rPr>
          <w:rStyle w:val="16"/>
          <w:rFonts w:hint="eastAsia" w:ascii="仿宋" w:hAnsi="仿宋" w:eastAsia="仿宋"/>
          <w:b w:val="0"/>
          <w:bCs/>
          <w:color w:val="000000"/>
          <w:sz w:val="32"/>
          <w:szCs w:val="32"/>
        </w:rPr>
      </w:pPr>
      <w:r>
        <w:rPr>
          <w:rStyle w:val="16"/>
          <w:rFonts w:hint="eastAsia" w:ascii="仿宋" w:hAnsi="仿宋" w:eastAsia="仿宋"/>
          <w:bCs/>
          <w:color w:val="000000"/>
          <w:sz w:val="32"/>
          <w:szCs w:val="32"/>
          <w:lang w:val="en-US" w:eastAsia="zh-CN"/>
        </w:rPr>
        <w:t>9</w:t>
      </w:r>
      <w:r>
        <w:rPr>
          <w:rStyle w:val="16"/>
          <w:rFonts w:ascii="仿宋" w:hAnsi="仿宋" w:eastAsia="仿宋"/>
          <w:bCs/>
          <w:color w:val="000000"/>
          <w:sz w:val="32"/>
          <w:szCs w:val="32"/>
        </w:rPr>
        <w:t>.</w:t>
      </w:r>
      <w:r>
        <w:rPr>
          <w:rFonts w:hint="eastAsia" w:ascii="仿宋" w:hAnsi="仿宋" w:eastAsia="仿宋"/>
          <w:b/>
          <w:bCs/>
          <w:color w:val="000000"/>
          <w:sz w:val="32"/>
          <w:szCs w:val="32"/>
          <w:lang w:eastAsia="zh-CN"/>
        </w:rPr>
        <w:t>住房保障支出（类）住房改革支出（款）住房公积金支出（项）:</w:t>
      </w:r>
      <w:r>
        <w:rPr>
          <w:rStyle w:val="16"/>
          <w:rFonts w:hint="eastAsia" w:ascii="仿宋" w:hAnsi="仿宋" w:eastAsia="仿宋"/>
          <w:b w:val="0"/>
          <w:bCs/>
          <w:color w:val="000000"/>
          <w:sz w:val="32"/>
          <w:szCs w:val="32"/>
        </w:rPr>
        <w:t>决算为</w:t>
      </w:r>
      <w:r>
        <w:rPr>
          <w:rStyle w:val="16"/>
          <w:rFonts w:hint="eastAsia" w:ascii="仿宋" w:hAnsi="仿宋" w:eastAsia="仿宋"/>
          <w:b w:val="0"/>
          <w:bCs/>
          <w:color w:val="000000"/>
          <w:sz w:val="32"/>
          <w:szCs w:val="32"/>
          <w:lang w:val="en-US" w:eastAsia="zh-CN"/>
        </w:rPr>
        <w:t>11.22</w:t>
      </w:r>
      <w:r>
        <w:rPr>
          <w:rStyle w:val="16"/>
          <w:rFonts w:hint="eastAsia" w:ascii="仿宋" w:hAnsi="仿宋" w:eastAsia="仿宋"/>
          <w:b w:val="0"/>
          <w:bCs/>
          <w:color w:val="000000"/>
          <w:sz w:val="32"/>
          <w:szCs w:val="32"/>
        </w:rPr>
        <w:t>万元，完成预算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Style w:val="16"/>
          <w:rFonts w:hint="eastAsia" w:ascii="仿宋" w:hAnsi="仿宋" w:eastAsia="仿宋"/>
          <w:b w:val="0"/>
          <w:bCs/>
          <w:sz w:val="32"/>
          <w:szCs w:val="32"/>
          <w:lang w:eastAsia="zh-CN"/>
        </w:rPr>
        <w:t>决算数与预算数持平。</w:t>
      </w:r>
    </w:p>
    <w:p w14:paraId="45A926CB">
      <w:pPr>
        <w:tabs>
          <w:tab w:val="right" w:pos="8306"/>
        </w:tabs>
        <w:spacing w:line="600" w:lineRule="exact"/>
        <w:ind w:firstLine="640" w:firstLineChars="200"/>
        <w:outlineLvl w:val="1"/>
        <w:rPr>
          <w:rStyle w:val="19"/>
          <w:rFonts w:hint="eastAsia" w:ascii="黑体" w:hAnsi="黑体" w:eastAsia="黑体"/>
          <w:b w:val="0"/>
        </w:rPr>
      </w:pPr>
      <w:bookmarkStart w:id="37" w:name="_Toc15396608"/>
      <w:bookmarkStart w:id="38"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19"/>
          <w:rFonts w:hint="eastAsia" w:ascii="黑体" w:hAnsi="黑体" w:eastAsia="黑体"/>
          <w:b w:val="0"/>
        </w:rPr>
        <w:t>般公共预算财政拨款基本支出决算情况说明</w:t>
      </w:r>
      <w:bookmarkEnd w:id="37"/>
      <w:bookmarkEnd w:id="38"/>
    </w:p>
    <w:p w14:paraId="57BF3C66">
      <w:pPr>
        <w:spacing w:line="600" w:lineRule="exact"/>
        <w:ind w:firstLine="645"/>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_GB2312" w:eastAsia="仿宋_GB2312"/>
          <w:sz w:val="32"/>
          <w:szCs w:val="32"/>
          <w:lang w:val="en-US" w:eastAsia="zh-CN"/>
        </w:rPr>
        <w:t>155.9</w:t>
      </w:r>
      <w:r>
        <w:rPr>
          <w:rFonts w:hint="eastAsia" w:ascii="仿宋" w:hAnsi="仿宋" w:eastAsia="仿宋"/>
          <w:color w:val="000000"/>
          <w:sz w:val="32"/>
          <w:szCs w:val="32"/>
        </w:rPr>
        <w:t>万元，其中：</w:t>
      </w:r>
    </w:p>
    <w:p w14:paraId="6831920B">
      <w:pPr>
        <w:spacing w:line="600" w:lineRule="exact"/>
        <w:ind w:firstLine="645"/>
        <w:rPr>
          <w:rFonts w:hint="eastAsia" w:ascii="仿宋" w:hAnsi="仿宋" w:eastAsia="仿宋"/>
          <w:color w:val="000000"/>
          <w:sz w:val="32"/>
          <w:szCs w:val="32"/>
          <w:lang w:eastAsia="zh-CN"/>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141.17</w:t>
      </w:r>
      <w:r>
        <w:rPr>
          <w:rFonts w:hint="eastAsia" w:ascii="仿宋" w:hAnsi="仿宋" w:eastAsia="仿宋"/>
          <w:color w:val="000000"/>
          <w:sz w:val="32"/>
          <w:szCs w:val="32"/>
        </w:rPr>
        <w:t>万元，主要包括：基本工资</w:t>
      </w:r>
      <w:r>
        <w:rPr>
          <w:rFonts w:hint="eastAsia" w:ascii="仿宋" w:hAnsi="仿宋" w:eastAsia="仿宋"/>
          <w:color w:val="000000"/>
          <w:sz w:val="32"/>
          <w:szCs w:val="32"/>
          <w:lang w:val="en-US" w:eastAsia="zh-CN"/>
        </w:rPr>
        <w:t>41.01万元</w:t>
      </w:r>
      <w:r>
        <w:rPr>
          <w:rFonts w:hint="eastAsia" w:ascii="仿宋" w:hAnsi="仿宋" w:eastAsia="仿宋"/>
          <w:color w:val="000000"/>
          <w:sz w:val="32"/>
          <w:szCs w:val="32"/>
        </w:rPr>
        <w:t>、津贴补贴</w:t>
      </w:r>
      <w:r>
        <w:rPr>
          <w:rFonts w:hint="eastAsia" w:ascii="仿宋" w:hAnsi="仿宋" w:eastAsia="仿宋"/>
          <w:color w:val="000000"/>
          <w:sz w:val="32"/>
          <w:szCs w:val="32"/>
          <w:lang w:val="en-US" w:eastAsia="zh-CN"/>
        </w:rPr>
        <w:t>4.11万元</w:t>
      </w:r>
      <w:r>
        <w:rPr>
          <w:rFonts w:hint="eastAsia" w:ascii="仿宋" w:hAnsi="仿宋" w:eastAsia="仿宋"/>
          <w:color w:val="000000"/>
          <w:sz w:val="32"/>
          <w:szCs w:val="32"/>
        </w:rPr>
        <w:t>、绩效工资</w:t>
      </w:r>
      <w:r>
        <w:rPr>
          <w:rFonts w:hint="eastAsia" w:ascii="仿宋" w:hAnsi="仿宋" w:eastAsia="仿宋"/>
          <w:color w:val="000000"/>
          <w:sz w:val="32"/>
          <w:szCs w:val="32"/>
          <w:lang w:val="en-US" w:eastAsia="zh-CN"/>
        </w:rPr>
        <w:t>55.72万元</w:t>
      </w:r>
      <w:r>
        <w:rPr>
          <w:rFonts w:hint="eastAsia" w:ascii="仿宋" w:hAnsi="仿宋" w:eastAsia="仿宋"/>
          <w:color w:val="000000"/>
          <w:sz w:val="32"/>
          <w:szCs w:val="32"/>
        </w:rPr>
        <w:t>、机关事业单位基本养老保险缴费</w:t>
      </w:r>
      <w:r>
        <w:rPr>
          <w:rFonts w:hint="eastAsia" w:ascii="仿宋" w:hAnsi="仿宋" w:eastAsia="仿宋"/>
          <w:color w:val="000000"/>
          <w:sz w:val="32"/>
          <w:szCs w:val="32"/>
          <w:lang w:val="en-US" w:eastAsia="zh-CN"/>
        </w:rPr>
        <w:t>13.8万元</w:t>
      </w:r>
      <w:r>
        <w:rPr>
          <w:rFonts w:hint="eastAsia" w:ascii="仿宋" w:hAnsi="仿宋" w:eastAsia="仿宋"/>
          <w:color w:val="000000"/>
          <w:sz w:val="32"/>
          <w:szCs w:val="32"/>
        </w:rPr>
        <w:t>、职业年金缴费</w:t>
      </w:r>
      <w:r>
        <w:rPr>
          <w:rFonts w:hint="eastAsia" w:ascii="仿宋" w:hAnsi="仿宋" w:eastAsia="仿宋"/>
          <w:color w:val="000000"/>
          <w:sz w:val="32"/>
          <w:szCs w:val="32"/>
          <w:lang w:val="en-US" w:eastAsia="zh-CN"/>
        </w:rPr>
        <w:t>6.87万元</w:t>
      </w:r>
      <w:r>
        <w:rPr>
          <w:rFonts w:hint="eastAsia" w:ascii="仿宋" w:hAnsi="仿宋" w:eastAsia="仿宋"/>
          <w:color w:val="000000"/>
          <w:sz w:val="32"/>
          <w:szCs w:val="32"/>
        </w:rPr>
        <w:t>、</w:t>
      </w:r>
      <w:r>
        <w:rPr>
          <w:rFonts w:hint="eastAsia" w:ascii="仿宋" w:hAnsi="仿宋" w:eastAsia="仿宋"/>
          <w:color w:val="000000"/>
          <w:sz w:val="32"/>
          <w:szCs w:val="32"/>
          <w:lang w:eastAsia="zh-CN"/>
        </w:rPr>
        <w:t>职工基本医疗保险缴费</w:t>
      </w:r>
      <w:r>
        <w:rPr>
          <w:rFonts w:hint="eastAsia" w:ascii="仿宋" w:hAnsi="仿宋" w:eastAsia="仿宋"/>
          <w:color w:val="000000"/>
          <w:sz w:val="32"/>
          <w:szCs w:val="32"/>
          <w:lang w:val="en-US" w:eastAsia="zh-CN"/>
        </w:rPr>
        <w:t>6.67万元、</w:t>
      </w:r>
      <w:r>
        <w:rPr>
          <w:rFonts w:hint="eastAsia" w:ascii="仿宋" w:hAnsi="仿宋" w:eastAsia="仿宋"/>
          <w:color w:val="000000"/>
          <w:sz w:val="32"/>
          <w:szCs w:val="32"/>
        </w:rPr>
        <w:t>其他社会保障缴费</w:t>
      </w:r>
      <w:r>
        <w:rPr>
          <w:rFonts w:hint="eastAsia" w:ascii="仿宋" w:hAnsi="仿宋" w:eastAsia="仿宋"/>
          <w:color w:val="000000"/>
          <w:sz w:val="32"/>
          <w:szCs w:val="32"/>
          <w:lang w:val="en-US" w:eastAsia="zh-CN"/>
        </w:rPr>
        <w:t>0.68万元</w:t>
      </w:r>
      <w:r>
        <w:rPr>
          <w:rFonts w:hint="eastAsia" w:ascii="仿宋" w:hAnsi="仿宋" w:eastAsia="仿宋"/>
          <w:color w:val="000000"/>
          <w:sz w:val="32"/>
          <w:szCs w:val="32"/>
        </w:rPr>
        <w:t>、医疗费补助</w:t>
      </w:r>
      <w:r>
        <w:rPr>
          <w:rFonts w:hint="eastAsia" w:ascii="仿宋" w:hAnsi="仿宋" w:eastAsia="仿宋"/>
          <w:color w:val="000000"/>
          <w:sz w:val="32"/>
          <w:szCs w:val="32"/>
          <w:lang w:val="en-US" w:eastAsia="zh-CN"/>
        </w:rPr>
        <w:t>1.08万元</w:t>
      </w:r>
      <w:r>
        <w:rPr>
          <w:rFonts w:hint="eastAsia" w:ascii="仿宋" w:hAnsi="仿宋" w:eastAsia="仿宋"/>
          <w:color w:val="000000"/>
          <w:sz w:val="32"/>
          <w:szCs w:val="32"/>
        </w:rPr>
        <w:t>、住房公积金</w:t>
      </w:r>
      <w:r>
        <w:rPr>
          <w:rFonts w:hint="eastAsia" w:ascii="仿宋" w:hAnsi="仿宋" w:eastAsia="仿宋"/>
          <w:color w:val="000000"/>
          <w:sz w:val="32"/>
          <w:szCs w:val="32"/>
          <w:lang w:val="en-US" w:eastAsia="zh-CN"/>
        </w:rPr>
        <w:t>11.22万元</w:t>
      </w:r>
      <w:r>
        <w:rPr>
          <w:rFonts w:hint="eastAsia" w:ascii="仿宋" w:hAnsi="仿宋" w:eastAsia="仿宋"/>
          <w:color w:val="000000"/>
          <w:sz w:val="32"/>
          <w:szCs w:val="32"/>
        </w:rPr>
        <w:t>等。</w:t>
      </w:r>
    </w:p>
    <w:p w14:paraId="51287EA5">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14.73</w:t>
      </w:r>
      <w:r>
        <w:rPr>
          <w:rFonts w:hint="eastAsia" w:ascii="仿宋" w:hAnsi="仿宋" w:eastAsia="仿宋"/>
          <w:color w:val="000000"/>
          <w:sz w:val="32"/>
          <w:szCs w:val="32"/>
        </w:rPr>
        <w:t>万元，主要包括：办公费</w:t>
      </w:r>
      <w:r>
        <w:rPr>
          <w:rFonts w:hint="eastAsia" w:ascii="仿宋" w:hAnsi="仿宋" w:eastAsia="仿宋"/>
          <w:color w:val="000000"/>
          <w:sz w:val="32"/>
          <w:szCs w:val="32"/>
          <w:lang w:val="en-US" w:eastAsia="zh-CN"/>
        </w:rPr>
        <w:t>2.36万元、</w:t>
      </w:r>
      <w:r>
        <w:rPr>
          <w:rFonts w:hint="eastAsia" w:ascii="仿宋" w:hAnsi="仿宋" w:eastAsia="仿宋"/>
          <w:color w:val="000000"/>
          <w:sz w:val="32"/>
          <w:szCs w:val="32"/>
          <w:lang w:eastAsia="zh-CN"/>
        </w:rPr>
        <w:t>手续费</w:t>
      </w:r>
      <w:r>
        <w:rPr>
          <w:rFonts w:hint="eastAsia" w:ascii="仿宋" w:hAnsi="仿宋" w:eastAsia="仿宋"/>
          <w:color w:val="000000"/>
          <w:sz w:val="32"/>
          <w:szCs w:val="32"/>
          <w:lang w:val="en-US" w:eastAsia="zh-CN"/>
        </w:rPr>
        <w:t>0.06万元，</w:t>
      </w:r>
      <w:r>
        <w:rPr>
          <w:rFonts w:hint="eastAsia" w:ascii="仿宋" w:hAnsi="仿宋" w:eastAsia="仿宋"/>
          <w:color w:val="000000"/>
          <w:sz w:val="32"/>
          <w:szCs w:val="32"/>
        </w:rPr>
        <w:t>水费</w:t>
      </w:r>
      <w:r>
        <w:rPr>
          <w:rFonts w:hint="eastAsia" w:ascii="仿宋" w:hAnsi="仿宋" w:eastAsia="仿宋"/>
          <w:color w:val="000000"/>
          <w:sz w:val="32"/>
          <w:szCs w:val="32"/>
          <w:lang w:val="en-US" w:eastAsia="zh-CN"/>
        </w:rPr>
        <w:t>0.01万元</w:t>
      </w:r>
      <w:r>
        <w:rPr>
          <w:rFonts w:hint="eastAsia" w:ascii="仿宋" w:hAnsi="仿宋" w:eastAsia="仿宋"/>
          <w:color w:val="000000"/>
          <w:sz w:val="32"/>
          <w:szCs w:val="32"/>
        </w:rPr>
        <w:t>、电费</w:t>
      </w:r>
      <w:r>
        <w:rPr>
          <w:rFonts w:hint="eastAsia" w:ascii="仿宋" w:hAnsi="仿宋" w:eastAsia="仿宋"/>
          <w:color w:val="000000"/>
          <w:sz w:val="32"/>
          <w:szCs w:val="32"/>
          <w:lang w:val="en-US" w:eastAsia="zh-CN"/>
        </w:rPr>
        <w:t>0.16万元</w:t>
      </w:r>
      <w:r>
        <w:rPr>
          <w:rFonts w:hint="eastAsia" w:ascii="仿宋" w:hAnsi="仿宋" w:eastAsia="仿宋"/>
          <w:color w:val="000000"/>
          <w:sz w:val="32"/>
          <w:szCs w:val="32"/>
        </w:rPr>
        <w:t>、邮电费</w:t>
      </w:r>
      <w:r>
        <w:rPr>
          <w:rFonts w:hint="eastAsia" w:ascii="仿宋" w:hAnsi="仿宋" w:eastAsia="仿宋"/>
          <w:color w:val="000000"/>
          <w:sz w:val="32"/>
          <w:szCs w:val="32"/>
          <w:lang w:val="en-US" w:eastAsia="zh-CN"/>
        </w:rPr>
        <w:t>0.72万元</w:t>
      </w:r>
      <w:r>
        <w:rPr>
          <w:rFonts w:hint="eastAsia" w:ascii="仿宋" w:hAnsi="仿宋" w:eastAsia="仿宋"/>
          <w:color w:val="000000"/>
          <w:sz w:val="32"/>
          <w:szCs w:val="32"/>
        </w:rPr>
        <w:t>、差旅费</w:t>
      </w:r>
      <w:r>
        <w:rPr>
          <w:rFonts w:hint="eastAsia" w:ascii="仿宋" w:hAnsi="仿宋" w:eastAsia="仿宋"/>
          <w:color w:val="000000"/>
          <w:sz w:val="32"/>
          <w:szCs w:val="32"/>
          <w:lang w:val="en-US" w:eastAsia="zh-CN"/>
        </w:rPr>
        <w:t>1.34万元</w:t>
      </w:r>
      <w:r>
        <w:rPr>
          <w:rFonts w:hint="eastAsia" w:ascii="仿宋" w:hAnsi="仿宋" w:eastAsia="仿宋"/>
          <w:color w:val="000000"/>
          <w:sz w:val="32"/>
          <w:szCs w:val="32"/>
        </w:rPr>
        <w:t>、</w:t>
      </w:r>
      <w:r>
        <w:rPr>
          <w:rFonts w:hint="eastAsia" w:ascii="仿宋" w:hAnsi="仿宋" w:eastAsia="仿宋"/>
          <w:color w:val="000000"/>
          <w:sz w:val="32"/>
          <w:szCs w:val="32"/>
          <w:lang w:eastAsia="zh-CN"/>
        </w:rPr>
        <w:t>劳务费</w:t>
      </w:r>
      <w:r>
        <w:rPr>
          <w:rFonts w:hint="eastAsia" w:ascii="仿宋" w:hAnsi="仿宋" w:eastAsia="仿宋"/>
          <w:color w:val="000000"/>
          <w:sz w:val="32"/>
          <w:szCs w:val="32"/>
          <w:lang w:val="en-US" w:eastAsia="zh-CN"/>
        </w:rPr>
        <w:t>0.31万元、委托业务费2.4万元、福利费1.28万元、</w:t>
      </w:r>
      <w:r>
        <w:rPr>
          <w:rFonts w:hint="eastAsia" w:ascii="仿宋" w:hAnsi="仿宋" w:eastAsia="仿宋"/>
          <w:color w:val="000000"/>
          <w:sz w:val="32"/>
          <w:szCs w:val="32"/>
        </w:rPr>
        <w:t>其他交通费</w:t>
      </w:r>
      <w:r>
        <w:rPr>
          <w:rFonts w:hint="eastAsia" w:ascii="仿宋" w:hAnsi="仿宋" w:eastAsia="仿宋"/>
          <w:color w:val="000000"/>
          <w:sz w:val="32"/>
          <w:szCs w:val="32"/>
          <w:lang w:val="en-US" w:eastAsia="zh-CN"/>
        </w:rPr>
        <w:t>4.56万元、其他商品和服务支出1.52万元</w:t>
      </w:r>
      <w:r>
        <w:rPr>
          <w:rFonts w:hint="eastAsia" w:ascii="仿宋" w:hAnsi="仿宋" w:eastAsia="仿宋"/>
          <w:color w:val="000000"/>
          <w:sz w:val="32"/>
          <w:szCs w:val="32"/>
        </w:rPr>
        <w:t>等。</w:t>
      </w:r>
    </w:p>
    <w:p w14:paraId="0A7BFB86">
      <w:pPr>
        <w:spacing w:line="600" w:lineRule="exact"/>
        <w:ind w:firstLine="640" w:firstLineChars="200"/>
        <w:outlineLvl w:val="1"/>
        <w:rPr>
          <w:rStyle w:val="19"/>
          <w:rFonts w:ascii="黑体" w:hAnsi="黑体" w:eastAsia="黑体"/>
          <w:b w:val="0"/>
        </w:rPr>
      </w:pPr>
      <w:bookmarkStart w:id="39" w:name="_Toc15377215"/>
      <w:bookmarkStart w:id="40" w:name="_Toc15396609"/>
      <w:r>
        <w:rPr>
          <w:rFonts w:hint="eastAsia" w:ascii="黑体" w:eastAsia="黑体"/>
          <w:sz w:val="32"/>
          <w:szCs w:val="32"/>
        </w:rPr>
        <w:t>七、</w:t>
      </w:r>
      <w:r>
        <w:rPr>
          <w:rStyle w:val="19"/>
          <w:rFonts w:hint="eastAsia" w:ascii="黑体" w:hAnsi="黑体" w:eastAsia="黑体"/>
          <w:b w:val="0"/>
        </w:rPr>
        <w:t>财政拨款</w:t>
      </w:r>
      <w:r>
        <w:rPr>
          <w:rStyle w:val="19"/>
          <w:rFonts w:hint="eastAsia" w:ascii="黑体" w:hAnsi="黑体" w:eastAsia="黑体"/>
        </w:rPr>
        <w:t>“</w:t>
      </w:r>
      <w:r>
        <w:rPr>
          <w:rStyle w:val="19"/>
          <w:rFonts w:hint="eastAsia" w:ascii="黑体" w:hAnsi="黑体" w:eastAsia="黑体"/>
          <w:b w:val="0"/>
        </w:rPr>
        <w:t>三公”经费支出决算情况说明</w:t>
      </w:r>
      <w:bookmarkEnd w:id="39"/>
      <w:bookmarkEnd w:id="40"/>
    </w:p>
    <w:p w14:paraId="0AF4D687">
      <w:pPr>
        <w:spacing w:line="600" w:lineRule="exact"/>
        <w:ind w:firstLine="640"/>
        <w:outlineLvl w:val="2"/>
        <w:rPr>
          <w:rFonts w:hint="eastAsia" w:ascii="仿宋" w:hAnsi="仿宋" w:eastAsia="仿宋"/>
          <w:b/>
          <w:sz w:val="32"/>
          <w:szCs w:val="32"/>
        </w:rPr>
      </w:pPr>
      <w:bookmarkStart w:id="41" w:name="_Toc15377216"/>
      <w:r>
        <w:rPr>
          <w:rFonts w:hint="eastAsia" w:ascii="仿宋" w:hAnsi="仿宋" w:eastAsia="仿宋"/>
          <w:b/>
          <w:sz w:val="32"/>
          <w:szCs w:val="32"/>
        </w:rPr>
        <w:t>（一）“三公”经费财政拨款支出决算总体情况说明</w:t>
      </w:r>
      <w:bookmarkEnd w:id="41"/>
    </w:p>
    <w:p w14:paraId="6FB07E4A">
      <w:pPr>
        <w:spacing w:line="600" w:lineRule="exact"/>
        <w:ind w:firstLine="640"/>
        <w:rPr>
          <w:rFonts w:hint="eastAsia" w:ascii="仿宋_GB2312" w:hAnsi="仿宋_GB2312" w:eastAsia="仿宋_GB2312" w:cs="仿宋_GB2312"/>
          <w:b w:val="0"/>
          <w:bCs w:val="0"/>
          <w:color w:val="000000"/>
          <w:sz w:val="32"/>
          <w:szCs w:val="32"/>
        </w:rPr>
      </w:pPr>
      <w:r>
        <w:rPr>
          <w:rFonts w:ascii="仿宋" w:hAnsi="仿宋" w:eastAsia="仿宋"/>
          <w:color w:val="000000"/>
          <w:sz w:val="32"/>
          <w:szCs w:val="32"/>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，较上年度减少</w:t>
      </w:r>
      <w:r>
        <w:rPr>
          <w:rFonts w:hint="eastAsia" w:ascii="仿宋" w:hAnsi="仿宋" w:eastAsia="仿宋"/>
          <w:color w:val="000000"/>
          <w:sz w:val="32"/>
          <w:szCs w:val="32"/>
          <w:lang w:val="en-US" w:eastAsia="zh-CN"/>
        </w:rPr>
        <w:t>0.05</w:t>
      </w:r>
      <w:r>
        <w:rPr>
          <w:rFonts w:hint="eastAsia" w:ascii="仿宋" w:hAnsi="仿宋" w:eastAsia="仿宋"/>
          <w:color w:val="000000"/>
          <w:sz w:val="32"/>
          <w:szCs w:val="32"/>
        </w:rPr>
        <w:t>万元，下降</w:t>
      </w:r>
      <w:r>
        <w:rPr>
          <w:rFonts w:hint="eastAsia" w:ascii="仿宋" w:hAnsi="仿宋" w:eastAsia="仿宋"/>
          <w:color w:val="000000"/>
          <w:sz w:val="32"/>
          <w:szCs w:val="32"/>
          <w:lang w:val="en-US" w:eastAsia="zh-CN"/>
        </w:rPr>
        <w:t>100</w:t>
      </w:r>
      <w:r>
        <w:rPr>
          <w:rFonts w:hint="eastAsia" w:ascii="仿宋" w:hAnsi="仿宋" w:eastAsia="仿宋"/>
          <w:color w:val="000000"/>
          <w:sz w:val="32"/>
          <w:szCs w:val="32"/>
        </w:rPr>
        <w:t>%。主要原因是</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2024年度产生公务接待费0.05万元，本年度无“三公”经费相关支出。</w:t>
      </w:r>
    </w:p>
    <w:p w14:paraId="24CCCD9E">
      <w:pPr>
        <w:numPr>
          <w:ilvl w:val="0"/>
          <w:numId w:val="3"/>
        </w:numPr>
        <w:spacing w:line="600" w:lineRule="exact"/>
        <w:ind w:firstLine="640"/>
        <w:outlineLvl w:val="2"/>
        <w:rPr>
          <w:rFonts w:hint="eastAsia" w:ascii="仿宋" w:hAnsi="仿宋" w:eastAsia="仿宋"/>
          <w:b/>
          <w:sz w:val="32"/>
          <w:szCs w:val="32"/>
        </w:rPr>
      </w:pPr>
      <w:bookmarkStart w:id="42" w:name="_Toc15377217"/>
      <w:r>
        <w:rPr>
          <w:rFonts w:hint="eastAsia" w:ascii="仿宋" w:hAnsi="仿宋" w:eastAsia="仿宋"/>
          <w:b/>
          <w:sz w:val="32"/>
          <w:szCs w:val="32"/>
        </w:rPr>
        <w:t>“三公”经费财政拨款支出决算具体情况说明</w:t>
      </w:r>
      <w:bookmarkEnd w:id="42"/>
    </w:p>
    <w:p w14:paraId="53CA4628">
      <w:pPr>
        <w:spacing w:line="600" w:lineRule="exact"/>
        <w:ind w:firstLine="640"/>
        <w:rPr>
          <w:rFonts w:hint="eastAsia"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2C63C8D1">
      <w:pPr>
        <w:spacing w:line="600" w:lineRule="exact"/>
        <w:ind w:firstLine="643" w:firstLineChars="20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w:t>
      </w:r>
      <w:r>
        <w:rPr>
          <w:rStyle w:val="16"/>
          <w:rFonts w:hint="eastAsia" w:ascii="仿宋" w:hAnsi="仿宋" w:eastAsia="仿宋"/>
          <w:b w:val="0"/>
          <w:bCs/>
          <w:color w:val="000000"/>
          <w:sz w:val="32"/>
          <w:szCs w:val="32"/>
        </w:rPr>
        <w:t>完成预算</w:t>
      </w:r>
      <w:r>
        <w:rPr>
          <w:rStyle w:val="16"/>
          <w:rFonts w:hint="eastAsia" w:ascii="仿宋" w:hAnsi="仿宋" w:eastAsia="仿宋"/>
          <w:b w:val="0"/>
          <w:bCs/>
          <w:color w:val="000000"/>
          <w:sz w:val="32"/>
          <w:szCs w:val="32"/>
          <w:lang w:val="en-US" w:eastAsia="zh-CN"/>
        </w:rPr>
        <w:t>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年增加</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sz w:val="32"/>
          <w:szCs w:val="32"/>
          <w:lang w:eastAsia="zh-CN"/>
        </w:rPr>
        <w:t>与上年相比无变化，</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：没有产生此项费用</w:t>
      </w:r>
      <w:r>
        <w:rPr>
          <w:rFonts w:hint="eastAsia" w:ascii="仿宋_GB2312" w:eastAsia="仿宋_GB2312"/>
          <w:color w:val="000000"/>
          <w:sz w:val="32"/>
          <w:szCs w:val="32"/>
        </w:rPr>
        <w:t>。</w:t>
      </w:r>
    </w:p>
    <w:p w14:paraId="53C9041C">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r>
        <w:rPr>
          <w:rStyle w:val="16"/>
          <w:rFonts w:hint="eastAsia" w:ascii="仿宋" w:hAnsi="仿宋" w:eastAsia="仿宋"/>
          <w:b w:val="0"/>
          <w:bCs/>
          <w:color w:val="000000"/>
          <w:sz w:val="32"/>
          <w:szCs w:val="32"/>
        </w:rPr>
        <w:t>完成预算</w:t>
      </w:r>
      <w:r>
        <w:rPr>
          <w:rStyle w:val="16"/>
          <w:rFonts w:hint="eastAsia" w:ascii="仿宋" w:hAnsi="仿宋" w:eastAsia="仿宋"/>
          <w:b w:val="0"/>
          <w:bCs/>
          <w:color w:val="000000"/>
          <w:sz w:val="32"/>
          <w:szCs w:val="32"/>
          <w:lang w:val="en-US" w:eastAsia="zh-CN"/>
        </w:rPr>
        <w:t>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年增加</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sz w:val="32"/>
          <w:szCs w:val="32"/>
          <w:lang w:eastAsia="zh-CN"/>
        </w:rPr>
        <w:t>与上年相比无变化，</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：没有产生此项费用</w:t>
      </w:r>
      <w:r>
        <w:rPr>
          <w:rFonts w:hint="eastAsia" w:ascii="仿宋_GB2312" w:eastAsia="仿宋_GB2312"/>
          <w:color w:val="000000"/>
          <w:sz w:val="32"/>
          <w:szCs w:val="32"/>
        </w:rPr>
        <w:t>。</w:t>
      </w:r>
    </w:p>
    <w:p w14:paraId="506AB46C">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14:paraId="594027A8">
      <w:pPr>
        <w:spacing w:line="600" w:lineRule="exact"/>
        <w:ind w:firstLine="640"/>
        <w:rPr>
          <w:rFonts w:hint="eastAsia"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1AA53165">
      <w:pPr>
        <w:spacing w:line="600" w:lineRule="exact"/>
        <w:ind w:firstLine="640"/>
        <w:rPr>
          <w:rFonts w:hint="default" w:ascii="仿宋_GB2312" w:eastAsia="仿宋_GB2312"/>
          <w:color w:val="000000"/>
          <w:sz w:val="32"/>
          <w:szCs w:val="32"/>
          <w:lang w:val="en-US"/>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万元，公务接待费支出决算比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0.05</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100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2025无公务接待费用。</w:t>
      </w:r>
    </w:p>
    <w:p w14:paraId="54177D5B">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接待</w:t>
      </w:r>
      <w:r>
        <w:rPr>
          <w:rFonts w:hint="eastAsia" w:ascii="仿宋_GB2312" w:eastAsia="仿宋_GB2312"/>
          <w:color w:val="000000"/>
          <w:sz w:val="32"/>
          <w:szCs w:val="32"/>
          <w:lang w:val="en-US" w:eastAsia="zh-CN"/>
        </w:rPr>
        <w:t>0批次，0人，共计支出0万元。</w:t>
      </w:r>
    </w:p>
    <w:p w14:paraId="20C935A3">
      <w:pPr>
        <w:keepNext w:val="0"/>
        <w:keepLines w:val="0"/>
        <w:pageBreakBefore w:val="0"/>
        <w:kinsoku/>
        <w:wordWrap/>
        <w:overflowPunct/>
        <w:topLinePunct w:val="0"/>
        <w:bidi w:val="0"/>
        <w:snapToGrid/>
        <w:spacing w:line="540" w:lineRule="exact"/>
        <w:ind w:firstLine="640"/>
        <w:jc w:val="both"/>
        <w:textAlignment w:val="auto"/>
        <w:outlineLvl w:val="1"/>
        <w:rPr>
          <w:rFonts w:hint="eastAsia" w:ascii="仿宋_GB2312" w:eastAsia="仿宋_GB2312"/>
          <w:color w:val="000000"/>
          <w:sz w:val="32"/>
          <w:szCs w:val="32"/>
          <w:lang w:val="en-US" w:eastAsia="zh-CN"/>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w:t>
      </w:r>
    </w:p>
    <w:p w14:paraId="21B2ED0B">
      <w:pPr>
        <w:spacing w:line="600" w:lineRule="exact"/>
        <w:ind w:firstLine="640" w:firstLineChars="200"/>
        <w:outlineLvl w:val="1"/>
        <w:rPr>
          <w:rStyle w:val="19"/>
          <w:rFonts w:ascii="黑体" w:hAnsi="黑体" w:eastAsia="黑体"/>
        </w:rPr>
      </w:pPr>
      <w:bookmarkStart w:id="43" w:name="_Toc15377218"/>
      <w:bookmarkStart w:id="44" w:name="_Toc15396610"/>
      <w:r>
        <w:rPr>
          <w:rFonts w:hint="eastAsia" w:ascii="黑体" w:eastAsia="黑体"/>
          <w:sz w:val="32"/>
          <w:szCs w:val="32"/>
        </w:rPr>
        <w:t>八、</w:t>
      </w:r>
      <w:r>
        <w:rPr>
          <w:rStyle w:val="19"/>
          <w:rFonts w:hint="eastAsia" w:ascii="黑体" w:hAnsi="黑体" w:eastAsia="黑体"/>
          <w:b w:val="0"/>
        </w:rPr>
        <w:t>政府性基金预算支出决算情况说明</w:t>
      </w:r>
      <w:bookmarkEnd w:id="43"/>
      <w:bookmarkEnd w:id="44"/>
    </w:p>
    <w:p w14:paraId="05CD20E4">
      <w:pPr>
        <w:pStyle w:val="13"/>
        <w:shd w:val="clear" w:color="auto" w:fill="FFFFFF"/>
        <w:spacing w:line="56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年政府性基金预算财政拨款支出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 w:hAnsi="仿宋" w:eastAsia="仿宋"/>
          <w:bCs/>
          <w:sz w:val="32"/>
          <w:szCs w:val="32"/>
          <w:lang w:eastAsia="zh-CN"/>
        </w:rPr>
        <w:t>，与上年度相比无变化。</w:t>
      </w:r>
    </w:p>
    <w:p w14:paraId="22A2D6C8">
      <w:pPr>
        <w:numPr>
          <w:ilvl w:val="0"/>
          <w:numId w:val="0"/>
        </w:numPr>
        <w:spacing w:line="600" w:lineRule="exact"/>
        <w:ind w:firstLine="640" w:firstLineChars="200"/>
        <w:outlineLvl w:val="1"/>
        <w:rPr>
          <w:rStyle w:val="19"/>
          <w:rFonts w:ascii="黑体" w:hAnsi="黑体" w:eastAsia="黑体"/>
          <w:b w:val="0"/>
        </w:rPr>
      </w:pPr>
      <w:bookmarkStart w:id="45" w:name="_Toc15377219"/>
      <w:bookmarkStart w:id="46" w:name="_Toc15396611"/>
      <w:r>
        <w:rPr>
          <w:rStyle w:val="19"/>
          <w:rFonts w:hint="eastAsia" w:ascii="黑体" w:hAnsi="黑体" w:eastAsia="黑体"/>
          <w:b w:val="0"/>
          <w:lang w:val="en-US" w:eastAsia="zh-CN"/>
        </w:rPr>
        <w:t>九、</w:t>
      </w:r>
      <w:r>
        <w:rPr>
          <w:rStyle w:val="19"/>
          <w:rFonts w:hint="eastAsia" w:ascii="黑体" w:hAnsi="黑体" w:eastAsia="黑体"/>
          <w:b w:val="0"/>
        </w:rPr>
        <w:t>国有资本经营预算支出决算情况说明</w:t>
      </w:r>
      <w:bookmarkEnd w:id="45"/>
      <w:bookmarkEnd w:id="46"/>
    </w:p>
    <w:p w14:paraId="4B79FFE3">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万元，与上年度相比无变化。</w:t>
      </w:r>
    </w:p>
    <w:p w14:paraId="12012A2F">
      <w:pPr>
        <w:numPr>
          <w:ilvl w:val="0"/>
          <w:numId w:val="0"/>
        </w:numPr>
        <w:spacing w:line="600" w:lineRule="exact"/>
        <w:ind w:firstLine="640" w:firstLineChars="200"/>
        <w:outlineLvl w:val="1"/>
        <w:rPr>
          <w:rStyle w:val="19"/>
          <w:rFonts w:ascii="黑体" w:hAnsi="黑体" w:eastAsia="黑体"/>
          <w:b w:val="0"/>
        </w:rPr>
      </w:pPr>
      <w:bookmarkStart w:id="47" w:name="_Toc15396612"/>
      <w:bookmarkStart w:id="48" w:name="_Toc15377221"/>
      <w:r>
        <w:rPr>
          <w:rStyle w:val="19"/>
          <w:rFonts w:hint="eastAsia" w:ascii="黑体" w:hAnsi="黑体" w:eastAsia="黑体"/>
          <w:b w:val="0"/>
          <w:lang w:val="en-US" w:eastAsia="zh-CN"/>
        </w:rPr>
        <w:t>十、</w:t>
      </w:r>
      <w:r>
        <w:rPr>
          <w:rStyle w:val="19"/>
          <w:rFonts w:hint="eastAsia" w:ascii="黑体" w:hAnsi="黑体" w:eastAsia="黑体"/>
          <w:b w:val="0"/>
        </w:rPr>
        <w:t>其他重要事项的情况说明</w:t>
      </w:r>
      <w:bookmarkEnd w:id="47"/>
      <w:bookmarkEnd w:id="48"/>
    </w:p>
    <w:p w14:paraId="06D46D56">
      <w:pPr>
        <w:spacing w:line="600" w:lineRule="exact"/>
        <w:ind w:firstLine="643" w:firstLineChars="200"/>
        <w:outlineLvl w:val="2"/>
        <w:rPr>
          <w:rFonts w:ascii="仿宋" w:hAnsi="仿宋" w:eastAsia="仿宋"/>
          <w:sz w:val="32"/>
          <w:szCs w:val="32"/>
        </w:rPr>
      </w:pPr>
      <w:bookmarkStart w:id="49" w:name="_Toc15377222"/>
      <w:r>
        <w:rPr>
          <w:rFonts w:hint="eastAsia" w:ascii="仿宋" w:hAnsi="仿宋" w:eastAsia="仿宋"/>
          <w:b/>
          <w:sz w:val="32"/>
          <w:szCs w:val="32"/>
        </w:rPr>
        <w:t>（一）机关运行经费支出情况</w:t>
      </w:r>
      <w:bookmarkEnd w:id="49"/>
    </w:p>
    <w:p w14:paraId="252DD3DC">
      <w:pPr>
        <w:pStyle w:val="13"/>
        <w:shd w:val="clear" w:color="auto" w:fill="FFFFFF"/>
        <w:spacing w:line="560" w:lineRule="exact"/>
        <w:ind w:firstLine="640" w:firstLineChars="200"/>
        <w:rPr>
          <w:rFonts w:hint="default" w:ascii="仿宋_GB2312" w:eastAsia="仿宋_GB2312"/>
          <w:color w:val="000000"/>
          <w:sz w:val="32"/>
          <w:szCs w:val="32"/>
          <w:lang w:val="en-US" w:eastAsia="zh-CN"/>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年，机关运行经费支出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增加</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增长</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 w:hAnsi="仿宋" w:eastAsia="仿宋"/>
          <w:bCs/>
          <w:sz w:val="32"/>
          <w:szCs w:val="32"/>
          <w:lang w:eastAsia="zh-CN"/>
        </w:rPr>
        <w:t>与上年度相比无变化。</w:t>
      </w:r>
      <w:r>
        <w:rPr>
          <w:rFonts w:hint="eastAsia" w:ascii="仿宋_GB2312" w:eastAsia="仿宋_GB2312"/>
          <w:color w:val="000000"/>
          <w:sz w:val="32"/>
          <w:szCs w:val="32"/>
        </w:rPr>
        <w:t>主要原因</w:t>
      </w:r>
      <w:r>
        <w:rPr>
          <w:rFonts w:hint="eastAsia" w:ascii="仿宋_GB2312" w:eastAsia="仿宋_GB2312"/>
          <w:color w:val="000000"/>
          <w:sz w:val="32"/>
          <w:szCs w:val="32"/>
          <w:lang w:eastAsia="zh-CN"/>
        </w:rPr>
        <w:t>是：没有产生此项费用</w:t>
      </w:r>
      <w:r>
        <w:rPr>
          <w:rFonts w:hint="eastAsia" w:ascii="仿宋_GB2312" w:eastAsia="仿宋_GB2312"/>
          <w:color w:val="000000"/>
          <w:sz w:val="32"/>
          <w:szCs w:val="32"/>
          <w:lang w:val="en-US" w:eastAsia="zh-CN"/>
        </w:rPr>
        <w:t>。</w:t>
      </w:r>
    </w:p>
    <w:p w14:paraId="2246ED7E">
      <w:pPr>
        <w:autoSpaceDE w:val="0"/>
        <w:autoSpaceDN w:val="0"/>
        <w:adjustRightInd w:val="0"/>
        <w:spacing w:line="600" w:lineRule="exact"/>
        <w:ind w:firstLine="643" w:firstLineChars="200"/>
        <w:jc w:val="left"/>
        <w:outlineLvl w:val="2"/>
        <w:rPr>
          <w:rFonts w:ascii="仿宋" w:hAnsi="仿宋" w:eastAsia="仿宋"/>
          <w:b/>
          <w:sz w:val="32"/>
          <w:szCs w:val="32"/>
        </w:rPr>
      </w:pPr>
      <w:bookmarkStart w:id="50" w:name="_Toc15377223"/>
      <w:r>
        <w:rPr>
          <w:rFonts w:hint="eastAsia" w:ascii="仿宋" w:hAnsi="仿宋" w:eastAsia="仿宋"/>
          <w:b/>
          <w:sz w:val="32"/>
          <w:szCs w:val="32"/>
        </w:rPr>
        <w:t>（二）政府采购支出情况</w:t>
      </w:r>
      <w:bookmarkEnd w:id="50"/>
    </w:p>
    <w:p w14:paraId="45D19108">
      <w:pPr>
        <w:spacing w:line="60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w:t>
      </w:r>
      <w:r>
        <w:rPr>
          <w:rFonts w:hint="eastAsia" w:ascii="仿宋_GB2312" w:eastAsia="仿宋_GB2312"/>
          <w:color w:val="000000"/>
          <w:sz w:val="32"/>
          <w:szCs w:val="32"/>
          <w:lang w:val="en-US" w:eastAsia="zh-CN"/>
        </w:rPr>
        <w:t>办公用品</w:t>
      </w:r>
      <w:r>
        <w:rPr>
          <w:rFonts w:hint="eastAsia" w:ascii="仿宋_GB2312" w:eastAsia="仿宋_GB2312"/>
          <w:color w:val="000000"/>
          <w:sz w:val="32"/>
          <w:szCs w:val="32"/>
        </w:rPr>
        <w:t>。授予中小企业合同金额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5CAD2532">
      <w:pPr>
        <w:autoSpaceDE w:val="0"/>
        <w:autoSpaceDN w:val="0"/>
        <w:adjustRightInd w:val="0"/>
        <w:spacing w:line="600" w:lineRule="exact"/>
        <w:ind w:firstLine="643" w:firstLineChars="200"/>
        <w:jc w:val="left"/>
        <w:outlineLvl w:val="2"/>
        <w:rPr>
          <w:rFonts w:ascii="仿宋" w:hAnsi="仿宋" w:eastAsia="仿宋"/>
          <w:b/>
          <w:sz w:val="32"/>
          <w:szCs w:val="32"/>
        </w:rPr>
      </w:pPr>
      <w:bookmarkStart w:id="51" w:name="_Toc15377224"/>
      <w:r>
        <w:rPr>
          <w:rFonts w:hint="eastAsia" w:ascii="仿宋" w:hAnsi="仿宋" w:eastAsia="仿宋"/>
          <w:b/>
          <w:sz w:val="32"/>
          <w:szCs w:val="32"/>
        </w:rPr>
        <w:t>（三）国有资产占有使用情况</w:t>
      </w:r>
      <w:bookmarkEnd w:id="51"/>
    </w:p>
    <w:p w14:paraId="1E8CA4C3">
      <w:pPr>
        <w:keepNext w:val="0"/>
        <w:keepLines w:val="0"/>
        <w:pageBreakBefore w:val="0"/>
        <w:kinsoku/>
        <w:wordWrap/>
        <w:overflowPunct/>
        <w:topLinePunct w:val="0"/>
        <w:autoSpaceDE w:val="0"/>
        <w:autoSpaceDN w:val="0"/>
        <w:bidi w:val="0"/>
        <w:adjustRightInd w:val="0"/>
        <w:snapToGrid/>
        <w:spacing w:line="540" w:lineRule="exact"/>
        <w:ind w:firstLine="640" w:firstLineChars="200"/>
        <w:jc w:val="both"/>
        <w:textAlignment w:val="auto"/>
        <w:outlineLvl w:val="2"/>
        <w:rPr>
          <w:rFonts w:hint="eastAsia" w:ascii="仿宋_GB2312" w:eastAsia="仿宋_GB2312"/>
          <w:color w:val="00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14:paraId="4425D5F9">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5DA876C9">
      <w:pPr>
        <w:pStyle w:val="5"/>
        <w:spacing w:before="93"/>
        <w:ind w:firstLine="640" w:firstLineChars="200"/>
        <w:rPr>
          <w:rFonts w:hAnsi="仿宋_GB2312" w:cs="仿宋_GB2312"/>
          <w:sz w:val="32"/>
          <w:szCs w:val="32"/>
        </w:rPr>
      </w:pPr>
      <w:r>
        <w:rPr>
          <w:rFonts w:hint="eastAsia" w:hAnsi="仿宋_GB2312" w:cs="仿宋_GB2312"/>
          <w:sz w:val="32"/>
          <w:szCs w:val="32"/>
        </w:rPr>
        <w:t>根据预算绩效管理要求，</w:t>
      </w:r>
      <w:r>
        <w:rPr>
          <w:rFonts w:hint="eastAsia" w:ascii="仿宋" w:hAnsi="仿宋" w:eastAsia="仿宋"/>
          <w:bCs/>
          <w:sz w:val="32"/>
          <w:szCs w:val="32"/>
        </w:rPr>
        <w:t>202</w:t>
      </w:r>
      <w:r>
        <w:rPr>
          <w:rFonts w:hint="eastAsia" w:ascii="仿宋" w:hAnsi="仿宋" w:eastAsia="仿宋"/>
          <w:bCs/>
          <w:sz w:val="32"/>
          <w:szCs w:val="32"/>
          <w:lang w:val="en-US" w:eastAsia="zh-CN"/>
        </w:rPr>
        <w:t>5</w:t>
      </w:r>
      <w:r>
        <w:rPr>
          <w:rFonts w:hint="eastAsia" w:ascii="仿宋" w:hAnsi="仿宋" w:eastAsia="仿宋"/>
          <w:bCs/>
          <w:sz w:val="32"/>
          <w:szCs w:val="32"/>
        </w:rPr>
        <w:t>年我单位部门整体支出</w:t>
      </w:r>
      <w:r>
        <w:rPr>
          <w:rFonts w:hint="eastAsia" w:ascii="仿宋" w:hAnsi="仿宋" w:eastAsia="仿宋"/>
          <w:bCs/>
          <w:sz w:val="32"/>
          <w:szCs w:val="32"/>
          <w:lang w:val="en-US" w:eastAsia="zh-CN"/>
        </w:rPr>
        <w:t>186.11</w:t>
      </w:r>
      <w:r>
        <w:rPr>
          <w:rFonts w:hint="eastAsia" w:ascii="仿宋" w:hAnsi="仿宋" w:eastAsia="仿宋"/>
          <w:bCs/>
          <w:sz w:val="32"/>
          <w:szCs w:val="32"/>
        </w:rPr>
        <w:t>万元，支出与目标申报一致。根据绩效管理要求，我单</w:t>
      </w:r>
      <w:r>
        <w:rPr>
          <w:rFonts w:hint="eastAsia" w:ascii="仿宋" w:hAnsi="仿宋" w:eastAsia="仿宋"/>
          <w:bCs/>
          <w:sz w:val="32"/>
          <w:szCs w:val="32"/>
          <w:lang w:val="en-US" w:eastAsia="zh-CN"/>
        </w:rPr>
        <w:t>位</w:t>
      </w:r>
      <w:r>
        <w:rPr>
          <w:rFonts w:hint="eastAsia" w:ascii="仿宋" w:hAnsi="仿宋" w:eastAsia="仿宋"/>
          <w:bCs/>
          <w:sz w:val="32"/>
          <w:szCs w:val="32"/>
        </w:rPr>
        <w:t>对202</w:t>
      </w:r>
      <w:r>
        <w:rPr>
          <w:rFonts w:hint="eastAsia" w:ascii="仿宋" w:hAnsi="仿宋" w:eastAsia="仿宋"/>
          <w:bCs/>
          <w:sz w:val="32"/>
          <w:szCs w:val="32"/>
          <w:lang w:val="en-US" w:eastAsia="zh-CN"/>
        </w:rPr>
        <w:t>5</w:t>
      </w:r>
      <w:r>
        <w:rPr>
          <w:rFonts w:hint="eastAsia" w:ascii="仿宋" w:hAnsi="仿宋" w:eastAsia="仿宋"/>
          <w:bCs/>
          <w:sz w:val="32"/>
          <w:szCs w:val="32"/>
        </w:rPr>
        <w:t>年部门整体</w:t>
      </w:r>
      <w:r>
        <w:rPr>
          <w:rFonts w:hint="eastAsia" w:ascii="仿宋" w:hAnsi="仿宋" w:eastAsia="仿宋"/>
          <w:bCs/>
          <w:sz w:val="32"/>
          <w:szCs w:val="32"/>
          <w:lang w:val="en-US" w:eastAsia="zh-CN"/>
        </w:rPr>
        <w:t>支出</w:t>
      </w:r>
      <w:r>
        <w:rPr>
          <w:rFonts w:hint="eastAsia" w:ascii="仿宋" w:hAnsi="仿宋" w:eastAsia="仿宋"/>
          <w:bCs/>
          <w:sz w:val="32"/>
          <w:szCs w:val="32"/>
        </w:rPr>
        <w:t>进</w:t>
      </w:r>
      <w:r>
        <w:rPr>
          <w:rFonts w:hint="eastAsia" w:ascii="仿宋" w:hAnsi="仿宋" w:eastAsia="仿宋"/>
          <w:bCs/>
          <w:sz w:val="32"/>
          <w:szCs w:val="32"/>
          <w:lang w:val="en-US" w:eastAsia="zh-CN"/>
        </w:rPr>
        <w:t>行</w:t>
      </w:r>
      <w:r>
        <w:rPr>
          <w:rFonts w:hint="eastAsia" w:ascii="仿宋" w:hAnsi="仿宋" w:eastAsia="仿宋"/>
          <w:bCs/>
          <w:sz w:val="32"/>
          <w:szCs w:val="32"/>
        </w:rPr>
        <w:t>了自评绩效自评得分为</w:t>
      </w:r>
      <w:r>
        <w:rPr>
          <w:rFonts w:hint="eastAsia" w:ascii="仿宋" w:hAnsi="仿宋" w:eastAsia="仿宋"/>
          <w:bCs/>
          <w:sz w:val="32"/>
          <w:szCs w:val="32"/>
          <w:lang w:val="en-US" w:eastAsia="zh-CN"/>
        </w:rPr>
        <w:t>83.02</w:t>
      </w:r>
      <w:r>
        <w:rPr>
          <w:rFonts w:hint="eastAsia" w:ascii="仿宋" w:hAnsi="仿宋" w:eastAsia="仿宋"/>
          <w:bCs/>
          <w:sz w:val="32"/>
          <w:szCs w:val="32"/>
        </w:rPr>
        <w:t>分；</w:t>
      </w:r>
      <w:r>
        <w:rPr>
          <w:rFonts w:hint="eastAsia" w:hAnsi="仿宋_GB2312" w:cs="仿宋_GB2312"/>
          <w:sz w:val="32"/>
          <w:szCs w:val="32"/>
        </w:rPr>
        <w:t>本单位在202</w:t>
      </w:r>
      <w:r>
        <w:rPr>
          <w:rFonts w:hint="eastAsia" w:hAnsi="仿宋_GB2312" w:cs="仿宋_GB2312"/>
          <w:sz w:val="32"/>
          <w:szCs w:val="32"/>
          <w:lang w:val="en-US" w:eastAsia="zh-CN"/>
        </w:rPr>
        <w:t>4</w:t>
      </w:r>
      <w:r>
        <w:rPr>
          <w:rFonts w:hint="eastAsia" w:hAnsi="仿宋_GB2312" w:cs="仿宋_GB2312"/>
          <w:sz w:val="32"/>
          <w:szCs w:val="32"/>
        </w:rPr>
        <w:t>年度预算编制阶段，组织对</w:t>
      </w:r>
      <w:r>
        <w:rPr>
          <w:rFonts w:hint="eastAsia" w:hAnsi="仿宋_GB2312" w:cs="仿宋_GB2312"/>
          <w:sz w:val="32"/>
          <w:szCs w:val="32"/>
          <w:lang w:eastAsia="zh-CN"/>
        </w:rPr>
        <w:t>《羌族文学》办刊经费、文联协会工作经费汶委宣【2025】26号文件“文艺两新”集聚区实践基地提升经费等</w:t>
      </w:r>
      <w:r>
        <w:rPr>
          <w:rFonts w:hint="eastAsia" w:hAnsi="仿宋_GB2312" w:cs="仿宋_GB2312"/>
          <w:sz w:val="32"/>
          <w:szCs w:val="32"/>
          <w:lang w:val="en-US" w:eastAsia="zh-CN"/>
        </w:rPr>
        <w:t>5</w:t>
      </w:r>
      <w:r>
        <w:rPr>
          <w:rFonts w:hint="eastAsia" w:hAnsi="仿宋_GB2312" w:cs="仿宋_GB2312"/>
          <w:sz w:val="32"/>
          <w:szCs w:val="32"/>
        </w:rPr>
        <w:t>个项目编制了绩效目标，预算执行过程中，选取</w:t>
      </w:r>
      <w:r>
        <w:rPr>
          <w:rFonts w:hint="eastAsia" w:hAnsi="仿宋_GB2312" w:cs="仿宋_GB2312"/>
          <w:sz w:val="32"/>
          <w:szCs w:val="32"/>
          <w:lang w:val="en-US" w:eastAsia="zh-CN"/>
        </w:rPr>
        <w:t>5</w:t>
      </w:r>
      <w:r>
        <w:rPr>
          <w:rFonts w:hint="eastAsia" w:hAnsi="仿宋_GB2312" w:cs="仿宋_GB2312"/>
          <w:sz w:val="32"/>
          <w:szCs w:val="32"/>
        </w:rPr>
        <w:t>个项目开展绩效监控，组织对</w:t>
      </w:r>
      <w:r>
        <w:rPr>
          <w:rFonts w:hint="eastAsia" w:hAnsi="仿宋_GB2312" w:cs="仿宋_GB2312"/>
          <w:sz w:val="32"/>
          <w:szCs w:val="32"/>
          <w:lang w:val="en-US" w:eastAsia="zh-CN"/>
        </w:rPr>
        <w:t>5</w:t>
      </w:r>
      <w:r>
        <w:rPr>
          <w:rFonts w:hint="eastAsia" w:hAnsi="仿宋_GB2312" w:cs="仿宋_GB2312"/>
          <w:sz w:val="32"/>
          <w:szCs w:val="32"/>
        </w:rPr>
        <w:t>个项目开展绩效自评，</w:t>
      </w:r>
      <w:r>
        <w:rPr>
          <w:rFonts w:hint="eastAsia" w:ascii="仿宋" w:hAnsi="仿宋" w:eastAsia="仿宋"/>
          <w:bCs/>
          <w:sz w:val="32"/>
          <w:szCs w:val="32"/>
        </w:rPr>
        <w:t>专项预算项目绩效自评得分为</w:t>
      </w:r>
      <w:r>
        <w:rPr>
          <w:rFonts w:hint="eastAsia" w:ascii="仿宋" w:hAnsi="仿宋" w:eastAsia="仿宋"/>
          <w:bCs/>
          <w:sz w:val="32"/>
          <w:szCs w:val="32"/>
          <w:lang w:val="en-US" w:eastAsia="zh-CN"/>
        </w:rPr>
        <w:t>86</w:t>
      </w:r>
      <w:r>
        <w:rPr>
          <w:rFonts w:hint="eastAsia" w:ascii="仿宋" w:hAnsi="仿宋" w:eastAsia="仿宋"/>
          <w:bCs/>
          <w:sz w:val="32"/>
          <w:szCs w:val="32"/>
        </w:rPr>
        <w:t>分</w:t>
      </w:r>
      <w:r>
        <w:rPr>
          <w:rFonts w:hint="eastAsia" w:hAnsi="仿宋_GB2312" w:cs="仿宋_GB2312"/>
          <w:sz w:val="32"/>
          <w:szCs w:val="32"/>
        </w:rPr>
        <w:t>绩效自评表详见第四部分附件。</w:t>
      </w:r>
    </w:p>
    <w:p w14:paraId="6D02A8CE">
      <w:pPr>
        <w:pStyle w:val="5"/>
        <w:spacing w:before="93"/>
        <w:ind w:firstLine="640" w:firstLineChars="200"/>
        <w:rPr>
          <w:rFonts w:hAnsi="仿宋_GB2312" w:cs="仿宋_GB2312"/>
          <w:sz w:val="32"/>
          <w:szCs w:val="32"/>
        </w:rPr>
      </w:pPr>
    </w:p>
    <w:p w14:paraId="7FB6019D">
      <w:pPr>
        <w:widowControl/>
        <w:jc w:val="left"/>
        <w:rPr>
          <w:rFonts w:hint="eastAsia" w:ascii="黑体" w:hAnsi="黑体" w:eastAsia="黑体"/>
          <w:sz w:val="44"/>
          <w:szCs w:val="44"/>
          <w:lang w:val="en-US" w:eastAsia="zh-CN"/>
        </w:rPr>
      </w:pPr>
      <w:r>
        <w:rPr>
          <w:rFonts w:ascii="仿宋_GB2312" w:eastAsia="仿宋_GB2312"/>
          <w:b/>
          <w:sz w:val="32"/>
          <w:szCs w:val="32"/>
        </w:rPr>
        <w:br w:type="page"/>
      </w:r>
      <w:bookmarkStart w:id="52" w:name="_Toc15396613"/>
      <w:bookmarkStart w:id="53" w:name="_Toc15377225"/>
    </w:p>
    <w:p w14:paraId="18A0A173">
      <w:pPr>
        <w:numPr>
          <w:ilvl w:val="0"/>
          <w:numId w:val="0"/>
        </w:numPr>
        <w:spacing w:line="600" w:lineRule="exact"/>
        <w:jc w:val="center"/>
        <w:outlineLvl w:val="0"/>
        <w:rPr>
          <w:rFonts w:ascii="宋体"/>
          <w:b/>
          <w:sz w:val="44"/>
          <w:szCs w:val="44"/>
        </w:rPr>
      </w:pPr>
      <w:r>
        <w:rPr>
          <w:rFonts w:hint="eastAsia" w:ascii="黑体" w:hAnsi="黑体" w:eastAsia="黑体"/>
          <w:sz w:val="44"/>
          <w:szCs w:val="44"/>
          <w:lang w:val="en-US" w:eastAsia="zh-CN"/>
        </w:rPr>
        <w:t>第三部分</w:t>
      </w:r>
      <w:r>
        <w:rPr>
          <w:rFonts w:hint="eastAsia" w:ascii="黑体" w:hAnsi="黑体" w:eastAsia="黑体"/>
          <w:sz w:val="44"/>
          <w:szCs w:val="44"/>
        </w:rPr>
        <w:t>名</w:t>
      </w:r>
      <w:r>
        <w:rPr>
          <w:rStyle w:val="18"/>
          <w:rFonts w:hint="eastAsia" w:ascii="黑体" w:hAnsi="黑体" w:eastAsia="黑体"/>
          <w:b w:val="0"/>
        </w:rPr>
        <w:t>词解释</w:t>
      </w:r>
      <w:bookmarkEnd w:id="52"/>
      <w:bookmarkEnd w:id="53"/>
    </w:p>
    <w:p w14:paraId="5102A48F">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5063939E">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14:paraId="074F68F6">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14:paraId="278BB37C">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14:paraId="0138C40D">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6DA95849">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53899673">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6A64FF31">
      <w:pPr>
        <w:pStyle w:val="21"/>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6C92C405">
      <w:pPr>
        <w:pStyle w:val="21"/>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9.</w:t>
      </w:r>
      <w:r>
        <w:rPr>
          <w:rFonts w:hint="eastAsia" w:ascii="仿宋_GB2312" w:eastAsia="仿宋_GB2312"/>
          <w:color w:val="auto"/>
          <w:sz w:val="32"/>
          <w:szCs w:val="32"/>
        </w:rPr>
        <w:t>文化旅游体育与传媒（类）文化和旅游（款）群众文化支出（项）</w:t>
      </w:r>
      <w:r>
        <w:rPr>
          <w:rFonts w:hint="eastAsia" w:ascii="仿宋_GB2312" w:eastAsia="仿宋_GB2312"/>
          <w:color w:val="auto"/>
          <w:sz w:val="32"/>
          <w:szCs w:val="32"/>
          <w:lang w:eastAsia="zh-CN"/>
        </w:rPr>
        <w:t>。反映群众文化方面的支出，包括基层文化馆（站）、群众艺术馆支出等。</w:t>
      </w:r>
    </w:p>
    <w:p w14:paraId="75891927">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.文化旅游体育与传媒（类）文化和旅游（款）文化创作与保护（项）。反映鼓励文学、艺术创作和优秀传统文化保护方面的支出</w:t>
      </w:r>
    </w:p>
    <w:p w14:paraId="0EAD7E56">
      <w:pPr>
        <w:pStyle w:val="21"/>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11</w:t>
      </w:r>
      <w:r>
        <w:rPr>
          <w:rFonts w:hint="eastAsia" w:ascii="仿宋_GB2312" w:eastAsia="仿宋_GB2312"/>
          <w:color w:val="auto"/>
          <w:sz w:val="32"/>
          <w:szCs w:val="32"/>
        </w:rPr>
        <w:t>.文化旅游体育与传媒（类）文化和旅游（款）其他文化和旅游支出（项）</w:t>
      </w:r>
      <w:r>
        <w:rPr>
          <w:rFonts w:hint="eastAsia" w:ascii="仿宋_GB2312" w:eastAsia="仿宋_GB2312"/>
          <w:color w:val="auto"/>
          <w:sz w:val="32"/>
          <w:szCs w:val="32"/>
          <w:lang w:eastAsia="zh-CN"/>
        </w:rPr>
        <w:t>。反映除上述项目以外其他用于文化和旅游方面的支出。</w:t>
      </w:r>
    </w:p>
    <w:p w14:paraId="58C9FC52">
      <w:pPr>
        <w:pStyle w:val="21"/>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12.</w:t>
      </w:r>
      <w:r>
        <w:rPr>
          <w:rFonts w:hint="eastAsia" w:ascii="仿宋_GB2312" w:eastAsia="仿宋_GB2312"/>
          <w:color w:val="auto"/>
          <w:sz w:val="32"/>
          <w:szCs w:val="32"/>
          <w:lang w:eastAsia="zh-CN"/>
        </w:rPr>
        <w:t>文化旅游体育与传媒（类）其他文化旅游体育与传媒支出（款）文化产业发展专项支出（项）。反映支持文化产业发展专项支出。</w:t>
      </w:r>
    </w:p>
    <w:p w14:paraId="63FC8F20">
      <w:pPr>
        <w:spacing w:line="60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13</w:t>
      </w:r>
      <w:r>
        <w:rPr>
          <w:rFonts w:hint="eastAsia" w:ascii="仿宋_GB2312" w:eastAsia="仿宋_GB2312"/>
          <w:color w:val="auto"/>
          <w:sz w:val="32"/>
          <w:szCs w:val="32"/>
        </w:rPr>
        <w:t>.</w:t>
      </w:r>
      <w:r>
        <w:rPr>
          <w:rFonts w:hint="eastAsia" w:ascii="仿宋" w:hAnsi="仿宋" w:eastAsia="仿宋" w:cs="宋体"/>
          <w:kern w:val="0"/>
          <w:sz w:val="32"/>
          <w:szCs w:val="32"/>
          <w:lang w:val="en-US" w:eastAsia="zh-CN" w:bidi="ar-SA"/>
        </w:rPr>
        <w:t>社会保障和就业（类）行政事业单位养老支出（款）机关事业单位养老保险缴费支出（项）。反映机关事业单位实施养老保险制度由单位缴纳的基本养老保险费支出。</w:t>
      </w:r>
    </w:p>
    <w:p w14:paraId="603B73E5">
      <w:pPr>
        <w:spacing w:line="600" w:lineRule="exact"/>
        <w:ind w:firstLine="640" w:firstLineChars="200"/>
        <w:rPr>
          <w:rFonts w:hint="default" w:ascii="仿宋" w:hAnsi="仿宋" w:eastAsia="仿宋" w:cs="宋体"/>
          <w:kern w:val="0"/>
          <w:sz w:val="32"/>
          <w:szCs w:val="32"/>
          <w:lang w:val="en-US" w:eastAsia="zh-CN" w:bidi="ar-SA"/>
        </w:rPr>
      </w:pPr>
      <w:r>
        <w:rPr>
          <w:rFonts w:hint="eastAsia" w:ascii="仿宋_GB2312" w:eastAsia="仿宋_GB2312"/>
          <w:color w:val="auto"/>
          <w:sz w:val="32"/>
          <w:szCs w:val="32"/>
          <w:lang w:val="en-US" w:eastAsia="zh-CN"/>
        </w:rPr>
        <w:t>14</w:t>
      </w:r>
      <w:r>
        <w:rPr>
          <w:rFonts w:hint="eastAsia" w:ascii="仿宋_GB2312" w:eastAsia="仿宋_GB2312"/>
          <w:color w:val="auto"/>
          <w:sz w:val="32"/>
          <w:szCs w:val="32"/>
        </w:rPr>
        <w:t>.</w:t>
      </w:r>
      <w:r>
        <w:rPr>
          <w:rFonts w:hint="eastAsia" w:ascii="仿宋" w:hAnsi="仿宋" w:eastAsia="仿宋" w:cs="宋体"/>
          <w:kern w:val="0"/>
          <w:sz w:val="32"/>
          <w:szCs w:val="32"/>
          <w:lang w:val="en-US" w:eastAsia="zh-CN" w:bidi="ar-SA"/>
        </w:rPr>
        <w:t>社会保障和就业（类）行政事业单位养老支出（款）机关事业单位职业年金缴费支出（项）。反映机关事业单位实施养老保险制度由单位实际缴纳的职业年金支出（含职业年金补记支出）</w:t>
      </w:r>
    </w:p>
    <w:p w14:paraId="36E99811">
      <w:pPr>
        <w:pStyle w:val="21"/>
        <w:spacing w:line="560" w:lineRule="exact"/>
        <w:ind w:firstLine="640" w:firstLineChars="200"/>
        <w:rPr>
          <w:rFonts w:hint="eastAsia" w:ascii="仿宋" w:hAnsi="仿宋" w:eastAsia="仿宋" w:cs="宋体"/>
          <w:kern w:val="0"/>
          <w:sz w:val="32"/>
          <w:szCs w:val="32"/>
          <w:lang w:val="en-US" w:eastAsia="zh-CN" w:bidi="ar-SA"/>
        </w:rPr>
      </w:pPr>
      <w:r>
        <w:rPr>
          <w:rFonts w:hint="eastAsia" w:ascii="仿宋_GB2312" w:eastAsia="仿宋_GB2312"/>
          <w:color w:val="auto"/>
          <w:sz w:val="32"/>
          <w:szCs w:val="32"/>
          <w:lang w:val="en-US" w:eastAsia="zh-CN"/>
        </w:rPr>
        <w:t>15</w:t>
      </w:r>
      <w:r>
        <w:rPr>
          <w:rFonts w:hint="eastAsia" w:ascii="仿宋_GB2312" w:eastAsia="仿宋_GB2312"/>
          <w:color w:val="auto"/>
          <w:sz w:val="32"/>
          <w:szCs w:val="32"/>
        </w:rPr>
        <w:t>.</w:t>
      </w:r>
      <w:r>
        <w:rPr>
          <w:rFonts w:hint="eastAsia" w:ascii="仿宋" w:hAnsi="仿宋" w:eastAsia="仿宋" w:cs="宋体"/>
          <w:kern w:val="0"/>
          <w:sz w:val="32"/>
          <w:szCs w:val="32"/>
          <w:lang w:val="en-US" w:eastAsia="zh-CN" w:bidi="ar-SA"/>
        </w:rPr>
        <w:t>卫生健康（类）行政事业单位医疗（款）事业单位医疗支出（项）。反映财政部门安排的事业单位基本医疗保险缴费经费，未参加医疗保险的事业单位的公费医疗经费，按国家规定享受离休人员待遇的医疗经费。</w:t>
      </w:r>
    </w:p>
    <w:p w14:paraId="4629754B">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_GB2312" w:eastAsia="仿宋_GB2312"/>
          <w:color w:val="auto"/>
          <w:sz w:val="32"/>
          <w:szCs w:val="32"/>
          <w:lang w:val="en-US" w:eastAsia="zh-CN"/>
        </w:rPr>
        <w:t>16</w:t>
      </w:r>
      <w:r>
        <w:rPr>
          <w:rFonts w:hint="eastAsia" w:ascii="仿宋_GB2312" w:eastAsia="仿宋_GB2312"/>
          <w:color w:val="auto"/>
          <w:sz w:val="32"/>
          <w:szCs w:val="32"/>
        </w:rPr>
        <w:t>.</w:t>
      </w:r>
      <w:r>
        <w:rPr>
          <w:rFonts w:hint="eastAsia" w:ascii="仿宋" w:hAnsi="仿宋" w:eastAsia="仿宋" w:cs="宋体"/>
          <w:kern w:val="0"/>
          <w:sz w:val="32"/>
          <w:szCs w:val="32"/>
          <w:lang w:val="en-US" w:eastAsia="zh-CN" w:bidi="ar-SA"/>
        </w:rPr>
        <w:t>生健康（类）行政事业单位医疗（款）其他行政事业单位医疗支出（项）。反映除上述项目以外的其他用于行政事业单位医疗方面的支出</w:t>
      </w:r>
    </w:p>
    <w:p w14:paraId="24A8C9D5">
      <w:pPr>
        <w:spacing w:line="600" w:lineRule="exact"/>
        <w:ind w:firstLine="640" w:firstLineChars="200"/>
        <w:rPr>
          <w:rFonts w:hint="eastAsia" w:ascii="仿宋" w:hAnsi="仿宋" w:eastAsia="仿宋" w:cs="宋体"/>
          <w:kern w:val="0"/>
          <w:sz w:val="32"/>
          <w:szCs w:val="32"/>
          <w:lang w:val="en-US" w:eastAsia="zh-CN" w:bidi="ar-SA"/>
        </w:rPr>
      </w:pPr>
      <w:r>
        <w:rPr>
          <w:rFonts w:hint="eastAsia" w:ascii="仿宋_GB2312" w:eastAsia="仿宋_GB2312"/>
          <w:color w:val="auto"/>
          <w:sz w:val="32"/>
          <w:szCs w:val="32"/>
          <w:lang w:val="en-US" w:eastAsia="zh-CN"/>
        </w:rPr>
        <w:t>17</w:t>
      </w:r>
      <w:r>
        <w:rPr>
          <w:rFonts w:hint="eastAsia" w:ascii="仿宋_GB2312" w:eastAsia="仿宋_GB2312"/>
          <w:color w:val="auto"/>
          <w:sz w:val="32"/>
          <w:szCs w:val="32"/>
        </w:rPr>
        <w:t>.</w:t>
      </w:r>
      <w:r>
        <w:rPr>
          <w:rFonts w:hint="eastAsia" w:ascii="仿宋" w:hAnsi="仿宋" w:eastAsia="仿宋" w:cs="宋体"/>
          <w:kern w:val="0"/>
          <w:sz w:val="32"/>
          <w:szCs w:val="32"/>
          <w:lang w:val="en-US" w:eastAsia="zh-CN" w:bidi="ar-SA"/>
        </w:rPr>
        <w:t>住房保障支出（类）住房改革支出（款）住房公积金支出（项）。反映按房改政策规定，行政事业单位向符合条件职工（含离退休人员）、军队（含武警）向转役复员离退休人员发放的用于购买住房的补贴。</w:t>
      </w:r>
    </w:p>
    <w:p w14:paraId="6C282C88">
      <w:pPr>
        <w:pStyle w:val="21"/>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18</w:t>
      </w:r>
      <w:r>
        <w:rPr>
          <w:rFonts w:hint="eastAsia" w:ascii="仿宋_GB2312" w:eastAsia="仿宋_GB2312"/>
          <w:color w:val="auto"/>
          <w:sz w:val="32"/>
          <w:szCs w:val="32"/>
        </w:rPr>
        <w:t>.基本支出：指为保障机构正常运转、完成日常工作任务而发生的人员支出和公用支出。</w:t>
      </w:r>
    </w:p>
    <w:p w14:paraId="3A338D0C">
      <w:pPr>
        <w:pStyle w:val="21"/>
        <w:spacing w:line="560" w:lineRule="exact"/>
        <w:ind w:firstLine="640" w:firstLineChars="200"/>
        <w:rPr>
          <w:rFonts w:ascii="仿宋_GB2312" w:eastAsia="仿宋_GB2312"/>
          <w:sz w:val="32"/>
          <w:szCs w:val="32"/>
        </w:rPr>
      </w:pPr>
      <w:r>
        <w:rPr>
          <w:rFonts w:hint="eastAsia" w:ascii="仿宋_GB2312" w:eastAsia="仿宋_GB2312"/>
          <w:color w:val="auto"/>
          <w:sz w:val="32"/>
          <w:szCs w:val="32"/>
          <w:lang w:val="en-US" w:eastAsia="zh-CN"/>
        </w:rPr>
        <w:t>19</w:t>
      </w:r>
      <w:r>
        <w:rPr>
          <w:rFonts w:hint="eastAsia" w:ascii="仿宋_GB2312" w:eastAsia="仿宋_GB2312"/>
          <w:color w:val="auto"/>
          <w:sz w:val="32"/>
          <w:szCs w:val="32"/>
        </w:rPr>
        <w:t>.项目支出：指在基本支出之外为完成特定行政任务</w:t>
      </w:r>
      <w:r>
        <w:rPr>
          <w:rFonts w:hint="eastAsia" w:ascii="仿宋_GB2312" w:eastAsia="仿宋_GB2312"/>
          <w:sz w:val="32"/>
          <w:szCs w:val="32"/>
        </w:rPr>
        <w:t>和事业发展目标所发生的支出。</w:t>
      </w:r>
      <w:r>
        <w:rPr>
          <w:rFonts w:ascii="仿宋_GB2312" w:eastAsia="仿宋_GB2312"/>
          <w:sz w:val="32"/>
          <w:szCs w:val="32"/>
        </w:rPr>
        <w:t xml:space="preserve"> </w:t>
      </w:r>
    </w:p>
    <w:p w14:paraId="54AB7E45">
      <w:pPr>
        <w:ind w:firstLine="640" w:firstLineChars="200"/>
        <w:rPr>
          <w:rFonts w:ascii="仿宋_GB2312" w:eastAsia="仿宋_GB2312"/>
          <w:sz w:val="32"/>
          <w:szCs w:val="32"/>
        </w:rPr>
      </w:pPr>
      <w:r>
        <w:rPr>
          <w:rFonts w:hint="eastAsia" w:ascii="仿宋_GB2312" w:eastAsia="仿宋_GB2312"/>
          <w:sz w:val="32"/>
          <w:szCs w:val="32"/>
          <w:lang w:val="en-US" w:eastAsia="zh-CN"/>
        </w:rPr>
        <w:t>20</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499E8EB3">
      <w:pPr>
        <w:pStyle w:val="21"/>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21</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844FEA9">
      <w:pPr>
        <w:pStyle w:val="21"/>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22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color w:val="auto"/>
          <w:sz w:val="32"/>
          <w:szCs w:val="32"/>
          <w:lang w:eastAsia="zh-CN"/>
        </w:rPr>
        <w:t>。</w:t>
      </w:r>
    </w:p>
    <w:p w14:paraId="038DF345">
      <w:pPr>
        <w:pStyle w:val="21"/>
        <w:spacing w:line="560" w:lineRule="exact"/>
        <w:ind w:firstLine="640" w:firstLineChars="200"/>
        <w:rPr>
          <w:rFonts w:hint="eastAsia" w:ascii="仿宋_GB2312" w:eastAsia="仿宋_GB2312"/>
          <w:color w:val="auto"/>
          <w:sz w:val="32"/>
          <w:szCs w:val="32"/>
          <w:lang w:eastAsia="zh-CN"/>
        </w:rPr>
      </w:pPr>
    </w:p>
    <w:p w14:paraId="2AF742E8">
      <w:pPr>
        <w:ind w:firstLine="643"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14:paraId="0A36240A">
      <w:pPr>
        <w:numPr>
          <w:ilvl w:val="0"/>
          <w:numId w:val="4"/>
        </w:numPr>
        <w:spacing w:line="600" w:lineRule="exact"/>
        <w:jc w:val="center"/>
        <w:outlineLvl w:val="0"/>
        <w:rPr>
          <w:rStyle w:val="18"/>
          <w:rFonts w:hint="eastAsia" w:ascii="黑体" w:hAnsi="黑体" w:eastAsia="黑体"/>
          <w:b w:val="0"/>
        </w:rPr>
      </w:pPr>
      <w:bookmarkStart w:id="54" w:name="_Toc15377226"/>
      <w:r>
        <w:rPr>
          <w:rFonts w:ascii="宋体"/>
          <w:b/>
          <w:sz w:val="44"/>
          <w:szCs w:val="44"/>
        </w:rPr>
        <w:br w:type="page"/>
      </w:r>
      <w:bookmarkStart w:id="55" w:name="_Toc15396614"/>
      <w:r>
        <w:rPr>
          <w:rStyle w:val="18"/>
          <w:rFonts w:hint="eastAsia" w:ascii="黑体" w:hAnsi="黑体" w:eastAsia="黑体"/>
          <w:b w:val="0"/>
        </w:rPr>
        <w:t>附件</w:t>
      </w:r>
      <w:bookmarkEnd w:id="55"/>
    </w:p>
    <w:p w14:paraId="40191B98">
      <w:pPr>
        <w:pStyle w:val="8"/>
        <w:numPr>
          <w:ilvl w:val="0"/>
          <w:numId w:val="0"/>
        </w:numPr>
        <w:rPr>
          <w:rFonts w:hint="default" w:ascii="Times New Roman" w:hAnsi="Times New Roman" w:eastAsia="宋体" w:cs="Times New Roman"/>
          <w:b/>
          <w:bCs/>
          <w:kern w:val="2"/>
          <w:sz w:val="44"/>
          <w:szCs w:val="44"/>
          <w:shd w:val="clear" w:fill="FFFFFF"/>
          <w:lang w:val="en-US"/>
        </w:rPr>
      </w:pPr>
      <w:r>
        <w:rPr>
          <w:rFonts w:hint="eastAsia"/>
          <w:b/>
          <w:bCs/>
          <w:lang w:eastAsia="zh-CN"/>
        </w:rPr>
        <w:t>附件</w:t>
      </w:r>
      <w:r>
        <w:rPr>
          <w:rFonts w:hint="eastAsia"/>
          <w:b/>
          <w:bCs/>
          <w:lang w:val="en-US" w:eastAsia="zh-CN"/>
        </w:rPr>
        <w:t>1：</w:t>
      </w:r>
      <w:bookmarkStart w:id="56" w:name="_Toc15396618"/>
    </w:p>
    <w:p w14:paraId="46CAE3F5">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hint="default" w:ascii="Times New Roman" w:hAnsi="Times New Roman" w:eastAsia="方正小标宋简体" w:cs="Times New Roman"/>
          <w:b w:val="0"/>
          <w:bCs/>
          <w:kern w:val="2"/>
          <w:sz w:val="44"/>
          <w:szCs w:val="44"/>
          <w:shd w:val="clear" w:fill="FFFFFF"/>
        </w:rPr>
      </w:pPr>
      <w:r>
        <w:rPr>
          <w:rFonts w:hint="eastAsia" w:ascii="方正小标宋简体" w:hAnsi="方正小标宋简体" w:eastAsia="方正小标宋简体" w:cs="方正小标宋简体"/>
          <w:b w:val="0"/>
          <w:bCs/>
          <w:kern w:val="2"/>
          <w:sz w:val="44"/>
          <w:szCs w:val="44"/>
          <w:shd w:val="clear" w:fill="FFFFFF"/>
          <w:lang w:val="en-US" w:eastAsia="zh-CN" w:bidi="ar"/>
        </w:rPr>
        <w:t>汶川县文联</w:t>
      </w:r>
      <w:r>
        <w:rPr>
          <w:rFonts w:hint="default" w:ascii="Times New Roman" w:hAnsi="Times New Roman" w:eastAsia="方正小标宋简体" w:cs="Times New Roman"/>
          <w:b w:val="0"/>
          <w:bCs/>
          <w:kern w:val="2"/>
          <w:sz w:val="44"/>
          <w:szCs w:val="44"/>
          <w:shd w:val="clear" w:fill="FFFFFF"/>
          <w:lang w:val="en-US" w:eastAsia="zh-CN" w:bidi="ar"/>
        </w:rPr>
        <w:t>2025</w:t>
      </w:r>
      <w:r>
        <w:rPr>
          <w:rFonts w:hint="eastAsia" w:ascii="方正小标宋简体" w:hAnsi="方正小标宋简体" w:eastAsia="方正小标宋简体" w:cs="方正小标宋简体"/>
          <w:b w:val="0"/>
          <w:bCs/>
          <w:kern w:val="2"/>
          <w:sz w:val="44"/>
          <w:szCs w:val="44"/>
          <w:shd w:val="clear" w:fill="FFFFFF"/>
          <w:lang w:val="en-US" w:eastAsia="zh-CN" w:bidi="ar"/>
        </w:rPr>
        <w:t>年预算绩效评价报告</w:t>
      </w:r>
    </w:p>
    <w:p w14:paraId="19921CE5">
      <w:pPr>
        <w:keepNext w:val="0"/>
        <w:keepLines w:val="0"/>
        <w:widowControl/>
        <w:suppressLineNumbers w:val="0"/>
        <w:autoSpaceDE w:val="0"/>
        <w:autoSpaceDN/>
        <w:spacing w:before="0" w:beforeAutospacing="0" w:after="0" w:afterAutospacing="0" w:line="578" w:lineRule="exact"/>
        <w:ind w:left="0" w:right="0"/>
        <w:contextualSpacing/>
        <w:jc w:val="center"/>
        <w:outlineLvl w:val="0"/>
        <w:rPr>
          <w:rFonts w:hint="default" w:ascii="Times New Roman" w:hAnsi="Times New Roman" w:eastAsia="仿宋_GB2312" w:cs="Times New Roman"/>
          <w:kern w:val="2"/>
          <w:sz w:val="32"/>
          <w:szCs w:val="32"/>
          <w:shd w:val="clear" w:fill="FFFFFF"/>
        </w:rPr>
      </w:pPr>
      <w:r>
        <w:rPr>
          <w:rFonts w:hint="eastAsia" w:ascii="仿宋_GB2312" w:hAnsi="Times New Roman" w:eastAsia="仿宋_GB2312" w:cs="仿宋_GB2312"/>
          <w:kern w:val="2"/>
          <w:sz w:val="32"/>
          <w:szCs w:val="32"/>
          <w:shd w:val="clear" w:fill="FFFFFF"/>
          <w:lang w:val="en-US" w:eastAsia="zh-CN" w:bidi="ar"/>
        </w:rPr>
        <w:t>（报告范围包括机关和下属单位）</w:t>
      </w:r>
    </w:p>
    <w:p w14:paraId="26439F14">
      <w:pPr>
        <w:keepNext w:val="0"/>
        <w:keepLines w:val="0"/>
        <w:widowControl/>
        <w:suppressLineNumbers w:val="0"/>
        <w:autoSpaceDE w:val="0"/>
        <w:autoSpaceDN/>
        <w:adjustRightInd w:val="0"/>
        <w:snapToGrid w:val="0"/>
        <w:spacing w:before="0" w:beforeAutospacing="0" w:after="0" w:afterAutospacing="0" w:line="578" w:lineRule="exact"/>
        <w:ind w:left="0" w:right="0" w:firstLine="480" w:firstLineChars="200"/>
        <w:contextualSpacing/>
        <w:jc w:val="left"/>
        <w:rPr>
          <w:rFonts w:hint="default" w:ascii="Times New Roman" w:hAnsi="Times New Roman" w:eastAsia="黑体" w:cs="Times New Roman"/>
          <w:color w:val="000000"/>
          <w:kern w:val="0"/>
          <w:sz w:val="24"/>
          <w:szCs w:val="24"/>
          <w:shd w:val="clear" w:fill="FFFFFF"/>
        </w:rPr>
      </w:pPr>
      <w:r>
        <w:rPr>
          <w:rFonts w:hint="default" w:ascii="Times New Roman" w:hAnsi="Times New Roman" w:eastAsia="黑体" w:cs="Times New Roman"/>
          <w:color w:val="000000"/>
          <w:kern w:val="0"/>
          <w:sz w:val="24"/>
          <w:szCs w:val="24"/>
          <w:shd w:val="clear" w:fill="FFFFFF"/>
          <w:lang w:val="en-US" w:eastAsia="zh-CN" w:bidi="ar"/>
        </w:rPr>
        <w:t xml:space="preserve"> </w:t>
      </w:r>
    </w:p>
    <w:p w14:paraId="1B3E6B8B">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kern w:val="2"/>
          <w:sz w:val="32"/>
          <w:szCs w:val="32"/>
        </w:rPr>
      </w:pPr>
      <w:r>
        <w:rPr>
          <w:rFonts w:hint="eastAsia" w:ascii="黑体" w:hAnsi="宋体" w:eastAsia="黑体" w:cs="黑体"/>
          <w:color w:val="000000"/>
          <w:kern w:val="0"/>
          <w:sz w:val="32"/>
          <w:szCs w:val="32"/>
          <w:shd w:val="clear" w:fill="FFFFFF"/>
          <w:lang w:val="en-US" w:eastAsia="zh-CN" w:bidi="ar"/>
        </w:rPr>
        <w:t>一、部门（单位）基本情况</w:t>
      </w:r>
      <w:r>
        <w:rPr>
          <w:rFonts w:hint="eastAsia" w:ascii="Times New Roman" w:hAnsi="Times New Roman" w:eastAsia="黑体" w:cs="Times New Roman"/>
          <w:color w:val="000000"/>
          <w:kern w:val="0"/>
          <w:sz w:val="32"/>
          <w:szCs w:val="32"/>
          <w:shd w:val="clear" w:fill="FFFFFF"/>
          <w:lang w:val="en-US" w:eastAsia="zh-CN" w:bidi="ar"/>
        </w:rPr>
        <w:t xml:space="preserve"> </w:t>
      </w:r>
    </w:p>
    <w:p w14:paraId="59CBE326">
      <w:pPr>
        <w:keepNext w:val="0"/>
        <w:keepLines w:val="0"/>
        <w:widowControl/>
        <w:suppressLineNumbers w:val="0"/>
        <w:spacing w:before="0" w:beforeAutospacing="0" w:after="0" w:afterAutospacing="0" w:line="600" w:lineRule="exact"/>
        <w:ind w:left="0" w:right="0" w:firstLine="643" w:firstLineChars="200"/>
        <w:jc w:val="left"/>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（一）机构组成。</w:t>
      </w:r>
      <w:r>
        <w:rPr>
          <w:rFonts w:hint="eastAsia" w:ascii="仿宋_GB2312" w:hAnsi="Times New Roman" w:eastAsia="仿宋_GB2312" w:cs="仿宋_GB2312"/>
          <w:kern w:val="0"/>
          <w:sz w:val="32"/>
          <w:szCs w:val="32"/>
          <w:shd w:val="clear" w:fill="FFFFFF"/>
          <w:lang w:val="en-US" w:eastAsia="zh-CN" w:bidi="ar"/>
        </w:rPr>
        <w:t>我会属一级预算单位，</w:t>
      </w:r>
      <w:r>
        <w:rPr>
          <w:rFonts w:hint="eastAsia" w:ascii="仿宋_GB2312" w:hAnsi="Times New Roman" w:eastAsia="仿宋_GB2312" w:cs="仿宋_GB2312"/>
          <w:kern w:val="2"/>
          <w:sz w:val="32"/>
          <w:szCs w:val="32"/>
          <w:lang w:val="en-US" w:eastAsia="zh-CN" w:bidi="ar"/>
        </w:rPr>
        <w:t>无</w:t>
      </w:r>
      <w:r>
        <w:rPr>
          <w:rFonts w:hint="eastAsia" w:ascii="仿宋_GB2312" w:hAnsi="Times New Roman" w:eastAsia="仿宋_GB2312" w:cs="仿宋_GB2312"/>
          <w:kern w:val="0"/>
          <w:sz w:val="32"/>
          <w:szCs w:val="32"/>
          <w:lang w:val="en-US" w:eastAsia="zh-CN" w:bidi="ar"/>
        </w:rPr>
        <w:t>下属二级预算单位，其中内设机</w:t>
      </w:r>
      <w:r>
        <w:rPr>
          <w:rFonts w:hint="eastAsia" w:ascii="仿宋_GB2312" w:hAnsi="Times New Roman" w:eastAsia="仿宋_GB2312" w:cs="仿宋_GB2312"/>
          <w:kern w:val="0"/>
          <w:sz w:val="32"/>
          <w:szCs w:val="32"/>
          <w:u w:val="single" w:color="FFFFFF"/>
          <w:lang w:val="en-US" w:eastAsia="zh-CN" w:bidi="ar"/>
        </w:rPr>
        <w:t>构3个，分别是办公室、羌族文学编辑部、秘书股。</w:t>
      </w:r>
    </w:p>
    <w:p w14:paraId="0B0BA51D">
      <w:pPr>
        <w:keepNext w:val="0"/>
        <w:keepLines w:val="0"/>
        <w:widowControl/>
        <w:suppressLineNumbers w:val="0"/>
        <w:spacing w:before="0" w:beforeAutospacing="0" w:after="0" w:afterAutospacing="0" w:line="540" w:lineRule="exact"/>
        <w:ind w:left="0" w:right="0" w:firstLine="643" w:firstLineChars="200"/>
        <w:jc w:val="left"/>
        <w:rPr>
          <w:rFonts w:hint="eastAsia" w:ascii="仿宋_GB2312" w:eastAsia="仿宋_GB2312" w:cs="仿宋_GB2312"/>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（二）机构职能。</w:t>
      </w:r>
      <w:r>
        <w:rPr>
          <w:rFonts w:hint="eastAsia" w:ascii="仿宋_GB2312" w:hAnsi="Times New Roman" w:eastAsia="仿宋_GB2312" w:cs="仿宋_GB2312"/>
          <w:kern w:val="0"/>
          <w:sz w:val="32"/>
          <w:szCs w:val="32"/>
          <w:lang w:val="en-US" w:eastAsia="zh-CN" w:bidi="ar"/>
        </w:rPr>
        <w:t>根据文联的性质和任务，汶川县文联始终以高度责任感，团结组织县内广大文艺爱好者，坚持“二为”方向（为人民服务、为社会之一服务）、“双百”方针（百家齐放、百花争鸣）和“三贴近”原则（贴近实际、贴近生活、贴近群众），认真履行“组织、联络、协调、服务”的桥梁纽带职能，紧紧围绕汶川县委、县政府文化强县和“高原奔驰，加快发展”的发展战略，大力推进汶川文艺建设，为实现汶川县文学艺术发展大繁荣而努力奋斗。</w:t>
      </w:r>
    </w:p>
    <w:p w14:paraId="110CB7C3">
      <w:pPr>
        <w:keepNext w:val="0"/>
        <w:keepLines w:val="0"/>
        <w:widowControl/>
        <w:suppressLineNumbers w:val="0"/>
        <w:adjustRightInd w:val="0"/>
        <w:snapToGrid w:val="0"/>
        <w:spacing w:before="0" w:beforeAutospacing="0" w:after="0" w:afterAutospacing="0" w:line="540" w:lineRule="exact"/>
        <w:ind w:left="0" w:right="0" w:firstLine="720"/>
        <w:jc w:val="left"/>
        <w:rPr>
          <w:rFonts w:hint="eastAsia" w:ascii="仿宋_GB2312" w:eastAsia="仿宋_GB2312" w:cs="仿宋_GB2312"/>
          <w:kern w:val="0"/>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（三）人员概况。</w:t>
      </w:r>
      <w:r>
        <w:rPr>
          <w:rFonts w:hint="eastAsia" w:ascii="仿宋_GB2312" w:hAnsi="Times New Roman" w:eastAsia="仿宋_GB2312" w:cs="仿宋_GB2312"/>
          <w:kern w:val="2"/>
          <w:sz w:val="32"/>
          <w:szCs w:val="32"/>
          <w:lang w:val="en-US" w:eastAsia="zh-CN" w:bidi="ar"/>
        </w:rPr>
        <w:t>截至</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年末，</w:t>
      </w:r>
      <w:r>
        <w:rPr>
          <w:rFonts w:hint="eastAsia" w:ascii="仿宋_GB2312" w:hAnsi="Times New Roman" w:eastAsia="仿宋_GB2312" w:cs="仿宋_GB2312"/>
          <w:kern w:val="0"/>
          <w:sz w:val="32"/>
          <w:szCs w:val="32"/>
          <w:lang w:val="en-US" w:eastAsia="zh-CN" w:bidi="ar"/>
        </w:rPr>
        <w:t>我会编制6名,全为事业编制。在职人员总数6名，其中：在编事业人员6名。</w:t>
      </w:r>
    </w:p>
    <w:p w14:paraId="76EE0EE9">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二、部门资金收支情况</w:t>
      </w:r>
    </w:p>
    <w:p w14:paraId="6D9813E5">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仿宋_GB2312" w:hAnsi="Times New Roman" w:eastAsia="仿宋_GB2312" w:cs="Times New Roman"/>
          <w:color w:val="000000"/>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（一）收入情况。</w:t>
      </w:r>
      <w:r>
        <w:rPr>
          <w:rFonts w:hint="eastAsia" w:ascii="仿宋_GB2312" w:hAnsi="Times New Roman" w:eastAsia="仿宋_GB2312" w:cs="仿宋_GB2312"/>
          <w:kern w:val="2"/>
          <w:sz w:val="32"/>
          <w:szCs w:val="32"/>
          <w:lang w:val="en-US" w:eastAsia="zh-CN" w:bidi="ar"/>
        </w:rPr>
        <w:t>汶川县文联</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年年初预算收入</w:t>
      </w:r>
      <w:r>
        <w:rPr>
          <w:rFonts w:hint="default" w:ascii="Times New Roman" w:hAnsi="Times New Roman" w:eastAsia="仿宋_GB2312" w:cs="Times New Roman"/>
          <w:kern w:val="2"/>
          <w:sz w:val="32"/>
          <w:szCs w:val="32"/>
          <w:lang w:val="en-US" w:eastAsia="zh-CN" w:bidi="ar"/>
        </w:rPr>
        <w:t>165.44</w:t>
      </w:r>
      <w:r>
        <w:rPr>
          <w:rFonts w:hint="eastAsia" w:ascii="仿宋_GB2312" w:hAnsi="Times New Roman" w:eastAsia="仿宋_GB2312" w:cs="仿宋_GB2312"/>
          <w:kern w:val="2"/>
          <w:sz w:val="32"/>
          <w:szCs w:val="32"/>
          <w:lang w:val="en-US" w:eastAsia="zh-CN" w:bidi="ar"/>
        </w:rPr>
        <w:t>万元、决算报表收入</w:t>
      </w:r>
      <w:r>
        <w:rPr>
          <w:rFonts w:hint="default" w:ascii="Times New Roman" w:hAnsi="Times New Roman" w:eastAsia="仿宋_GB2312" w:cs="Times New Roman"/>
          <w:kern w:val="2"/>
          <w:sz w:val="32"/>
          <w:szCs w:val="32"/>
          <w:lang w:val="en-US" w:eastAsia="zh-CN" w:bidi="ar"/>
        </w:rPr>
        <w:t>186.11</w:t>
      </w:r>
      <w:r>
        <w:rPr>
          <w:rFonts w:hint="eastAsia" w:ascii="仿宋_GB2312" w:hAnsi="Times New Roman" w:eastAsia="仿宋_GB2312" w:cs="仿宋_GB2312"/>
          <w:kern w:val="2"/>
          <w:sz w:val="32"/>
          <w:szCs w:val="32"/>
          <w:lang w:val="en-US" w:eastAsia="zh-CN" w:bidi="ar"/>
        </w:rPr>
        <w:t>万元。</w:t>
      </w:r>
      <w:r>
        <w:rPr>
          <w:rFonts w:hint="eastAsia" w:ascii="仿宋_GB2312" w:hAnsi="仿宋" w:eastAsia="仿宋_GB2312" w:cs="仿宋_GB2312"/>
          <w:kern w:val="2"/>
          <w:sz w:val="32"/>
          <w:szCs w:val="32"/>
          <w:lang w:val="en-US" w:eastAsia="zh-CN" w:bidi="ar"/>
        </w:rPr>
        <w:t>其中：</w:t>
      </w:r>
      <w:r>
        <w:rPr>
          <w:rFonts w:hint="eastAsia" w:ascii="仿宋_GB2312" w:hAnsi="Times New Roman" w:eastAsia="仿宋_GB2312" w:cs="仿宋_GB2312"/>
          <w:color w:val="000000"/>
          <w:kern w:val="2"/>
          <w:sz w:val="32"/>
          <w:szCs w:val="32"/>
          <w:lang w:val="en-US" w:eastAsia="zh-CN" w:bidi="ar"/>
        </w:rPr>
        <w:t>一般公共预算财政拨款收入185.41万元，占收入的99.62%。年初结转结余0.7万元，占收入0.38%。</w:t>
      </w:r>
    </w:p>
    <w:p w14:paraId="00D42095">
      <w:pPr>
        <w:keepNext w:val="0"/>
        <w:keepLines w:val="0"/>
        <w:widowControl w:val="0"/>
        <w:suppressLineNumbers w:val="0"/>
        <w:snapToGrid w:val="0"/>
        <w:spacing w:before="0" w:beforeAutospacing="0" w:after="0" w:afterAutospacing="0" w:line="520" w:lineRule="exact"/>
        <w:ind w:left="0" w:right="0" w:firstLine="643" w:firstLineChars="200"/>
        <w:jc w:val="both"/>
        <w:rPr>
          <w:rFonts w:hint="eastAsia" w:ascii="仿宋_GB2312" w:hAnsi="仿宋" w:eastAsia="仿宋_GB2312" w:cs="Times New Roman"/>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（二）支出情况。</w:t>
      </w:r>
      <w:r>
        <w:rPr>
          <w:rFonts w:hint="eastAsia" w:ascii="仿宋_GB2312" w:hAnsi="Times New Roman" w:eastAsia="仿宋_GB2312" w:cs="仿宋_GB2312"/>
          <w:kern w:val="2"/>
          <w:sz w:val="32"/>
          <w:szCs w:val="32"/>
          <w:lang w:val="en-US" w:eastAsia="zh-CN" w:bidi="ar"/>
        </w:rPr>
        <w:t>汶川县文联</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年年初预算支出</w:t>
      </w:r>
      <w:r>
        <w:rPr>
          <w:rFonts w:hint="default" w:ascii="Times New Roman" w:hAnsi="Times New Roman" w:eastAsia="仿宋_GB2312" w:cs="Times New Roman"/>
          <w:kern w:val="2"/>
          <w:sz w:val="32"/>
          <w:szCs w:val="32"/>
          <w:lang w:val="en-US" w:eastAsia="zh-CN" w:bidi="ar"/>
        </w:rPr>
        <w:t>165.44</w:t>
      </w:r>
      <w:r>
        <w:rPr>
          <w:rFonts w:hint="eastAsia" w:ascii="仿宋_GB2312" w:hAnsi="Times New Roman" w:eastAsia="仿宋_GB2312" w:cs="仿宋_GB2312"/>
          <w:kern w:val="2"/>
          <w:sz w:val="32"/>
          <w:szCs w:val="32"/>
          <w:lang w:val="en-US" w:eastAsia="zh-CN" w:bidi="ar"/>
        </w:rPr>
        <w:t>万元、决算报表支出</w:t>
      </w:r>
      <w:r>
        <w:rPr>
          <w:rFonts w:hint="default" w:ascii="Times New Roman" w:hAnsi="Times New Roman" w:eastAsia="仿宋_GB2312" w:cs="Times New Roman"/>
          <w:kern w:val="2"/>
          <w:sz w:val="32"/>
          <w:szCs w:val="32"/>
          <w:lang w:val="en-US" w:eastAsia="zh-CN" w:bidi="ar"/>
        </w:rPr>
        <w:t>186.11</w:t>
      </w:r>
      <w:r>
        <w:rPr>
          <w:rFonts w:hint="eastAsia" w:ascii="仿宋_GB2312" w:hAnsi="Times New Roman" w:eastAsia="仿宋_GB2312" w:cs="仿宋_GB2312"/>
          <w:kern w:val="2"/>
          <w:sz w:val="32"/>
          <w:szCs w:val="32"/>
          <w:lang w:val="en-US" w:eastAsia="zh-CN" w:bidi="ar"/>
        </w:rPr>
        <w:t>万元。其中：</w:t>
      </w:r>
      <w:r>
        <w:rPr>
          <w:rFonts w:hint="eastAsia" w:ascii="仿宋_GB2312" w:hAnsi="仿宋" w:eastAsia="仿宋_GB2312" w:cs="仿宋_GB2312"/>
          <w:kern w:val="2"/>
          <w:sz w:val="32"/>
          <w:szCs w:val="32"/>
          <w:lang w:val="en-US" w:eastAsia="zh-CN" w:bidi="ar"/>
        </w:rPr>
        <w:t>文化旅游体育与传媒支出为146.47万元，占比78.7%；社会保障和就业支出为20.67万元，占比11.11%；卫生健康支出为7.75万元，占比4.16%；住房保障支出为11.22万元，占比6.03%；</w:t>
      </w:r>
    </w:p>
    <w:p w14:paraId="045958B4">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b w:val="0"/>
          <w:bCs w:val="0"/>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val="0"/>
          <w:kern w:val="2"/>
          <w:sz w:val="32"/>
          <w:szCs w:val="32"/>
          <w:lang w:val="en-US" w:eastAsia="zh-CN" w:bidi="ar"/>
        </w:rPr>
        <w:t>结余分配和结转结余情况。</w:t>
      </w:r>
      <w:r>
        <w:rPr>
          <w:rFonts w:hint="eastAsia" w:ascii="仿宋_GB2312" w:hAnsi="Times New Roman" w:eastAsia="仿宋_GB2312" w:cs="仿宋_GB2312"/>
          <w:kern w:val="2"/>
          <w:sz w:val="32"/>
          <w:szCs w:val="32"/>
          <w:lang w:val="en-US" w:eastAsia="zh-CN" w:bidi="ar"/>
        </w:rPr>
        <w:t>汶川县文联</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年无</w:t>
      </w:r>
      <w:r>
        <w:rPr>
          <w:rFonts w:hint="eastAsia" w:ascii="仿宋_GB2312" w:hAnsi="Times New Roman" w:eastAsia="仿宋_GB2312" w:cs="仿宋_GB2312"/>
          <w:b w:val="0"/>
          <w:bCs w:val="0"/>
          <w:color w:val="000000"/>
          <w:kern w:val="0"/>
          <w:sz w:val="32"/>
          <w:szCs w:val="32"/>
          <w:shd w:val="clear" w:fill="FFFFFF"/>
          <w:lang w:val="en-US" w:eastAsia="zh-CN" w:bidi="ar"/>
        </w:rPr>
        <w:t>结转结余情况。</w:t>
      </w:r>
    </w:p>
    <w:p w14:paraId="0069CEB1">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三、部门预算绩效分析</w:t>
      </w:r>
    </w:p>
    <w:p w14:paraId="035E940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（一）部门预算总体绩效分析。</w:t>
      </w:r>
      <w:r>
        <w:rPr>
          <w:rFonts w:hint="eastAsia" w:ascii="仿宋_GB2312" w:hAnsi="Times New Roman" w:eastAsia="仿宋_GB2312" w:cs="仿宋_GB2312"/>
          <w:color w:val="000000"/>
          <w:kern w:val="0"/>
          <w:sz w:val="32"/>
          <w:szCs w:val="32"/>
          <w:shd w:val="clear" w:fill="FFFFFF"/>
          <w:lang w:val="en-US" w:eastAsia="zh-CN" w:bidi="ar"/>
        </w:rPr>
        <w:t>根据部门预算绩效评价指标体系</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总体绩效</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涉及二、三级指标进行逐项绩效分析并评分，依次包括履职效能、预算管理、财务管理、资产管理、采购管理等情况。</w:t>
      </w:r>
    </w:p>
    <w:p w14:paraId="4BCAAA1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1.履职效能（15分，实得12分）</w:t>
      </w:r>
    </w:p>
    <w:p w14:paraId="75C164B9">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仿宋_GB2312" w:hAnsi="楷体" w:eastAsia="仿宋_GB2312" w:cs="Times New Roman"/>
          <w:b w:val="0"/>
          <w:bCs/>
          <w:kern w:val="2"/>
          <w:sz w:val="32"/>
          <w:szCs w:val="32"/>
        </w:rPr>
      </w:pPr>
      <w:r>
        <w:rPr>
          <w:rFonts w:hint="eastAsia" w:ascii="仿宋_GB2312" w:hAnsi="楷体" w:eastAsia="仿宋_GB2312" w:cs="仿宋_GB2312"/>
          <w:b w:val="0"/>
          <w:bCs/>
          <w:kern w:val="2"/>
          <w:sz w:val="32"/>
          <w:szCs w:val="32"/>
          <w:lang w:val="en-US" w:eastAsia="zh-CN" w:bidi="ar"/>
        </w:rPr>
        <w:t>核心职能完成良好：《羌族文学》出版验收合格，人员经费足额保障，地方文化保护、文艺协会发展有序推进，会员满意度较高，项目成本控制良好，核心履职目标完成率80%。</w:t>
      </w:r>
    </w:p>
    <w:p w14:paraId="673A361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2.预算管理。（25分，实得21.12分）</w:t>
      </w:r>
    </w:p>
    <w:p w14:paraId="1984EBB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_GB2312" w:hAnsi="楷体" w:eastAsia="仿宋_GB2312" w:cs="Times New Roman"/>
          <w:b w:val="0"/>
          <w:bCs/>
          <w:kern w:val="2"/>
          <w:sz w:val="32"/>
          <w:szCs w:val="32"/>
        </w:rPr>
      </w:pPr>
      <w:r>
        <w:rPr>
          <w:rFonts w:hint="eastAsia" w:ascii="仿宋_GB2312" w:hAnsi="楷体" w:eastAsia="仿宋_GB2312" w:cs="仿宋_GB2312"/>
          <w:b w:val="0"/>
          <w:bCs/>
          <w:kern w:val="2"/>
          <w:sz w:val="32"/>
          <w:szCs w:val="32"/>
          <w:lang w:val="en-US" w:eastAsia="zh-CN" w:bidi="ar"/>
        </w:rPr>
        <w:t>预算编制质量（8分，实得7.52分）：财政拨款预算偏离度12.07%，资产配置与政府采购无偏离，编制科学精准。</w:t>
      </w:r>
    </w:p>
    <w:p w14:paraId="622691A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_GB2312" w:hAnsi="楷体" w:eastAsia="仿宋_GB2312" w:cs="Times New Roman"/>
          <w:b w:val="0"/>
          <w:bCs/>
          <w:kern w:val="2"/>
          <w:sz w:val="32"/>
          <w:szCs w:val="32"/>
        </w:rPr>
      </w:pPr>
      <w:r>
        <w:rPr>
          <w:rFonts w:hint="eastAsia" w:ascii="仿宋_GB2312" w:hAnsi="楷体" w:eastAsia="仿宋_GB2312" w:cs="仿宋_GB2312"/>
          <w:b w:val="0"/>
          <w:bCs/>
          <w:kern w:val="2"/>
          <w:sz w:val="32"/>
          <w:szCs w:val="32"/>
          <w:lang w:val="en-US" w:eastAsia="zh-CN" w:bidi="ar"/>
        </w:rPr>
        <w:t>单位收入统筹（4分，实得4分）：无自有资金收支，统筹管理规范。</w:t>
      </w:r>
    </w:p>
    <w:p w14:paraId="4850AED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_GB2312" w:hAnsi="楷体" w:eastAsia="仿宋_GB2312" w:cs="Times New Roman"/>
          <w:b w:val="0"/>
          <w:bCs/>
          <w:kern w:val="2"/>
          <w:sz w:val="32"/>
          <w:szCs w:val="32"/>
        </w:rPr>
      </w:pPr>
      <w:r>
        <w:rPr>
          <w:rFonts w:hint="eastAsia" w:ascii="仿宋_GB2312" w:hAnsi="楷体" w:eastAsia="仿宋_GB2312" w:cs="仿宋_GB2312"/>
          <w:b w:val="0"/>
          <w:bCs/>
          <w:kern w:val="2"/>
          <w:sz w:val="32"/>
          <w:szCs w:val="32"/>
          <w:lang w:val="en-US" w:eastAsia="zh-CN" w:bidi="ar"/>
        </w:rPr>
        <w:t>支出执行进度（6分，实得3.6分）：上半年、前三季度执行进度平稳，但预警金额占比偏高，进度均衡性有待提升。</w:t>
      </w:r>
    </w:p>
    <w:p w14:paraId="6FBB4F4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仿宋_GB2312" w:hAnsi="楷体" w:eastAsia="仿宋_GB2312" w:cs="Times New Roman"/>
          <w:b w:val="0"/>
          <w:bCs/>
          <w:kern w:val="2"/>
          <w:sz w:val="32"/>
          <w:szCs w:val="32"/>
        </w:rPr>
      </w:pPr>
      <w:r>
        <w:rPr>
          <w:rFonts w:hint="eastAsia" w:ascii="仿宋_GB2312" w:hAnsi="楷体" w:eastAsia="仿宋_GB2312" w:cs="仿宋_GB2312"/>
          <w:b w:val="0"/>
          <w:bCs/>
          <w:kern w:val="2"/>
          <w:sz w:val="32"/>
          <w:szCs w:val="32"/>
          <w:lang w:val="en-US" w:eastAsia="zh-CN" w:bidi="ar"/>
        </w:rPr>
        <w:t>预算年终结余（2分，实得2分）：无结余，执行率100%。</w:t>
      </w:r>
    </w:p>
    <w:p w14:paraId="013CFFA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eastAsia" w:ascii="仿宋_GB2312" w:hAnsi="楷体" w:eastAsia="仿宋_GB2312" w:cs="仿宋_GB2312"/>
          <w:b w:val="0"/>
          <w:bCs/>
          <w:kern w:val="2"/>
          <w:sz w:val="32"/>
          <w:szCs w:val="32"/>
          <w:lang w:val="en-US" w:eastAsia="zh-CN" w:bidi="ar"/>
        </w:rPr>
        <w:t>严控一般性支出（5分，实得4分）：严格压减“三公”等八项支出，管控有效。</w:t>
      </w:r>
    </w:p>
    <w:p w14:paraId="7E3A36C9">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outlineLvl w:val="2"/>
        <w:rPr>
          <w:rFonts w:hint="eastAsia"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3.财务管理。（10分，实得9分）</w:t>
      </w:r>
    </w:p>
    <w:p w14:paraId="0609212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财务管理制度健全并有效执行，得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分；资金使用规范，无违规支出，得</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分；财务岗位设置基本合规，不相容岗位分离落实有小幅瑕疵，得</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分。</w:t>
      </w:r>
    </w:p>
    <w:p w14:paraId="3049FA6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4.</w:t>
      </w:r>
      <w:r>
        <w:rPr>
          <w:rFonts w:hint="eastAsia" w:ascii="楷体_GB2312" w:hAnsi="Times New Roman" w:eastAsia="楷体_GB2312" w:cs="楷体_GB2312"/>
          <w:color w:val="000000"/>
          <w:kern w:val="0"/>
          <w:sz w:val="32"/>
          <w:szCs w:val="32"/>
          <w:shd w:val="clear" w:fill="FFFFFF"/>
          <w:lang w:val="en-US" w:eastAsia="zh-CN" w:bidi="ar"/>
        </w:rPr>
        <w:t>资产管理。（9分，实得6.3分）</w:t>
      </w:r>
    </w:p>
    <w:p w14:paraId="3365B51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资产利用率（</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分，实得</w:t>
      </w:r>
      <w:r>
        <w:rPr>
          <w:rFonts w:hint="default" w:ascii="Times New Roman" w:hAnsi="Times New Roman" w:eastAsia="仿宋_GB2312" w:cs="Times New Roman"/>
          <w:color w:val="000000"/>
          <w:kern w:val="0"/>
          <w:sz w:val="32"/>
          <w:szCs w:val="32"/>
          <w:shd w:val="clear" w:fill="FFFFFF"/>
          <w:lang w:val="en-US" w:eastAsia="zh-CN" w:bidi="ar"/>
        </w:rPr>
        <w:t>1.8</w:t>
      </w:r>
      <w:r>
        <w:rPr>
          <w:rFonts w:hint="eastAsia" w:ascii="仿宋_GB2312" w:hAnsi="Times New Roman" w:eastAsia="仿宋_GB2312" w:cs="仿宋_GB2312"/>
          <w:color w:val="000000"/>
          <w:kern w:val="0"/>
          <w:sz w:val="32"/>
          <w:szCs w:val="32"/>
          <w:shd w:val="clear" w:fill="FFFFFF"/>
          <w:lang w:val="en-US" w:eastAsia="zh-CN" w:bidi="ar"/>
        </w:rPr>
        <w:t>分）：办公设备超年限利用率</w:t>
      </w:r>
      <w:r>
        <w:rPr>
          <w:rFonts w:hint="default" w:ascii="Times New Roman" w:hAnsi="Times New Roman" w:eastAsia="仿宋_GB2312" w:cs="Times New Roman"/>
          <w:color w:val="000000"/>
          <w:kern w:val="0"/>
          <w:sz w:val="32"/>
          <w:szCs w:val="32"/>
          <w:shd w:val="clear" w:fill="FFFFFF"/>
          <w:lang w:val="en-US" w:eastAsia="zh-CN" w:bidi="ar"/>
        </w:rPr>
        <w:t>80.62%</w:t>
      </w:r>
      <w:r>
        <w:rPr>
          <w:rFonts w:hint="eastAsia" w:ascii="仿宋_GB2312" w:hAnsi="Times New Roman" w:eastAsia="仿宋_GB2312" w:cs="仿宋_GB2312"/>
          <w:color w:val="000000"/>
          <w:kern w:val="0"/>
          <w:sz w:val="32"/>
          <w:szCs w:val="32"/>
          <w:shd w:val="clear" w:fill="FFFFFF"/>
          <w:lang w:val="en-US" w:eastAsia="zh-CN" w:bidi="ar"/>
        </w:rPr>
        <w:t>，高于县均水平；家具超年限利用率为</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，结构不均衡。资产盘活率（</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分，实得</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分）：无闲置资产，盘活管理到位。</w:t>
      </w:r>
      <w:r>
        <w:rPr>
          <w:rFonts w:hint="eastAsia" w:ascii="Times New Roman" w:hAnsi="Times New Roman" w:eastAsia="仿宋_GB2312" w:cs="Times New Roman"/>
          <w:color w:val="000000"/>
          <w:kern w:val="0"/>
          <w:sz w:val="32"/>
          <w:szCs w:val="32"/>
          <w:shd w:val="clear" w:fill="FFFFFF"/>
          <w:lang w:val="en-US" w:eastAsia="zh-CN" w:bidi="ar"/>
        </w:rPr>
        <w:t xml:space="preserve">  </w:t>
      </w:r>
    </w:p>
    <w:p w14:paraId="1A32C16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5.</w:t>
      </w:r>
      <w:r>
        <w:rPr>
          <w:rFonts w:hint="eastAsia" w:ascii="楷体_GB2312" w:hAnsi="Times New Roman" w:eastAsia="楷体_GB2312" w:cs="楷体_GB2312"/>
          <w:color w:val="000000"/>
          <w:kern w:val="0"/>
          <w:sz w:val="32"/>
          <w:szCs w:val="32"/>
          <w:shd w:val="clear" w:fill="FFFFFF"/>
          <w:lang w:val="en-US" w:eastAsia="zh-CN" w:bidi="ar"/>
        </w:rPr>
        <w:t>采购管理。（6分，实得6分）</w:t>
      </w:r>
    </w:p>
    <w:p w14:paraId="7AF6D2DB">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全年无政府采购事项，合规执行中小企业扶持政策，采购执行与管理规范。</w:t>
      </w:r>
    </w:p>
    <w:p w14:paraId="5D05C735">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（二）部门预算项目绩效分析。</w:t>
      </w:r>
      <w:r>
        <w:rPr>
          <w:rFonts w:hint="eastAsia" w:ascii="仿宋_GB2312" w:hAnsi="Times New Roman" w:eastAsia="仿宋_GB2312" w:cs="仿宋_GB2312"/>
          <w:color w:val="000000"/>
          <w:kern w:val="0"/>
          <w:sz w:val="32"/>
          <w:szCs w:val="32"/>
          <w:shd w:val="clear" w:fill="FFFFFF"/>
          <w:lang w:val="en-US" w:eastAsia="zh-CN" w:bidi="ar"/>
        </w:rPr>
        <w:t>填报以下数据，并根据部门预算绩效评价指标体系</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项目绩效</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涉及二、三级指标进行逐项绩效分析并评分，依次包括项目决策、项目执行、目标实现等情况。</w:t>
      </w:r>
    </w:p>
    <w:p w14:paraId="32B4CE1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常年项目绩效分析。该类项目总数</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个，涉及预算总金额</w:t>
      </w:r>
      <w:r>
        <w:rPr>
          <w:rFonts w:hint="default" w:ascii="Times New Roman" w:hAnsi="Times New Roman" w:eastAsia="仿宋_GB2312" w:cs="Times New Roman"/>
          <w:color w:val="000000"/>
          <w:kern w:val="0"/>
          <w:sz w:val="32"/>
          <w:szCs w:val="32"/>
          <w:shd w:val="clear" w:fill="FFFFFF"/>
          <w:lang w:val="en-US" w:eastAsia="zh-CN" w:bidi="ar"/>
        </w:rPr>
        <w:t>16.11</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12</w:t>
      </w:r>
      <w:r>
        <w:rPr>
          <w:rFonts w:hint="eastAsia" w:ascii="仿宋_GB2312" w:hAnsi="Times New Roman" w:eastAsia="仿宋_GB2312" w:cs="仿宋_GB2312"/>
          <w:color w:val="000000"/>
          <w:kern w:val="0"/>
          <w:sz w:val="32"/>
          <w:szCs w:val="32"/>
          <w:shd w:val="clear" w:fill="FFFFFF"/>
          <w:lang w:val="en-US" w:eastAsia="zh-CN" w:bidi="ar"/>
        </w:rPr>
        <w:t>月预算执行总体进度为</w:t>
      </w:r>
      <w:r>
        <w:rPr>
          <w:rFonts w:hint="default" w:ascii="Times New Roman" w:hAnsi="Times New Roman" w:eastAsia="仿宋_GB2312" w:cs="Times New Roman"/>
          <w:color w:val="000000"/>
          <w:kern w:val="0"/>
          <w:sz w:val="32"/>
          <w:szCs w:val="32"/>
          <w:shd w:val="clear" w:fill="FFFFFF"/>
          <w:lang w:val="en-US" w:eastAsia="zh-CN" w:bidi="ar"/>
        </w:rPr>
        <w:t>100%</w:t>
      </w:r>
      <w:r>
        <w:rPr>
          <w:rFonts w:hint="eastAsia" w:ascii="仿宋_GB2312" w:hAnsi="Times New Roman" w:eastAsia="仿宋_GB2312" w:cs="仿宋_GB2312"/>
          <w:color w:val="000000"/>
          <w:kern w:val="0"/>
          <w:sz w:val="32"/>
          <w:szCs w:val="32"/>
          <w:shd w:val="clear" w:fill="FFFFFF"/>
          <w:lang w:val="en-US" w:eastAsia="zh-CN" w:bidi="ar"/>
        </w:rPr>
        <w:t>，其中：预算结余率大于</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的项目共计</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个。</w:t>
      </w:r>
    </w:p>
    <w:p w14:paraId="70EC931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阶段（一次性）项目绩效分析。该类项目总数</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个，涉及预算总金额</w:t>
      </w:r>
      <w:r>
        <w:rPr>
          <w:rFonts w:hint="default" w:ascii="Times New Roman" w:hAnsi="Times New Roman" w:eastAsia="仿宋_GB2312" w:cs="Times New Roman"/>
          <w:color w:val="000000"/>
          <w:kern w:val="0"/>
          <w:sz w:val="32"/>
          <w:szCs w:val="32"/>
          <w:shd w:val="clear" w:fill="FFFFFF"/>
          <w:lang w:val="en-US" w:eastAsia="zh-CN" w:bidi="ar"/>
        </w:rPr>
        <w:t>13.1</w:t>
      </w:r>
      <w:r>
        <w:rPr>
          <w:rFonts w:hint="eastAsia" w:ascii="仿宋_GB2312" w:hAnsi="Times New Roman" w:eastAsia="仿宋_GB2312" w:cs="仿宋_GB2312"/>
          <w:color w:val="000000"/>
          <w:kern w:val="0"/>
          <w:sz w:val="32"/>
          <w:szCs w:val="32"/>
          <w:shd w:val="clear" w:fill="FFFFFF"/>
          <w:lang w:val="en-US" w:eastAsia="zh-CN" w:bidi="ar"/>
        </w:rPr>
        <w:t>万元，</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12</w:t>
      </w:r>
      <w:r>
        <w:rPr>
          <w:rFonts w:hint="eastAsia" w:ascii="仿宋_GB2312" w:hAnsi="Times New Roman" w:eastAsia="仿宋_GB2312" w:cs="仿宋_GB2312"/>
          <w:color w:val="000000"/>
          <w:kern w:val="0"/>
          <w:sz w:val="32"/>
          <w:szCs w:val="32"/>
          <w:shd w:val="clear" w:fill="FFFFFF"/>
          <w:lang w:val="en-US" w:eastAsia="zh-CN" w:bidi="ar"/>
        </w:rPr>
        <w:t>月预算执行总体进度为</w:t>
      </w:r>
      <w:r>
        <w:rPr>
          <w:rFonts w:hint="default" w:ascii="Times New Roman" w:hAnsi="Times New Roman" w:eastAsia="仿宋_GB2312" w:cs="Times New Roman"/>
          <w:color w:val="000000"/>
          <w:kern w:val="0"/>
          <w:sz w:val="32"/>
          <w:szCs w:val="32"/>
          <w:shd w:val="clear" w:fill="FFFFFF"/>
          <w:lang w:val="en-US" w:eastAsia="zh-CN" w:bidi="ar"/>
        </w:rPr>
        <w:t>100%</w:t>
      </w:r>
      <w:r>
        <w:rPr>
          <w:rFonts w:hint="eastAsia" w:ascii="仿宋_GB2312" w:hAnsi="Times New Roman" w:eastAsia="仿宋_GB2312" w:cs="仿宋_GB2312"/>
          <w:color w:val="000000"/>
          <w:kern w:val="0"/>
          <w:sz w:val="32"/>
          <w:szCs w:val="32"/>
          <w:shd w:val="clear" w:fill="FFFFFF"/>
          <w:lang w:val="en-US" w:eastAsia="zh-CN" w:bidi="ar"/>
        </w:rPr>
        <w:t>，其中：预算结余率大于</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的项目共计</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个。</w:t>
      </w:r>
    </w:p>
    <w:p w14:paraId="40D4E73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1.项目决策。</w:t>
      </w:r>
      <w:r>
        <w:rPr>
          <w:rFonts w:hint="eastAsia" w:ascii="仿宋_GB2312" w:hAnsi="Times New Roman" w:eastAsia="仿宋_GB2312" w:cs="仿宋_GB2312"/>
          <w:color w:val="000000"/>
          <w:kern w:val="0"/>
          <w:sz w:val="32"/>
          <w:szCs w:val="32"/>
          <w:shd w:val="clear" w:fill="FFFFFF"/>
          <w:lang w:val="en-US" w:eastAsia="zh-CN" w:bidi="ar"/>
        </w:rPr>
        <w:t>（</w:t>
      </w:r>
      <w:r>
        <w:rPr>
          <w:rFonts w:hint="default" w:ascii="Times New Roman" w:hAnsi="Times New Roman" w:eastAsia="仿宋_GB2312" w:cs="Times New Roman"/>
          <w:color w:val="000000"/>
          <w:kern w:val="0"/>
          <w:sz w:val="32"/>
          <w:szCs w:val="32"/>
          <w:shd w:val="clear" w:fill="FFFFFF"/>
          <w:lang w:val="en-US" w:eastAsia="zh-CN" w:bidi="ar"/>
        </w:rPr>
        <w:t>12</w:t>
      </w:r>
      <w:r>
        <w:rPr>
          <w:rFonts w:hint="eastAsia" w:ascii="仿宋_GB2312" w:hAnsi="Times New Roman" w:eastAsia="仿宋_GB2312" w:cs="仿宋_GB2312"/>
          <w:color w:val="000000"/>
          <w:kern w:val="0"/>
          <w:sz w:val="32"/>
          <w:szCs w:val="32"/>
          <w:shd w:val="clear" w:fill="FFFFFF"/>
          <w:lang w:val="en-US" w:eastAsia="zh-CN" w:bidi="ar"/>
        </w:rPr>
        <w:t>分，实得</w:t>
      </w:r>
      <w:r>
        <w:rPr>
          <w:rFonts w:hint="default" w:ascii="Times New Roman" w:hAnsi="Times New Roman" w:eastAsia="仿宋_GB2312" w:cs="Times New Roman"/>
          <w:color w:val="000000"/>
          <w:kern w:val="0"/>
          <w:sz w:val="32"/>
          <w:szCs w:val="32"/>
          <w:shd w:val="clear" w:fill="FFFFFF"/>
          <w:lang w:val="en-US" w:eastAsia="zh-CN" w:bidi="ar"/>
        </w:rPr>
        <w:t>8</w:t>
      </w:r>
      <w:r>
        <w:rPr>
          <w:rFonts w:hint="eastAsia" w:ascii="仿宋_GB2312" w:hAnsi="Times New Roman" w:eastAsia="仿宋_GB2312" w:cs="仿宋_GB2312"/>
          <w:color w:val="000000"/>
          <w:kern w:val="0"/>
          <w:sz w:val="32"/>
          <w:szCs w:val="32"/>
          <w:shd w:val="clear" w:fill="FFFFFF"/>
          <w:lang w:val="en-US" w:eastAsia="zh-CN" w:bidi="ar"/>
        </w:rPr>
        <w:t>分）</w:t>
      </w:r>
    </w:p>
    <w:p w14:paraId="3A03EB4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决策程序规范、项目入库按时完成；绩效目标设置匹配度不足，扣</w:t>
      </w:r>
      <w:r>
        <w:rPr>
          <w:rFonts w:hint="default" w:ascii="Times New Roman" w:hAnsi="Times New Roman" w:eastAsia="仿宋_GB2312" w:cs="Times New Roman"/>
          <w:color w:val="000000"/>
          <w:kern w:val="0"/>
          <w:sz w:val="32"/>
          <w:szCs w:val="32"/>
          <w:shd w:val="clear" w:fill="FFFFFF"/>
          <w:lang w:val="en-US" w:eastAsia="zh-CN" w:bidi="ar"/>
        </w:rPr>
        <w:t>2.4</w:t>
      </w:r>
      <w:r>
        <w:rPr>
          <w:rFonts w:hint="eastAsia" w:ascii="仿宋_GB2312" w:hAnsi="Times New Roman" w:eastAsia="仿宋_GB2312" w:cs="仿宋_GB2312"/>
          <w:color w:val="000000"/>
          <w:kern w:val="0"/>
          <w:sz w:val="32"/>
          <w:szCs w:val="32"/>
          <w:shd w:val="clear" w:fill="FFFFFF"/>
          <w:lang w:val="en-US" w:eastAsia="zh-CN" w:bidi="ar"/>
        </w:rPr>
        <w:t>分。</w:t>
      </w:r>
    </w:p>
    <w:p w14:paraId="1F33932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2.项目执行。（12分，实得11.2分）</w:t>
      </w:r>
    </w:p>
    <w:p w14:paraId="3A95C3B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执行方向与目标一致、项目调整及时、执行结果优秀，个别项目列支匹配度小幅不足。</w:t>
      </w:r>
    </w:p>
    <w:p w14:paraId="16B079D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3.目标实现。（11分，实得9.4分）</w:t>
      </w:r>
    </w:p>
    <w:p w14:paraId="6172779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2"/>
        <w:rPr>
          <w:rFonts w:hint="eastAsia" w:ascii="楷体_GB2312" w:eastAsia="仿宋_GB2312" w:cs="楷体_GB2312"/>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数量指标、效益指标全部完成；部分指标偏离度超</w:t>
      </w:r>
      <w:r>
        <w:rPr>
          <w:rFonts w:hint="default" w:ascii="Times New Roman" w:hAnsi="Times New Roman" w:eastAsia="仿宋_GB2312" w:cs="Times New Roman"/>
          <w:color w:val="000000"/>
          <w:kern w:val="0"/>
          <w:sz w:val="32"/>
          <w:szCs w:val="32"/>
          <w:shd w:val="clear" w:fill="FFFFFF"/>
          <w:lang w:val="en-US" w:eastAsia="zh-CN" w:bidi="ar"/>
        </w:rPr>
        <w:t>30%</w:t>
      </w:r>
      <w:r>
        <w:rPr>
          <w:rFonts w:hint="eastAsia" w:ascii="仿宋_GB2312" w:hAnsi="Times New Roman" w:eastAsia="仿宋_GB2312" w:cs="仿宋_GB2312"/>
          <w:color w:val="000000"/>
          <w:kern w:val="0"/>
          <w:sz w:val="32"/>
          <w:szCs w:val="32"/>
          <w:shd w:val="clear" w:fill="FFFFFF"/>
          <w:lang w:val="en-US" w:eastAsia="zh-CN" w:bidi="ar"/>
        </w:rPr>
        <w:t>，扣</w:t>
      </w:r>
      <w:r>
        <w:rPr>
          <w:rFonts w:hint="default" w:ascii="Times New Roman" w:hAnsi="Times New Roman" w:eastAsia="仿宋_GB2312" w:cs="Times New Roman"/>
          <w:color w:val="000000"/>
          <w:kern w:val="0"/>
          <w:sz w:val="32"/>
          <w:szCs w:val="32"/>
          <w:shd w:val="clear" w:fill="FFFFFF"/>
          <w:lang w:val="en-US" w:eastAsia="zh-CN" w:bidi="ar"/>
        </w:rPr>
        <w:t>1.6</w:t>
      </w:r>
      <w:r>
        <w:rPr>
          <w:rFonts w:hint="eastAsia" w:ascii="仿宋_GB2312" w:hAnsi="Times New Roman" w:eastAsia="仿宋_GB2312" w:cs="仿宋_GB2312"/>
          <w:color w:val="000000"/>
          <w:kern w:val="0"/>
          <w:sz w:val="32"/>
          <w:szCs w:val="32"/>
          <w:shd w:val="clear" w:fill="FFFFFF"/>
          <w:lang w:val="en-US" w:eastAsia="zh-CN" w:bidi="ar"/>
        </w:rPr>
        <w:t>分。</w:t>
      </w:r>
    </w:p>
    <w:p w14:paraId="61D1CD98">
      <w:pPr>
        <w:keepNext w:val="0"/>
        <w:keepLines w:val="0"/>
        <w:widowControl/>
        <w:numPr>
          <w:ilvl w:val="0"/>
          <w:numId w:val="5"/>
        </w:numPr>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重点领域绩效分析。</w:t>
      </w:r>
    </w:p>
    <w:p w14:paraId="0778E4C1">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color w:val="000000"/>
          <w:kern w:val="0"/>
          <w:sz w:val="32"/>
          <w:szCs w:val="32"/>
          <w:shd w:val="clear" w:fill="FFFFFF"/>
        </w:rPr>
      </w:pP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年度</w:t>
      </w:r>
      <w:r>
        <w:rPr>
          <w:rFonts w:hint="eastAsia" w:ascii="仿宋_GB2312" w:hAnsi="Times New Roman" w:eastAsia="仿宋_GB2312" w:cs="仿宋_GB2312"/>
          <w:kern w:val="2"/>
          <w:sz w:val="32"/>
          <w:szCs w:val="32"/>
          <w:lang w:val="en-US" w:eastAsia="zh-CN" w:bidi="ar"/>
        </w:rPr>
        <w:t>我单位涉及国有资本、行政事业性国有资产、</w:t>
      </w:r>
      <w:r>
        <w:rPr>
          <w:rFonts w:hint="eastAsia" w:ascii="仿宋_GB2312" w:hAnsi="Times New Roman" w:eastAsia="仿宋_GB2312" w:cs="仿宋_GB2312"/>
          <w:b w:val="0"/>
          <w:bCs w:val="0"/>
          <w:kern w:val="2"/>
          <w:sz w:val="32"/>
          <w:szCs w:val="32"/>
          <w:lang w:val="en-US" w:eastAsia="zh-CN" w:bidi="ar"/>
        </w:rPr>
        <w:t>债券资金、政府采购和政府购买服务等重点领域</w:t>
      </w:r>
      <w:r>
        <w:rPr>
          <w:rFonts w:hint="eastAsia" w:ascii="仿宋_GB2312" w:hAnsi="Times New Roman" w:eastAsia="仿宋_GB2312" w:cs="仿宋_GB2312"/>
          <w:kern w:val="2"/>
          <w:sz w:val="32"/>
          <w:szCs w:val="32"/>
          <w:lang w:val="en-US" w:eastAsia="zh-CN" w:bidi="ar"/>
        </w:rPr>
        <w:t>。</w:t>
      </w:r>
    </w:p>
    <w:p w14:paraId="494AEA54">
      <w:pPr>
        <w:keepNext w:val="0"/>
        <w:keepLines w:val="0"/>
        <w:widowControl w:val="0"/>
        <w:numPr>
          <w:ilvl w:val="0"/>
          <w:numId w:val="5"/>
        </w:numPr>
        <w:suppressLineNumbers w:val="0"/>
        <w:autoSpaceDE w:val="0"/>
        <w:autoSpaceDN/>
        <w:snapToGrid w:val="0"/>
        <w:spacing w:before="0" w:beforeAutospacing="0" w:after="0" w:afterAutospacing="0" w:line="600" w:lineRule="exact"/>
        <w:ind w:left="0" w:leftChars="0" w:right="0" w:firstLine="643" w:firstLineChars="200"/>
        <w:jc w:val="both"/>
        <w:rPr>
          <w:rFonts w:hint="eastAsia"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kern w:val="2"/>
          <w:sz w:val="32"/>
          <w:szCs w:val="32"/>
          <w:lang w:val="en-US" w:eastAsia="zh-CN" w:bidi="ar"/>
        </w:rPr>
        <w:t>绩效结果应用情况。</w:t>
      </w:r>
      <w:r>
        <w:rPr>
          <w:rFonts w:hint="eastAsia" w:ascii="仿宋_GB2312" w:hAnsi="Times New Roman" w:eastAsia="仿宋_GB2312" w:cs="仿宋_GB2312"/>
          <w:color w:val="000000"/>
          <w:kern w:val="0"/>
          <w:sz w:val="32"/>
          <w:szCs w:val="32"/>
          <w:shd w:val="clear" w:fill="FFFFFF"/>
          <w:lang w:val="en-US" w:eastAsia="zh-CN" w:bidi="ar"/>
        </w:rPr>
        <w:t>围绕内部应用情况、信息公开情况、整改反馈情况进行分析。</w:t>
      </w:r>
    </w:p>
    <w:p w14:paraId="5EF69F00">
      <w:pPr>
        <w:keepNext w:val="0"/>
        <w:keepLines w:val="0"/>
        <w:widowControl w:val="0"/>
        <w:suppressLineNumbers w:val="0"/>
        <w:autoSpaceDE w:val="0"/>
        <w:autoSpaceDN/>
        <w:spacing w:before="0" w:beforeAutospacing="0" w:after="0" w:afterAutospacing="0" w:line="580" w:lineRule="exact"/>
        <w:ind w:left="0" w:right="0" w:firstLine="630"/>
        <w:jc w:val="both"/>
        <w:rPr>
          <w:rFonts w:hint="eastAsia" w:ascii="仿宋_GB2312" w:hAnsi="Calibri" w:eastAsia="仿宋_GB2312" w:cs="仿宋_GB2312"/>
          <w:kern w:val="0"/>
          <w:sz w:val="32"/>
          <w:szCs w:val="32"/>
          <w:shd w:val="clear" w:fill="FFFFFF"/>
        </w:rPr>
      </w:pPr>
      <w:r>
        <w:rPr>
          <w:rFonts w:hint="eastAsia" w:ascii="仿宋_GB2312" w:hAnsi="Calibri" w:eastAsia="仿宋_GB2312" w:cs="仿宋_GB2312"/>
          <w:kern w:val="0"/>
          <w:sz w:val="32"/>
          <w:szCs w:val="32"/>
          <w:shd w:val="clear" w:fill="FFFFFF"/>
          <w:lang w:val="en-US" w:eastAsia="zh-CN" w:bidi="ar"/>
        </w:rPr>
        <w:t>我单位将绩效自评结果作为下年度预算配置、预算执行和预算管理的重要参照依据，不断细化绩效评价指标，提高资金使用效益。严格按照财政要求对相关数据在指定地点规定时间内进行信息公开，接受上级部门的监督检查，同时不定期进行财务自查。对于存在的问题及时整改并反馈结果。</w:t>
      </w:r>
    </w:p>
    <w:p w14:paraId="702E9532">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四、评价结论及建议</w:t>
      </w:r>
    </w:p>
    <w:p w14:paraId="012E333E">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（一）评价结论。</w:t>
      </w:r>
    </w:p>
    <w:p w14:paraId="2ADA3F8B">
      <w:pPr>
        <w:keepNext w:val="0"/>
        <w:keepLines w:val="0"/>
        <w:widowControl/>
        <w:suppressLineNumbers w:val="0"/>
        <w:autoSpaceDE w:val="0"/>
        <w:autoSpaceDN/>
        <w:adjustRightInd w:val="0"/>
        <w:snapToGrid w:val="0"/>
        <w:spacing w:before="0" w:beforeAutospacing="0" w:after="0" w:afterAutospacing="0" w:line="580" w:lineRule="exact"/>
        <w:ind w:left="0" w:right="0" w:firstLine="640" w:firstLineChars="200"/>
        <w:jc w:val="left"/>
        <w:rPr>
          <w:rFonts w:hint="eastAsia" w:ascii="仿宋_GB2312" w:hAnsi="Calibri" w:eastAsia="仿宋_GB2312" w:cs="仿宋_GB2312"/>
          <w:kern w:val="0"/>
          <w:sz w:val="32"/>
          <w:szCs w:val="32"/>
          <w:shd w:val="clear" w:fill="FFFFFF"/>
        </w:rPr>
      </w:pPr>
      <w:r>
        <w:rPr>
          <w:rFonts w:hint="eastAsia" w:ascii="仿宋_GB2312" w:hAnsi="仿宋" w:eastAsia="仿宋_GB2312" w:cs="仿宋_GB2312"/>
          <w:kern w:val="0"/>
          <w:sz w:val="32"/>
          <w:szCs w:val="32"/>
          <w:shd w:val="clear" w:fill="FFFFFF"/>
          <w:lang w:val="en-US" w:eastAsia="zh-CN" w:bidi="ar"/>
        </w:rPr>
        <w:t>汶川县文联2025年度部门整体支出绩效良好，资金使用规范、履职成效显著、社会效益突出，较好完成年度文艺事业发展任务。下一步将持续优化预算管理、内控建设与绩效管控，更高质量推动汶川文艺事业繁荣发展。自评得分83.02分</w:t>
      </w:r>
    </w:p>
    <w:p w14:paraId="445E127E">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outlineLvl w:val="1"/>
        <w:rPr>
          <w:rFonts w:hint="eastAsia" w:ascii="仿宋_GB2312" w:eastAsia="仿宋_GB2312" w:cs="仿宋_GB2312"/>
          <w:b w:val="0"/>
          <w:bCs w:val="0"/>
          <w:kern w:val="0"/>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（二）存在问题。</w:t>
      </w:r>
    </w:p>
    <w:p w14:paraId="12F037C6">
      <w:pPr>
        <w:keepNext w:val="0"/>
        <w:keepLines w:val="0"/>
        <w:widowControl/>
        <w:suppressLineNumbers w:val="0"/>
        <w:autoSpaceDE w:val="0"/>
        <w:autoSpaceDN/>
        <w:adjustRightInd w:val="0"/>
        <w:snapToGrid w:val="0"/>
        <w:spacing w:before="0" w:beforeAutospacing="0" w:after="0" w:afterAutospacing="0" w:line="578" w:lineRule="exact"/>
        <w:ind w:left="420" w:leftChars="200" w:right="0"/>
        <w:contextualSpacing/>
        <w:jc w:val="left"/>
        <w:outlineLvl w:val="1"/>
        <w:rPr>
          <w:rFonts w:hint="eastAsia" w:ascii="仿宋_GB2312" w:eastAsia="仿宋_GB2312" w:cs="仿宋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1.预算执行进度均衡性不足，阶段性预警占比偏高。</w:t>
      </w:r>
    </w:p>
    <w:p w14:paraId="3C658E5A">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仿宋_GB2312" w:eastAsia="仿宋_GB2312" w:cs="仿宋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2.财务岗位设置与分离执行存在小幅短板。</w:t>
      </w:r>
    </w:p>
    <w:p w14:paraId="70577552">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仿宋_GB2312" w:eastAsia="仿宋_GB2312" w:cs="仿宋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3.资产利用结构不均衡，办公家具更新与利用不足。</w:t>
      </w:r>
    </w:p>
    <w:p w14:paraId="7094C12B">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仿宋_GB2312" w:eastAsia="仿宋_GB2312" w:cs="仿宋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4.项目绩效目标设置精准度、量化程度有待提升。</w:t>
      </w:r>
    </w:p>
    <w:p w14:paraId="085EE60E">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outlineLvl w:val="1"/>
        <w:rPr>
          <w:rFonts w:hint="eastAsia" w:ascii="仿宋_GB2312" w:eastAsia="仿宋_GB2312" w:cs="仿宋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5.部分绩效指标偏离度偏大，目标管控需加强。</w:t>
      </w:r>
    </w:p>
    <w:p w14:paraId="7037134B">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（三）改进建议。</w:t>
      </w:r>
    </w:p>
    <w:p w14:paraId="725DC69B">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_GB2312" w:hAnsi="仿宋" w:eastAsia="仿宋_GB2312" w:cs="仿宋_GB2312"/>
          <w:kern w:val="0"/>
          <w:sz w:val="32"/>
          <w:szCs w:val="32"/>
          <w:shd w:val="clear" w:fill="FFFFFF"/>
        </w:rPr>
      </w:pPr>
      <w:r>
        <w:rPr>
          <w:rFonts w:hint="eastAsia" w:ascii="仿宋_GB2312" w:hAnsi="仿宋" w:eastAsia="仿宋_GB2312" w:cs="仿宋_GB2312"/>
          <w:kern w:val="0"/>
          <w:sz w:val="32"/>
          <w:szCs w:val="32"/>
          <w:shd w:val="clear" w:fill="FFFFFF"/>
          <w:lang w:val="en-US" w:eastAsia="zh-CN" w:bidi="ar"/>
        </w:rPr>
        <w:t>1.强化预算执行动态监控，提升月度、季度执行均衡性。</w:t>
      </w:r>
    </w:p>
    <w:p w14:paraId="3C666582">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_GB2312" w:hAnsi="仿宋" w:eastAsia="仿宋_GB2312" w:cs="仿宋_GB2312"/>
          <w:kern w:val="0"/>
          <w:sz w:val="32"/>
          <w:szCs w:val="32"/>
          <w:shd w:val="clear" w:fill="FFFFFF"/>
        </w:rPr>
      </w:pPr>
      <w:r>
        <w:rPr>
          <w:rFonts w:hint="eastAsia" w:ascii="仿宋_GB2312" w:hAnsi="仿宋" w:eastAsia="仿宋_GB2312" w:cs="仿宋_GB2312"/>
          <w:kern w:val="0"/>
          <w:sz w:val="32"/>
          <w:szCs w:val="32"/>
          <w:shd w:val="clear" w:fill="FFFFFF"/>
          <w:lang w:val="en-US" w:eastAsia="zh-CN" w:bidi="ar"/>
        </w:rPr>
        <w:t>2.完善财务岗位设置，严格落实不相容岗位分离。</w:t>
      </w:r>
    </w:p>
    <w:p w14:paraId="7C17D371">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_GB2312" w:hAnsi="仿宋" w:eastAsia="仿宋_GB2312" w:cs="仿宋_GB2312"/>
          <w:kern w:val="0"/>
          <w:sz w:val="32"/>
          <w:szCs w:val="32"/>
          <w:shd w:val="clear" w:fill="FFFFFF"/>
        </w:rPr>
      </w:pPr>
      <w:r>
        <w:rPr>
          <w:rFonts w:hint="eastAsia" w:ascii="仿宋_GB2312" w:hAnsi="仿宋" w:eastAsia="仿宋_GB2312" w:cs="仿宋_GB2312"/>
          <w:kern w:val="0"/>
          <w:sz w:val="32"/>
          <w:szCs w:val="32"/>
          <w:shd w:val="clear" w:fill="FFFFFF"/>
          <w:lang w:val="en-US" w:eastAsia="zh-CN" w:bidi="ar"/>
        </w:rPr>
        <w:t>3.优化资产配置与更新，提升办公家具利用效率。</w:t>
      </w:r>
    </w:p>
    <w:p w14:paraId="3EC2309A">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_GB2312" w:hAnsi="仿宋" w:eastAsia="仿宋_GB2312" w:cs="仿宋_GB2312"/>
          <w:kern w:val="0"/>
          <w:sz w:val="32"/>
          <w:szCs w:val="32"/>
          <w:shd w:val="clear" w:fill="FFFFFF"/>
        </w:rPr>
      </w:pPr>
      <w:r>
        <w:rPr>
          <w:rFonts w:hint="eastAsia" w:ascii="仿宋_GB2312" w:hAnsi="仿宋" w:eastAsia="仿宋_GB2312" w:cs="仿宋_GB2312"/>
          <w:kern w:val="0"/>
          <w:sz w:val="32"/>
          <w:szCs w:val="32"/>
          <w:shd w:val="clear" w:fill="FFFFFF"/>
          <w:lang w:val="en-US" w:eastAsia="zh-CN" w:bidi="ar"/>
        </w:rPr>
        <w:t>4.科学设置绩效目标，提高量化率与匹配度。</w:t>
      </w:r>
    </w:p>
    <w:p w14:paraId="19D6F7C3">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_GB2312" w:eastAsia="仿宋_GB2312" w:cs="仿宋_GB2312"/>
          <w:b w:val="0"/>
          <w:bCs w:val="0"/>
          <w:kern w:val="0"/>
          <w:sz w:val="32"/>
          <w:szCs w:val="32"/>
        </w:rPr>
      </w:pPr>
      <w:r>
        <w:rPr>
          <w:rFonts w:hint="eastAsia" w:ascii="仿宋_GB2312" w:hAnsi="仿宋" w:eastAsia="仿宋_GB2312" w:cs="仿宋_GB2312"/>
          <w:kern w:val="0"/>
          <w:sz w:val="32"/>
          <w:szCs w:val="32"/>
          <w:shd w:val="clear" w:fill="FFFFFF"/>
          <w:lang w:val="en-US" w:eastAsia="zh-CN" w:bidi="ar"/>
        </w:rPr>
        <w:t>5.加强项目全过程管控，缩小指标偏离度，提升精准度。</w:t>
      </w:r>
    </w:p>
    <w:p w14:paraId="48FD49ED">
      <w:pPr>
        <w:keepNext w:val="0"/>
        <w:keepLines w:val="0"/>
        <w:widowControl w:val="0"/>
        <w:suppressLineNumbers w:val="0"/>
        <w:autoSpaceDE w:val="0"/>
        <w:autoSpaceDN/>
        <w:spacing w:before="0" w:beforeAutospacing="0" w:after="0" w:afterAutospacing="0" w:line="578" w:lineRule="exact"/>
        <w:ind w:left="0" w:right="0"/>
        <w:contextualSpacing/>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5D29AD58">
      <w:pPr>
        <w:keepNext w:val="0"/>
        <w:keepLines w:val="0"/>
        <w:widowControl w:val="0"/>
        <w:suppressLineNumbers w:val="0"/>
        <w:autoSpaceDE w:val="0"/>
        <w:autoSpaceDN/>
        <w:spacing w:before="0" w:beforeAutospacing="0" w:after="0" w:afterAutospacing="0" w:line="578" w:lineRule="exact"/>
        <w:ind w:left="0" w:right="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color w:val="000000"/>
          <w:kern w:val="0"/>
          <w:sz w:val="32"/>
          <w:szCs w:val="32"/>
          <w:shd w:val="clear" w:fill="FFFFFF"/>
          <w:lang w:val="en-US" w:eastAsia="zh-CN" w:bidi="ar"/>
        </w:rPr>
        <w:t>附表：部门整体支出绩效目标表</w:t>
      </w:r>
      <w:r>
        <w:rPr>
          <w:rFonts w:hint="default" w:ascii="Times New Roman" w:hAnsi="Times New Roman" w:eastAsia="仿宋_GB2312" w:cs="Times New Roman"/>
          <w:color w:val="000000"/>
          <w:kern w:val="0"/>
          <w:sz w:val="32"/>
          <w:szCs w:val="32"/>
          <w:shd w:val="clear" w:fill="FFFFFF"/>
          <w:lang w:val="en-US" w:eastAsia="zh-CN" w:bidi="ar"/>
        </w:rPr>
        <w:br w:type="page"/>
      </w:r>
    </w:p>
    <w:p w14:paraId="14EA4193">
      <w:pPr>
        <w:pStyle w:val="13"/>
        <w:keepNext w:val="0"/>
        <w:keepLines w:val="0"/>
        <w:widowControl w:val="0"/>
        <w:suppressLineNumbers w:val="0"/>
        <w:spacing w:before="0" w:beforeAutospacing="1" w:after="120" w:afterAutospacing="0"/>
        <w:ind w:left="0" w:leftChars="0" w:right="0" w:firstLine="0" w:firstLineChars="0"/>
        <w:jc w:val="both"/>
        <w:rPr>
          <w:rFonts w:hint="default" w:ascii="Times New Roman" w:hAnsi="Times New Roman" w:eastAsia="黑体" w:cs="Times New Roman"/>
          <w:kern w:val="2"/>
          <w:sz w:val="24"/>
          <w:szCs w:val="24"/>
        </w:rPr>
      </w:pPr>
      <w:r>
        <w:rPr>
          <w:rFonts w:hint="eastAsia" w:ascii="仿宋_GB2312" w:hAnsi="Times New Roman" w:eastAsia="仿宋_GB2312" w:cs="Times New Roman"/>
          <w:kern w:val="2"/>
          <w:sz w:val="32"/>
          <w:szCs w:val="32"/>
          <w:lang w:val="en-US" w:eastAsia="zh-CN" w:bidi="ar"/>
        </w:rPr>
        <w:drawing>
          <wp:inline distT="0" distB="0" distL="114300" distR="114300">
            <wp:extent cx="5514975" cy="7124700"/>
            <wp:effectExtent l="0" t="0" r="9525" b="0"/>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14"/>
                    <a:stretch>
                      <a:fillRect/>
                    </a:stretch>
                  </pic:blipFill>
                  <pic:spPr>
                    <a:xfrm>
                      <a:off x="0" y="0"/>
                      <a:ext cx="5514975" cy="7124700"/>
                    </a:xfrm>
                    <a:prstGeom prst="rect">
                      <a:avLst/>
                    </a:prstGeom>
                    <a:noFill/>
                    <a:ln w="9525">
                      <a:noFill/>
                    </a:ln>
                  </pic:spPr>
                </pic:pic>
              </a:graphicData>
            </a:graphic>
          </wp:inline>
        </w:drawing>
      </w:r>
      <w:r>
        <w:rPr>
          <w:rFonts w:hint="default" w:ascii="Times New Roman" w:hAnsi="Times New Roman" w:eastAsia="黑体" w:cs="Times New Roman"/>
          <w:kern w:val="2"/>
          <w:sz w:val="24"/>
          <w:szCs w:val="24"/>
          <w:lang w:val="en-US" w:eastAsia="zh-CN" w:bidi="ar"/>
        </w:rPr>
        <w:t xml:space="preserve"> </w:t>
      </w:r>
    </w:p>
    <w:p w14:paraId="76A421DE">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p>
    <w:p w14:paraId="1AA01B34">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991DFBA">
      <w:pPr>
        <w:pStyle w:val="8"/>
        <w:numPr>
          <w:ilvl w:val="0"/>
          <w:numId w:val="0"/>
        </w:numPr>
        <w:rPr>
          <w:rFonts w:hint="eastAsia" w:ascii="方正仿宋_GBK" w:hAnsi="方正仿宋_GBK" w:eastAsia="方正仿宋_GBK" w:cs="方正仿宋_GBK"/>
          <w:b/>
          <w:bCs/>
          <w:kern w:val="2"/>
          <w:sz w:val="32"/>
          <w:szCs w:val="32"/>
          <w:lang w:val="en-US" w:eastAsia="zh-CN" w:bidi="ar"/>
        </w:rPr>
      </w:pPr>
    </w:p>
    <w:p w14:paraId="77D02E04">
      <w:pPr>
        <w:pStyle w:val="8"/>
        <w:numPr>
          <w:ilvl w:val="0"/>
          <w:numId w:val="0"/>
        </w:numPr>
        <w:rPr>
          <w:rFonts w:hint="eastAsia" w:ascii="方正小标宋简体" w:hAnsi="方正小标宋简体" w:eastAsia="方正小标宋简体" w:cs="方正小标宋简体"/>
          <w:b w:val="0"/>
          <w:bCs w:val="0"/>
          <w:kern w:val="2"/>
          <w:sz w:val="32"/>
          <w:szCs w:val="32"/>
          <w:lang w:val="en-US" w:eastAsia="zh-CN" w:bidi="ar"/>
        </w:rPr>
      </w:pPr>
      <w:r>
        <w:rPr>
          <w:rFonts w:hint="eastAsia" w:ascii="方正小标宋简体" w:hAnsi="方正小标宋简体" w:eastAsia="方正小标宋简体" w:cs="方正小标宋简体"/>
          <w:b w:val="0"/>
          <w:bCs w:val="0"/>
          <w:kern w:val="2"/>
          <w:sz w:val="32"/>
          <w:szCs w:val="32"/>
          <w:lang w:val="en-US" w:eastAsia="zh-CN" w:bidi="ar"/>
        </w:rPr>
        <w:t>附件2：</w:t>
      </w:r>
    </w:p>
    <w:p w14:paraId="37AED5B6">
      <w:pPr>
        <w:pStyle w:val="8"/>
        <w:numPr>
          <w:ilvl w:val="0"/>
          <w:numId w:val="0"/>
        </w:numPr>
        <w:rPr>
          <w:rFonts w:hint="eastAsia" w:ascii="Times New Roman" w:hAnsi="Times New Roman" w:eastAsia="仿宋_GB2312" w:cs="Times New Roman"/>
          <w:kern w:val="2"/>
          <w:sz w:val="32"/>
          <w:szCs w:val="32"/>
        </w:rPr>
      </w:pPr>
      <w:r>
        <w:rPr>
          <w:rFonts w:hint="eastAsia" w:ascii="方正小标宋简体" w:hAnsi="方正小标宋简体" w:eastAsia="方正小标宋简体" w:cs="方正小标宋简体"/>
          <w:b/>
          <w:bCs/>
          <w:kern w:val="2"/>
          <w:sz w:val="44"/>
          <w:szCs w:val="44"/>
          <w:lang w:val="en-US" w:eastAsia="zh-CN" w:bidi="ar"/>
        </w:rPr>
        <w:t>《羌族文学》专项预算项目绩效评价报告</w:t>
      </w:r>
    </w:p>
    <w:p w14:paraId="16A2777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0C0F72FC">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经费来源于汶文联【2014】28号请示，《汶川县文学艺术界联合会关于请求将《羌族文学》追加办刊经费纳入财政预算的请示》。汶文联【2020】9号请示，《汶川县文学艺术界联合会关于追加《羌族文学》办刊经费的请示》</w:t>
      </w:r>
    </w:p>
    <w:p w14:paraId="36535720">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b w:val="0"/>
          <w:bCs/>
          <w:kern w:val="0"/>
          <w:sz w:val="32"/>
          <w:szCs w:val="32"/>
          <w:lang w:val="en-US" w:eastAsia="zh-CN" w:bidi="ar"/>
        </w:rPr>
        <w:t>《羌族文学》是羌族文化生态保护实验区唯一纯文学季刊。自1982年创刊以来，团结一大批县内外、州内外、省内外作家诗人和读者，为更好发挥《羌族文学》窗口作用，巩固《羌族文学》影响力，服务汶川，歌唱时代。</w:t>
      </w:r>
    </w:p>
    <w:p w14:paraId="39B29BA5">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b w:val="0"/>
          <w:bCs/>
          <w:kern w:val="0"/>
          <w:sz w:val="32"/>
          <w:szCs w:val="32"/>
          <w:lang w:val="en-US" w:eastAsia="zh-CN" w:bidi="ar"/>
        </w:rPr>
        <w:t>经费主要用于《羌族文学》出版相关事宜。如：《羌族文学》稿费，《羌族文学》印刷费，《羌族文学》相关文艺交流活动经费，《羌族文学》特邀主编、编辑、文学指导、封面设计等劳务费，《羌族文学》搬运费、邮寄费、差旅费、耗材费等其他相关费用。</w:t>
      </w:r>
    </w:p>
    <w:p w14:paraId="1578B0B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7个分别为数量指标、质量指标、时效指标、社会效益指标、可持续影响指标、服务对象满意度指标、经济成本指标各指标按要求完成，达到年初绩效目标，自评得分85。</w:t>
      </w:r>
    </w:p>
    <w:p w14:paraId="4C36E86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7F7F3FE2">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2B15BEFE">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年度完成期刊数量、发展文艺事业情况。</w:t>
      </w:r>
    </w:p>
    <w:p w14:paraId="7109BFAF">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汶川县文联。</w:t>
      </w:r>
    </w:p>
    <w:p w14:paraId="6D692B5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570207D4">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汶川县文联具体项目负责人以及财务人员。</w:t>
      </w:r>
    </w:p>
    <w:p w14:paraId="57820F8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Times New Roman"/>
          <w:kern w:val="2"/>
          <w:sz w:val="32"/>
          <w:szCs w:val="32"/>
          <w:lang w:val="en-US" w:eastAsia="zh-CN" w:bidi="ar"/>
        </w:rPr>
        <w:tab/>
      </w:r>
    </w:p>
    <w:p w14:paraId="470B00F1">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85</w:t>
      </w:r>
      <w:r>
        <w:rPr>
          <w:rFonts w:hint="eastAsia" w:ascii="仿宋_GB2312" w:hAnsi="Times New Roman" w:eastAsia="仿宋_GB2312" w:cs="仿宋_GB2312"/>
          <w:kern w:val="2"/>
          <w:sz w:val="32"/>
          <w:szCs w:val="32"/>
          <w:lang w:val="en-US" w:eastAsia="zh-CN" w:bidi="ar"/>
        </w:rPr>
        <w:t>分。</w:t>
      </w:r>
    </w:p>
    <w:p w14:paraId="6981B437">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482A2CC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1.项目决策。（满分18分，自评15分）</w:t>
      </w:r>
    </w:p>
    <w:p w14:paraId="050AC54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决策程序（</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分）：项目设立、经费申报、延续调整程序规范，符合财政资金管理要求，得</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w:t>
      </w:r>
    </w:p>
    <w:p w14:paraId="168B6374">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规划论证（</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分）：立项必要性、可行性充分，符合县域文化发展规划；但绩效目标量化不足，效益指标偏定性，偏离度控制不够精准，得</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分。</w:t>
      </w:r>
    </w:p>
    <w:p w14:paraId="0A2772FF">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资金投向（</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分）：经费全部用于办刊核心业务，聚焦重点、无交叉重复、无“撒胡椒面”情况，得</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w:t>
      </w:r>
    </w:p>
    <w:p w14:paraId="379377F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扣分原因：绩效目标设置量化细化不足，论证材料完整性有待提升，合计扣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6AB6DAA7">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2.项目管理。（满分18分，自评15分）</w:t>
      </w:r>
    </w:p>
    <w:p w14:paraId="5D4CECB2">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制度办法（</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分）：资金管理、财务管理制度健全有效，无缺失、无过期，得</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24722323">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分配管理（</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分）：资金分配依据充分、审批规范、程序到位；动态管理与痕迹资料不够完善，得</w:t>
      </w:r>
      <w:r>
        <w:rPr>
          <w:rFonts w:hint="default" w:ascii="Times New Roman" w:hAnsi="Times New Roman" w:eastAsia="仿宋_GB2312" w:cs="Times New Roman"/>
          <w:kern w:val="2"/>
          <w:sz w:val="32"/>
          <w:szCs w:val="32"/>
          <w:lang w:val="en-US" w:eastAsia="zh-CN" w:bidi="ar"/>
        </w:rPr>
        <w:t>8</w:t>
      </w:r>
      <w:r>
        <w:rPr>
          <w:rFonts w:hint="eastAsia" w:ascii="仿宋_GB2312" w:hAnsi="Times New Roman" w:eastAsia="仿宋_GB2312" w:cs="仿宋_GB2312"/>
          <w:kern w:val="2"/>
          <w:sz w:val="32"/>
          <w:szCs w:val="32"/>
          <w:lang w:val="en-US" w:eastAsia="zh-CN" w:bidi="ar"/>
        </w:rPr>
        <w:t>分。</w:t>
      </w:r>
    </w:p>
    <w:p w14:paraId="63736D18">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绩效监管（</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分）：完成事前评估、绩效自评、问题整改等工作；过程监管精细化不足，指导留痕不够完整，得</w:t>
      </w:r>
      <w:r>
        <w:rPr>
          <w:rFonts w:hint="default" w:ascii="Times New Roman" w:hAnsi="Times New Roman" w:eastAsia="仿宋_GB2312" w:cs="Times New Roman"/>
          <w:kern w:val="2"/>
          <w:sz w:val="32"/>
          <w:szCs w:val="32"/>
          <w:lang w:val="en-US" w:eastAsia="zh-CN" w:bidi="ar"/>
        </w:rPr>
        <w:t>5</w:t>
      </w:r>
      <w:r>
        <w:rPr>
          <w:rFonts w:hint="eastAsia" w:ascii="仿宋_GB2312" w:hAnsi="Times New Roman" w:eastAsia="仿宋_GB2312" w:cs="仿宋_GB2312"/>
          <w:kern w:val="2"/>
          <w:sz w:val="32"/>
          <w:szCs w:val="32"/>
          <w:lang w:val="en-US" w:eastAsia="zh-CN" w:bidi="ar"/>
        </w:rPr>
        <w:t>分。</w:t>
      </w:r>
    </w:p>
    <w:p w14:paraId="36D2C025">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扣分原因：绩效全过程监管、台账资料精细化不足，合计扣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43D9DA94">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3.项目实施。（满分9分，自评7分）</w:t>
      </w:r>
    </w:p>
    <w:p w14:paraId="23B4BF24">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预算执行（</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分）：财政拨付及时、资金到位率高；受出版周期影响，资金使用进度不均衡，使用率未达最优，得</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分。</w:t>
      </w:r>
    </w:p>
    <w:p w14:paraId="1B573C5C">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资金使用（</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分）：严格合规，无挤占、挪用、虚列支出等问题，得</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2016A761">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扣分原因：预算执行进度不均衡，资金使用效率有待提升，扣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0C5BE5DB">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4.项目结果。（满分9分，自评8分）</w:t>
      </w:r>
    </w:p>
    <w:p w14:paraId="1F67FD26">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目标完成（</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分）：年度</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期出版任务全面完成，产出与效益达标，得</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w:t>
      </w:r>
    </w:p>
    <w:p w14:paraId="61867B28">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完成时效（</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分）：整体按期推进；个别环节因稿件、印刷略有延迟，时效管控有瑕疵，得</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31C09DDC">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扣分原因：个别工作环节时效把控不足，扣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w:t>
      </w:r>
    </w:p>
    <w:p w14:paraId="5CDBCCD8">
      <w:pPr>
        <w:keepNext w:val="0"/>
        <w:keepLines w:val="0"/>
        <w:widowControl w:val="0"/>
        <w:numPr>
          <w:ilvl w:val="0"/>
          <w:numId w:val="6"/>
        </w:numPr>
        <w:suppressLineNumbers w:val="0"/>
        <w:autoSpaceDE w:val="0"/>
        <w:autoSpaceDN/>
        <w:spacing w:before="0" w:beforeAutospacing="0" w:after="0" w:afterAutospacing="0" w:line="578" w:lineRule="exact"/>
        <w:ind w:left="0" w:right="0" w:firstLine="643" w:firstLineChars="200"/>
        <w:jc w:val="both"/>
        <w:rPr>
          <w:rFonts w:hint="default" w:ascii="Times New Roman" w:hAnsi="Times New Roman" w:eastAsia="楷体_GB2312" w:cs="Times New Roman"/>
          <w:b/>
          <w:bCs/>
          <w:color w:val="000000"/>
          <w:kern w:val="0"/>
          <w:sz w:val="32"/>
          <w:szCs w:val="32"/>
          <w:shd w:val="clear" w:fill="FFFFFF"/>
        </w:rPr>
      </w:pPr>
      <w:r>
        <w:rPr>
          <w:rFonts w:hint="eastAsia" w:ascii="楷体_GB2312" w:hAnsi="宋体" w:eastAsia="楷体_GB2312" w:cs="楷体_GB2312"/>
          <w:b/>
          <w:bCs w:val="0"/>
          <w:kern w:val="2"/>
          <w:sz w:val="32"/>
          <w:szCs w:val="32"/>
          <w:lang w:val="en-US" w:eastAsia="zh-CN" w:bidi="ar"/>
        </w:rPr>
        <w:t>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07DE693C">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行政运转（满分30分，自评26分）</w:t>
      </w:r>
    </w:p>
    <w:p w14:paraId="7CDD3D68">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用途合规性（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分）：经费全部用于办刊出版，用途合规、无超范围支出，得</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w:t>
      </w:r>
    </w:p>
    <w:p w14:paraId="56AB5FA3">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程序合规性（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分）：分配、审批、拨付、使用全流程规范，得</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w:t>
      </w:r>
    </w:p>
    <w:p w14:paraId="03BBF4A3">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分）：支出标准、稿酬标准执行到位；但标准备案、附件资料、台账归档不够细致，存在少量资料不全问题，得</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分。</w:t>
      </w:r>
    </w:p>
    <w:p w14:paraId="46C20C58">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扣分原因：标准执行细节与档案管理不够完善，扣</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 xml:space="preserve">分。 </w:t>
      </w:r>
    </w:p>
    <w:p w14:paraId="71E57B04">
      <w:pPr>
        <w:keepNext w:val="0"/>
        <w:keepLines w:val="0"/>
        <w:widowControl w:val="0"/>
        <w:suppressLineNumbers w:val="0"/>
        <w:autoSpaceDE w:val="0"/>
        <w:autoSpaceDN/>
        <w:spacing w:before="0" w:beforeAutospacing="0" w:after="0" w:afterAutospacing="0" w:line="578" w:lineRule="exact"/>
        <w:ind w:left="420" w:leftChars="200" w:right="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（满分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6D57A55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指标设置：民族文化传承、刊物品牌影响力、文学人才培养、读者服务、文艺创作扶持等。</w:t>
      </w:r>
    </w:p>
    <w:p w14:paraId="71398E9B">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完成情况：核心任务高质量完成，社会效益突出；品牌活动创新不足、数字化传播较弱、成果数据化总结不够。</w:t>
      </w:r>
    </w:p>
    <w:p w14:paraId="46E0363A">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扣分原因：特色工作创新与资料归集不足，扣</w:t>
      </w:r>
      <w:r>
        <w:rPr>
          <w:rFonts w:hint="default" w:ascii="Times New Roman" w:hAnsi="Times New Roman" w:eastAsia="仿宋_GB2312" w:cs="Times New Roman"/>
          <w:kern w:val="2"/>
          <w:position w:val="3"/>
          <w:sz w:val="32"/>
          <w:szCs w:val="32"/>
          <w:lang w:val="en-US" w:eastAsia="zh-CN" w:bidi="ar"/>
        </w:rPr>
        <w:t>2</w:t>
      </w:r>
      <w:r>
        <w:rPr>
          <w:rFonts w:hint="eastAsia" w:ascii="仿宋_GB2312" w:hAnsi="Times New Roman" w:eastAsia="仿宋_GB2312" w:cs="仿宋_GB2312"/>
          <w:kern w:val="2"/>
          <w:position w:val="3"/>
          <w:sz w:val="32"/>
          <w:szCs w:val="32"/>
          <w:lang w:val="en-US" w:eastAsia="zh-CN" w:bidi="ar"/>
        </w:rPr>
        <w:t>分。</w:t>
      </w:r>
    </w:p>
    <w:p w14:paraId="54250B36">
      <w:pPr>
        <w:pStyle w:val="13"/>
        <w:keepNext w:val="0"/>
        <w:keepLines w:val="0"/>
        <w:widowControl/>
        <w:numPr>
          <w:ilvl w:val="0"/>
          <w:numId w:val="7"/>
        </w:numPr>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评价结论</w:t>
      </w:r>
    </w:p>
    <w:p w14:paraId="6AB04BB3">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《羌族文学》出版办刊经费项目立项必要、管理规范、实施有效、效益显著，自评得分</w:t>
      </w:r>
      <w:r>
        <w:rPr>
          <w:rFonts w:hint="default" w:ascii="Times New Roman" w:hAnsi="Times New Roman" w:eastAsia="仿宋_GB2312" w:cs="Times New Roman"/>
          <w:kern w:val="2"/>
          <w:position w:val="3"/>
          <w:sz w:val="32"/>
          <w:szCs w:val="32"/>
          <w:lang w:val="en-US" w:eastAsia="zh-CN" w:bidi="ar"/>
        </w:rPr>
        <w:t>85</w:t>
      </w:r>
      <w:r>
        <w:rPr>
          <w:rFonts w:hint="eastAsia" w:ascii="仿宋_GB2312" w:hAnsi="Times New Roman" w:eastAsia="仿宋_GB2312" w:cs="仿宋_GB2312"/>
          <w:kern w:val="2"/>
          <w:position w:val="3"/>
          <w:sz w:val="32"/>
          <w:szCs w:val="32"/>
          <w:lang w:val="en-US" w:eastAsia="zh-CN" w:bidi="ar"/>
        </w:rPr>
        <w:t>分，评价等级为良好。项目圆满完成年度办刊任务，在羌族文化传承、文艺事业繁荣、公共文化服务等方面发挥不可替代作用，财政资金投入产出匹配，具备持续实施的必要性与可行性。建议财政继续予以保障支持，进一步优化绩效管理，提升项目运行质效。</w:t>
      </w:r>
    </w:p>
    <w:p w14:paraId="00581296">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75D0BE8B">
      <w:pPr>
        <w:pStyle w:val="13"/>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1.绩效目标量化不足，效益指标偏定性，可考核性不强。</w:t>
      </w:r>
    </w:p>
    <w:p w14:paraId="4DAB6595">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2.预算执行进度不均衡，资金使用节奏与出版节点匹配度不高。</w:t>
      </w:r>
    </w:p>
    <w:p w14:paraId="505030D1">
      <w:pPr>
        <w:pStyle w:val="13"/>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3.绩效全过程监管与台账资料归档不够精细。</w:t>
      </w:r>
    </w:p>
    <w:p w14:paraId="3CEF051E">
      <w:pPr>
        <w:pStyle w:val="13"/>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4.办刊创新与数字化建设滞后，特色亮点挖掘不足。</w:t>
      </w:r>
    </w:p>
    <w:p w14:paraId="7087CADB">
      <w:pPr>
        <w:pStyle w:val="13"/>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黑体" w:hAnsi="宋体" w:eastAsia="黑体" w:cs="Times New Roman"/>
          <w:kern w:val="0"/>
          <w:position w:val="3"/>
          <w:sz w:val="32"/>
          <w:szCs w:val="32"/>
        </w:rPr>
      </w:pPr>
      <w:r>
        <w:rPr>
          <w:rFonts w:hint="eastAsia" w:ascii="仿宋_GB2312" w:hAnsi="Times New Roman" w:eastAsia="仿宋_GB2312" w:cs="仿宋_GB2312"/>
          <w:b w:val="0"/>
          <w:bCs w:val="0"/>
          <w:kern w:val="0"/>
          <w:position w:val="3"/>
          <w:sz w:val="32"/>
          <w:szCs w:val="32"/>
          <w:lang w:val="en-US" w:eastAsia="zh-CN" w:bidi="ar"/>
        </w:rPr>
        <w:t>5.标准执行细节、附件备案、档案管理仍有优化空间。</w:t>
      </w:r>
      <w:r>
        <w:rPr>
          <w:rFonts w:hint="eastAsia" w:ascii="黑体" w:hAnsi="宋体" w:eastAsia="黑体" w:cs="黑体"/>
          <w:kern w:val="0"/>
          <w:position w:val="3"/>
          <w:sz w:val="32"/>
          <w:szCs w:val="32"/>
          <w:lang w:val="en-US" w:eastAsia="zh-CN" w:bidi="ar"/>
        </w:rPr>
        <w:t>六、六、改进建议</w:t>
      </w:r>
    </w:p>
    <w:p w14:paraId="26E41159">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1.科学量化绩效目标：补充完善可量化指标，明确数量、质量、时效、满意度等具体标准，提升绩效目标科学性。</w:t>
      </w:r>
    </w:p>
    <w:p w14:paraId="5A3ACE6D">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2.强化预算执行管理：按季度、按刊期均衡安排支出，提高资金使用效率与执行进度。</w:t>
      </w:r>
    </w:p>
    <w:p w14:paraId="34716235">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3.完善内控与台账管理：健全资金使用、审批、归档制度，做到全程留痕、资料齐全。</w:t>
      </w:r>
    </w:p>
    <w:p w14:paraId="5DB84DAA">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4.提升办刊创新能力：拓展线上传播、开展文学沙龙、征文比赛等品牌活动，扩大刊物影响力。</w:t>
      </w:r>
    </w:p>
    <w:p w14:paraId="790CF91D">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5持续规范合规管理：严格执行用途、程序、标准“三合规”，细化备案与附件管理，提升规范化水平。</w:t>
      </w:r>
    </w:p>
    <w:p w14:paraId="52B4279B">
      <w:pPr>
        <w:keepNext w:val="0"/>
        <w:keepLines w:val="0"/>
        <w:widowControl w:val="0"/>
        <w:suppressLineNumbers w:val="0"/>
        <w:autoSpaceDE w:val="0"/>
        <w:autoSpaceDN/>
        <w:snapToGrid w:val="0"/>
        <w:spacing w:before="0" w:beforeAutospacing="0" w:after="0" w:afterAutospacing="0" w:line="578" w:lineRule="exact"/>
        <w:ind w:left="0" w:right="0"/>
        <w:jc w:val="both"/>
        <w:rPr>
          <w:rFonts w:hint="eastAsia" w:ascii="Times New Roman" w:hAnsi="Times New Roman" w:eastAsia="仿宋_GB2312" w:cs="Times New Roman"/>
          <w:color w:val="000000"/>
          <w:kern w:val="0"/>
          <w:sz w:val="32"/>
          <w:szCs w:val="32"/>
          <w:shd w:val="clear" w:fill="FFFFFF"/>
        </w:rPr>
      </w:pPr>
      <w:r>
        <w:rPr>
          <w:rFonts w:hint="eastAsia" w:ascii="Times New Roman" w:hAnsi="Times New Roman" w:eastAsia="仿宋_GB2312" w:cs="Times New Roman"/>
          <w:color w:val="000000"/>
          <w:kern w:val="0"/>
          <w:sz w:val="32"/>
          <w:szCs w:val="32"/>
          <w:shd w:val="clear" w:fill="FFFFFF"/>
          <w:lang w:val="en-US" w:eastAsia="zh-CN" w:bidi="ar"/>
        </w:rPr>
        <w:t xml:space="preserve"> </w:t>
      </w:r>
    </w:p>
    <w:p w14:paraId="380B71FA">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color w:val="000000"/>
          <w:kern w:val="0"/>
          <w:sz w:val="32"/>
          <w:szCs w:val="32"/>
          <w:shd w:val="clear" w:fill="FFFFFF"/>
          <w:lang w:val="en-US" w:eastAsia="zh-CN" w:bidi="ar"/>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.部门预算项目支出绩效自评表</w:t>
      </w:r>
    </w:p>
    <w:p w14:paraId="4F731938">
      <w:pPr>
        <w:pStyle w:val="13"/>
        <w:shd w:val="clear" w:color="auto" w:fill="FFFFFF"/>
        <w:spacing w:line="560" w:lineRule="exact"/>
        <w:jc w:val="both"/>
        <w:rPr>
          <w:rFonts w:hint="eastAsia" w:ascii="方正小标宋简体" w:eastAsia="方正小标宋简体" w:cs="黑体"/>
          <w:sz w:val="44"/>
          <w:szCs w:val="44"/>
          <w:lang w:val="en-US" w:eastAsia="zh-CN"/>
        </w:rPr>
      </w:pPr>
      <w:r>
        <w:drawing>
          <wp:anchor distT="0" distB="0" distL="114300" distR="114300" simplePos="0" relativeHeight="251666432" behindDoc="0" locked="0" layoutInCell="1" allowOverlap="1">
            <wp:simplePos x="0" y="0"/>
            <wp:positionH relativeFrom="column">
              <wp:posOffset>-467360</wp:posOffset>
            </wp:positionH>
            <wp:positionV relativeFrom="paragraph">
              <wp:posOffset>319405</wp:posOffset>
            </wp:positionV>
            <wp:extent cx="5963285" cy="6270625"/>
            <wp:effectExtent l="0" t="0" r="18415" b="1587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5963285" cy="6270625"/>
                    </a:xfrm>
                    <a:prstGeom prst="rect">
                      <a:avLst/>
                    </a:prstGeom>
                    <a:noFill/>
                    <a:ln>
                      <a:noFill/>
                    </a:ln>
                  </pic:spPr>
                </pic:pic>
              </a:graphicData>
            </a:graphic>
          </wp:anchor>
        </w:drawing>
      </w:r>
    </w:p>
    <w:p w14:paraId="5AAEAAEB">
      <w:pPr>
        <w:pStyle w:val="13"/>
        <w:shd w:val="clear" w:color="auto" w:fill="FFFFFF"/>
        <w:spacing w:line="560" w:lineRule="exact"/>
        <w:jc w:val="both"/>
        <w:rPr>
          <w:rFonts w:hint="eastAsia" w:ascii="方正小标宋简体" w:eastAsia="方正小标宋简体" w:cs="黑体"/>
          <w:sz w:val="44"/>
          <w:szCs w:val="44"/>
          <w:lang w:val="en-US" w:eastAsia="zh-CN"/>
        </w:rPr>
      </w:pPr>
    </w:p>
    <w:p w14:paraId="781AB5C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30B17D2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BDD7516">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E905DD0">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0EA1FD3">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B7C053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75EE9B3C">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1D559EB">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9E6C78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D12B84E">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921CB4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8DC7787">
      <w:pPr>
        <w:pStyle w:val="13"/>
        <w:shd w:val="clear" w:color="auto" w:fill="FFFFFF"/>
        <w:spacing w:line="560" w:lineRule="exact"/>
        <w:jc w:val="both"/>
        <w:rPr>
          <w:rFonts w:hint="eastAsia" w:ascii="方正小标宋简体" w:eastAsia="方正小标宋简体" w:cs="黑体"/>
          <w:sz w:val="44"/>
          <w:szCs w:val="44"/>
          <w:lang w:val="en-US" w:eastAsia="zh-CN"/>
        </w:rPr>
      </w:pPr>
    </w:p>
    <w:p w14:paraId="74B4FA69">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B0116D2">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41825BB">
      <w:pPr>
        <w:keepNext w:val="0"/>
        <w:keepLines w:val="0"/>
        <w:widowControl w:val="0"/>
        <w:suppressLineNumbers w:val="0"/>
        <w:spacing w:before="0" w:beforeAutospacing="0" w:after="0" w:afterAutospacing="0"/>
        <w:ind w:left="0" w:right="0"/>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b/>
          <w:bCs/>
          <w:kern w:val="2"/>
          <w:sz w:val="44"/>
          <w:szCs w:val="44"/>
          <w:lang w:val="en-US" w:eastAsia="zh-CN" w:bidi="ar"/>
        </w:rPr>
        <w:t>文联协会经费专项预算项目绩效评价报告</w:t>
      </w:r>
    </w:p>
    <w:p w14:paraId="72A0D01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0F2CD91E">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来源于汶文联【2013】11号请示，关于请求解决2013年文联和各协会经费的请示.中共汶川县委（专题）会议纪要（汶委会【2013】11号）</w:t>
      </w:r>
    </w:p>
    <w:p w14:paraId="7C425E81">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b w:val="0"/>
          <w:bCs/>
          <w:kern w:val="0"/>
          <w:sz w:val="32"/>
          <w:szCs w:val="32"/>
          <w:lang w:val="en-US" w:eastAsia="zh-CN" w:bidi="ar"/>
        </w:rPr>
        <w:t>努力发挥“协调、联络、组织、服务”桥梁作用，团结所属9个协会</w:t>
      </w:r>
      <w:r>
        <w:rPr>
          <w:rFonts w:hint="eastAsia" w:ascii="仿宋_GB2312" w:hAnsi="Times New Roman" w:eastAsia="仿宋_GB2312" w:cs="宋体"/>
          <w:b w:val="0"/>
          <w:bCs/>
          <w:kern w:val="0"/>
          <w:sz w:val="32"/>
          <w:szCs w:val="32"/>
          <w:lang w:val="en-US" w:eastAsia="zh-CN" w:bidi="ar"/>
        </w:rPr>
        <w:t>,</w:t>
      </w:r>
      <w:r>
        <w:rPr>
          <w:rFonts w:hint="eastAsia" w:ascii="仿宋_GB2312" w:hAnsi="Times New Roman" w:eastAsia="仿宋_GB2312" w:cs="仿宋_GB2312"/>
          <w:b w:val="0"/>
          <w:bCs/>
          <w:kern w:val="0"/>
          <w:sz w:val="32"/>
          <w:szCs w:val="32"/>
          <w:lang w:val="en-US" w:eastAsia="zh-CN" w:bidi="ar"/>
        </w:rPr>
        <w:t>紧紧围绕“科教汶川、文化强县”和“加强文化建设、实现文化兴县”，用文学艺术践行全县文化大繁荣、大发展。用生动感人的文学艺术形式，践行着文化大发展大繁荣的宗旨。</w:t>
      </w:r>
    </w:p>
    <w:p w14:paraId="5F876618">
      <w:pPr>
        <w:keepNext w:val="0"/>
        <w:keepLines w:val="0"/>
        <w:widowControl w:val="0"/>
        <w:suppressLineNumbers w:val="0"/>
        <w:spacing w:before="0" w:beforeAutospacing="0" w:after="0" w:afterAutospacing="0"/>
        <w:ind w:left="0" w:right="0"/>
        <w:jc w:val="both"/>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b w:val="0"/>
          <w:bCs/>
          <w:kern w:val="0"/>
          <w:sz w:val="32"/>
          <w:szCs w:val="32"/>
          <w:lang w:val="en-US" w:eastAsia="zh-CN" w:bidi="ar"/>
        </w:rPr>
        <w:t>经费主要用于县文联以及下属协会开展日常工作。如：县文联日常办公开支、协会文艺活动开支、购买文艺活动耗材开支、与之相关的某他开支。</w:t>
      </w:r>
    </w:p>
    <w:p w14:paraId="44B0944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7个分别为数量指标、质量指标、时效指标、社会效益指标、可持续发展指标、服务对象满意度指标、经济成本指标。各指标按要求完成，达到年初绩效目标，自评得分84。</w:t>
      </w:r>
    </w:p>
    <w:p w14:paraId="0C82898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75689A7F">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对年初目标绩效进行综合评价，有效监控专项资金使用情况等。</w:t>
      </w:r>
    </w:p>
    <w:p w14:paraId="069FD2AB">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培养文艺人才数量、发展文艺事业情况、各协会会员满意度。</w:t>
      </w:r>
    </w:p>
    <w:p w14:paraId="4D8BFA18">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汶川县文联。</w:t>
      </w:r>
    </w:p>
    <w:p w14:paraId="6BBC90BF">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3BF08853">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汶川县文联具体项目负责人以及财务人员。</w:t>
      </w:r>
    </w:p>
    <w:p w14:paraId="7A28FEE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Times New Roman"/>
          <w:kern w:val="2"/>
          <w:sz w:val="32"/>
          <w:szCs w:val="32"/>
          <w:lang w:val="en-US" w:eastAsia="zh-CN" w:bidi="ar"/>
        </w:rPr>
        <w:tab/>
      </w:r>
    </w:p>
    <w:p w14:paraId="2345DDBF">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84</w:t>
      </w:r>
      <w:r>
        <w:rPr>
          <w:rFonts w:hint="eastAsia" w:ascii="仿宋_GB2312" w:hAnsi="Times New Roman" w:eastAsia="仿宋_GB2312" w:cs="仿宋_GB2312"/>
          <w:kern w:val="2"/>
          <w:sz w:val="32"/>
          <w:szCs w:val="32"/>
          <w:lang w:val="en-US" w:eastAsia="zh-CN" w:bidi="ar"/>
        </w:rPr>
        <w:t>分。</w:t>
      </w:r>
    </w:p>
    <w:p w14:paraId="52C528A3">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2D142D74">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1.项目决策。（总分18分，自评得分15分）</w:t>
      </w:r>
    </w:p>
    <w:p w14:paraId="508792B5">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指标重点考核项目立项规范性、绩效目标合理性、预算编制科学性、资金分配合规性。本年度文艺协会经费严格依据县域文艺事业发展规划、文艺人才培养需求规范立项，立项程序符合财政预算及文联工作管理要求；绩效目标紧密围绕县级文艺骨干培育、文艺活动举办、本土文艺作品创作等核心任务设定，与文艺协会职能职责高度匹配；资金预算结合年度工作任务、往年支出情况科学编制，分配方向聚焦人才培养与文艺事业发展重点领域。</w:t>
      </w:r>
    </w:p>
    <w:p w14:paraId="23793365">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失分原因：部分绩效目标量化程度不足，定性目标偏多，缺乏更细化的可考核、可衡量标准；预算编制前期对文艺人才培训、基层文艺活动的突发需求测算不够精准，导致扣减</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1F84F2FF">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2.项目管理。（总分18分，自评得分14分）</w:t>
      </w:r>
    </w:p>
    <w:p w14:paraId="35A20D14">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指标聚焦资金使用合规性、财务管理制度健全性、项目监管有效性、档案管理规范性。项目实施过程中，文艺协会经费严格执行专款专用，所有支出均用于文艺人才培养、文艺活动开展等合规用途，无截留、挤占、挪用、超范围支出情况；建立健全财务管理制度，资金拨付、支出审批流程规范，财务核算清晰准确；安排专人负责项目全程监管，定期开展资金使用自查工作。</w:t>
      </w:r>
    </w:p>
    <w:p w14:paraId="3E754394">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失分原因：个别经费支出的佐证材料不够完善，部分小额支出凭证附件留存不够齐全；项目中期监管核查频次不足，监管精细化程度有待提升，导致扣减</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分。</w:t>
      </w:r>
    </w:p>
    <w:p w14:paraId="57C295F8">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3.项目实施。（总分9分，自评得分7分）</w:t>
      </w:r>
    </w:p>
    <w:p w14:paraId="71B4E489">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指标主要考核项目实施进度、任务完成质量、实施流程规范性、组织保障到位情况。本年度文艺协会按计划推进各项工作，顺利开展县级文艺人才培训、创作交流、基层文艺展演等活动，各项核心实施任务基本按期完成，实施流程符合协会工作规范，组织保障有力，有效推动了文艺人才培养与文艺活动落地。</w:t>
      </w:r>
    </w:p>
    <w:p w14:paraId="2E302221">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失分原因：个别基层文艺人才培训活动因场地、人员协调问题，进度略有滞后；部分文艺活动实施过程中细节把控不到位，组织精细化水平不足，导致扣减</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1126C77F">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4.项目结果。（总分9分，自评得分7分）</w:t>
      </w:r>
    </w:p>
    <w:p w14:paraId="2B9A55CE">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指标重点衡量项目产出数量、质量、社会效益、服务对象满意度及可持续影响。通过项目实施，本年度成功培育一批县级本土文艺骨干，举办多场群众喜闻乐见的文艺活动，创作多篇本土优质文艺作品，丰富了县域群众精神文化生活，文艺工作者及群众满意度较高，为县域文艺事业持续发展奠定了坚实基础。</w:t>
      </w:r>
    </w:p>
    <w:p w14:paraId="3C228A59">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失分原因：文艺人才培养成果转化力度不足，本土优质文艺作品推广范围有限；文艺活动的社会影响力拓展不够，未能实现更大范围的文化传播，导致扣减</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016DB0EF">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楷体_GB2312" w:eastAsia="楷体_GB2312" w:cs="楷体_GB2312"/>
          <w:kern w:val="2"/>
          <w:sz w:val="32"/>
          <w:szCs w:val="32"/>
        </w:rPr>
      </w:pPr>
      <w:r>
        <w:rPr>
          <w:rFonts w:hint="eastAsia" w:ascii="楷体_GB2312" w:hAnsi="宋体"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79BE3B24">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行政运转。（总分30分，自评得分27分）</w:t>
      </w:r>
    </w:p>
    <w:p w14:paraId="5074F414">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用途合规性：行政运转经费全部用于文艺协会日常办公、人才服务、活动组织保障等合规领域，严格按照预算批复用途使用，无超用途列支、违规支出情况，与文艺人才培养、文艺事业发展工作高度适配。</w:t>
      </w:r>
    </w:p>
    <w:p w14:paraId="49408285">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程序合规性：经费支出严格执行“申请</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审核</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审批</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拨付”全流程，重大支出事项集体研究决策，审批手续齐全，无逆程序操作、违规审批情况，财务流程规范。</w:t>
      </w:r>
    </w:p>
    <w:p w14:paraId="4381D2DE">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标准合规性：各项经费支出严格遵循县级财政及文联经费开支标准，无超标准报销、超限额列支情况，办公费、培训费、活动经费等支出标准执行到位。</w:t>
      </w:r>
    </w:p>
    <w:p w14:paraId="52DC6567">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失分原因：个别行政运转支出的标准审核细节存在疏漏，小额经费开支的标准把控不够严谨，导致扣减</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5B43D638">
      <w:pPr>
        <w:keepNext w:val="0"/>
        <w:keepLines w:val="0"/>
        <w:widowControl w:val="0"/>
        <w:numPr>
          <w:ilvl w:val="0"/>
          <w:numId w:val="8"/>
        </w:numPr>
        <w:suppressLineNumbers w:val="0"/>
        <w:autoSpaceDE w:val="0"/>
        <w:autoSpaceDN/>
        <w:spacing w:before="0" w:beforeAutospacing="0" w:after="0" w:afterAutospacing="0" w:line="578" w:lineRule="exact"/>
        <w:ind w:left="0" w:leftChars="0" w:right="0" w:firstLine="643" w:firstLineChars="200"/>
        <w:jc w:val="both"/>
        <w:rPr>
          <w:rFonts w:hint="default" w:ascii="Times New Roman" w:hAnsi="Times New Roman" w:eastAsia="楷体_GB2312" w:cs="Times New Roman"/>
          <w:b/>
          <w:bCs/>
          <w:color w:val="000000"/>
          <w:kern w:val="0"/>
          <w:sz w:val="32"/>
          <w:szCs w:val="32"/>
          <w:shd w:val="clear" w:fill="FFFFFF"/>
        </w:rPr>
      </w:pPr>
      <w:r>
        <w:rPr>
          <w:rFonts w:hint="eastAsia" w:ascii="楷体_GB2312" w:hAnsi="宋体" w:eastAsia="楷体_GB2312" w:cs="楷体_GB2312"/>
          <w:b/>
          <w:bCs w:val="0"/>
          <w:kern w:val="2"/>
          <w:sz w:val="32"/>
          <w:szCs w:val="32"/>
          <w:lang w:val="en-US" w:eastAsia="zh-CN" w:bidi="ar"/>
        </w:rPr>
        <w:t>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（总分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785AB321">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个性指标结合文艺协会经费专项用于县级文艺人才培养、发展县域文艺事业的核心定位设置，重点考核文艺人才培育成效、本土文艺创作成果、基层文艺服务质量、地方文化传承效果等个性化工作内容，总分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分，特色绩效成效显著。</w:t>
      </w:r>
    </w:p>
    <w:p w14:paraId="04DF16F7">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年度通过经费保障，成功开展多期文艺创作、书法、美术、音乐等人才培训活动，挖掘培育多名本土青年文艺人才，充实县域文艺队伍；组织开展基层文艺下乡、群众文艺展演、本土文化创作交流等活动，助力地方优秀文化传承；扶持本土文艺工作者创作一批贴近生活、贴近群众的文艺作品，有效激活了县域文艺创作活力。</w:t>
      </w:r>
    </w:p>
    <w:p w14:paraId="38FC021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失分原因：高层次文艺人才培育力度不足，精品文艺创作数量未达预期；基层文艺服务的覆盖面、创新性有待提升，对偏远乡镇文艺人才的服务力度不够，导致扣减</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429BF5AE">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14:paraId="717173A8">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经全面绩效评价，县文联文艺协会经费项目严格遵循既定评价体系实施，项目资金使用规范，管理流程有序，圆满完成年度县级文艺人才培养、文艺事业发展核心绩效目标，整体绩效达到优秀等级。项目实施有效壮大了县域文艺队伍，丰富了群众文化生活，推动了地方文艺事业繁荣，具备持续实施的必要性和可行性。项目自评得分84分。</w:t>
      </w:r>
    </w:p>
    <w:p w14:paraId="0F65B40E">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后续县文联将针对本次评价发现的问题，切实落实整改措施，进一步规范经费管理，优化项目实施，最大化发挥财政资金效益，持续为县级文艺事业发展提供坚实保障。</w:t>
      </w:r>
    </w:p>
    <w:p w14:paraId="0C842912">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2CCF4BE3">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1.绩效目标精细化水平不足：项目决策环节，绩效目标量化细化程度不够，部分考核指标偏定性，缺乏精准的量化考核标准，不利于项目成效的精准核算与动态管控。</w:t>
      </w:r>
    </w:p>
    <w:p w14:paraId="2CBABEB9">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2.经费管理细节存在疏漏：项目管理过程中，经费支出佐证材料、档案留存不够完善，行政运转经费标准审核的精细化程度不足，内部监管的严谨性有待加强。</w:t>
      </w:r>
    </w:p>
    <w:p w14:paraId="10CCEDA8">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3.人才培养与成果转化有短板：文艺人才培养层次有待提升，精品文艺创作扶持力度不足，人才培养成果、文艺作品的推广转化力度不够，文艺活动创新度不足，基层服务覆盖面有待拓宽。</w:t>
      </w:r>
    </w:p>
    <w:p w14:paraId="6D1CA321">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292D1BCC">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1.优化绩效目标编制，提升考核精准性</w:t>
      </w:r>
    </w:p>
    <w:p w14:paraId="28FADC4C">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后续编制预算时，进一步细化量化绩效目标，将文艺人才培训人数、活动举办场次、作品创作数量等核心指标明确化、具体化，制定可量化、可考核、可验收的绩效标准，强化预算前期调研，精准测算资金需求，提升项目决策科学性。</w:t>
      </w:r>
    </w:p>
    <w:p w14:paraId="43D62599">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2.强化经费全流程管控，规范细节管理</w:t>
      </w:r>
    </w:p>
    <w:p w14:paraId="3EC8CA8B">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完善经费使用管理制度，细化支出凭证审核、档案留存要求，确保每笔经费支出佐证材料齐全、流程规范；增加项目资金监管频次，开展定期核查与不定期抽查，重点加强行政运转经费标准合规性审核，补齐管理细节短板。</w:t>
      </w:r>
    </w:p>
    <w:p w14:paraId="196981F0">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3.聚焦核心任务提质，强化成果转化</w:t>
      </w:r>
    </w:p>
    <w:p w14:paraId="5E5492F5">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加大高层次文艺人才培育力度，邀请专业导师开展精品创作培训，扶持本土优质文艺作品创作；创新文艺活动形式，拓宽基层文艺服务覆盖面，延伸服务至偏远乡镇；加强文艺成果宣传推广，借助线上线下平台，扩大文艺人才与文艺作品的影响力。</w:t>
      </w:r>
    </w:p>
    <w:p w14:paraId="7355F079">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4.坚守独立评价原则，持续优化绩效</w:t>
      </w:r>
    </w:p>
    <w:p w14:paraId="05CA6A96">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严格区分本项目文艺协会经费与其他项目经费，坚持独立核算、独立评价、独立管理，持续沿用既定评价体系，定期开展绩效自评，针对失分问题逐项整改，不断提升资金使用绩效，全力推动县级文艺人才培养与文艺事业再上新台阶。</w:t>
      </w:r>
    </w:p>
    <w:p w14:paraId="5158ECF9">
      <w:pPr>
        <w:keepNext w:val="0"/>
        <w:keepLines w:val="0"/>
        <w:widowControl w:val="0"/>
        <w:suppressLineNumbers w:val="0"/>
        <w:autoSpaceDE w:val="0"/>
        <w:autoSpaceDN/>
        <w:snapToGrid w:val="0"/>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color w:val="000000"/>
          <w:kern w:val="0"/>
          <w:sz w:val="32"/>
          <w:szCs w:val="32"/>
          <w:shd w:val="clear" w:fill="FFFFFF"/>
        </w:rPr>
      </w:pPr>
      <w:r>
        <w:rPr>
          <w:rFonts w:hint="eastAsia" w:ascii="Times New Roman" w:hAnsi="Times New Roman" w:eastAsia="仿宋_GB2312" w:cs="Times New Roman"/>
          <w:color w:val="000000"/>
          <w:kern w:val="0"/>
          <w:sz w:val="32"/>
          <w:szCs w:val="32"/>
          <w:shd w:val="clear" w:fill="FFFFFF"/>
          <w:lang w:val="en-US" w:eastAsia="zh-CN" w:bidi="ar"/>
        </w:rPr>
        <w:t xml:space="preserve"> </w:t>
      </w:r>
    </w:p>
    <w:p w14:paraId="562F8DF0">
      <w:pPr>
        <w:keepNext w:val="0"/>
        <w:keepLines w:val="0"/>
        <w:widowControl w:val="0"/>
        <w:suppressLineNumbers w:val="0"/>
        <w:autoSpaceDE w:val="0"/>
        <w:autoSpaceDN/>
        <w:snapToGrid w:val="0"/>
        <w:spacing w:before="0" w:beforeAutospacing="0" w:after="0" w:afterAutospacing="0" w:line="578" w:lineRule="exact"/>
        <w:ind w:right="0"/>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附附表：</w:t>
      </w:r>
      <w:r>
        <w:rPr>
          <w:rFonts w:hint="default" w:ascii="Times New Roman" w:hAnsi="Times New Roman" w:eastAsia="仿宋_GB2312" w:cs="Times New Roman"/>
          <w:color w:val="000000"/>
          <w:kern w:val="0"/>
          <w:sz w:val="32"/>
          <w:szCs w:val="32"/>
          <w:shd w:val="clear" w:fill="FFFFFF"/>
          <w:lang w:val="en-US" w:eastAsia="zh-CN" w:bidi="ar"/>
        </w:rPr>
        <w:t>.部门预算项目支出绩效自评表</w:t>
      </w:r>
    </w:p>
    <w:p w14:paraId="2BFFF125">
      <w:pPr>
        <w:keepNext w:val="0"/>
        <w:keepLines w:val="0"/>
        <w:widowControl w:val="0"/>
        <w:suppressLineNumbers w:val="0"/>
        <w:autoSpaceDE w:val="0"/>
        <w:autoSpaceDN/>
        <w:snapToGrid w:val="0"/>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color w:val="000000"/>
          <w:kern w:val="0"/>
          <w:sz w:val="32"/>
          <w:szCs w:val="32"/>
          <w:shd w:val="clear" w:fill="FFFFFF"/>
        </w:rPr>
      </w:pPr>
      <w:r>
        <w:rPr>
          <w:rFonts w:hint="eastAsia" w:ascii="Times New Roman" w:hAnsi="Times New Roman" w:eastAsia="仿宋_GB2312" w:cs="Times New Roman"/>
          <w:color w:val="000000"/>
          <w:kern w:val="0"/>
          <w:sz w:val="32"/>
          <w:szCs w:val="32"/>
          <w:shd w:val="clear" w:fill="FFFFFF"/>
          <w:lang w:val="en-US" w:eastAsia="zh-CN" w:bidi="ar"/>
        </w:rPr>
        <w:br w:type="page"/>
      </w:r>
    </w:p>
    <w:p w14:paraId="2D6C0EA7">
      <w:pPr>
        <w:pStyle w:val="13"/>
        <w:shd w:val="clear" w:color="auto" w:fill="FFFFFF"/>
        <w:spacing w:line="560" w:lineRule="exact"/>
        <w:jc w:val="both"/>
        <w:rPr>
          <w:rFonts w:hint="eastAsia" w:ascii="方正小标宋简体" w:eastAsia="方正小标宋简体" w:cs="黑体"/>
          <w:sz w:val="44"/>
          <w:szCs w:val="44"/>
          <w:lang w:val="en-US" w:eastAsia="zh-CN"/>
        </w:rPr>
      </w:pPr>
      <w:r>
        <w:drawing>
          <wp:anchor distT="0" distB="0" distL="114300" distR="114300" simplePos="0" relativeHeight="251667456" behindDoc="0" locked="0" layoutInCell="1" allowOverlap="1">
            <wp:simplePos x="0" y="0"/>
            <wp:positionH relativeFrom="column">
              <wp:posOffset>-514985</wp:posOffset>
            </wp:positionH>
            <wp:positionV relativeFrom="paragraph">
              <wp:posOffset>292100</wp:posOffset>
            </wp:positionV>
            <wp:extent cx="6202680" cy="6104255"/>
            <wp:effectExtent l="0" t="0" r="7620" b="10795"/>
            <wp:wrapNone/>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6"/>
                    <a:stretch>
                      <a:fillRect/>
                    </a:stretch>
                  </pic:blipFill>
                  <pic:spPr>
                    <a:xfrm>
                      <a:off x="0" y="0"/>
                      <a:ext cx="6202680" cy="6104255"/>
                    </a:xfrm>
                    <a:prstGeom prst="rect">
                      <a:avLst/>
                    </a:prstGeom>
                    <a:noFill/>
                    <a:ln>
                      <a:noFill/>
                    </a:ln>
                  </pic:spPr>
                </pic:pic>
              </a:graphicData>
            </a:graphic>
          </wp:anchor>
        </w:drawing>
      </w:r>
    </w:p>
    <w:p w14:paraId="1F530E1D">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01F7861">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52C27C6">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73546D4">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15FAB33">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2794E2C">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4E92E4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817A068">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0EE13E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0907046">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1FB75E1">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654A14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AB2E9F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C37B79D">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418AB6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48CF50D">
      <w:pPr>
        <w:keepNext w:val="0"/>
        <w:keepLines w:val="0"/>
        <w:widowControl w:val="0"/>
        <w:suppressLineNumbers w:val="0"/>
        <w:spacing w:before="0" w:beforeAutospacing="0" w:after="0" w:afterAutospacing="0"/>
        <w:ind w:left="0" w:right="0"/>
        <w:jc w:val="center"/>
        <w:rPr>
          <w:rFonts w:hint="eastAsia" w:ascii="Times New Roman" w:hAnsi="Times New Roman" w:eastAsia="仿宋_GB2312" w:cs="Times New Roman"/>
          <w:kern w:val="2"/>
          <w:sz w:val="32"/>
          <w:szCs w:val="32"/>
        </w:rPr>
      </w:pPr>
      <w:r>
        <w:rPr>
          <w:rFonts w:hint="eastAsia" w:ascii="方正小标宋简体" w:hAnsi="方正小标宋简体" w:eastAsia="方正小标宋简体" w:cs="方正小标宋简体"/>
          <w:b/>
          <w:bCs/>
          <w:kern w:val="2"/>
          <w:sz w:val="44"/>
          <w:szCs w:val="44"/>
          <w:lang w:val="en-US" w:eastAsia="zh-CN" w:bidi="ar"/>
        </w:rPr>
        <w:t>“文艺两新”集聚区实践基地提升经费专项预算项目绩效评价报告</w:t>
      </w:r>
    </w:p>
    <w:p w14:paraId="78B277B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686BCE66">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本项目为汶川县文学艺术界联合会“文艺两新”基地建设专项经费，资金来源于中共汶川县委宣传部〔2025〕26号文件批复，专项用于汶川县申报中国文联“文艺两新”集聚区实践基地创建提升、场地配套、人才集聚、活动开展、宣传推介、服务保障及基地规范化建设等工作。</w:t>
      </w:r>
    </w:p>
    <w:p w14:paraId="4B053C4C">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b w:val="0"/>
          <w:bCs/>
          <w:kern w:val="0"/>
          <w:sz w:val="32"/>
          <w:szCs w:val="32"/>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b w:val="0"/>
          <w:bCs/>
          <w:kern w:val="0"/>
          <w:sz w:val="32"/>
          <w:szCs w:val="32"/>
          <w:lang w:val="en-US" w:eastAsia="zh-CN" w:bidi="ar"/>
        </w:rPr>
        <w:t>成功创建国家级“文艺两新”集聚区实践基地，壮大新文艺组织、新文艺群体队伍，提升县域文艺服务能力与文化品牌影响力，推动文艺事业与文旅融合发展，夯实县域文化繁荣发展基础。</w:t>
      </w:r>
    </w:p>
    <w:p w14:paraId="7624F49E">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b w:val="0"/>
          <w:bCs/>
          <w:kern w:val="0"/>
          <w:sz w:val="32"/>
          <w:szCs w:val="32"/>
          <w:lang w:val="en-US" w:eastAsia="zh-CN" w:bidi="ar"/>
        </w:rPr>
        <w:t>经费专项用于汶川县申报中国文联“文艺两新”集聚区实践基地创建提升、场地配套、人才集聚、活动开展、宣传推介、服务保障及基地规范化建设等工作。</w:t>
      </w:r>
    </w:p>
    <w:p w14:paraId="0BCF8645">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7个分别为数量指标、质量指标、时效指标、社会效益指标、可持续影响指标、服务对象满意度指标、经济成本指标各指标按要求完成，达到年初绩效目标，自评得分83分。</w:t>
      </w:r>
    </w:p>
    <w:p w14:paraId="6B3F26E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30B22768">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1BBFCAED">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应结项目结项通过率、项目完成时限、对外交流活动相关方满意度等。</w:t>
      </w:r>
    </w:p>
    <w:p w14:paraId="5D39122C">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汶川县文联。</w:t>
      </w:r>
    </w:p>
    <w:p w14:paraId="1CF7FC0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38C9164E">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汶川县文联具体项目负责人以及财务人员。</w:t>
      </w:r>
    </w:p>
    <w:p w14:paraId="4FBA565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Times New Roman"/>
          <w:kern w:val="2"/>
          <w:sz w:val="32"/>
          <w:szCs w:val="32"/>
          <w:lang w:val="en-US" w:eastAsia="zh-CN" w:bidi="ar"/>
        </w:rPr>
        <w:tab/>
      </w:r>
    </w:p>
    <w:p w14:paraId="5E743FF5">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83</w:t>
      </w:r>
      <w:r>
        <w:rPr>
          <w:rFonts w:hint="eastAsia" w:ascii="仿宋_GB2312" w:hAnsi="Times New Roman" w:eastAsia="仿宋_GB2312" w:cs="仿宋_GB2312"/>
          <w:kern w:val="2"/>
          <w:sz w:val="32"/>
          <w:szCs w:val="32"/>
          <w:lang w:val="en-US" w:eastAsia="zh-CN" w:bidi="ar"/>
        </w:rPr>
        <w:t>分。</w:t>
      </w:r>
    </w:p>
    <w:p w14:paraId="6E23E53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65C99284">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1.项目决策。（总分18分，自评得分15分）</w:t>
      </w:r>
    </w:p>
    <w:p w14:paraId="3A00272B">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考核决策程序、规划论证、资金投向三项内容。项目严格按照县委宣传部文件要求立项，程序规范；围绕国家级“文艺两新”基地创建开展论证，绩效目标明确；资金全部投向基地建设、人才集聚、申报迎评等重点领域，符合财政支出方向。</w:t>
      </w:r>
    </w:p>
    <w:p w14:paraId="1383C536">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失分原因：绩效目标部分效益指标量化不足，预算编制与实际执行匹配度有待提升，扣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6ECBE940">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2.项目管理。（总分18分，自评得分14分）</w:t>
      </w:r>
    </w:p>
    <w:p w14:paraId="701790C2">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重点考核制度办法、分配管理、绩效监管。项目建立资金使用管理制度，分配依据充分、审批流程规范，按要求开展事前绩效评估、绩效自评与问题整改。</w:t>
      </w:r>
    </w:p>
    <w:p w14:paraId="4296AA97">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失分原因：绩效日常监管频次不足，部分过程资料归档不够完整，扣</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分。</w:t>
      </w:r>
    </w:p>
    <w:p w14:paraId="36486D4D">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3.项目实施。（总分9分，自评得分7分）</w:t>
      </w:r>
    </w:p>
    <w:p w14:paraId="4DAD4EAA">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重点考核预算执行、资金使用。项目预算执行总体平稳，资金专款专用、支付规范，无截留、挤占、挪用、虚列支出等问题，基地建设与迎评工作按计划推进。</w:t>
      </w:r>
    </w:p>
    <w:p w14:paraId="7D7D9DAC">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失分原因：资金支付进度与序时进度存在小幅偏差，个别环节实施节奏偏慢，扣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427B45D1">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4.项目结果。（总分9分，自评得分7分）</w:t>
      </w:r>
    </w:p>
    <w:p w14:paraId="059EA2A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重点考核目标完成、完成时效。项目顺利完成省州文联实地初评服务保障、基地氛围营造、“文艺两新”人才摸排与队伍组建等核心任务，目标完成度较高。</w:t>
      </w:r>
    </w:p>
    <w:p w14:paraId="7BEC9DC9">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失分原因：部分长效机制建设未完全达预期，个别工作存在小幅滞后，扣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110381FA">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（二）专用指标绩效分析。</w:t>
      </w:r>
    </w:p>
    <w:p w14:paraId="7A6B10BB">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行政运转（总分30分，自评得分27分）</w:t>
      </w:r>
    </w:p>
    <w:p w14:paraId="7FD2BF48">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用途合规性（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分）：资金严格用于基地建设、办公运转、迎评保障、人才服务等规定范围，无超范围支出，合规性良好。</w:t>
      </w:r>
    </w:p>
    <w:p w14:paraId="0C335ED3">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程序合规性（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分）：经费执行申请、审核、审批、支付全流程规范，决策程序合法，无逆程序操作。</w:t>
      </w:r>
    </w:p>
    <w:p w14:paraId="6FE301C2">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分）：支出标准符合财政及单位管理规定，无超标准报销、违规列支。</w:t>
      </w:r>
    </w:p>
    <w:p w14:paraId="0C1799FB">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失分原因：个别小额支出审核细节把控不严，附件完整性不足，扣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6D88ECA6">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（总分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13</w:t>
      </w:r>
      <w:r>
        <w:rPr>
          <w:rFonts w:hint="eastAsia" w:ascii="仿宋_GB2312" w:hAnsi="Times New Roman" w:eastAsia="仿宋_GB2312" w:cs="仿宋_GB2312"/>
          <w:kern w:val="2"/>
          <w:sz w:val="32"/>
          <w:szCs w:val="32"/>
          <w:lang w:val="en-US" w:eastAsia="zh-CN" w:bidi="ar"/>
        </w:rPr>
        <w:t>分）</w:t>
      </w:r>
    </w:p>
    <w:p w14:paraId="58F0BB63">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个性指标围绕“文艺两新”基地建设特色任务设置，重点考核基地创建成效、新文艺群体服务、人才集聚效果、品牌影响力、可持续发展能力等。</w:t>
      </w:r>
    </w:p>
    <w:p w14:paraId="61B8FB34">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项目完成“文艺两新”集聚区实践基地硬件提升、资料汇编、人才台账建立，顺利通过省级初评，集聚一批新文艺组织与骨干人才，社会效益显著。</w:t>
      </w:r>
    </w:p>
    <w:p w14:paraId="2B5F5FD5">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失分原因：“文艺两新”常态化活动开展频次不足，成果宣传推广力度有待加强，长效运营机制需进一步完善，扣</w:t>
      </w:r>
      <w:r>
        <w:rPr>
          <w:rFonts w:hint="default" w:ascii="Times New Roman" w:hAnsi="Times New Roman" w:eastAsia="仿宋_GB2312" w:cs="Times New Roman"/>
          <w:kern w:val="2"/>
          <w:position w:val="3"/>
          <w:sz w:val="32"/>
          <w:szCs w:val="32"/>
          <w:lang w:val="en-US" w:eastAsia="zh-CN" w:bidi="ar"/>
        </w:rPr>
        <w:t>3</w:t>
      </w:r>
      <w:r>
        <w:rPr>
          <w:rFonts w:hint="eastAsia" w:ascii="仿宋_GB2312" w:hAnsi="Times New Roman" w:eastAsia="仿宋_GB2312" w:cs="仿宋_GB2312"/>
          <w:kern w:val="2"/>
          <w:position w:val="3"/>
          <w:sz w:val="32"/>
          <w:szCs w:val="32"/>
          <w:lang w:val="en-US" w:eastAsia="zh-CN" w:bidi="ar"/>
        </w:rPr>
        <w:t>分。</w:t>
      </w:r>
    </w:p>
    <w:p w14:paraId="1D042C84">
      <w:pPr>
        <w:pStyle w:val="13"/>
        <w:keepNext w:val="0"/>
        <w:keepLines w:val="0"/>
        <w:widowControl/>
        <w:numPr>
          <w:ilvl w:val="0"/>
          <w:numId w:val="9"/>
        </w:numPr>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2"/>
          <w:sz w:val="32"/>
          <w:szCs w:val="32"/>
        </w:rPr>
      </w:pPr>
      <w:r>
        <w:rPr>
          <w:rFonts w:hint="eastAsia" w:ascii="黑体" w:hAnsi="宋体" w:eastAsia="黑体" w:cs="黑体"/>
          <w:kern w:val="2"/>
          <w:position w:val="3"/>
          <w:sz w:val="32"/>
          <w:szCs w:val="32"/>
          <w:lang w:val="en-US" w:eastAsia="zh-CN" w:bidi="ar"/>
        </w:rPr>
        <w:t>评价结论</w:t>
      </w:r>
    </w:p>
    <w:p w14:paraId="3A51F3FF">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汶川县文联“文艺两新”基地建设经费项目严格按照既定绩效评价体系执行，项目立项规范、资金使用合规、实施推进有序、创建成效显著，自评得分</w:t>
      </w:r>
      <w:r>
        <w:rPr>
          <w:rFonts w:hint="default" w:ascii="Times New Roman" w:hAnsi="Times New Roman" w:eastAsia="仿宋_GB2312" w:cs="Times New Roman"/>
          <w:kern w:val="2"/>
          <w:position w:val="3"/>
          <w:sz w:val="32"/>
          <w:szCs w:val="32"/>
          <w:lang w:val="en-US" w:eastAsia="zh-CN" w:bidi="ar"/>
        </w:rPr>
        <w:t>83</w:t>
      </w:r>
      <w:r>
        <w:rPr>
          <w:rFonts w:hint="eastAsia" w:ascii="仿宋_GB2312" w:hAnsi="Times New Roman" w:eastAsia="仿宋_GB2312" w:cs="仿宋_GB2312"/>
          <w:kern w:val="2"/>
          <w:position w:val="3"/>
          <w:sz w:val="32"/>
          <w:szCs w:val="32"/>
          <w:lang w:val="en-US" w:eastAsia="zh-CN" w:bidi="ar"/>
        </w:rPr>
        <w:t>分，绩效等级为优秀，圆满完成年度基地建设、申报迎评、人才集聚等核心任务，对推动汶川县文艺事业高质量发展具有重要意义。</w:t>
      </w:r>
    </w:p>
    <w:p w14:paraId="090DC34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738222C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1.绩效目标量化程度不足，部分效益指标不够细化，考核精准度有待提升。</w:t>
      </w:r>
    </w:p>
    <w:p w14:paraId="515B008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2.项目过程管理与档案资料精细化水平不高，绩效监管需进一步加强。</w:t>
      </w:r>
    </w:p>
    <w:p w14:paraId="42F36730">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3.预算执行进度均衡性不足，资金支付节奏需优化。</w:t>
      </w:r>
    </w:p>
    <w:p w14:paraId="06F19660">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4.“文艺两新”常态化活动、成果转化与宣传推广力度仍有提升空间。</w:t>
      </w:r>
    </w:p>
    <w:p w14:paraId="3DB43098">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5.基地长效运营、市场化支撑、可持续发展机制需持续完善。</w:t>
      </w:r>
    </w:p>
    <w:p w14:paraId="3A1AC605">
      <w:pPr>
        <w:pStyle w:val="13"/>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4E219CF3">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1.优化绩效目标管理</w:t>
      </w:r>
    </w:p>
    <w:p w14:paraId="15D6E042">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进一步量化产出指标、效益指标、满意度指标，提升绩效目标科学性、可考核性，强化预算编制精准度。</w:t>
      </w:r>
    </w:p>
    <w:p w14:paraId="62D0CD96">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2.强化全流程管控</w:t>
      </w:r>
    </w:p>
    <w:p w14:paraId="6ECB99B5">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健全资金使用、项目推进、档案管理等制度，增加日常监管频次，规范支出审核，提升管理精细化水平。</w:t>
      </w:r>
    </w:p>
    <w:p w14:paraId="7F6577F7">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3.加快预算执行进度</w:t>
      </w:r>
    </w:p>
    <w:p w14:paraId="750D9FA4">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科学制定资金使用计划，紧盯支付节点，确保预算执行均衡、高效，提高资金使用效率。</w:t>
      </w:r>
    </w:p>
    <w:p w14:paraId="5E7C01D4">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4.丰富“文艺两新”活动载体</w:t>
      </w:r>
    </w:p>
    <w:p w14:paraId="0C20C1C3">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常态化开展培训、创作、展演、交流活动，加大宣传力度，提升基地活跃度与社会影响力。</w:t>
      </w:r>
    </w:p>
    <w:p w14:paraId="2A61A60E">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5.完善长效运营机制</w:t>
      </w:r>
    </w:p>
    <w:p w14:paraId="372E9206">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健全基地管理、人才服务、资源整合机制，推动多方协同发力，保障基地持续健康运行。</w:t>
      </w:r>
    </w:p>
    <w:p w14:paraId="74BA2AD2">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 xml:space="preserve"> </w:t>
      </w:r>
    </w:p>
    <w:p w14:paraId="3FDC2242">
      <w:pPr>
        <w:keepNext w:val="0"/>
        <w:keepLines w:val="0"/>
        <w:widowControl w:val="0"/>
        <w:suppressLineNumbers w:val="0"/>
        <w:autoSpaceDE w:val="0"/>
        <w:autoSpaceDN/>
        <w:snapToGrid w:val="0"/>
        <w:spacing w:before="0" w:beforeAutospacing="0" w:after="0" w:afterAutospacing="0" w:line="578" w:lineRule="exact"/>
        <w:ind w:right="0"/>
        <w:jc w:val="both"/>
        <w:rPr>
          <w:rFonts w:hint="default" w:ascii="Times New Roman" w:hAnsi="Times New Roman" w:eastAsia="仿宋_GB2312" w:cs="Times New Roman"/>
          <w:color w:val="000000"/>
          <w:kern w:val="0"/>
          <w:sz w:val="32"/>
          <w:szCs w:val="32"/>
          <w:shd w:val="clear" w:fill="FFFFFF"/>
          <w:lang w:val="en-US" w:eastAsia="zh-CN" w:bidi="ar"/>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.部门预算项目支出绩效自评表</w:t>
      </w:r>
    </w:p>
    <w:p w14:paraId="1E408A5C">
      <w:pPr>
        <w:keepNext w:val="0"/>
        <w:keepLines w:val="0"/>
        <w:widowControl w:val="0"/>
        <w:suppressLineNumbers w:val="0"/>
        <w:autoSpaceDE w:val="0"/>
        <w:autoSpaceDN/>
        <w:snapToGrid w:val="0"/>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color w:val="000000"/>
          <w:kern w:val="0"/>
          <w:sz w:val="32"/>
          <w:szCs w:val="32"/>
          <w:shd w:val="clear" w:fill="FFFFFF"/>
        </w:rPr>
      </w:pPr>
      <w:r>
        <w:rPr>
          <w:rFonts w:hint="eastAsia" w:ascii="Times New Roman" w:hAnsi="Times New Roman" w:eastAsia="仿宋_GB2312" w:cs="Times New Roman"/>
          <w:color w:val="000000"/>
          <w:kern w:val="0"/>
          <w:sz w:val="32"/>
          <w:szCs w:val="32"/>
          <w:shd w:val="clear" w:fill="FFFFFF"/>
          <w:lang w:val="en-US" w:eastAsia="zh-CN" w:bidi="ar"/>
        </w:rPr>
        <w:br w:type="page"/>
      </w:r>
    </w:p>
    <w:p w14:paraId="1CC332F2">
      <w:pPr>
        <w:pStyle w:val="13"/>
        <w:shd w:val="clear" w:color="auto" w:fill="FFFFFF"/>
        <w:spacing w:line="560" w:lineRule="exact"/>
        <w:jc w:val="both"/>
        <w:rPr>
          <w:rFonts w:hint="eastAsia" w:ascii="方正小标宋简体" w:eastAsia="方正小标宋简体" w:cs="黑体"/>
          <w:sz w:val="44"/>
          <w:szCs w:val="44"/>
          <w:lang w:val="en-US" w:eastAsia="zh-CN"/>
        </w:rPr>
      </w:pPr>
      <w:r>
        <w:drawing>
          <wp:anchor distT="0" distB="0" distL="114300" distR="114300" simplePos="0" relativeHeight="251668480" behindDoc="0" locked="0" layoutInCell="1" allowOverlap="1">
            <wp:simplePos x="0" y="0"/>
            <wp:positionH relativeFrom="column">
              <wp:posOffset>-587375</wp:posOffset>
            </wp:positionH>
            <wp:positionV relativeFrom="paragraph">
              <wp:posOffset>193040</wp:posOffset>
            </wp:positionV>
            <wp:extent cx="6242050" cy="6619240"/>
            <wp:effectExtent l="0" t="0" r="6350" b="10160"/>
            <wp:wrapNone/>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7"/>
                    <a:stretch>
                      <a:fillRect/>
                    </a:stretch>
                  </pic:blipFill>
                  <pic:spPr>
                    <a:xfrm>
                      <a:off x="0" y="0"/>
                      <a:ext cx="6242050" cy="6619240"/>
                    </a:xfrm>
                    <a:prstGeom prst="rect">
                      <a:avLst/>
                    </a:prstGeom>
                    <a:noFill/>
                    <a:ln>
                      <a:noFill/>
                    </a:ln>
                  </pic:spPr>
                </pic:pic>
              </a:graphicData>
            </a:graphic>
          </wp:anchor>
        </w:drawing>
      </w:r>
    </w:p>
    <w:p w14:paraId="6A3FFDE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588ACF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1F24337">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976611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1F57AC1">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289854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69AEDF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09739EC">
      <w:pPr>
        <w:pStyle w:val="13"/>
        <w:shd w:val="clear" w:color="auto" w:fill="FFFFFF"/>
        <w:spacing w:line="560" w:lineRule="exact"/>
        <w:jc w:val="both"/>
        <w:rPr>
          <w:rFonts w:hint="eastAsia" w:ascii="方正小标宋简体" w:eastAsia="方正小标宋简体" w:cs="黑体"/>
          <w:sz w:val="44"/>
          <w:szCs w:val="44"/>
          <w:lang w:val="en-US" w:eastAsia="zh-CN"/>
        </w:rPr>
      </w:pPr>
    </w:p>
    <w:p w14:paraId="3382A311">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22206C6">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E6F5AFD">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C5AF6AE">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5BDEF92">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BDA771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34C099B2">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CAF132C">
      <w:pPr>
        <w:keepNext w:val="0"/>
        <w:keepLines w:val="0"/>
        <w:widowControl w:val="0"/>
        <w:suppressLineNumbers w:val="0"/>
        <w:spacing w:before="0" w:beforeAutospacing="0" w:after="0" w:afterAutospacing="0"/>
        <w:ind w:left="0" w:right="0"/>
        <w:jc w:val="center"/>
        <w:rPr>
          <w:rFonts w:hint="eastAsia" w:ascii="Times New Roman" w:hAnsi="Times New Roman" w:eastAsia="仿宋_GB2312" w:cs="Times New Roman"/>
          <w:kern w:val="2"/>
          <w:sz w:val="32"/>
          <w:szCs w:val="32"/>
        </w:rPr>
      </w:pPr>
      <w:r>
        <w:rPr>
          <w:rFonts w:hint="eastAsia" w:ascii="方正小标宋简体" w:hAnsi="方正小标宋简体" w:eastAsia="方正小标宋简体" w:cs="方正小标宋简体"/>
          <w:b/>
          <w:bCs/>
          <w:kern w:val="2"/>
          <w:sz w:val="44"/>
          <w:szCs w:val="44"/>
          <w:lang w:val="en-US" w:eastAsia="zh-CN" w:bidi="ar"/>
        </w:rPr>
        <w:t>激励工作经费专项预算项目绩效评价报告</w:t>
      </w:r>
    </w:p>
    <w:p w14:paraId="454439B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059D78E8">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本项目为汶川县文学艺术界联合会激励工作经费，资金来源于中共汶川县委宣传部〔2025〕12号文件，专项用于对年度工作考评优秀单位给予激励保障，支持优秀文艺作品展陈、文艺宣传、文艺活动开展、文艺队伍建设等工作，以激励先进、示范带动，提升全县文艺工作整体水平，促进文化软实力提升，服务汶川县经济社会高质量发展。</w:t>
      </w:r>
    </w:p>
    <w:p w14:paraId="43271BE8">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b w:val="0"/>
          <w:bCs/>
          <w:kern w:val="0"/>
          <w:sz w:val="32"/>
          <w:szCs w:val="32"/>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b w:val="0"/>
          <w:bCs/>
          <w:kern w:val="0"/>
          <w:sz w:val="32"/>
          <w:szCs w:val="32"/>
          <w:lang w:val="en-US" w:eastAsia="zh-CN" w:bidi="ar"/>
        </w:rPr>
        <w:t>有效激发单位文艺工作积极性，推动优秀文艺作品创作展演、群众文化活动开展，营造了崇尚先进、争当优秀的良好文艺工作氛围，项目具有鲜明的导向性、激励性与可持续性。</w:t>
      </w:r>
    </w:p>
    <w:p w14:paraId="39BCA8EC">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b w:val="0"/>
          <w:bCs/>
          <w:kern w:val="0"/>
          <w:sz w:val="32"/>
          <w:szCs w:val="32"/>
          <w:lang w:val="en-US" w:eastAsia="zh-CN" w:bidi="ar"/>
        </w:rPr>
        <w:t>专项用于对年度工作考评优秀单位给予激励保障，支持优秀文艺作品展陈、文艺宣传、文艺活动开展、文艺队伍建设等工作，以激励先进、示范带动，提升全县文艺工作整体水平，促进文化软实力提升，服务汶川县经济社会高质量发展。</w:t>
      </w:r>
    </w:p>
    <w:p w14:paraId="06F5DF12">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根据项目具体情况设置一级指标4个，分别为产出指标、效益指标、满意度指标、成本指标以及相对应二级指标5个分别为质量指标、时效指标、社会效益指标、服务对象满意度指标、经济成本指标各指标按要求完成，达到年初绩效目标，自评得分86分。</w:t>
      </w:r>
    </w:p>
    <w:p w14:paraId="5E175A5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40A1797D">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00D37596">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保质保量完成本年度工作、服务对象满意度、资金支付及时率等。</w:t>
      </w:r>
    </w:p>
    <w:p w14:paraId="35514619">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汶川县文联。</w:t>
      </w:r>
    </w:p>
    <w:p w14:paraId="3109A960">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4B829462">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汶川县文联具体项目负责人以及财务人员。</w:t>
      </w:r>
    </w:p>
    <w:p w14:paraId="7818587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Times New Roman"/>
          <w:kern w:val="2"/>
          <w:sz w:val="32"/>
          <w:szCs w:val="32"/>
          <w:lang w:val="en-US" w:eastAsia="zh-CN" w:bidi="ar"/>
        </w:rPr>
        <w:tab/>
      </w:r>
    </w:p>
    <w:p w14:paraId="51664927">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86</w:t>
      </w:r>
      <w:r>
        <w:rPr>
          <w:rFonts w:hint="eastAsia" w:ascii="仿宋_GB2312" w:hAnsi="Times New Roman" w:eastAsia="仿宋_GB2312" w:cs="仿宋_GB2312"/>
          <w:kern w:val="2"/>
          <w:sz w:val="32"/>
          <w:szCs w:val="32"/>
          <w:lang w:val="en-US" w:eastAsia="zh-CN" w:bidi="ar"/>
        </w:rPr>
        <w:t>分。</w:t>
      </w:r>
    </w:p>
    <w:p w14:paraId="75E332D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4B859A66">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1.项目决策。（总分18分，自评得分15分）</w:t>
      </w:r>
    </w:p>
    <w:p w14:paraId="291C900E">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评价决策程序、规划论证、资金投向。项目依据县委宣传部文件规范立项，符合全县文艺事业发展规划；事前开展绩效评估，立项必要性、可行性充分；资金全部用于优秀单位激励、文艺作品展、文艺宣传服务等重点方向，不交叉、不重复、不“撒胡椒面”。</w:t>
      </w:r>
    </w:p>
    <w:p w14:paraId="0CCE44F6">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失分原因：绩效目标部分效益指标量化程度仍有提升空间，预算编制精准度需进一步加强，扣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6EE80E44">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2.项目管理。（总分18分，自评得分15分）</w:t>
      </w:r>
    </w:p>
    <w:p w14:paraId="5C04AE4B">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评价制度办法、分配管理、绩效监管。项目资金管理制度健全，分配依据充分、程序规范、公开公正；严格执行预算绩效管理要求，完成事前评估、绩效运行、问题整改等工作；内部监管到位，资金使用安全可控。</w:t>
      </w:r>
    </w:p>
    <w:p w14:paraId="21F54455">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失分原因：绩效日常动态监管频次不足，过程资料归档完整性有待提升，扣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6E196594">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3.项目实施。（总分9分，自评得分7分）</w:t>
      </w:r>
    </w:p>
    <w:p w14:paraId="26533B09">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重点评价预算执行、资金使用。财政资金及时拨付，单位资金支付规范，严格专款专用；无截留、挤占、挪用、虚列支出、超标准开支等情况，激励资金及时兑现到位，项目实施有序推进。</w:t>
      </w:r>
    </w:p>
    <w:p w14:paraId="0EDC1AF1">
      <w:pPr>
        <w:keepNext w:val="0"/>
        <w:keepLines w:val="0"/>
        <w:widowControl w:val="0"/>
        <w:suppressLineNumbers w:val="0"/>
        <w:autoSpaceDE w:val="0"/>
        <w:autoSpaceDN/>
        <w:spacing w:before="0" w:beforeAutospacing="0" w:after="0" w:afterAutospacing="0"/>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失分原因：资金支付进度与序时进度存在小幅偏差，个别环节执行节奏偏缓，扣</w:t>
      </w: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分。</w:t>
      </w:r>
    </w:p>
    <w:p w14:paraId="40CB28B4">
      <w:pPr>
        <w:keepNext w:val="0"/>
        <w:keepLines w:val="0"/>
        <w:widowControl w:val="0"/>
        <w:suppressLineNumbers w:val="0"/>
        <w:autoSpaceDE w:val="0"/>
        <w:autoSpaceDN/>
        <w:spacing w:before="0" w:beforeAutospacing="0" w:after="0" w:afterAutospacing="0"/>
        <w:ind w:left="420" w:leftChars="200" w:right="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4.项目结果。（总分9分，自评得分8分）</w:t>
      </w:r>
    </w:p>
    <w:p w14:paraId="6A460974">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重点评价目标完成、完成时效。项目按计划完成优秀单位激励、优秀文艺作品展览、文艺宣传服务等年度任务，目标完成度高、实施时效良好，有效发挥激励导向作用，社会效益明显。</w:t>
      </w:r>
    </w:p>
    <w:p w14:paraId="02E08DDD">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失分原因：部分长效激励机制建设未完全落地，扣</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分。</w:t>
      </w:r>
    </w:p>
    <w:p w14:paraId="2EE9A1C1">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（二）专用指标绩效分析。</w:t>
      </w:r>
    </w:p>
    <w:p w14:paraId="6835F894">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行政运转（总分30分，自评得分27分）</w:t>
      </w:r>
    </w:p>
    <w:p w14:paraId="0A50B918">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用途合规性（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分）：资金严格按规定用于激励优秀单位、文艺活动、宣传服务等指定范围，无超范围、超用途支出。</w:t>
      </w:r>
    </w:p>
    <w:p w14:paraId="4DC199F0">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程序合规性（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分）：资金分配、审核、审批、拨付全流程规范，决策民主、手续完备，无逆程序、违规审批情况。</w:t>
      </w:r>
    </w:p>
    <w:p w14:paraId="7749E101">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分）：严格执行财政及单位支出标准，无超标准报销、违规列支，支出管控严格。</w:t>
      </w:r>
    </w:p>
    <w:p w14:paraId="51632BFB">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失分原因：个别支出附件资料不够完善，细节审核存在小幅疏漏，扣</w:t>
      </w: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分。</w:t>
      </w:r>
    </w:p>
    <w:p w14:paraId="708F9F0F">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（总分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73379B9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个性指标围绕文艺激励、作品展演、文化宣传、队伍带动、事业促进等特色工作设置，重点评价激励效果、文艺活动成效、群众满意度、示范带动作用、可持续性等。</w:t>
      </w:r>
    </w:p>
    <w:p w14:paraId="42BA35C4">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项目有效激励先进单位推出优秀文艺作品，成功举办文艺作品展等活动，宣传汶川、讴歌时代，提升了全县文艺工作积极性与创作热情，文艺队伍凝聚力、文艺事业活跃度显著增强，群众满意度高，项目可持续性强。</w:t>
      </w:r>
    </w:p>
    <w:p w14:paraId="0AC1869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失分原因：激励成果宣传覆盖面有待扩大，示范带动效应的长效化机制需进一步完善，扣</w:t>
      </w:r>
      <w:r>
        <w:rPr>
          <w:rFonts w:hint="default" w:ascii="Times New Roman" w:hAnsi="Times New Roman" w:eastAsia="仿宋_GB2312" w:cs="Times New Roman"/>
          <w:kern w:val="2"/>
          <w:position w:val="3"/>
          <w:sz w:val="32"/>
          <w:szCs w:val="32"/>
          <w:lang w:val="en-US" w:eastAsia="zh-CN" w:bidi="ar"/>
        </w:rPr>
        <w:t>2</w:t>
      </w:r>
      <w:r>
        <w:rPr>
          <w:rFonts w:hint="eastAsia" w:ascii="仿宋_GB2312" w:hAnsi="Times New Roman" w:eastAsia="仿宋_GB2312" w:cs="仿宋_GB2312"/>
          <w:kern w:val="2"/>
          <w:position w:val="3"/>
          <w:sz w:val="32"/>
          <w:szCs w:val="32"/>
          <w:lang w:val="en-US" w:eastAsia="zh-CN" w:bidi="ar"/>
        </w:rPr>
        <w:t>分。</w:t>
      </w:r>
    </w:p>
    <w:p w14:paraId="646B4056">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2"/>
          <w:sz w:val="32"/>
          <w:szCs w:val="32"/>
        </w:rPr>
      </w:pPr>
      <w:r>
        <w:rPr>
          <w:rFonts w:hint="eastAsia" w:ascii="黑体" w:hAnsi="宋体" w:eastAsia="黑体" w:cs="黑体"/>
          <w:kern w:val="2"/>
          <w:position w:val="3"/>
          <w:sz w:val="32"/>
          <w:szCs w:val="32"/>
          <w:lang w:val="en-US" w:eastAsia="zh-CN" w:bidi="ar"/>
        </w:rPr>
        <w:t>四、评价结论</w:t>
      </w:r>
    </w:p>
    <w:p w14:paraId="63AA9141">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position w:val="3"/>
          <w:sz w:val="32"/>
          <w:szCs w:val="32"/>
          <w:lang w:val="en-US" w:eastAsia="zh-CN" w:bidi="ar"/>
        </w:rPr>
        <w:t>汶川县文联激励工作经费项目立项依据充分、程序规范，资金使用合规、监管到位，实施成效显著、激励作用突出，自评得分</w:t>
      </w:r>
      <w:r>
        <w:rPr>
          <w:rFonts w:hint="default" w:ascii="Times New Roman" w:hAnsi="Times New Roman" w:eastAsia="仿宋_GB2312" w:cs="Times New Roman"/>
          <w:kern w:val="2"/>
          <w:position w:val="3"/>
          <w:sz w:val="32"/>
          <w:szCs w:val="32"/>
          <w:lang w:val="en-US" w:eastAsia="zh-CN" w:bidi="ar"/>
        </w:rPr>
        <w:t>86</w:t>
      </w:r>
      <w:r>
        <w:rPr>
          <w:rFonts w:hint="eastAsia" w:ascii="仿宋_GB2312" w:hAnsi="Times New Roman" w:eastAsia="仿宋_GB2312" w:cs="仿宋_GB2312"/>
          <w:kern w:val="2"/>
          <w:position w:val="3"/>
          <w:sz w:val="32"/>
          <w:szCs w:val="32"/>
          <w:lang w:val="en-US" w:eastAsia="zh-CN" w:bidi="ar"/>
        </w:rPr>
        <w:t>分，绩效等级为优秀，全面完成年度各项绩效目标，对推动汶川县文艺事业繁荣发展、提升文化软实力具有重要作用。</w:t>
      </w:r>
    </w:p>
    <w:p w14:paraId="71795F7E">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610EB959">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1.绩效目标量化细化程度不足，部分效益指标可考核性有待提升。</w:t>
      </w:r>
    </w:p>
    <w:p w14:paraId="376F1F43">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2.项目过程管理与档案资料精细化水平需进一步加强。</w:t>
      </w:r>
    </w:p>
    <w:p w14:paraId="3DB36852">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3.预算执行均衡性不足，资金支付节奏需优化。</w:t>
      </w:r>
    </w:p>
    <w:p w14:paraId="3796BDCA">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4.激励成果宣传推广、示范带动的覆盖面与长效性仍有提升空间。</w:t>
      </w:r>
    </w:p>
    <w:p w14:paraId="3BF0937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5F751C76">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1.强化绩效目标管理</w:t>
      </w:r>
    </w:p>
    <w:p w14:paraId="1228D4AB">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进一步量化产出、效益、满意度指标，提升绩效目标科学性、精准性，强化预算编制与执行衔接。</w:t>
      </w:r>
    </w:p>
    <w:p w14:paraId="122971E5">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2.提升过程管控水平</w:t>
      </w:r>
    </w:p>
    <w:p w14:paraId="5E00B9B6">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完善资金使用、活动组织、档案归集等全流程管理，加强日常绩效监管，提升规范化、精细化水平。</w:t>
      </w:r>
    </w:p>
    <w:p w14:paraId="2589C580">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3.加快预算执行进度</w:t>
      </w:r>
    </w:p>
    <w:p w14:paraId="21F6C9D4">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科学制定用款计划，紧盯支付节点，确保资金执行均衡高效。</w:t>
      </w:r>
    </w:p>
    <w:p w14:paraId="545D8C1A">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4.扩大激励示范效应</w:t>
      </w:r>
    </w:p>
    <w:p w14:paraId="221B83FA">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加大优秀成果宣传力度，健全长效激励机制，推动文艺工作整体提质增效，持续提升文化惠民效果。</w:t>
      </w:r>
    </w:p>
    <w:p w14:paraId="0634F54E">
      <w:pPr>
        <w:keepNext w:val="0"/>
        <w:keepLines w:val="0"/>
        <w:widowControl w:val="0"/>
        <w:suppressLineNumbers w:val="0"/>
        <w:autoSpaceDE w:val="0"/>
        <w:autoSpaceDN/>
        <w:snapToGrid w:val="0"/>
        <w:spacing w:before="0" w:beforeAutospacing="0" w:after="0" w:afterAutospacing="0" w:line="578" w:lineRule="exact"/>
        <w:ind w:left="0" w:right="0" w:firstLine="640" w:firstLineChars="200"/>
        <w:jc w:val="both"/>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 xml:space="preserve"> </w:t>
      </w:r>
    </w:p>
    <w:p w14:paraId="5FFCC067">
      <w:pPr>
        <w:keepNext w:val="0"/>
        <w:keepLines w:val="0"/>
        <w:widowControl w:val="0"/>
        <w:suppressLineNumbers w:val="0"/>
        <w:autoSpaceDE w:val="0"/>
        <w:autoSpaceDN/>
        <w:snapToGrid w:val="0"/>
        <w:spacing w:before="0" w:beforeAutospacing="0" w:after="0" w:afterAutospacing="0" w:line="578" w:lineRule="exact"/>
        <w:ind w:right="0"/>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.部门预算项目支出绩效自评表</w:t>
      </w:r>
    </w:p>
    <w:p w14:paraId="1D29A7E7">
      <w:pPr>
        <w:keepNext w:val="0"/>
        <w:keepLines w:val="0"/>
        <w:widowControl/>
        <w:suppressLineNumbers w:val="0"/>
        <w:autoSpaceDE w:val="0"/>
        <w:autoSpaceDN/>
        <w:adjustRightInd w:val="0"/>
        <w:snapToGrid w:val="0"/>
        <w:spacing w:before="0" w:beforeAutospacing="0" w:after="0" w:afterAutospacing="0" w:line="578" w:lineRule="exact"/>
        <w:ind w:left="0" w:right="0"/>
        <w:contextualSpacing/>
        <w:jc w:val="left"/>
        <w:rPr>
          <w:rFonts w:hint="eastAsia" w:ascii="黑体" w:hAnsi="宋体" w:eastAsia="黑体" w:cs="黑体"/>
          <w:b w:val="0"/>
          <w:bCs w:val="0"/>
          <w:kern w:val="0"/>
          <w:sz w:val="32"/>
          <w:szCs w:val="32"/>
          <w:shd w:val="clear" w:fill="FFFFFF"/>
          <w:lang w:val="en-US" w:eastAsia="zh-CN" w:bidi="ar"/>
        </w:rPr>
      </w:pPr>
    </w:p>
    <w:p w14:paraId="2C4C2373">
      <w:pPr>
        <w:pStyle w:val="13"/>
        <w:shd w:val="clear" w:color="auto" w:fill="FFFFFF"/>
        <w:spacing w:line="560" w:lineRule="exact"/>
        <w:jc w:val="both"/>
        <w:rPr>
          <w:rFonts w:hint="eastAsia" w:ascii="方正小标宋简体" w:eastAsia="方正小标宋简体" w:cs="黑体"/>
          <w:sz w:val="44"/>
          <w:szCs w:val="44"/>
          <w:lang w:val="en-US" w:eastAsia="zh-CN"/>
        </w:rPr>
      </w:pPr>
      <w:r>
        <w:drawing>
          <wp:anchor distT="0" distB="0" distL="114300" distR="114300" simplePos="0" relativeHeight="251669504" behindDoc="0" locked="0" layoutInCell="1" allowOverlap="1">
            <wp:simplePos x="0" y="0"/>
            <wp:positionH relativeFrom="column">
              <wp:posOffset>-325755</wp:posOffset>
            </wp:positionH>
            <wp:positionV relativeFrom="paragraph">
              <wp:posOffset>168910</wp:posOffset>
            </wp:positionV>
            <wp:extent cx="5918200" cy="5337810"/>
            <wp:effectExtent l="0" t="0" r="6350" b="15240"/>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8"/>
                    <a:stretch>
                      <a:fillRect/>
                    </a:stretch>
                  </pic:blipFill>
                  <pic:spPr>
                    <a:xfrm>
                      <a:off x="0" y="0"/>
                      <a:ext cx="5918200" cy="5337810"/>
                    </a:xfrm>
                    <a:prstGeom prst="rect">
                      <a:avLst/>
                    </a:prstGeom>
                    <a:noFill/>
                    <a:ln>
                      <a:noFill/>
                    </a:ln>
                  </pic:spPr>
                </pic:pic>
              </a:graphicData>
            </a:graphic>
          </wp:anchor>
        </w:drawing>
      </w:r>
    </w:p>
    <w:p w14:paraId="02C9241B">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C7F0466">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F0DEAE7">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429D448">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BB5803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94EAA47">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A8714C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39447F93">
      <w:pPr>
        <w:pStyle w:val="13"/>
        <w:shd w:val="clear" w:color="auto" w:fill="FFFFFF"/>
        <w:spacing w:line="560" w:lineRule="exact"/>
        <w:jc w:val="both"/>
        <w:rPr>
          <w:rFonts w:hint="eastAsia" w:ascii="方正小标宋简体" w:eastAsia="方正小标宋简体" w:cs="黑体"/>
          <w:sz w:val="44"/>
          <w:szCs w:val="44"/>
          <w:lang w:val="en-US" w:eastAsia="zh-CN"/>
        </w:rPr>
      </w:pPr>
    </w:p>
    <w:p w14:paraId="7E3F44FC">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D2D366D">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29F78B8">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4AAE516">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A98830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73EF659">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197C3C4">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9BBCF95">
      <w:pPr>
        <w:keepNext w:val="0"/>
        <w:keepLines w:val="0"/>
        <w:widowControl w:val="0"/>
        <w:suppressLineNumbers w:val="0"/>
        <w:spacing w:before="0" w:beforeAutospacing="0" w:after="0" w:afterAutospacing="0"/>
        <w:ind w:left="0" w:right="0"/>
        <w:jc w:val="center"/>
        <w:rPr>
          <w:rFonts w:hint="eastAsia" w:ascii="宋体" w:hAnsi="宋体" w:eastAsia="仿宋_GB2312" w:cs="Times New Roman"/>
          <w:kern w:val="2"/>
          <w:sz w:val="32"/>
          <w:szCs w:val="32"/>
        </w:rPr>
      </w:pPr>
      <w:r>
        <w:rPr>
          <w:rFonts w:hint="eastAsia" w:ascii="仿宋_GB2312" w:hAnsi="Times New Roman" w:eastAsia="仿宋_GB2312" w:cs="仿宋_GB2312"/>
          <w:b/>
          <w:bCs/>
          <w:kern w:val="2"/>
          <w:sz w:val="44"/>
          <w:szCs w:val="44"/>
          <w:lang w:val="en-US" w:eastAsia="zh-CN" w:bidi="ar"/>
        </w:rPr>
        <w:t>社科基金专项预算项目绩效评价报告范本</w:t>
      </w:r>
    </w:p>
    <w:p w14:paraId="778D052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6EAF3EF9">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eastAsia="仿宋_GB2312" w:cs="仿宋_GB2312"/>
          <w:kern w:val="0"/>
          <w:sz w:val="32"/>
          <w:szCs w:val="32"/>
          <w:shd w:val="clear" w:fill="FFFFFF"/>
        </w:rPr>
      </w:pPr>
      <w:r>
        <w:rPr>
          <w:rFonts w:hint="eastAsia" w:ascii="楷体_GB2312" w:hAnsi="宋体"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《关于公布2023年-2024年度州社科资金项目结项课题名单的通知》（阿州社联〔2024〕17号）</w:t>
      </w:r>
    </w:p>
    <w:p w14:paraId="771E14B6">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eastAsia" w:ascii="仿宋_GB2312" w:hAnsi="仿宋_GB2312" w:eastAsia="楷体_GB2312" w:cs="宋体"/>
          <w:b w:val="0"/>
          <w:bCs/>
          <w:kern w:val="0"/>
          <w:sz w:val="32"/>
          <w:szCs w:val="32"/>
        </w:rPr>
      </w:pPr>
      <w:r>
        <w:rPr>
          <w:rFonts w:hint="eastAsia" w:ascii="楷体_GB2312" w:hAnsi="宋体"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b w:val="0"/>
          <w:bCs/>
          <w:kern w:val="0"/>
          <w:sz w:val="32"/>
          <w:szCs w:val="32"/>
          <w:lang w:val="en-US" w:eastAsia="zh-CN" w:bidi="ar"/>
        </w:rPr>
        <w:t>王明军主持的阿坝州国家全域旅游示范区建设路径研究论文资助经费0.7万元。</w:t>
      </w:r>
    </w:p>
    <w:p w14:paraId="39A3C54E">
      <w:pPr>
        <w:keepNext w:val="0"/>
        <w:keepLines w:val="0"/>
        <w:widowControl w:val="0"/>
        <w:suppressLineNumbers w:val="0"/>
        <w:spacing w:before="0" w:beforeAutospacing="0" w:after="0" w:afterAutospacing="0"/>
        <w:ind w:left="0" w:right="0" w:firstLine="643" w:firstLineChars="200"/>
        <w:jc w:val="both"/>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b w:val="0"/>
          <w:bCs/>
          <w:kern w:val="0"/>
          <w:sz w:val="32"/>
          <w:szCs w:val="32"/>
          <w:lang w:val="en-US" w:eastAsia="zh-CN" w:bidi="ar"/>
        </w:rPr>
        <w:t>我县2023-2024共有5个单位6名工作人员所承担的州社科资金项目课题已准予结项。州社科联根据《关于印发&lt;阿坝州社会科学事业专项资金管理办法（试行）》的通知（阿州财教〔2024〕58号）精神，给予课题资助经费已拨付到县财政局。按文件要求支付资金。</w:t>
      </w:r>
    </w:p>
    <w:p w14:paraId="1AE13D2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eastAsia="仿宋_GB2312" w:cs="宋体"/>
          <w:b w:val="0"/>
          <w:bCs/>
          <w:kern w:val="0"/>
          <w:sz w:val="32"/>
          <w:szCs w:val="32"/>
        </w:rPr>
      </w:pPr>
      <w:r>
        <w:rPr>
          <w:rFonts w:hint="eastAsia" w:ascii="楷体_GB2312" w:hAnsi="宋体"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b w:val="0"/>
          <w:bCs/>
          <w:kern w:val="0"/>
          <w:sz w:val="32"/>
          <w:szCs w:val="32"/>
          <w:lang w:val="en-US" w:eastAsia="zh-CN" w:bidi="ar"/>
        </w:rPr>
        <w:t>根据项目具体情况设置一级指标3个，分别为产出指标、效益指标、满意度指标，以及相对应二级指标5个分别为数量指标、质量指标、时效指标、社会效益指标、服务对象满意度指标各指标按要求完成，达到年初绩效目标，自评得分89。</w:t>
      </w:r>
    </w:p>
    <w:p w14:paraId="28E6471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黑体" w:hAnsi="宋体"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6F440E29">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对年初目标绩效进行综合评价，有效监控专项资金使用情况。</w:t>
      </w:r>
    </w:p>
    <w:p w14:paraId="53511A54">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default"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课题研究成果数量、应结项目通过率、人才培养扶持数量。</w:t>
      </w:r>
    </w:p>
    <w:p w14:paraId="71AF1F18">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汶川县文联。</w:t>
      </w:r>
    </w:p>
    <w:p w14:paraId="222F4715">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楷体_GB2312" w:hAnsi="宋体"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单位自评。</w:t>
      </w:r>
    </w:p>
    <w:p w14:paraId="4F8DC5A7">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bCs/>
          <w:kern w:val="2"/>
          <w:sz w:val="32"/>
          <w:szCs w:val="32"/>
        </w:rPr>
      </w:pPr>
      <w:r>
        <w:rPr>
          <w:rFonts w:hint="eastAsia" w:ascii="楷体_GB2312" w:hAnsi="宋体"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汶川县文联具体项目负责人以及财务人员。</w:t>
      </w:r>
    </w:p>
    <w:p w14:paraId="5662080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eastAsia" w:ascii="仿宋_GB2312" w:hAnsi="宋体"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eastAsia" w:ascii="仿宋_GB2312" w:hAnsi="宋体" w:eastAsia="仿宋_GB2312" w:cs="Times New Roman"/>
          <w:kern w:val="2"/>
          <w:sz w:val="32"/>
          <w:szCs w:val="32"/>
          <w:lang w:val="en-US" w:eastAsia="zh-CN" w:bidi="ar"/>
        </w:rPr>
        <w:tab/>
      </w:r>
    </w:p>
    <w:p w14:paraId="07FE0E68">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根据项目预算绩效评价指标体系</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通用指标</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“专用指标”“个性指标”涉及二、三级指标进行逐项绩效分析并评分。综合评分</w:t>
      </w:r>
      <w:r>
        <w:rPr>
          <w:rFonts w:hint="default" w:ascii="Times New Roman" w:hAnsi="Times New Roman" w:eastAsia="仿宋_GB2312" w:cs="Times New Roman"/>
          <w:kern w:val="2"/>
          <w:sz w:val="32"/>
          <w:szCs w:val="32"/>
          <w:lang w:val="en-US" w:eastAsia="zh-CN" w:bidi="ar"/>
        </w:rPr>
        <w:t>89</w:t>
      </w:r>
      <w:r>
        <w:rPr>
          <w:rFonts w:hint="eastAsia" w:ascii="仿宋_GB2312" w:hAnsi="Times New Roman" w:eastAsia="仿宋_GB2312" w:cs="仿宋_GB2312"/>
          <w:kern w:val="2"/>
          <w:sz w:val="32"/>
          <w:szCs w:val="32"/>
          <w:lang w:val="en-US" w:eastAsia="zh-CN" w:bidi="ar"/>
        </w:rPr>
        <w:t>分。</w:t>
      </w:r>
    </w:p>
    <w:p w14:paraId="22C9B31D">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hAnsi="宋体" w:eastAsia="楷体_GB2312" w:cs="Times New Roman"/>
          <w:b/>
          <w:bCs w:val="0"/>
          <w:kern w:val="2"/>
          <w:sz w:val="32"/>
          <w:szCs w:val="32"/>
        </w:rPr>
      </w:pPr>
      <w:r>
        <w:rPr>
          <w:rFonts w:hint="eastAsia" w:ascii="楷体_GB2312" w:hAnsi="宋体"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0AFED4E0">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1.项目决策。（总分18分，自评得分16分）</w:t>
      </w:r>
    </w:p>
    <w:p w14:paraId="53422B59">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项目决策程序严密、规划科学、投向精准，整体执行规范高效。</w:t>
      </w:r>
    </w:p>
    <w:p w14:paraId="5B84473A">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决策程序：项目设立、延续、结项均严格依据州社科联、县财政相关文件要求，程序合规，无违规事项。</w:t>
      </w:r>
    </w:p>
    <w:p w14:paraId="6BC891DB">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规划论证：课题立项紧扣阿坝州文旅融合、全域旅游发展重点，绩效目标设置科学、量化清晰，与地方发展需求高度匹配。</w:t>
      </w:r>
    </w:p>
    <w:p w14:paraId="5E257178">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资金投向：专项资金聚焦社科研究核心环节，专款专用，不交叉、不重复、不“撒胡椒面”，精准支持课题研究与论文成果产出。</w:t>
      </w:r>
    </w:p>
    <w:p w14:paraId="57A9E6F1">
      <w:pPr>
        <w:keepNext w:val="0"/>
        <w:keepLines w:val="0"/>
        <w:widowControl w:val="0"/>
        <w:suppressLineNumbers w:val="0"/>
        <w:autoSpaceDE w:val="0"/>
        <w:autoSpaceDN/>
        <w:spacing w:before="0" w:beforeAutospacing="0" w:after="0" w:afterAutospacing="0" w:line="578" w:lineRule="exact"/>
        <w:ind w:left="0" w:right="0" w:firstLine="64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扣分原因：绩效目标量化细化程度仍有提升空间，个别指标表述可进一步精简规范。</w:t>
      </w:r>
    </w:p>
    <w:p w14:paraId="421C1E43">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2.项目管理。（总分18分，自评得分16分）</w:t>
      </w:r>
    </w:p>
    <w:p w14:paraId="02D1113A">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管理制度健全，资金分配与绩效监管到位，管理水平较高。</w:t>
      </w:r>
    </w:p>
    <w:p w14:paraId="42DD3B9F">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制度办法：严格执行州、县社科资金管理办法，制度体系完备，无过期、缺失情况。</w:t>
      </w:r>
    </w:p>
    <w:p w14:paraId="444BACB9">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分配管理：资金分配依据充分、程序规范，审批流程完整，分配公平合理，未出现超期分配、决策不合规问题。</w:t>
      </w:r>
    </w:p>
    <w:p w14:paraId="478E5AD2">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绩效监管：全面完成绩效目标申报、结项评价、问题整改等工作，对课题实施全过程跟踪督导，指导有力。</w:t>
      </w:r>
    </w:p>
    <w:p w14:paraId="2E1B2A56">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扣分原因：绩效过程管理资料归档的完整性、及时性有待加强。</w:t>
      </w:r>
    </w:p>
    <w:p w14:paraId="6453E8F7">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3.项目实施。（总分9分，自评得分8分）</w:t>
      </w:r>
    </w:p>
    <w:p w14:paraId="46F2CF33">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预算执行高效，资金使用规范，未发生违规使用情形。</w:t>
      </w:r>
    </w:p>
    <w:p w14:paraId="458029CF">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预算执行：财政资金已足额拨付至财政代管账户，单位支付流程有序推进，执行率接近</w:t>
      </w:r>
      <w:r>
        <w:rPr>
          <w:rFonts w:hint="default" w:ascii="Times New Roman" w:hAnsi="Times New Roman" w:eastAsia="仿宋_GB2312" w:cs="Times New Roman"/>
          <w:kern w:val="2"/>
          <w:sz w:val="32"/>
          <w:szCs w:val="32"/>
          <w:lang w:val="en-US" w:eastAsia="zh-CN" w:bidi="ar"/>
        </w:rPr>
        <w:t>100%</w:t>
      </w:r>
      <w:r>
        <w:rPr>
          <w:rFonts w:hint="eastAsia" w:ascii="仿宋_GB2312" w:hAnsi="Times New Roman" w:eastAsia="仿宋_GB2312" w:cs="仿宋_GB2312"/>
          <w:kern w:val="2"/>
          <w:sz w:val="32"/>
          <w:szCs w:val="32"/>
          <w:lang w:val="en-US" w:eastAsia="zh-CN" w:bidi="ar"/>
        </w:rPr>
        <w:t>。</w:t>
      </w:r>
    </w:p>
    <w:p w14:paraId="27C14D17">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资金使用：资金使用符合财经法规与专项资金管理要求，无超范围、超标准、挤占、挪用、虚列支出等问题。</w:t>
      </w:r>
    </w:p>
    <w:p w14:paraId="76A5EE09">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扣分原因：资金支付尚未最终完成，支付进度略有滞后。</w:t>
      </w:r>
    </w:p>
    <w:p w14:paraId="632FA7AC">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4.项目结果。（总分9分，自评得分7分）</w:t>
      </w:r>
    </w:p>
    <w:p w14:paraId="515082CA">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项目总体完成预期目标，产出与效益达标，时效与质量符合要求。</w:t>
      </w:r>
    </w:p>
    <w:p w14:paraId="74BDB9BD">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目标完成：课题按期结项，成果合格，产出指标、效益指标、满意度指标</w:t>
      </w:r>
      <w:r>
        <w:rPr>
          <w:rFonts w:hint="default" w:ascii="Times New Roman" w:hAnsi="Times New Roman" w:eastAsia="仿宋_GB2312" w:cs="Times New Roman"/>
          <w:kern w:val="2"/>
          <w:sz w:val="32"/>
          <w:szCs w:val="32"/>
          <w:lang w:val="en-US" w:eastAsia="zh-CN" w:bidi="ar"/>
        </w:rPr>
        <w:t>100%</w:t>
      </w:r>
      <w:r>
        <w:rPr>
          <w:rFonts w:hint="eastAsia" w:ascii="仿宋_GB2312" w:hAnsi="Times New Roman" w:eastAsia="仿宋_GB2312" w:cs="仿宋_GB2312"/>
          <w:kern w:val="2"/>
          <w:sz w:val="32"/>
          <w:szCs w:val="32"/>
          <w:lang w:val="en-US" w:eastAsia="zh-CN" w:bidi="ar"/>
        </w:rPr>
        <w:t>完成。</w:t>
      </w:r>
    </w:p>
    <w:p w14:paraId="4464057C">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完成时效：项目按计划完成评审、结项，整体时效达标，无严重超期。</w:t>
      </w:r>
    </w:p>
    <w:p w14:paraId="35FD1A3C">
      <w:pPr>
        <w:keepNext w:val="0"/>
        <w:keepLines w:val="0"/>
        <w:widowControl w:val="0"/>
        <w:suppressLineNumbers w:val="0"/>
        <w:autoSpaceDE w:val="0"/>
        <w:autoSpaceDN/>
        <w:spacing w:before="0" w:beforeAutospacing="0" w:after="0" w:afterAutospacing="0"/>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扣分原因：资金支付收尾工作滞后，影响项目整体闭环时效。</w:t>
      </w:r>
    </w:p>
    <w:p w14:paraId="28087316">
      <w:pPr>
        <w:keepNext w:val="0"/>
        <w:keepLines w:val="0"/>
        <w:widowControl w:val="0"/>
        <w:suppressLineNumbers w:val="0"/>
        <w:autoSpaceDE w:val="0"/>
        <w:autoSpaceDN/>
        <w:spacing w:before="0" w:beforeAutospacing="0" w:after="0" w:afterAutospacing="0" w:line="578" w:lineRule="exact"/>
        <w:ind w:left="0" w:right="0" w:firstLine="643" w:firstLineChars="200"/>
        <w:jc w:val="both"/>
        <w:rPr>
          <w:rFonts w:hint="eastAsia" w:ascii="楷体_GB2312" w:eastAsia="楷体_GB2312" w:cs="楷体_GB2312"/>
          <w:kern w:val="2"/>
          <w:sz w:val="32"/>
          <w:szCs w:val="32"/>
        </w:rPr>
      </w:pPr>
      <w:r>
        <w:rPr>
          <w:rFonts w:hint="eastAsia" w:ascii="楷体_GB2312" w:hAnsi="宋体"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2F6586D2">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楷体_GB2312" w:eastAsia="楷体_GB2312" w:cs="楷体_GB2312"/>
          <w:kern w:val="2"/>
          <w:sz w:val="32"/>
          <w:szCs w:val="32"/>
        </w:rPr>
      </w:pPr>
      <w:r>
        <w:rPr>
          <w:rFonts w:hint="eastAsia" w:ascii="楷体_GB2312" w:hAnsi="Times New Roman" w:eastAsia="楷体_GB2312" w:cs="楷体_GB2312"/>
          <w:kern w:val="2"/>
          <w:sz w:val="32"/>
          <w:szCs w:val="32"/>
          <w:lang w:val="en-US" w:eastAsia="zh-CN" w:bidi="ar"/>
        </w:rPr>
        <w:t>行政运转。（总分30分，自评得分28分）</w:t>
      </w:r>
    </w:p>
    <w:p w14:paraId="0AFBC9D7">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1. </w:t>
      </w:r>
      <w:r>
        <w:rPr>
          <w:rFonts w:hint="eastAsia" w:ascii="仿宋_GB2312" w:hAnsi="Times New Roman" w:eastAsia="仿宋_GB2312" w:cs="仿宋_GB2312"/>
          <w:kern w:val="2"/>
          <w:sz w:val="32"/>
          <w:szCs w:val="32"/>
          <w:lang w:val="en-US" w:eastAsia="zh-CN" w:bidi="ar"/>
        </w:rPr>
        <w:t>用途合规性（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分）：专项资金严格按社科基金规定用途分配使用，全部用于课题研究资助，无擅自改变用途、超范围使用情况，自评满分。</w:t>
      </w:r>
    </w:p>
    <w:p w14:paraId="2B041A20">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2. </w:t>
      </w:r>
      <w:r>
        <w:rPr>
          <w:rFonts w:hint="eastAsia" w:ascii="仿宋_GB2312" w:hAnsi="Times New Roman" w:eastAsia="仿宋_GB2312" w:cs="仿宋_GB2312"/>
          <w:kern w:val="2"/>
          <w:sz w:val="32"/>
          <w:szCs w:val="32"/>
          <w:lang w:val="en-US" w:eastAsia="zh-CN" w:bidi="ar"/>
        </w:rPr>
        <w:t>程序合规性（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分）：资金管理、分配、审批、结项全流程符合制度要求，程序完整、痕迹清晰，无程序缺失或违规情形，自评满分。</w:t>
      </w:r>
    </w:p>
    <w:p w14:paraId="2785FB30">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3. </w:t>
      </w:r>
      <w:r>
        <w:rPr>
          <w:rFonts w:hint="eastAsia"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分）：资助标准严格按照州社科联文件执行，标准统一、兑现规范，无多发、少发、重发问题。</w:t>
      </w:r>
    </w:p>
    <w:p w14:paraId="6802D352">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扣分原因：资金支付资料审核环节可进一步提速优化。</w:t>
      </w:r>
      <w:r>
        <w:rPr>
          <w:rFonts w:hint="eastAsia" w:ascii="楷体_GB2312" w:hAnsi="宋体"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仿宋_GB2312" w:hAnsi="Times New Roman" w:eastAsia="仿宋_GB2312" w:cs="仿宋_GB2312"/>
          <w:kern w:val="2"/>
          <w:sz w:val="32"/>
          <w:szCs w:val="32"/>
          <w:lang w:val="en-US" w:eastAsia="zh-CN" w:bidi="ar"/>
        </w:rPr>
        <w:t>（总分</w:t>
      </w:r>
      <w:r>
        <w:rPr>
          <w:rFonts w:hint="default" w:ascii="Times New Roman" w:hAnsi="Times New Roman" w:eastAsia="仿宋_GB2312" w:cs="Times New Roman"/>
          <w:kern w:val="2"/>
          <w:sz w:val="32"/>
          <w:szCs w:val="32"/>
          <w:lang w:val="en-US" w:eastAsia="zh-CN" w:bidi="ar"/>
        </w:rPr>
        <w:t>16</w:t>
      </w:r>
      <w:r>
        <w:rPr>
          <w:rFonts w:hint="eastAsia"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14</w:t>
      </w:r>
      <w:r>
        <w:rPr>
          <w:rFonts w:hint="eastAsia" w:ascii="仿宋_GB2312" w:hAnsi="Times New Roman" w:eastAsia="仿宋_GB2312" w:cs="仿宋_GB2312"/>
          <w:kern w:val="2"/>
          <w:sz w:val="32"/>
          <w:szCs w:val="32"/>
          <w:lang w:val="en-US" w:eastAsia="zh-CN" w:bidi="ar"/>
        </w:rPr>
        <w:t>分）</w:t>
      </w:r>
    </w:p>
    <w:p w14:paraId="4E0A6DEF">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个性指标围绕社科基金课题管理、成果质量、人才培养、公开公示、文联履职等特色工作设置，整体完成良好。</w:t>
      </w:r>
    </w:p>
    <w:p w14:paraId="44128559">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bidi="ar"/>
        </w:rPr>
        <w:t xml:space="preserve"> </w:t>
      </w:r>
    </w:p>
    <w:p w14:paraId="70410A42">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课题结项通过率</w:t>
      </w:r>
      <w:r>
        <w:rPr>
          <w:rFonts w:hint="default" w:ascii="Times New Roman" w:hAnsi="Times New Roman" w:eastAsia="仿宋_GB2312" w:cs="Times New Roman"/>
          <w:kern w:val="2"/>
          <w:sz w:val="32"/>
          <w:szCs w:val="32"/>
          <w:lang w:val="en-US" w:eastAsia="zh-CN" w:bidi="ar"/>
        </w:rPr>
        <w:t>100%</w:t>
      </w:r>
      <w:r>
        <w:rPr>
          <w:rFonts w:hint="eastAsia" w:ascii="仿宋_GB2312" w:hAnsi="Times New Roman" w:eastAsia="仿宋_GB2312" w:cs="仿宋_GB2312"/>
          <w:kern w:val="2"/>
          <w:sz w:val="32"/>
          <w:szCs w:val="32"/>
          <w:lang w:val="en-US" w:eastAsia="zh-CN" w:bidi="ar"/>
        </w:rPr>
        <w:t>，成果质量合格；</w:t>
      </w:r>
    </w:p>
    <w:p w14:paraId="00E9CA34">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精准扶持社科研究人才</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名，实现预期人才培养目标；</w:t>
      </w:r>
    </w:p>
    <w:p w14:paraId="397A0E5A">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仿宋_GB2312" w:hAnsi="Times New Roman" w:eastAsia="仿宋_GB2312" w:cs="仿宋_GB2312"/>
          <w:kern w:val="2"/>
          <w:sz w:val="32"/>
          <w:szCs w:val="32"/>
          <w:lang w:val="en-US" w:eastAsia="zh-CN" w:bidi="ar"/>
        </w:rPr>
        <w:t>按要求主动公开项目结项与绩效信息，公开及时规范；</w:t>
      </w:r>
    </w:p>
    <w:p w14:paraId="25F340AB">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14:paraId="07587820">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黑体"/>
          <w:b w:val="0"/>
          <w:bCs w:val="0"/>
          <w:kern w:val="2"/>
          <w:sz w:val="32"/>
          <w:szCs w:val="32"/>
        </w:rPr>
      </w:pPr>
      <w:r>
        <w:rPr>
          <w:rFonts w:hint="eastAsia" w:ascii="仿宋_GB2312" w:hAnsi="Times New Roman" w:eastAsia="仿宋_GB2312" w:cs="仿宋_GB2312"/>
          <w:b w:val="0"/>
          <w:bCs w:val="0"/>
          <w:kern w:val="0"/>
          <w:position w:val="3"/>
          <w:sz w:val="32"/>
          <w:szCs w:val="32"/>
          <w:lang w:val="en-US" w:eastAsia="zh-CN" w:bidi="ar"/>
        </w:rPr>
        <w:t>本项目绩效自评结果将作为县文联社科基金项目管理、资金安排、政策优化的重要依据，并按要求主动向社会公开，接受监督，不断提升社科专项资金管理水平。评价总分89分。</w:t>
      </w:r>
    </w:p>
    <w:p w14:paraId="54478BF8">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4B4DA78D">
      <w:pPr>
        <w:pStyle w:val="13"/>
        <w:keepNext w:val="0"/>
        <w:keepLines w:val="0"/>
        <w:widowControl/>
        <w:suppressLineNumbers w:val="0"/>
        <w:tabs>
          <w:tab w:val="left" w:pos="2160"/>
        </w:tabs>
        <w:autoSpaceDE w:val="0"/>
        <w:autoSpaceDN/>
        <w:spacing w:before="0" w:beforeAutospacing="0" w:after="0" w:afterAutospacing="0" w:line="600" w:lineRule="exact"/>
        <w:ind w:left="420" w:leftChars="200" w:right="0" w:firstLine="0" w:firstLineChars="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1.绩效目标精细化、过程资料归档标准化程度不足；</w:t>
      </w:r>
    </w:p>
    <w:p w14:paraId="455022E8">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2.资金支付进度偏慢，项目闭环不够及时；</w:t>
      </w:r>
    </w:p>
    <w:p w14:paraId="32C8D84C">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3.成果转化与宣传推广力度有待加强；</w:t>
      </w:r>
    </w:p>
    <w:p w14:paraId="2BFCB9B7">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4.个性指标中长效跟踪管理机制不够健全。</w:t>
      </w:r>
    </w:p>
    <w:p w14:paraId="6561A542">
      <w:pPr>
        <w:pStyle w:val="13"/>
        <w:keepNext w:val="0"/>
        <w:keepLines w:val="0"/>
        <w:widowControl/>
        <w:suppressLineNumbers w:val="0"/>
        <w:tabs>
          <w:tab w:val="left" w:pos="2160"/>
        </w:tabs>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2ACF0D40">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1.优化绩效管理：进一步细化量化绩效目标，完善资料归档，提升绩效全过程规范化水平。</w:t>
      </w:r>
    </w:p>
    <w:p w14:paraId="0FE3208A">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2.加快资金支付：尽快完成0.7万元课题资助资金支付，实现项目全闭环。</w:t>
      </w:r>
    </w:p>
    <w:p w14:paraId="00D362C5">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3.强化成果运用：加强课题成果宣传、转化与推广，提升社科研究服务地方发展效能。</w:t>
      </w:r>
    </w:p>
    <w:p w14:paraId="50B47028">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4.健全长效机制：完善社科项目储备、过程监管、绩效跟踪制度，持续提升资金使用效益。</w:t>
      </w:r>
    </w:p>
    <w:p w14:paraId="237C572A">
      <w:pPr>
        <w:keepNext w:val="0"/>
        <w:keepLines w:val="0"/>
        <w:widowControl w:val="0"/>
        <w:suppressLineNumbers w:val="0"/>
        <w:tabs>
          <w:tab w:val="left" w:pos="1911"/>
        </w:tabs>
        <w:spacing w:before="0" w:beforeAutospacing="0" w:after="0" w:afterAutospacing="0"/>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sz w:val="32"/>
          <w:szCs w:val="32"/>
          <w:lang w:val="en-US" w:eastAsia="zh-CN" w:bidi="ar"/>
        </w:rPr>
        <w:t>5.规范日常管控：持续严守用途、程序、标准三条底线，确保专项资金安全高效运行。</w:t>
      </w:r>
    </w:p>
    <w:p w14:paraId="6F7CAFCB">
      <w:pPr>
        <w:keepNext w:val="0"/>
        <w:keepLines w:val="0"/>
        <w:widowControl w:val="0"/>
        <w:suppressLineNumbers w:val="0"/>
        <w:autoSpaceDE w:val="0"/>
        <w:autoSpaceDN/>
        <w:snapToGrid w:val="0"/>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color w:val="000000"/>
          <w:kern w:val="0"/>
          <w:sz w:val="32"/>
          <w:szCs w:val="32"/>
          <w:shd w:val="clear" w:fill="FFFFFF"/>
        </w:rPr>
      </w:pPr>
      <w:r>
        <w:rPr>
          <w:rFonts w:hint="eastAsia" w:ascii="Times New Roman" w:hAnsi="Times New Roman" w:eastAsia="仿宋_GB2312" w:cs="Times New Roman"/>
          <w:color w:val="000000"/>
          <w:kern w:val="0"/>
          <w:sz w:val="32"/>
          <w:szCs w:val="32"/>
          <w:shd w:val="clear" w:fill="FFFFFF"/>
          <w:lang w:val="en-US" w:eastAsia="zh-CN" w:bidi="ar"/>
        </w:rPr>
        <w:t xml:space="preserve"> </w:t>
      </w:r>
    </w:p>
    <w:p w14:paraId="43B2188A">
      <w:pPr>
        <w:keepNext w:val="0"/>
        <w:keepLines w:val="0"/>
        <w:widowControl w:val="0"/>
        <w:suppressLineNumbers w:val="0"/>
        <w:autoSpaceDE w:val="0"/>
        <w:autoSpaceDN/>
        <w:snapToGrid w:val="0"/>
        <w:spacing w:before="0" w:beforeAutospacing="0" w:after="0" w:afterAutospacing="0" w:line="578" w:lineRule="exact"/>
        <w:ind w:left="0" w:leftChars="0" w:right="0" w:firstLine="640" w:firstLineChars="200"/>
        <w:jc w:val="both"/>
        <w:rPr>
          <w:rFonts w:hint="eastAsia" w:ascii="仿宋_GB2312" w:hAnsi="Times New Roman" w:eastAsia="仿宋_GB2312" w:cs="仿宋_GB2312"/>
          <w:color w:val="000000"/>
          <w:kern w:val="0"/>
          <w:sz w:val="32"/>
          <w:szCs w:val="32"/>
          <w:shd w:val="clear" w:fill="FFFFFF"/>
          <w:lang w:val="en-US" w:eastAsia="zh-CN" w:bidi="ar"/>
        </w:rPr>
      </w:pPr>
      <w:r>
        <w:rPr>
          <w:rFonts w:hint="eastAsia" w:ascii="仿宋_GB2312" w:hAnsi="Times New Roman" w:eastAsia="仿宋_GB2312" w:cs="仿宋_GB2312"/>
          <w:color w:val="000000"/>
          <w:kern w:val="0"/>
          <w:sz w:val="32"/>
          <w:szCs w:val="32"/>
          <w:shd w:val="clear" w:fill="FFFFFF"/>
          <w:lang w:val="en-US" w:eastAsia="zh-CN" w:bidi="ar"/>
        </w:rPr>
        <w:t>附附表：.部门预算项目支出绩效自评表</w:t>
      </w:r>
    </w:p>
    <w:p w14:paraId="1AD282B0">
      <w:pPr>
        <w:keepNext w:val="0"/>
        <w:keepLines w:val="0"/>
        <w:widowControl w:val="0"/>
        <w:suppressLineNumbers w:val="0"/>
        <w:autoSpaceDE w:val="0"/>
        <w:autoSpaceDN/>
        <w:snapToGrid w:val="0"/>
        <w:spacing w:before="0" w:beforeAutospacing="0" w:after="0" w:afterAutospacing="0" w:line="578" w:lineRule="exact"/>
        <w:ind w:left="0" w:leftChars="0" w:right="0" w:firstLine="640" w:firstLineChars="200"/>
        <w:jc w:val="both"/>
        <w:rPr>
          <w:rFonts w:hint="eastAsia" w:ascii="Times New Roman" w:hAnsi="Times New Roman" w:eastAsia="仿宋_GB2312" w:cs="Times New Roman"/>
          <w:color w:val="000000"/>
          <w:kern w:val="0"/>
          <w:sz w:val="32"/>
          <w:szCs w:val="32"/>
          <w:shd w:val="clear" w:fill="FFFFFF"/>
        </w:rPr>
      </w:pPr>
      <w:r>
        <w:rPr>
          <w:rFonts w:hint="eastAsia" w:ascii="Times New Roman" w:hAnsi="Times New Roman" w:eastAsia="仿宋_GB2312" w:cs="Times New Roman"/>
          <w:color w:val="000000"/>
          <w:kern w:val="0"/>
          <w:sz w:val="32"/>
          <w:szCs w:val="32"/>
          <w:shd w:val="clear" w:fill="FFFFFF"/>
          <w:lang w:val="en-US" w:eastAsia="zh-CN" w:bidi="ar"/>
        </w:rPr>
        <w:br w:type="page"/>
      </w:r>
    </w:p>
    <w:p w14:paraId="0108D93B">
      <w:pPr>
        <w:pStyle w:val="13"/>
        <w:shd w:val="clear" w:color="auto" w:fill="FFFFFF"/>
        <w:spacing w:line="560" w:lineRule="exact"/>
        <w:jc w:val="both"/>
        <w:rPr>
          <w:rFonts w:hint="eastAsia" w:ascii="方正小标宋简体" w:eastAsia="方正小标宋简体" w:cs="黑体"/>
          <w:sz w:val="44"/>
          <w:szCs w:val="44"/>
          <w:lang w:val="en-US" w:eastAsia="zh-CN"/>
        </w:rPr>
      </w:pPr>
      <w:bookmarkStart w:id="70" w:name="_GoBack"/>
      <w:r>
        <w:drawing>
          <wp:anchor distT="0" distB="0" distL="114300" distR="114300" simplePos="0" relativeHeight="251670528" behindDoc="0" locked="0" layoutInCell="1" allowOverlap="1">
            <wp:simplePos x="0" y="0"/>
            <wp:positionH relativeFrom="column">
              <wp:posOffset>-530225</wp:posOffset>
            </wp:positionH>
            <wp:positionV relativeFrom="paragraph">
              <wp:posOffset>185420</wp:posOffset>
            </wp:positionV>
            <wp:extent cx="6265545" cy="5955665"/>
            <wp:effectExtent l="0" t="0" r="1905" b="6985"/>
            <wp:wrapNone/>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9"/>
                    <a:stretch>
                      <a:fillRect/>
                    </a:stretch>
                  </pic:blipFill>
                  <pic:spPr>
                    <a:xfrm>
                      <a:off x="0" y="0"/>
                      <a:ext cx="6265545" cy="5955665"/>
                    </a:xfrm>
                    <a:prstGeom prst="rect">
                      <a:avLst/>
                    </a:prstGeom>
                    <a:noFill/>
                    <a:ln>
                      <a:noFill/>
                    </a:ln>
                  </pic:spPr>
                </pic:pic>
              </a:graphicData>
            </a:graphic>
          </wp:anchor>
        </w:drawing>
      </w:r>
      <w:bookmarkEnd w:id="70"/>
    </w:p>
    <w:p w14:paraId="275B8F6C">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A60B95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59F15DE7">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3800914">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FE9049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74AB85AD">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D07DA3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1A6ADDA">
      <w:pPr>
        <w:pStyle w:val="13"/>
        <w:shd w:val="clear" w:color="auto" w:fill="FFFFFF"/>
        <w:spacing w:line="560" w:lineRule="exact"/>
        <w:jc w:val="both"/>
        <w:rPr>
          <w:rFonts w:hint="eastAsia" w:ascii="方正小标宋简体" w:eastAsia="方正小标宋简体" w:cs="黑体"/>
          <w:sz w:val="44"/>
          <w:szCs w:val="44"/>
          <w:lang w:val="en-US" w:eastAsia="zh-CN"/>
        </w:rPr>
      </w:pPr>
    </w:p>
    <w:p w14:paraId="4AA14C59">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54F1D0B">
      <w:pPr>
        <w:pStyle w:val="13"/>
        <w:shd w:val="clear" w:color="auto" w:fill="FFFFFF"/>
        <w:spacing w:line="560" w:lineRule="exact"/>
        <w:jc w:val="both"/>
        <w:rPr>
          <w:rFonts w:hint="eastAsia" w:ascii="方正小标宋简体" w:eastAsia="方正小标宋简体" w:cs="黑体"/>
          <w:sz w:val="44"/>
          <w:szCs w:val="44"/>
          <w:lang w:val="en-US" w:eastAsia="zh-CN"/>
        </w:rPr>
      </w:pPr>
    </w:p>
    <w:p w14:paraId="6FAB146B">
      <w:pPr>
        <w:pStyle w:val="13"/>
        <w:shd w:val="clear" w:color="auto" w:fill="FFFFFF"/>
        <w:spacing w:line="560" w:lineRule="exact"/>
        <w:jc w:val="both"/>
        <w:rPr>
          <w:rFonts w:hint="eastAsia" w:ascii="方正小标宋简体" w:eastAsia="方正小标宋简体" w:cs="黑体"/>
          <w:sz w:val="44"/>
          <w:szCs w:val="44"/>
          <w:lang w:val="en-US" w:eastAsia="zh-CN"/>
        </w:rPr>
      </w:pPr>
    </w:p>
    <w:p w14:paraId="7E24E09F">
      <w:pPr>
        <w:pStyle w:val="13"/>
        <w:shd w:val="clear" w:color="auto" w:fill="FFFFFF"/>
        <w:spacing w:line="560" w:lineRule="exact"/>
        <w:jc w:val="both"/>
        <w:rPr>
          <w:rFonts w:hint="eastAsia" w:ascii="方正小标宋简体" w:eastAsia="方正小标宋简体" w:cs="黑体"/>
          <w:sz w:val="44"/>
          <w:szCs w:val="44"/>
          <w:lang w:val="en-US" w:eastAsia="zh-CN"/>
        </w:rPr>
      </w:pPr>
    </w:p>
    <w:p w14:paraId="0C455514">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05A2925">
      <w:pPr>
        <w:pStyle w:val="13"/>
        <w:shd w:val="clear" w:color="auto" w:fill="FFFFFF"/>
        <w:spacing w:line="560" w:lineRule="exact"/>
        <w:jc w:val="both"/>
        <w:rPr>
          <w:rFonts w:hint="eastAsia" w:ascii="方正小标宋简体" w:eastAsia="方正小标宋简体" w:cs="黑体"/>
          <w:sz w:val="44"/>
          <w:szCs w:val="44"/>
          <w:lang w:val="en-US" w:eastAsia="zh-CN"/>
        </w:rPr>
      </w:pPr>
    </w:p>
    <w:p w14:paraId="2319DF0B">
      <w:pPr>
        <w:pStyle w:val="13"/>
        <w:shd w:val="clear" w:color="auto" w:fill="FFFFFF"/>
        <w:spacing w:line="560" w:lineRule="exact"/>
        <w:jc w:val="both"/>
        <w:rPr>
          <w:rFonts w:hint="eastAsia" w:ascii="方正小标宋简体" w:eastAsia="方正小标宋简体" w:cs="黑体"/>
          <w:sz w:val="44"/>
          <w:szCs w:val="44"/>
          <w:lang w:val="en-US" w:eastAsia="zh-CN"/>
        </w:rPr>
      </w:pPr>
    </w:p>
    <w:p w14:paraId="1D72B1B2">
      <w:pPr>
        <w:spacing w:line="600" w:lineRule="exact"/>
        <w:jc w:val="center"/>
        <w:outlineLvl w:val="0"/>
        <w:rPr>
          <w:rFonts w:ascii="仿宋" w:hAnsi="仿宋" w:eastAsia="仿宋"/>
        </w:rPr>
      </w:pPr>
      <w:r>
        <w:rPr>
          <w:rFonts w:hint="eastAsia" w:ascii="黑体" w:hAnsi="黑体" w:eastAsia="黑体"/>
          <w:sz w:val="44"/>
          <w:szCs w:val="44"/>
        </w:rPr>
        <w:t>第</w:t>
      </w:r>
      <w:r>
        <w:rPr>
          <w:rStyle w:val="18"/>
          <w:rFonts w:hint="eastAsia" w:ascii="黑体" w:hAnsi="黑体" w:eastAsia="黑体"/>
          <w:b w:val="0"/>
        </w:rPr>
        <w:t>五部分 附表</w:t>
      </w:r>
      <w:bookmarkStart w:id="57" w:name="_Toc15396619"/>
    </w:p>
    <w:p w14:paraId="77198DB9">
      <w:pPr>
        <w:pStyle w:val="3"/>
        <w:rPr>
          <w:rFonts w:ascii="仿宋" w:hAnsi="仿宋" w:eastAsia="仿宋"/>
        </w:rPr>
      </w:pPr>
      <w:r>
        <w:rPr>
          <w:rFonts w:hint="eastAsia" w:ascii="仿宋" w:hAnsi="仿宋" w:eastAsia="仿宋"/>
          <w:b w:val="0"/>
        </w:rPr>
        <w:t>一、收</w:t>
      </w:r>
      <w:r>
        <w:rPr>
          <w:rStyle w:val="19"/>
          <w:rFonts w:hint="eastAsia" w:ascii="仿宋" w:hAnsi="仿宋" w:eastAsia="仿宋"/>
          <w:b w:val="0"/>
          <w:bCs w:val="0"/>
        </w:rPr>
        <w:t>入支出决算总表</w:t>
      </w:r>
      <w:bookmarkEnd w:id="57"/>
    </w:p>
    <w:p w14:paraId="4CE4E5E8">
      <w:pPr>
        <w:pStyle w:val="3"/>
        <w:rPr>
          <w:rFonts w:ascii="仿宋" w:hAnsi="仿宋" w:eastAsia="仿宋"/>
        </w:rPr>
      </w:pPr>
      <w:bookmarkStart w:id="58" w:name="_Toc15396620"/>
      <w:r>
        <w:rPr>
          <w:rFonts w:hint="eastAsia" w:ascii="仿宋" w:hAnsi="仿宋" w:eastAsia="仿宋"/>
          <w:b w:val="0"/>
        </w:rPr>
        <w:t>二、收</w:t>
      </w:r>
      <w:r>
        <w:rPr>
          <w:rStyle w:val="19"/>
          <w:rFonts w:hint="eastAsia" w:ascii="仿宋" w:hAnsi="仿宋" w:eastAsia="仿宋"/>
          <w:b w:val="0"/>
          <w:bCs w:val="0"/>
        </w:rPr>
        <w:t>入决算表</w:t>
      </w:r>
      <w:bookmarkEnd w:id="58"/>
    </w:p>
    <w:p w14:paraId="24B5464D">
      <w:pPr>
        <w:pStyle w:val="3"/>
        <w:rPr>
          <w:rFonts w:ascii="仿宋" w:hAnsi="仿宋" w:eastAsia="仿宋"/>
        </w:rPr>
      </w:pPr>
      <w:bookmarkStart w:id="59" w:name="_Toc15396621"/>
      <w:r>
        <w:rPr>
          <w:rStyle w:val="19"/>
          <w:rFonts w:hint="eastAsia" w:ascii="仿宋" w:hAnsi="仿宋" w:eastAsia="仿宋"/>
          <w:b w:val="0"/>
          <w:bCs w:val="0"/>
        </w:rPr>
        <w:t>三、</w:t>
      </w:r>
      <w:r>
        <w:rPr>
          <w:rFonts w:hint="eastAsia" w:ascii="仿宋" w:hAnsi="仿宋" w:eastAsia="仿宋"/>
          <w:b w:val="0"/>
        </w:rPr>
        <w:t>支</w:t>
      </w:r>
      <w:r>
        <w:rPr>
          <w:rStyle w:val="19"/>
          <w:rFonts w:hint="eastAsia" w:ascii="仿宋" w:hAnsi="仿宋" w:eastAsia="仿宋"/>
          <w:b w:val="0"/>
          <w:bCs w:val="0"/>
        </w:rPr>
        <w:t>出决算表</w:t>
      </w:r>
      <w:bookmarkEnd w:id="59"/>
    </w:p>
    <w:p w14:paraId="49FC1669">
      <w:pPr>
        <w:pStyle w:val="3"/>
        <w:rPr>
          <w:rFonts w:ascii="仿宋" w:hAnsi="仿宋" w:eastAsia="仿宋"/>
          <w:b w:val="0"/>
        </w:rPr>
      </w:pPr>
      <w:bookmarkStart w:id="60" w:name="_Toc15396622"/>
      <w:r>
        <w:rPr>
          <w:rStyle w:val="19"/>
          <w:rFonts w:hint="eastAsia" w:ascii="仿宋" w:hAnsi="仿宋" w:eastAsia="仿宋"/>
          <w:b w:val="0"/>
          <w:bCs w:val="0"/>
        </w:rPr>
        <w:t>四、</w:t>
      </w:r>
      <w:r>
        <w:rPr>
          <w:rFonts w:hint="eastAsia" w:ascii="仿宋" w:hAnsi="仿宋" w:eastAsia="仿宋"/>
          <w:b w:val="0"/>
        </w:rPr>
        <w:t>财</w:t>
      </w:r>
      <w:r>
        <w:rPr>
          <w:rStyle w:val="19"/>
          <w:rFonts w:hint="eastAsia" w:ascii="仿宋" w:hAnsi="仿宋" w:eastAsia="仿宋"/>
          <w:b w:val="0"/>
          <w:bCs w:val="0"/>
        </w:rPr>
        <w:t>政拨款收入支出决算总表</w:t>
      </w:r>
      <w:bookmarkEnd w:id="60"/>
    </w:p>
    <w:p w14:paraId="7986A24A">
      <w:pPr>
        <w:pStyle w:val="3"/>
        <w:rPr>
          <w:rStyle w:val="19"/>
          <w:rFonts w:ascii="仿宋" w:hAnsi="仿宋" w:eastAsia="仿宋"/>
          <w:b w:val="0"/>
          <w:bCs w:val="0"/>
        </w:rPr>
      </w:pPr>
      <w:bookmarkStart w:id="61" w:name="_Toc15396623"/>
      <w:r>
        <w:rPr>
          <w:rStyle w:val="19"/>
          <w:rFonts w:hint="eastAsia" w:ascii="仿宋" w:hAnsi="仿宋" w:eastAsia="仿宋"/>
          <w:b w:val="0"/>
          <w:bCs w:val="0"/>
        </w:rPr>
        <w:t>五、</w:t>
      </w:r>
      <w:r>
        <w:rPr>
          <w:rFonts w:hint="eastAsia" w:ascii="仿宋" w:hAnsi="仿宋" w:eastAsia="仿宋"/>
          <w:b w:val="0"/>
        </w:rPr>
        <w:t>财</w:t>
      </w:r>
      <w:r>
        <w:rPr>
          <w:rStyle w:val="19"/>
          <w:rFonts w:hint="eastAsia" w:ascii="仿宋" w:hAnsi="仿宋" w:eastAsia="仿宋"/>
          <w:b w:val="0"/>
          <w:bCs w:val="0"/>
        </w:rPr>
        <w:t>政拨款支出决算明细表</w:t>
      </w:r>
      <w:bookmarkEnd w:id="61"/>
      <w:bookmarkStart w:id="62" w:name="_Toc15396624"/>
    </w:p>
    <w:p w14:paraId="46D7325E">
      <w:pPr>
        <w:pStyle w:val="3"/>
        <w:rPr>
          <w:rFonts w:ascii="仿宋" w:hAnsi="仿宋" w:eastAsia="仿宋"/>
        </w:rPr>
      </w:pPr>
      <w:r>
        <w:rPr>
          <w:rStyle w:val="19"/>
          <w:rFonts w:hint="eastAsia" w:ascii="仿宋" w:hAnsi="仿宋" w:eastAsia="仿宋"/>
          <w:b w:val="0"/>
          <w:bCs w:val="0"/>
        </w:rPr>
        <w:t>六、</w:t>
      </w:r>
      <w:r>
        <w:rPr>
          <w:rFonts w:hint="eastAsia" w:ascii="仿宋" w:hAnsi="仿宋" w:eastAsia="仿宋"/>
          <w:b w:val="0"/>
        </w:rPr>
        <w:t>一</w:t>
      </w:r>
      <w:r>
        <w:rPr>
          <w:rStyle w:val="19"/>
          <w:rFonts w:hint="eastAsia" w:ascii="仿宋" w:hAnsi="仿宋" w:eastAsia="仿宋"/>
          <w:b w:val="0"/>
          <w:bCs w:val="0"/>
        </w:rPr>
        <w:t>般公共预算财政拨款支出决算表</w:t>
      </w:r>
      <w:bookmarkEnd w:id="62"/>
    </w:p>
    <w:p w14:paraId="6E36545E">
      <w:pPr>
        <w:pStyle w:val="3"/>
        <w:rPr>
          <w:rFonts w:ascii="仿宋" w:hAnsi="仿宋" w:eastAsia="仿宋"/>
        </w:rPr>
      </w:pPr>
      <w:bookmarkStart w:id="63" w:name="_Toc15396625"/>
      <w:r>
        <w:rPr>
          <w:rStyle w:val="19"/>
          <w:rFonts w:hint="eastAsia" w:ascii="仿宋" w:hAnsi="仿宋" w:eastAsia="仿宋"/>
          <w:b w:val="0"/>
          <w:bCs w:val="0"/>
        </w:rPr>
        <w:t>七、</w:t>
      </w:r>
      <w:r>
        <w:rPr>
          <w:rFonts w:hint="eastAsia" w:ascii="仿宋" w:hAnsi="仿宋" w:eastAsia="仿宋"/>
          <w:b w:val="0"/>
        </w:rPr>
        <w:t>一</w:t>
      </w:r>
      <w:r>
        <w:rPr>
          <w:rStyle w:val="19"/>
          <w:rFonts w:hint="eastAsia" w:ascii="仿宋" w:hAnsi="仿宋" w:eastAsia="仿宋"/>
          <w:b w:val="0"/>
          <w:bCs w:val="0"/>
        </w:rPr>
        <w:t>般公共预算财政拨款支出决算明细表</w:t>
      </w:r>
      <w:bookmarkEnd w:id="63"/>
    </w:p>
    <w:p w14:paraId="3CDD5B73">
      <w:pPr>
        <w:pStyle w:val="3"/>
        <w:rPr>
          <w:rFonts w:ascii="仿宋" w:hAnsi="仿宋" w:eastAsia="仿宋"/>
        </w:rPr>
      </w:pPr>
      <w:bookmarkStart w:id="64" w:name="_Toc15396626"/>
      <w:r>
        <w:rPr>
          <w:rStyle w:val="19"/>
          <w:rFonts w:hint="eastAsia" w:ascii="仿宋" w:hAnsi="仿宋" w:eastAsia="仿宋"/>
          <w:b w:val="0"/>
          <w:bCs w:val="0"/>
        </w:rPr>
        <w:t>八、</w:t>
      </w:r>
      <w:r>
        <w:rPr>
          <w:rFonts w:hint="eastAsia" w:ascii="仿宋" w:hAnsi="仿宋" w:eastAsia="仿宋"/>
          <w:b w:val="0"/>
        </w:rPr>
        <w:t>一</w:t>
      </w:r>
      <w:r>
        <w:rPr>
          <w:rStyle w:val="19"/>
          <w:rFonts w:hint="eastAsia" w:ascii="仿宋" w:hAnsi="仿宋" w:eastAsia="仿宋"/>
          <w:b w:val="0"/>
          <w:bCs w:val="0"/>
        </w:rPr>
        <w:t>般公共预算财政拨款基本支出决算表</w:t>
      </w:r>
      <w:bookmarkEnd w:id="64"/>
    </w:p>
    <w:p w14:paraId="1CA98DB0">
      <w:pPr>
        <w:pStyle w:val="3"/>
        <w:rPr>
          <w:rFonts w:ascii="仿宋" w:hAnsi="仿宋" w:eastAsia="仿宋"/>
        </w:rPr>
      </w:pPr>
      <w:bookmarkStart w:id="65" w:name="_Toc15396627"/>
      <w:r>
        <w:rPr>
          <w:rStyle w:val="19"/>
          <w:rFonts w:hint="eastAsia" w:ascii="仿宋" w:hAnsi="仿宋" w:eastAsia="仿宋"/>
          <w:b w:val="0"/>
          <w:bCs w:val="0"/>
        </w:rPr>
        <w:t>九、</w:t>
      </w:r>
      <w:r>
        <w:rPr>
          <w:rFonts w:hint="eastAsia" w:ascii="仿宋" w:hAnsi="仿宋" w:eastAsia="仿宋"/>
          <w:b w:val="0"/>
        </w:rPr>
        <w:t>一</w:t>
      </w:r>
      <w:r>
        <w:rPr>
          <w:rStyle w:val="19"/>
          <w:rFonts w:hint="eastAsia" w:ascii="仿宋" w:hAnsi="仿宋" w:eastAsia="仿宋"/>
          <w:b w:val="0"/>
          <w:bCs w:val="0"/>
        </w:rPr>
        <w:t>般公共预算财政拨款项目支出决算表</w:t>
      </w:r>
      <w:bookmarkEnd w:id="65"/>
    </w:p>
    <w:p w14:paraId="043A5E53">
      <w:pPr>
        <w:pStyle w:val="3"/>
        <w:rPr>
          <w:rFonts w:ascii="仿宋" w:hAnsi="仿宋" w:eastAsia="仿宋"/>
        </w:rPr>
      </w:pPr>
      <w:bookmarkStart w:id="66" w:name="_Toc15396628"/>
      <w:r>
        <w:rPr>
          <w:rStyle w:val="19"/>
          <w:rFonts w:hint="eastAsia" w:ascii="仿宋" w:hAnsi="仿宋" w:eastAsia="仿宋"/>
          <w:b w:val="0"/>
          <w:bCs w:val="0"/>
        </w:rPr>
        <w:t>十、</w:t>
      </w:r>
      <w:bookmarkEnd w:id="66"/>
      <w:r>
        <w:rPr>
          <w:rFonts w:hint="eastAsia" w:ascii="仿宋" w:hAnsi="仿宋" w:eastAsia="仿宋"/>
          <w:b w:val="0"/>
        </w:rPr>
        <w:t>政</w:t>
      </w:r>
      <w:r>
        <w:rPr>
          <w:rStyle w:val="19"/>
          <w:rFonts w:hint="eastAsia" w:ascii="仿宋" w:hAnsi="仿宋" w:eastAsia="仿宋"/>
          <w:b w:val="0"/>
          <w:bCs w:val="0"/>
        </w:rPr>
        <w:t>府性基金预算财政拨款收入支出决算表</w:t>
      </w:r>
    </w:p>
    <w:p w14:paraId="06E9C8CB">
      <w:pPr>
        <w:pStyle w:val="3"/>
        <w:rPr>
          <w:rFonts w:ascii="仿宋" w:hAnsi="仿宋" w:eastAsia="仿宋"/>
        </w:rPr>
      </w:pPr>
      <w:bookmarkStart w:id="67" w:name="_Toc15396629"/>
      <w:r>
        <w:rPr>
          <w:rStyle w:val="19"/>
          <w:rFonts w:hint="eastAsia" w:ascii="仿宋" w:hAnsi="仿宋" w:eastAsia="仿宋"/>
          <w:b w:val="0"/>
          <w:bCs w:val="0"/>
        </w:rPr>
        <w:t>十一、</w:t>
      </w:r>
      <w:bookmarkEnd w:id="67"/>
      <w:r>
        <w:rPr>
          <w:rFonts w:hint="eastAsia" w:ascii="仿宋" w:hAnsi="仿宋" w:eastAsia="仿宋"/>
          <w:b w:val="0"/>
        </w:rPr>
        <w:t>国</w:t>
      </w:r>
      <w:r>
        <w:rPr>
          <w:rStyle w:val="19"/>
          <w:rFonts w:hint="eastAsia" w:ascii="仿宋" w:hAnsi="仿宋" w:eastAsia="仿宋"/>
          <w:b w:val="0"/>
          <w:bCs w:val="0"/>
        </w:rPr>
        <w:t>有资本经营预算财政拨款收入支出决算表</w:t>
      </w:r>
    </w:p>
    <w:p w14:paraId="106E91D1">
      <w:pPr>
        <w:pStyle w:val="3"/>
        <w:rPr>
          <w:rFonts w:ascii="仿宋" w:hAnsi="仿宋" w:eastAsia="仿宋"/>
        </w:rPr>
      </w:pPr>
      <w:bookmarkStart w:id="68" w:name="_Toc15396630"/>
      <w:r>
        <w:rPr>
          <w:rStyle w:val="19"/>
          <w:rFonts w:hint="eastAsia" w:ascii="仿宋" w:hAnsi="仿宋" w:eastAsia="仿宋"/>
          <w:b w:val="0"/>
          <w:bCs w:val="0"/>
        </w:rPr>
        <w:t>十二、</w:t>
      </w:r>
      <w:bookmarkEnd w:id="68"/>
      <w:r>
        <w:rPr>
          <w:rStyle w:val="19"/>
          <w:rFonts w:hint="eastAsia" w:ascii="仿宋" w:hAnsi="仿宋" w:eastAsia="仿宋"/>
          <w:b w:val="0"/>
          <w:bCs w:val="0"/>
        </w:rPr>
        <w:t>国有资本经营预算财政拨款支出决算表</w:t>
      </w:r>
    </w:p>
    <w:p w14:paraId="2D067307">
      <w:pPr>
        <w:pStyle w:val="3"/>
        <w:rPr>
          <w:rFonts w:hint="eastAsia" w:ascii="方正小标宋简体" w:eastAsia="方正小标宋简体" w:cs="黑体"/>
          <w:sz w:val="44"/>
          <w:szCs w:val="44"/>
          <w:lang w:val="en-US" w:eastAsia="zh-CN"/>
        </w:rPr>
        <w:sectPr>
          <w:footerReference r:id="rId6" w:type="first"/>
          <w:footerReference r:id="rId5" w:type="default"/>
          <w:pgSz w:w="11906" w:h="16838"/>
          <w:pgMar w:top="1440" w:right="1800" w:bottom="1440" w:left="1800" w:header="851" w:footer="992" w:gutter="0"/>
          <w:pgNumType w:fmt="decimal" w:start="0"/>
          <w:cols w:space="425" w:num="1"/>
          <w:titlePg/>
          <w:docGrid w:type="lines" w:linePitch="312" w:charSpace="0"/>
        </w:sectPr>
      </w:pPr>
      <w:bookmarkStart w:id="69" w:name="_Toc15396631"/>
      <w:r>
        <w:rPr>
          <w:rStyle w:val="19"/>
          <w:rFonts w:hint="eastAsia" w:ascii="仿宋" w:hAnsi="仿宋" w:eastAsia="仿宋"/>
          <w:b w:val="0"/>
          <w:bCs w:val="0"/>
        </w:rPr>
        <w:t>十三、</w:t>
      </w:r>
      <w:bookmarkEnd w:id="69"/>
      <w:r>
        <w:rPr>
          <w:rStyle w:val="19"/>
          <w:rFonts w:hint="eastAsia" w:ascii="仿宋" w:hAnsi="仿宋" w:eastAsia="仿宋"/>
          <w:b w:val="0"/>
          <w:bCs w:val="0"/>
        </w:rPr>
        <w:t>财政拨款“三公”经费支出决算表</w:t>
      </w:r>
    </w:p>
    <w:p w14:paraId="1C15740B">
      <w:pPr>
        <w:rPr>
          <w:rFonts w:hint="eastAsia" w:ascii="黑体" w:hAnsi="黑体" w:eastAsia="黑体"/>
          <w:sz w:val="44"/>
          <w:szCs w:val="44"/>
        </w:rPr>
        <w:sectPr>
          <w:pgSz w:w="16838" w:h="11906" w:orient="landscape"/>
          <w:pgMar w:top="1800" w:right="1440" w:bottom="1800" w:left="1440" w:header="851" w:footer="992" w:gutter="0"/>
          <w:pgNumType w:fmt="decimal"/>
          <w:cols w:space="425" w:num="1"/>
          <w:titlePg/>
          <w:docGrid w:type="lines" w:linePitch="312" w:charSpace="0"/>
        </w:sectPr>
      </w:pPr>
    </w:p>
    <w:bookmarkEnd w:id="54"/>
    <w:bookmarkEnd w:id="56"/>
    <w:p w14:paraId="78F09029"/>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9C9BD6-F63C-47E0-8569-0E1BBD1CFB6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60E5F45E-C38C-4F0D-A05B-333C0EEF5F58}"/>
  </w:font>
  <w:font w:name="Calibri Light">
    <w:altName w:val="Calibri"/>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007434BD-3FEC-4A79-96BC-C644FD86DB5C}"/>
  </w:font>
  <w:font w:name="仿宋">
    <w:panose1 w:val="02010609060101010101"/>
    <w:charset w:val="86"/>
    <w:family w:val="modern"/>
    <w:pitch w:val="default"/>
    <w:sig w:usb0="800002BF" w:usb1="38CF7CFA" w:usb2="00000016" w:usb3="00000000" w:csb0="00040001" w:csb1="00000000"/>
    <w:embedRegular r:id="rId4" w:fontKey="{FCE0F8DA-A13F-4BFF-9D75-401245FC96E7}"/>
  </w:font>
  <w:font w:name="方正小标宋简体">
    <w:panose1 w:val="03000509000000000000"/>
    <w:charset w:val="86"/>
    <w:family w:val="script"/>
    <w:pitch w:val="default"/>
    <w:sig w:usb0="00000001" w:usb1="080E0000" w:usb2="00000000" w:usb3="00000000" w:csb0="00040000" w:csb1="00000000"/>
    <w:embedRegular r:id="rId5" w:fontKey="{68A6E710-A594-4FEA-9F78-C72D4E09726E}"/>
  </w:font>
  <w:font w:name="楷体_GB2312">
    <w:panose1 w:val="02010609030101010101"/>
    <w:charset w:val="86"/>
    <w:family w:val="auto"/>
    <w:pitch w:val="default"/>
    <w:sig w:usb0="00000001" w:usb1="080E0000" w:usb2="00000000" w:usb3="00000000" w:csb0="00040000" w:csb1="00000000"/>
    <w:embedRegular r:id="rId6" w:fontKey="{6A70151B-DCB2-4C4A-B1E3-1D61F935D5D6}"/>
  </w:font>
  <w:font w:name="楷体">
    <w:panose1 w:val="02010609060101010101"/>
    <w:charset w:val="86"/>
    <w:family w:val="modern"/>
    <w:pitch w:val="default"/>
    <w:sig w:usb0="800002BF" w:usb1="38CF7CFA" w:usb2="00000016" w:usb3="00000000" w:csb0="00040001" w:csb1="00000000"/>
    <w:embedRegular r:id="rId7" w:fontKey="{3A2DEEA4-7C52-415F-899F-298E5438BB67}"/>
  </w:font>
  <w:font w:name="方正仿宋_GBK">
    <w:panose1 w:val="02000000000000000000"/>
    <w:charset w:val="86"/>
    <w:family w:val="auto"/>
    <w:pitch w:val="default"/>
    <w:sig w:usb0="A00002BF" w:usb1="38CF7CFA" w:usb2="00082016" w:usb3="00000000" w:csb0="00040001" w:csb1="00000000"/>
    <w:embedRegular r:id="rId8" w:fontKey="{DD821D0A-8BA3-4BB1-85F3-CED6E4A0B5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949B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5AC1B">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25AC1B">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BF44F">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14F5E">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F514F5E">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DD078">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BBF4D">
    <w:pPr>
      <w:pStyle w:val="8"/>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20FAC1"/>
    <w:multiLevelType w:val="multilevel"/>
    <w:tmpl w:val="B120FAC1"/>
    <w:lvl w:ilvl="0" w:tentative="0">
      <w:start w:val="4"/>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B6D62DE3"/>
    <w:multiLevelType w:val="multilevel"/>
    <w:tmpl w:val="B6D62DE3"/>
    <w:lvl w:ilvl="0" w:tentative="0">
      <w:start w:val="3"/>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BCA93F1B"/>
    <w:multiLevelType w:val="multilevel"/>
    <w:tmpl w:val="BCA93F1B"/>
    <w:lvl w:ilvl="0" w:tentative="0">
      <w:start w:val="3"/>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E8CC0344"/>
    <w:multiLevelType w:val="singleLevel"/>
    <w:tmpl w:val="E8CC0344"/>
    <w:lvl w:ilvl="0" w:tentative="0">
      <w:start w:val="1"/>
      <w:numFmt w:val="decimal"/>
      <w:lvlText w:val="%1."/>
      <w:lvlJc w:val="left"/>
      <w:pPr>
        <w:tabs>
          <w:tab w:val="left" w:pos="312"/>
        </w:tabs>
      </w:pPr>
    </w:lvl>
  </w:abstractNum>
  <w:abstractNum w:abstractNumId="4">
    <w:nsid w:val="EA7B2497"/>
    <w:multiLevelType w:val="multilevel"/>
    <w:tmpl w:val="EA7B2497"/>
    <w:lvl w:ilvl="0" w:tentative="0">
      <w:start w:val="4"/>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1A398D6B"/>
    <w:multiLevelType w:val="multilevel"/>
    <w:tmpl w:val="1A398D6B"/>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7">
    <w:nsid w:val="6974452B"/>
    <w:multiLevelType w:val="singleLevel"/>
    <w:tmpl w:val="6974452B"/>
    <w:lvl w:ilvl="0" w:tentative="0">
      <w:start w:val="2"/>
      <w:numFmt w:val="chineseCounting"/>
      <w:suff w:val="nothing"/>
      <w:lvlText w:val="（%1）"/>
      <w:lvlJc w:val="left"/>
      <w:rPr>
        <w:rFonts w:hint="eastAsia"/>
      </w:rPr>
    </w:lvl>
  </w:abstractNum>
  <w:abstractNum w:abstractNumId="8">
    <w:nsid w:val="767B388F"/>
    <w:multiLevelType w:val="singleLevel"/>
    <w:tmpl w:val="767B388F"/>
    <w:lvl w:ilvl="0" w:tentative="0">
      <w:start w:val="4"/>
      <w:numFmt w:val="chineseCounting"/>
      <w:suff w:val="space"/>
      <w:lvlText w:val="第%1部分"/>
      <w:lvlJc w:val="left"/>
      <w:rPr>
        <w:rFonts w:hint="eastAsia"/>
      </w:rPr>
    </w:lvl>
  </w:abstractNum>
  <w:num w:numId="1">
    <w:abstractNumId w:val="5"/>
  </w:num>
  <w:num w:numId="2">
    <w:abstractNumId w:val="3"/>
  </w:num>
  <w:num w:numId="3">
    <w:abstractNumId w:val="7"/>
  </w:num>
  <w:num w:numId="4">
    <w:abstractNumId w:val="8"/>
  </w:num>
  <w:num w:numId="5">
    <w:abstractNumId w:val="2"/>
  </w:num>
  <w:num w:numId="6">
    <w:abstractNumId w:val="6"/>
  </w:num>
  <w:num w:numId="7">
    <w:abstractNumId w:val="0"/>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jZTdmYjNmMDhmMjdlY2MxNzgzZjBhNzlmZTgxYjIifQ=="/>
  </w:docVars>
  <w:rsids>
    <w:rsidRoot w:val="00172A27"/>
    <w:rsid w:val="00B76409"/>
    <w:rsid w:val="00DD6302"/>
    <w:rsid w:val="00FF56BA"/>
    <w:rsid w:val="02DD1A2B"/>
    <w:rsid w:val="030A6CC4"/>
    <w:rsid w:val="0373691E"/>
    <w:rsid w:val="03C43707"/>
    <w:rsid w:val="064F4E83"/>
    <w:rsid w:val="06E45A7E"/>
    <w:rsid w:val="07181283"/>
    <w:rsid w:val="07CD206E"/>
    <w:rsid w:val="07DD49A7"/>
    <w:rsid w:val="0ACF38CA"/>
    <w:rsid w:val="0AD772D6"/>
    <w:rsid w:val="0B381EF4"/>
    <w:rsid w:val="0B892750"/>
    <w:rsid w:val="0BDA11FD"/>
    <w:rsid w:val="0C2506CA"/>
    <w:rsid w:val="0C3A2F8B"/>
    <w:rsid w:val="0C434FF4"/>
    <w:rsid w:val="0C665913"/>
    <w:rsid w:val="0C970E9C"/>
    <w:rsid w:val="0CD45C4C"/>
    <w:rsid w:val="0DA303ED"/>
    <w:rsid w:val="0ECF2B6F"/>
    <w:rsid w:val="100920B1"/>
    <w:rsid w:val="102B2027"/>
    <w:rsid w:val="11B17762"/>
    <w:rsid w:val="123F6B1E"/>
    <w:rsid w:val="12413D84"/>
    <w:rsid w:val="13596EAB"/>
    <w:rsid w:val="14661880"/>
    <w:rsid w:val="146944C2"/>
    <w:rsid w:val="14D47131"/>
    <w:rsid w:val="14D902A4"/>
    <w:rsid w:val="14DC5FE6"/>
    <w:rsid w:val="15763D45"/>
    <w:rsid w:val="17A10E21"/>
    <w:rsid w:val="18253800"/>
    <w:rsid w:val="18A55883"/>
    <w:rsid w:val="18EC3795"/>
    <w:rsid w:val="1A224F93"/>
    <w:rsid w:val="1A3632ED"/>
    <w:rsid w:val="1A381F10"/>
    <w:rsid w:val="1B3B1DCF"/>
    <w:rsid w:val="1C533032"/>
    <w:rsid w:val="1CD35F20"/>
    <w:rsid w:val="1D41310E"/>
    <w:rsid w:val="1DDA7760"/>
    <w:rsid w:val="1EC62F0A"/>
    <w:rsid w:val="1F3C5FFF"/>
    <w:rsid w:val="1FF266BE"/>
    <w:rsid w:val="20C91B14"/>
    <w:rsid w:val="21494A03"/>
    <w:rsid w:val="216B2BCB"/>
    <w:rsid w:val="23607DE2"/>
    <w:rsid w:val="249E5772"/>
    <w:rsid w:val="251470D6"/>
    <w:rsid w:val="254A0D4A"/>
    <w:rsid w:val="266B541C"/>
    <w:rsid w:val="27743E5C"/>
    <w:rsid w:val="27D56FF1"/>
    <w:rsid w:val="28E76302"/>
    <w:rsid w:val="29414C4F"/>
    <w:rsid w:val="295D4F0D"/>
    <w:rsid w:val="29695C42"/>
    <w:rsid w:val="2A816FBC"/>
    <w:rsid w:val="2A9D413D"/>
    <w:rsid w:val="2BB60EE7"/>
    <w:rsid w:val="2F3C5BA7"/>
    <w:rsid w:val="2F7C41F6"/>
    <w:rsid w:val="2F972193"/>
    <w:rsid w:val="301B57BD"/>
    <w:rsid w:val="30D12E58"/>
    <w:rsid w:val="31451EBE"/>
    <w:rsid w:val="31C81974"/>
    <w:rsid w:val="324419E7"/>
    <w:rsid w:val="32CB5278"/>
    <w:rsid w:val="33182487"/>
    <w:rsid w:val="335C6818"/>
    <w:rsid w:val="33980069"/>
    <w:rsid w:val="34CB5A03"/>
    <w:rsid w:val="35862D40"/>
    <w:rsid w:val="35BF6BEA"/>
    <w:rsid w:val="369A179B"/>
    <w:rsid w:val="37C36E66"/>
    <w:rsid w:val="39CB3DB0"/>
    <w:rsid w:val="3A2443AC"/>
    <w:rsid w:val="3B3140E6"/>
    <w:rsid w:val="3BB32D4D"/>
    <w:rsid w:val="3C936023"/>
    <w:rsid w:val="3D003A4D"/>
    <w:rsid w:val="3F850EA5"/>
    <w:rsid w:val="40907B01"/>
    <w:rsid w:val="442B201A"/>
    <w:rsid w:val="44983428"/>
    <w:rsid w:val="44F20D8A"/>
    <w:rsid w:val="45E5269D"/>
    <w:rsid w:val="45EF52CA"/>
    <w:rsid w:val="46EE732F"/>
    <w:rsid w:val="46EF1216"/>
    <w:rsid w:val="47225D64"/>
    <w:rsid w:val="475609B8"/>
    <w:rsid w:val="4851401A"/>
    <w:rsid w:val="48643D4D"/>
    <w:rsid w:val="48E704DA"/>
    <w:rsid w:val="49867CF3"/>
    <w:rsid w:val="4B133808"/>
    <w:rsid w:val="4B1D4687"/>
    <w:rsid w:val="4BC36FDC"/>
    <w:rsid w:val="4BD034A7"/>
    <w:rsid w:val="4D3F6B37"/>
    <w:rsid w:val="4DD94895"/>
    <w:rsid w:val="4DF0398D"/>
    <w:rsid w:val="4E9C3B15"/>
    <w:rsid w:val="4EAD187E"/>
    <w:rsid w:val="50AC44E3"/>
    <w:rsid w:val="50FE3FD9"/>
    <w:rsid w:val="51383FC9"/>
    <w:rsid w:val="52AF02BB"/>
    <w:rsid w:val="554051FA"/>
    <w:rsid w:val="555A6EB1"/>
    <w:rsid w:val="55C37BD9"/>
    <w:rsid w:val="55FC5CA7"/>
    <w:rsid w:val="56466840"/>
    <w:rsid w:val="56CB143B"/>
    <w:rsid w:val="57DF27FE"/>
    <w:rsid w:val="57F624E8"/>
    <w:rsid w:val="5A127FD2"/>
    <w:rsid w:val="5A5C7AA6"/>
    <w:rsid w:val="5B7976B8"/>
    <w:rsid w:val="5BD25758"/>
    <w:rsid w:val="5DBA7B13"/>
    <w:rsid w:val="5E624433"/>
    <w:rsid w:val="5E6C52B2"/>
    <w:rsid w:val="5E8720EC"/>
    <w:rsid w:val="5EA401BF"/>
    <w:rsid w:val="5FB54A36"/>
    <w:rsid w:val="60D13AF2"/>
    <w:rsid w:val="62312A9A"/>
    <w:rsid w:val="62844FEE"/>
    <w:rsid w:val="62CC631F"/>
    <w:rsid w:val="62DE0370"/>
    <w:rsid w:val="63013919"/>
    <w:rsid w:val="63911317"/>
    <w:rsid w:val="63FE15F1"/>
    <w:rsid w:val="65F8742B"/>
    <w:rsid w:val="66432D9C"/>
    <w:rsid w:val="665F74AA"/>
    <w:rsid w:val="67E1286C"/>
    <w:rsid w:val="69763488"/>
    <w:rsid w:val="698A76E3"/>
    <w:rsid w:val="69AE2C22"/>
    <w:rsid w:val="6B865AF4"/>
    <w:rsid w:val="6BCF6E80"/>
    <w:rsid w:val="6C5B505C"/>
    <w:rsid w:val="6D0B3EE8"/>
    <w:rsid w:val="6F7264A0"/>
    <w:rsid w:val="70A17D74"/>
    <w:rsid w:val="71A36DE5"/>
    <w:rsid w:val="71B92164"/>
    <w:rsid w:val="743E1047"/>
    <w:rsid w:val="75614083"/>
    <w:rsid w:val="759E7FEF"/>
    <w:rsid w:val="75BB0765"/>
    <w:rsid w:val="75F61BD9"/>
    <w:rsid w:val="7628007A"/>
    <w:rsid w:val="777A05E8"/>
    <w:rsid w:val="78A05E2C"/>
    <w:rsid w:val="78FE2B52"/>
    <w:rsid w:val="7ABD2CC5"/>
    <w:rsid w:val="7C422497"/>
    <w:rsid w:val="7CD2762D"/>
    <w:rsid w:val="7D4F1BCF"/>
    <w:rsid w:val="7DC12ACC"/>
    <w:rsid w:val="7DFD5ACF"/>
    <w:rsid w:val="7E8273B2"/>
    <w:rsid w:val="7F233313"/>
    <w:rsid w:val="7F392227"/>
    <w:rsid w:val="7F670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autoRedefine/>
    <w:semiHidden/>
    <w:qFormat/>
    <w:uiPriority w:val="0"/>
  </w:style>
  <w:style w:type="table" w:default="1" w:styleId="1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index 5"/>
    <w:basedOn w:val="1"/>
    <w:next w:val="1"/>
    <w:unhideWhenUsed/>
    <w:qFormat/>
    <w:uiPriority w:val="99"/>
    <w:pPr>
      <w:keepNext w:val="0"/>
      <w:keepLines w:val="0"/>
      <w:widowControl w:val="0"/>
      <w:suppressLineNumbers w:val="0"/>
      <w:ind w:left="800" w:leftChars="800"/>
      <w:jc w:val="both"/>
    </w:pPr>
    <w:rPr>
      <w:rFonts w:hint="default" w:ascii="Times New Roman" w:hAnsi="Times New Roman" w:eastAsia="仿宋_GB2312" w:cs="Times New Roman"/>
      <w:kern w:val="2"/>
      <w:sz w:val="32"/>
      <w:szCs w:val="32"/>
      <w:lang w:val="en-US" w:eastAsia="zh-CN" w:bidi="ar"/>
    </w:rPr>
  </w:style>
  <w:style w:type="paragraph" w:styleId="5">
    <w:name w:val="Body Text"/>
    <w:basedOn w:val="1"/>
    <w:autoRedefine/>
    <w:qFormat/>
    <w:uiPriority w:val="99"/>
    <w:pPr>
      <w:spacing w:beforeLines="30"/>
    </w:pPr>
    <w:rPr>
      <w:rFonts w:ascii="仿宋_GB2312" w:eastAsia="仿宋_GB2312"/>
      <w:kern w:val="0"/>
      <w:sz w:val="30"/>
    </w:rPr>
  </w:style>
  <w:style w:type="paragraph" w:styleId="6">
    <w:name w:val="Body Text Indent"/>
    <w:basedOn w:val="1"/>
    <w:next w:val="7"/>
    <w:unhideWhenUsed/>
    <w:qFormat/>
    <w:uiPriority w:val="99"/>
    <w:pPr>
      <w:widowControl/>
      <w:spacing w:beforeLines="0" w:afterLines="0" w:line="540" w:lineRule="exact"/>
      <w:ind w:firstLine="200" w:firstLineChars="200"/>
      <w:textAlignment w:val="baseline"/>
    </w:pPr>
    <w:rPr>
      <w:rFonts w:hint="default" w:ascii="Times New Roman" w:hAnsi="Times New Roman" w:eastAsia="仿宋_GB2312"/>
      <w:color w:val="000000"/>
      <w:kern w:val="0"/>
      <w:sz w:val="32"/>
      <w:szCs w:val="24"/>
    </w:rPr>
  </w:style>
  <w:style w:type="paragraph" w:styleId="7">
    <w:name w:val="Body Text First Indent 2"/>
    <w:basedOn w:val="6"/>
    <w:unhideWhenUsed/>
    <w:qFormat/>
    <w:uiPriority w:val="99"/>
    <w:pPr>
      <w:spacing w:beforeLines="0" w:afterLines="0"/>
    </w:pPr>
    <w:rPr>
      <w:rFonts w:hint="default" w:eastAsia="宋体"/>
      <w:sz w:val="32"/>
      <w:szCs w:val="24"/>
    </w:rPr>
  </w:style>
  <w:style w:type="paragraph" w:styleId="8">
    <w:name w:val="Plain Text"/>
    <w:basedOn w:val="1"/>
    <w:qFormat/>
    <w:uiPriority w:val="0"/>
    <w:rPr>
      <w:rFonts w:ascii="宋体" w:hAnsi="宋体" w:eastAsia="仿宋" w:cs="Calibri"/>
      <w:sz w:val="32"/>
      <w:szCs w:val="21"/>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character" w:styleId="16">
    <w:name w:val="Strong"/>
    <w:basedOn w:val="15"/>
    <w:autoRedefine/>
    <w:qFormat/>
    <w:uiPriority w:val="99"/>
    <w:rPr>
      <w:b/>
    </w:rPr>
  </w:style>
  <w:style w:type="character" w:styleId="17">
    <w:name w:val="Hyperlink"/>
    <w:unhideWhenUsed/>
    <w:qFormat/>
    <w:uiPriority w:val="0"/>
    <w:rPr>
      <w:rFonts w:hint="default"/>
      <w:color w:val="0000FF"/>
      <w:sz w:val="24"/>
      <w:szCs w:val="24"/>
      <w:u w:val="single"/>
    </w:rPr>
  </w:style>
  <w:style w:type="character" w:customStyle="1" w:styleId="18">
    <w:name w:val="标题 1 Char"/>
    <w:basedOn w:val="15"/>
    <w:link w:val="2"/>
    <w:autoRedefine/>
    <w:qFormat/>
    <w:uiPriority w:val="9"/>
    <w:rPr>
      <w:b/>
      <w:bCs/>
      <w:kern w:val="44"/>
      <w:sz w:val="44"/>
      <w:szCs w:val="44"/>
    </w:rPr>
  </w:style>
  <w:style w:type="character" w:customStyle="1" w:styleId="19">
    <w:name w:val="标题 2 Char"/>
    <w:basedOn w:val="15"/>
    <w:link w:val="3"/>
    <w:autoRedefine/>
    <w:qFormat/>
    <w:uiPriority w:val="9"/>
    <w:rPr>
      <w:rFonts w:asciiTheme="majorHAnsi" w:hAnsiTheme="majorHAnsi" w:eastAsiaTheme="majorEastAsia" w:cstheme="majorBidi"/>
      <w:b/>
      <w:bCs/>
      <w:sz w:val="32"/>
      <w:szCs w:val="32"/>
    </w:rPr>
  </w:style>
  <w:style w:type="paragraph" w:styleId="20">
    <w:name w:val="List Paragraph"/>
    <w:basedOn w:val="1"/>
    <w:qFormat/>
    <w:uiPriority w:val="34"/>
    <w:pPr>
      <w:ind w:firstLine="420" w:firstLineChars="200"/>
    </w:p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2">
    <w:name w:val="列表段落1"/>
    <w:basedOn w:val="1"/>
    <w:autoRedefine/>
    <w:qFormat/>
    <w:uiPriority w:val="0"/>
    <w:pPr>
      <w:ind w:firstLine="200" w:firstLineChars="200"/>
    </w:pPr>
  </w:style>
  <w:style w:type="character" w:customStyle="1" w:styleId="23">
    <w:name w:val="15"/>
    <w:basedOn w:val="15"/>
    <w:qFormat/>
    <w:uiPriority w:val="0"/>
    <w:rPr>
      <w:rFonts w:hint="default" w:ascii="Times New Roman" w:hAnsi="Times New Roman" w:cs="Times New Roman"/>
      <w:b/>
    </w:rPr>
  </w:style>
  <w:style w:type="character" w:customStyle="1" w:styleId="24">
    <w:name w:val="10"/>
    <w:basedOn w:val="15"/>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jpeg"/><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收入支出决算表</a:t>
            </a:r>
          </a:p>
        </c:rich>
      </c:tx>
      <c:layout/>
      <c:overlay val="0"/>
      <c:spPr>
        <a:noFill/>
        <a:ln>
          <a:noFill/>
        </a:ln>
        <a:effectLst/>
      </c:spPr>
    </c:title>
    <c:autoTitleDeleted val="0"/>
    <c:plotArea>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delete val="1"/>
          </c:dLbls>
          <c:cat>
            <c:strRef>
              <c:f>Sheet1!$A$2:$A$5</c:f>
              <c:strCache>
                <c:ptCount val="4"/>
                <c:pt idx="0">
                  <c:v>2025年收入</c:v>
                </c:pt>
                <c:pt idx="1">
                  <c:v>2024年收入</c:v>
                </c:pt>
                <c:pt idx="2">
                  <c:v>2025年支出</c:v>
                </c:pt>
                <c:pt idx="3">
                  <c:v>2024年支出</c:v>
                </c:pt>
              </c:strCache>
            </c:strRef>
          </c:cat>
          <c:val>
            <c:numRef>
              <c:f>Sheet1!#REF!</c:f>
              <c:numCache>
                <c:formatCode>General</c:formatCode>
                <c:ptCount val="1"/>
                <c:pt idx="0">
                  <c:v>1</c:v>
                </c:pt>
              </c:numCache>
            </c:numRef>
          </c:val>
        </c:ser>
        <c:ser>
          <c:idx val="1"/>
          <c:order val="1"/>
          <c:tx>
            <c:strRef>
              <c:f>Sheet1!$B$1</c:f>
              <c:strCache>
                <c:ptCount val="1"/>
                <c:pt idx="0">
                  <c:v>系列 2</c:v>
                </c:pt>
              </c:strCache>
            </c:strRef>
          </c:tx>
          <c:spPr>
            <a:solidFill>
              <a:schemeClr val="accent2"/>
            </a:solidFill>
            <a:ln>
              <a:noFill/>
            </a:ln>
            <a:effectLst/>
          </c:spPr>
          <c:invertIfNegative val="0"/>
          <c:dPt>
            <c:idx val="1"/>
            <c:invertIfNegative val="0"/>
            <c:bubble3D val="0"/>
            <c:spPr>
              <a:solidFill>
                <a:srgbClr val="92D050"/>
              </a:solidFill>
              <a:ln>
                <a:noFill/>
              </a:ln>
              <a:effectLst/>
            </c:spPr>
          </c:dPt>
          <c:dPt>
            <c:idx val="3"/>
            <c:invertIfNegative val="0"/>
            <c:bubble3D val="0"/>
            <c:spPr>
              <a:solidFill>
                <a:srgbClr val="92D050"/>
              </a:solidFill>
              <a:ln>
                <a:noFill/>
              </a:ln>
              <a:effectLst/>
            </c:spPr>
          </c:dPt>
          <c:dLbls>
            <c:delete val="1"/>
          </c:dLbls>
          <c:cat>
            <c:strRef>
              <c:f>Sheet1!$A$2:$A$5</c:f>
              <c:strCache>
                <c:ptCount val="4"/>
                <c:pt idx="0">
                  <c:v>2025年收入</c:v>
                </c:pt>
                <c:pt idx="1">
                  <c:v>2024年收入</c:v>
                </c:pt>
                <c:pt idx="2">
                  <c:v>2025年支出</c:v>
                </c:pt>
                <c:pt idx="3">
                  <c:v>2024年支出</c:v>
                </c:pt>
              </c:strCache>
            </c:strRef>
          </c:cat>
          <c:val>
            <c:numRef>
              <c:f>Sheet1!$B$2:$B$5</c:f>
              <c:numCache>
                <c:formatCode>General</c:formatCode>
                <c:ptCount val="4"/>
                <c:pt idx="0">
                  <c:v>186.11</c:v>
                </c:pt>
                <c:pt idx="1">
                  <c:v>178.97</c:v>
                </c:pt>
                <c:pt idx="2">
                  <c:v>186.11</c:v>
                </c:pt>
                <c:pt idx="3">
                  <c:v>178.97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2025年收入</c:v>
                </c:pt>
                <c:pt idx="1">
                  <c:v>2024年收入</c:v>
                </c:pt>
                <c:pt idx="2">
                  <c:v>2025年支出</c:v>
                </c:pt>
                <c:pt idx="3">
                  <c:v>2024年支出</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50"/>
        <c:overlap val="0"/>
        <c:axId val="516654236"/>
        <c:axId val="487698753"/>
      </c:barChart>
      <c:catAx>
        <c:axId val="5166542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698753"/>
        <c:crosses val="autoZero"/>
        <c:auto val="1"/>
        <c:lblAlgn val="ctr"/>
        <c:lblOffset val="100"/>
        <c:noMultiLvlLbl val="0"/>
      </c:catAx>
      <c:valAx>
        <c:axId val="48769875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654236"/>
        <c:crosses val="autoZero"/>
        <c:crossBetween val="between"/>
      </c:valAx>
      <c:spPr>
        <a:noFill/>
        <a:ln>
          <a:noFill/>
        </a:ln>
        <a:effectLst/>
      </c:spPr>
    </c:plotArea>
    <c:legend>
      <c:legendPos val="r"/>
      <c:legendEntry>
        <c:idx val="0"/>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6c3da0-517f-4468-b4b9-26e09f1874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title>
    <c:autoTitleDeleted val="0"/>
    <c:plotArea>
      <c:layout/>
      <c:pieChart>
        <c:varyColors val="1"/>
        <c:ser>
          <c:idx val="0"/>
          <c:order val="0"/>
          <c:tx>
            <c:strRef>
              <c:f>'Sheet1 (2)'!$B$1</c:f>
              <c:strCache>
                <c:ptCount val="1"/>
                <c:pt idx="0">
                  <c:v>收入决算结构图</c:v>
                </c:pt>
              </c:strCache>
            </c:strRef>
          </c:tx>
          <c:spPr>
            <a:solidFill>
              <a:srgbClr val="4F81BD"/>
            </a:solidFill>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Lbls>
            <c:numFmt formatCode="0.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(2)'!$A$2:$A$7</c:f>
              <c:strCache>
                <c:ptCount val="6"/>
                <c:pt idx="0">
                  <c:v>一般公共预算财政拨款收入</c:v>
                </c:pt>
                <c:pt idx="1">
                  <c:v>政府性基金预算财政拨款收入</c:v>
                </c:pt>
                <c:pt idx="2">
                  <c:v>国有资本经营预算财政拨款收入</c:v>
                </c:pt>
                <c:pt idx="3">
                  <c:v>事业收入</c:v>
                </c:pt>
                <c:pt idx="4">
                  <c:v>经营收入</c:v>
                </c:pt>
                <c:pt idx="5">
                  <c:v>其他收入</c:v>
                </c:pt>
              </c:strCache>
            </c:strRef>
          </c:cat>
          <c:val>
            <c:numRef>
              <c:f>'Sheet1 (2)'!$B$2:$B$7</c:f>
              <c:numCache>
                <c:formatCode>0.00%</c:formatCode>
                <c:ptCount val="6"/>
                <c:pt idx="0">
                  <c:v>1</c:v>
                </c:pt>
              </c:numCache>
            </c:numRef>
          </c:val>
        </c:ser>
        <c:dLbls>
          <c:showLegendKey val="0"/>
          <c:showVal val="1"/>
          <c:showCatName val="0"/>
          <c:showSerName val="0"/>
          <c:showPercent val="0"/>
          <c:showBubbleSize val="0"/>
          <c:showLeaderLines val="1"/>
        </c:dLbls>
        <c:firstSliceAng val="0"/>
      </c:pieChart>
      <c:spPr>
        <a:noFill/>
      </c:spPr>
    </c:plotArea>
    <c:legend>
      <c:legendPos val="r"/>
      <c:layout>
        <c:manualLayout>
          <c:xMode val="edge"/>
          <c:yMode val="edge"/>
          <c:x val="0.643992294726704"/>
          <c:y val="0.136429308565531"/>
        </c:manualLayout>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227e1d93-9ccc-4567-9f7c-36c509696e76}"/>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支出决算结构图</a:t>
            </a:r>
            <a:endParaRPr lang="zh-CN"/>
          </a:p>
        </c:rich>
      </c:tx>
      <c:layout/>
      <c:overlay val="0"/>
      <c:spPr>
        <a:ln>
          <a:noFill/>
        </a:ln>
      </c:spPr>
    </c:title>
    <c:autoTitleDeleted val="0"/>
    <c:plotArea>
      <c:layout>
        <c:manualLayout>
          <c:layoutTarget val="inner"/>
          <c:xMode val="edge"/>
          <c:yMode val="edge"/>
          <c:x val="0.226886588008668"/>
          <c:y val="0.223739938080495"/>
          <c:w val="0.399104261979292"/>
          <c:h val="0.684202270381837"/>
        </c:manualLayout>
      </c:layout>
      <c:pieChart>
        <c:varyColors val="1"/>
        <c:ser>
          <c:idx val="0"/>
          <c:order val="0"/>
          <c:tx>
            <c:strRef>
              <c:f>'Sheet1 (3)'!$B$1</c:f>
              <c:strCache>
                <c:ptCount val="1"/>
                <c:pt idx="0">
                  <c:v>支出决算结构图</c:v>
                </c:pt>
              </c:strCache>
            </c:strRef>
          </c:tx>
          <c:spPr>
            <a:ln>
              <a:noFill/>
            </a:ln>
          </c:spPr>
          <c:explosion val="0"/>
          <c:dPt>
            <c:idx val="0"/>
            <c:bubble3D val="0"/>
            <c:spPr>
              <a:solidFill>
                <a:srgbClr val="4F81BD"/>
              </a:solidFill>
              <a:ln>
                <a:noFill/>
              </a:ln>
            </c:spPr>
          </c:dPt>
          <c:dPt>
            <c:idx val="1"/>
            <c:bubble3D val="0"/>
            <c:spPr>
              <a:solidFill>
                <a:srgbClr val="C0504D"/>
              </a:solidFill>
              <a:ln>
                <a:noFill/>
              </a:ln>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0.00%</c:formatCode>
                <c:ptCount val="2"/>
                <c:pt idx="0">
                  <c:v>0.837676642845629</c:v>
                </c:pt>
                <c:pt idx="1">
                  <c:v>0.162323357154371</c:v>
                </c:pt>
              </c:numCache>
            </c:numRef>
          </c:val>
        </c:ser>
        <c:dLbls>
          <c:showLegendKey val="0"/>
          <c:showVal val="1"/>
          <c:showCatName val="0"/>
          <c:showSerName val="0"/>
          <c:showPercent val="0"/>
          <c:showBubbleSize val="0"/>
          <c:showLeaderLines val="1"/>
        </c:dLbls>
        <c:firstSliceAng val="0"/>
      </c:pieChart>
      <c:spPr>
        <a:no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46ded972-6941-4f59-a348-d0f750bb74a1}"/>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一般公共预算财政拨款支出决算变动情况图</a:t>
            </a:r>
            <a:endParaRPr lang="zh-CN"/>
          </a:p>
        </c:rich>
      </c:tx>
      <c:layout>
        <c:manualLayout>
          <c:xMode val="edge"/>
          <c:yMode val="edge"/>
          <c:x val="0.107151456778232"/>
          <c:y val="0.0222707886386701"/>
        </c:manualLayout>
      </c:layout>
      <c:overlay val="0"/>
      <c:spPr>
        <a:ln>
          <a:noFill/>
        </a:ln>
      </c:spPr>
    </c:title>
    <c:autoTitleDeleted val="0"/>
    <c:plotArea>
      <c:layout>
        <c:manualLayout>
          <c:layoutTarget val="inner"/>
          <c:xMode val="edge"/>
          <c:yMode val="edge"/>
          <c:x val="0.0594750782566819"/>
          <c:y val="0.30546955624355"/>
          <c:w val="0.548278352997833"/>
          <c:h val="0.625593395252838"/>
        </c:manualLayout>
      </c:layout>
      <c:barChart>
        <c:barDir val="col"/>
        <c:grouping val="stacked"/>
        <c:varyColors val="0"/>
        <c:ser>
          <c:idx val="0"/>
          <c:order val="0"/>
          <c:tx>
            <c:strRef>
              <c:f>'Sheet1 (5)'!$B$1</c:f>
              <c:strCache>
                <c:ptCount val="1"/>
                <c:pt idx="0">
                  <c:v>一般公共预算财政拨款支出决算变动情况图</c:v>
                </c:pt>
              </c:strCache>
            </c:strRef>
          </c:tx>
          <c:spPr>
            <a:solidFill>
              <a:srgbClr val="4F81BD"/>
            </a:solidFill>
            <a:ln>
              <a:noFill/>
            </a:ln>
          </c:spPr>
          <c:invertIfNegative val="0"/>
          <c:dPt>
            <c:idx val="0"/>
            <c:invertIfNegative val="0"/>
            <c:bubble3D val="0"/>
            <c:spPr>
              <a:solidFill>
                <a:srgbClr val="92D050"/>
              </a:solidFill>
              <a:ln>
                <a:noFill/>
              </a:ln>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(5)'!$A$2:$A$3</c:f>
              <c:strCache>
                <c:ptCount val="2"/>
                <c:pt idx="0">
                  <c:v>2024年支出决算</c:v>
                </c:pt>
                <c:pt idx="1">
                  <c:v>2025年支出决算</c:v>
                </c:pt>
              </c:strCache>
            </c:strRef>
          </c:cat>
          <c:val>
            <c:numRef>
              <c:f>'Sheet1 (5)'!$B$2:$B$3</c:f>
              <c:numCache>
                <c:formatCode>General</c:formatCode>
                <c:ptCount val="2"/>
                <c:pt idx="0">
                  <c:v>178.97</c:v>
                </c:pt>
                <c:pt idx="1">
                  <c:v>185.41</c:v>
                </c:pt>
              </c:numCache>
            </c:numRef>
          </c:val>
        </c:ser>
        <c:dLbls>
          <c:showLegendKey val="0"/>
          <c:showVal val="1"/>
          <c:showCatName val="0"/>
          <c:showSerName val="0"/>
          <c:showPercent val="0"/>
          <c:showBubbleSize val="0"/>
        </c:dLbls>
        <c:gapWidth val="150"/>
        <c:overlap val="100"/>
        <c:axId val="0"/>
        <c:axId val="1"/>
      </c:barChart>
      <c:catAx>
        <c:axId val="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0"/>
        <c:crossesAt val="1"/>
        <c:crossBetween val="between"/>
      </c:valAx>
      <c:spPr>
        <a:solidFill>
          <a:srgbClr val="FFFFFF"/>
        </a:solid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8f0cca8c-3dec-4ac1-8bfb-2734389e54ac}"/>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a:t>收入支出变动情况图</a:t>
            </a:r>
            <a:endParaRPr lang="zh-CN"/>
          </a:p>
        </c:rich>
      </c:tx>
      <c:layout/>
      <c:overlay val="0"/>
      <c:spPr>
        <a:ln>
          <a:noFill/>
        </a:ln>
      </c:spPr>
    </c:title>
    <c:autoTitleDeleted val="0"/>
    <c:plotArea>
      <c:layout>
        <c:manualLayout>
          <c:layoutTarget val="inner"/>
          <c:xMode val="edge"/>
          <c:yMode val="edge"/>
          <c:x val="0.0865248226950355"/>
          <c:y val="0.174666666666667"/>
          <c:w val="0.709606705351386"/>
          <c:h val="0.692888888888889"/>
        </c:manualLayout>
      </c:layout>
      <c:barChart>
        <c:barDir val="col"/>
        <c:grouping val="clustered"/>
        <c:varyColors val="0"/>
        <c:ser>
          <c:idx val="0"/>
          <c:order val="0"/>
          <c:tx>
            <c:strRef>
              <c:f>'Sheet1 (4)'!$B$1</c:f>
              <c:strCache>
                <c:ptCount val="1"/>
                <c:pt idx="0">
                  <c:v>收入支出变动情况图</c:v>
                </c:pt>
              </c:strCache>
            </c:strRef>
          </c:tx>
          <c:spPr>
            <a:solidFill>
              <a:srgbClr val="4F81BD"/>
            </a:solidFill>
            <a:ln>
              <a:noFill/>
            </a:ln>
          </c:spPr>
          <c:invertIfNegative val="0"/>
          <c:dPt>
            <c:idx val="0"/>
            <c:invertIfNegative val="0"/>
            <c:bubble3D val="0"/>
            <c:spPr>
              <a:solidFill>
                <a:srgbClr val="92D050"/>
              </a:solidFill>
              <a:ln>
                <a:noFill/>
              </a:ln>
            </c:spPr>
          </c:dPt>
          <c:dPt>
            <c:idx val="2"/>
            <c:invertIfNegative val="0"/>
            <c:bubble3D val="0"/>
            <c:spPr>
              <a:solidFill>
                <a:srgbClr val="92D050"/>
              </a:solidFill>
              <a:ln>
                <a:noFill/>
              </a:ln>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(4)'!$A$2:$A$5</c:f>
              <c:strCache>
                <c:ptCount val="4"/>
                <c:pt idx="0">
                  <c:v>2024年收入</c:v>
                </c:pt>
                <c:pt idx="1">
                  <c:v>2025年收入</c:v>
                </c:pt>
                <c:pt idx="2">
                  <c:v>2024年支出</c:v>
                </c:pt>
                <c:pt idx="3">
                  <c:v>2025年支出</c:v>
                </c:pt>
              </c:strCache>
            </c:strRef>
          </c:cat>
          <c:val>
            <c:numRef>
              <c:f>'Sheet1 (4)'!$B$2:$B$5</c:f>
              <c:numCache>
                <c:formatCode>General</c:formatCode>
                <c:ptCount val="4"/>
                <c:pt idx="0">
                  <c:v>178.97</c:v>
                </c:pt>
                <c:pt idx="1">
                  <c:v>185.41</c:v>
                </c:pt>
                <c:pt idx="2">
                  <c:v>185.41</c:v>
                </c:pt>
                <c:pt idx="3">
                  <c:v>178.97</c:v>
                </c:pt>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crossAx val="0"/>
        <c:crossesAt val="1"/>
        <c:crossBetween val="between"/>
      </c:valAx>
      <c:spPr>
        <a:solidFill>
          <a:srgbClr val="FFFFFF"/>
        </a:solidFill>
      </c:spPr>
    </c:plotArea>
    <c:legend>
      <c:legendPos val="r"/>
      <c:layout/>
      <c:overlay val="0"/>
      <c:spPr>
        <a:noFill/>
        <a:ln>
          <a:noFill/>
        </a:ln>
      </c:spPr>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f28b7a91-3c09-45ee-8366-1b043fca36b2}"/>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title>
    <c:autoTitleDeleted val="0"/>
    <c:plotArea>
      <c:layout/>
      <c:pieChart>
        <c:varyColors val="1"/>
        <c:ser>
          <c:idx val="0"/>
          <c:order val="0"/>
          <c:tx>
            <c:strRef>
              <c:f>'Sheet1 (6)'!$B$1</c:f>
              <c:strCache>
                <c:ptCount val="1"/>
                <c:pt idx="0">
                  <c:v>一般公共预算财政拨款支出结构图</c:v>
                </c:pt>
              </c:strCache>
            </c:strRef>
          </c:tx>
          <c:spPr>
            <a:ln>
              <a:noFill/>
            </a:ln>
          </c:spPr>
          <c:explosion val="0"/>
          <c:dPt>
            <c:idx val="0"/>
            <c:bubble3D val="0"/>
            <c:spPr>
              <a:solidFill>
                <a:srgbClr val="4F81BD"/>
              </a:solidFill>
              <a:ln>
                <a:noFill/>
              </a:ln>
            </c:spPr>
          </c:dPt>
          <c:dPt>
            <c:idx val="1"/>
            <c:bubble3D val="0"/>
            <c:spPr>
              <a:solidFill>
                <a:srgbClr val="C0504D"/>
              </a:solidFill>
              <a:ln>
                <a:noFill/>
              </a:ln>
            </c:spPr>
          </c:dPt>
          <c:dPt>
            <c:idx val="2"/>
            <c:bubble3D val="0"/>
            <c:spPr>
              <a:solidFill>
                <a:srgbClr val="9BBB59"/>
              </a:solidFill>
              <a:ln>
                <a:noFill/>
              </a:ln>
            </c:spPr>
          </c:dPt>
          <c:dPt>
            <c:idx val="3"/>
            <c:bubble3D val="0"/>
            <c:spPr>
              <a:solidFill>
                <a:srgbClr val="8064A2"/>
              </a:solidFill>
              <a:ln>
                <a:noFill/>
              </a:ln>
            </c:spPr>
          </c:dPt>
          <c:dPt>
            <c:idx val="4"/>
            <c:bubble3D val="0"/>
            <c:spPr>
              <a:ln>
                <a:noFill/>
              </a:ln>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(6)'!$A$2:$A$6</c:f>
              <c:strCache>
                <c:ptCount val="5"/>
                <c:pt idx="0">
                  <c:v>文化旅游体育与媒体</c:v>
                </c:pt>
                <c:pt idx="1">
                  <c:v>社会保障和就业支出</c:v>
                </c:pt>
                <c:pt idx="2">
                  <c:v>卫生健康支出</c:v>
                </c:pt>
                <c:pt idx="3">
                  <c:v>住房保障支出</c:v>
                </c:pt>
              </c:strCache>
            </c:strRef>
          </c:cat>
          <c:val>
            <c:numRef>
              <c:f>'Sheet1 (6)'!$B$2:$B$6</c:f>
              <c:numCache>
                <c:formatCode>0.00%</c:formatCode>
                <c:ptCount val="5"/>
                <c:pt idx="0">
                  <c:v>0.786203548891646</c:v>
                </c:pt>
                <c:pt idx="1">
                  <c:v>0.111482660050698</c:v>
                </c:pt>
                <c:pt idx="2">
                  <c:v>0.0415295830861334</c:v>
                </c:pt>
                <c:pt idx="3">
                  <c:v>0.0605145353540801</c:v>
                </c:pt>
              </c:numCache>
            </c:numRef>
          </c:val>
        </c:ser>
        <c:dLbls>
          <c:showLegendKey val="0"/>
          <c:showVal val="0"/>
          <c:showCatName val="0"/>
          <c:showSerName val="0"/>
          <c:showPercent val="0"/>
          <c:showBubbleSize val="0"/>
          <c:showLeaderLines val="1"/>
        </c:dLbls>
        <c:firstSliceAng val="0"/>
      </c:pieChart>
      <c:spPr>
        <a:noFill/>
      </c:spPr>
    </c:plotArea>
    <c:legend>
      <c:legendPos val="r"/>
      <c:legendEntry>
        <c:idx val="4"/>
        <c:delete val="1"/>
      </c:legendEntry>
      <c:layout/>
      <c:overlay val="0"/>
      <c:txPr>
        <a:bodyPr rot="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b6d9e17d-67d5-4223-8c64-8f4d21ed6f77}"/>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15284</Words>
  <Characters>16199</Characters>
  <Lines>1</Lines>
  <Paragraphs>1</Paragraphs>
  <TotalTime>8</TotalTime>
  <ScaleCrop>false</ScaleCrop>
  <LinksUpToDate>false</LinksUpToDate>
  <CharactersWithSpaces>16273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2024-10-17T10:39:00Z</dcterms:created>
  <dc:creator>Y–Queen</dc:creator>
  <cp:lastModifiedBy>Y–Queen</cp:lastModifiedBy>
  <cp:lastPrinted>2026-10-10T06:44:00Z</cp:lastPrinted>
  <dcterms:modified xsi:type="dcterms:W3CDTF">2026-10-10T08:40:25Z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B4FA9A0DEEFB4D5AAC71D7209588C695_11</vt:lpwstr>
  </property>
  <property fmtid="{D5CDD505-2E9C-101B-9397-08002B2CF9AE}" pid="4" name="KSOTemplateDocerSaveRecord">
    <vt:lpwstr>eyJoZGlkIjoiZGFlMmNkOGM3YTI5Yzc0M2NlYzcyNzk2ZjRkYmQ4ZjYiLCJ1c2VySWQiOiIxOTQ2MTY4NTAifQ==</vt:lpwstr>
  </property>
</Properties>
</file>