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A76A4">
      <w:pPr>
        <w:spacing w:line="600" w:lineRule="exact"/>
        <w:jc w:val="left"/>
        <w:outlineLvl w:val="0"/>
        <w:rPr>
          <w:rFonts w:ascii="方正小标宋简体" w:hAnsi="宋体" w:eastAsia="方正小标宋简体"/>
          <w:szCs w:val="21"/>
        </w:rPr>
      </w:pPr>
      <w:bookmarkStart w:id="0" w:name="_Toc15306267"/>
    </w:p>
    <w:p w14:paraId="74519236">
      <w:pPr>
        <w:spacing w:line="600" w:lineRule="exact"/>
        <w:jc w:val="center"/>
        <w:outlineLvl w:val="0"/>
        <w:rPr>
          <w:rFonts w:ascii="方正小标宋简体" w:hAnsi="宋体" w:eastAsia="方正小标宋简体"/>
          <w:sz w:val="72"/>
          <w:szCs w:val="72"/>
        </w:rPr>
      </w:pPr>
    </w:p>
    <w:p w14:paraId="35615707">
      <w:pPr>
        <w:spacing w:line="600" w:lineRule="exact"/>
        <w:jc w:val="center"/>
        <w:outlineLvl w:val="0"/>
        <w:rPr>
          <w:rFonts w:ascii="方正小标宋简体" w:hAnsi="宋体" w:eastAsia="方正小标宋简体"/>
          <w:sz w:val="72"/>
          <w:szCs w:val="72"/>
        </w:rPr>
      </w:pPr>
    </w:p>
    <w:bookmarkEnd w:id="0"/>
    <w:p w14:paraId="3DB473B4">
      <w:pPr>
        <w:jc w:val="center"/>
        <w:rPr>
          <w:rFonts w:ascii="方正小标宋简体" w:hAnsi="方正小标宋简体" w:eastAsia="方正小标宋简体" w:cs="方正小标宋简体"/>
          <w:sz w:val="72"/>
          <w:szCs w:val="72"/>
        </w:rPr>
      </w:pPr>
      <w:bookmarkStart w:id="1" w:name="_Toc15377425"/>
      <w:bookmarkStart w:id="2" w:name="_Toc15396597"/>
      <w:bookmarkStart w:id="3" w:name="_Toc15377193"/>
      <w:bookmarkStart w:id="4" w:name="_Toc15396475"/>
      <w:bookmarkStart w:id="5" w:name="_Toc15378441"/>
      <w:bookmarkStart w:id="6" w:name="_Toc15377426"/>
      <w:bookmarkStart w:id="7" w:name="_Toc15396598"/>
      <w:bookmarkStart w:id="8" w:name="_Toc15306268"/>
      <w:bookmarkStart w:id="9" w:name="_Toc15377194"/>
      <w:bookmarkStart w:id="10" w:name="_Toc15378442"/>
      <w:bookmarkStart w:id="11" w:name="_Toc15396476"/>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1"/>
      <w:bookmarkEnd w:id="2"/>
      <w:bookmarkEnd w:id="3"/>
      <w:bookmarkEnd w:id="4"/>
      <w:bookmarkEnd w:id="5"/>
    </w:p>
    <w:p w14:paraId="7A53BD9B">
      <w:pPr>
        <w:jc w:val="center"/>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四川省阿坝州</w:t>
      </w:r>
      <w:r>
        <w:rPr>
          <w:rFonts w:hint="eastAsia" w:ascii="方正小标宋简体" w:hAnsi="方正小标宋简体" w:eastAsia="方正小标宋简体" w:cs="方正小标宋简体"/>
          <w:sz w:val="72"/>
          <w:szCs w:val="72"/>
          <w:lang w:eastAsia="zh-CN"/>
        </w:rPr>
        <w:t>汶川县</w:t>
      </w:r>
    </w:p>
    <w:p w14:paraId="7D8ACA21">
      <w:pPr>
        <w:jc w:val="center"/>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lang w:eastAsia="zh-CN"/>
        </w:rPr>
        <w:t>总工会</w:t>
      </w:r>
      <w:r>
        <w:rPr>
          <w:rFonts w:hint="eastAsia" w:ascii="方正小标宋简体" w:hAnsi="方正小标宋简体" w:eastAsia="方正小标宋简体" w:cs="方正小标宋简体"/>
          <w:sz w:val="72"/>
          <w:szCs w:val="72"/>
        </w:rPr>
        <w:t>单位决算</w:t>
      </w:r>
      <w:bookmarkEnd w:id="6"/>
      <w:bookmarkEnd w:id="7"/>
      <w:bookmarkEnd w:id="8"/>
      <w:bookmarkEnd w:id="9"/>
      <w:bookmarkEnd w:id="10"/>
      <w:bookmarkEnd w:id="11"/>
    </w:p>
    <w:p w14:paraId="3F300942">
      <w:pPr>
        <w:autoSpaceDE w:val="0"/>
        <w:autoSpaceDN w:val="0"/>
        <w:adjustRightInd w:val="0"/>
        <w:ind w:left="420" w:leftChars="200"/>
        <w:jc w:val="center"/>
        <w:rPr>
          <w:rFonts w:ascii="宋体" w:cs="仿宋_GB2312"/>
          <w:sz w:val="32"/>
          <w:szCs w:val="32"/>
        </w:rPr>
      </w:pPr>
    </w:p>
    <w:p w14:paraId="41B75A4F">
      <w:pPr>
        <w:autoSpaceDE w:val="0"/>
        <w:autoSpaceDN w:val="0"/>
        <w:adjustRightInd w:val="0"/>
        <w:ind w:left="420" w:leftChars="200"/>
        <w:jc w:val="left"/>
        <w:rPr>
          <w:rFonts w:ascii="宋体" w:cs="仿宋_GB2312"/>
          <w:sz w:val="32"/>
          <w:szCs w:val="32"/>
        </w:rPr>
      </w:pPr>
    </w:p>
    <w:p w14:paraId="0086D994">
      <w:pPr>
        <w:autoSpaceDE w:val="0"/>
        <w:autoSpaceDN w:val="0"/>
        <w:adjustRightInd w:val="0"/>
        <w:ind w:left="420" w:leftChars="200"/>
        <w:jc w:val="left"/>
        <w:rPr>
          <w:rFonts w:ascii="宋体" w:cs="仿宋_GB2312"/>
          <w:sz w:val="32"/>
          <w:szCs w:val="32"/>
        </w:rPr>
      </w:pPr>
    </w:p>
    <w:p w14:paraId="64741FFB">
      <w:pPr>
        <w:autoSpaceDE w:val="0"/>
        <w:autoSpaceDN w:val="0"/>
        <w:adjustRightInd w:val="0"/>
        <w:jc w:val="left"/>
        <w:rPr>
          <w:rFonts w:ascii="宋体" w:cs="仿宋_GB2312"/>
          <w:sz w:val="32"/>
          <w:szCs w:val="32"/>
        </w:rPr>
      </w:pPr>
    </w:p>
    <w:p w14:paraId="02E736AC">
      <w:pPr>
        <w:autoSpaceDE w:val="0"/>
        <w:autoSpaceDN w:val="0"/>
        <w:adjustRightInd w:val="0"/>
        <w:jc w:val="left"/>
        <w:rPr>
          <w:rFonts w:ascii="宋体" w:cs="仿宋_GB2312"/>
          <w:sz w:val="32"/>
          <w:szCs w:val="32"/>
        </w:rPr>
      </w:pPr>
    </w:p>
    <w:p w14:paraId="281D58AD">
      <w:pPr>
        <w:autoSpaceDE w:val="0"/>
        <w:autoSpaceDN w:val="0"/>
        <w:adjustRightInd w:val="0"/>
        <w:ind w:left="420" w:leftChars="200"/>
        <w:jc w:val="left"/>
        <w:rPr>
          <w:rFonts w:ascii="宋体" w:cs="仿宋_GB2312"/>
          <w:sz w:val="32"/>
          <w:szCs w:val="32"/>
        </w:rPr>
      </w:pPr>
    </w:p>
    <w:p w14:paraId="2204C181">
      <w:pPr>
        <w:autoSpaceDE w:val="0"/>
        <w:autoSpaceDN w:val="0"/>
        <w:adjustRightInd w:val="0"/>
        <w:ind w:left="420" w:leftChars="200"/>
        <w:jc w:val="left"/>
        <w:rPr>
          <w:rFonts w:ascii="宋体" w:cs="仿宋_GB2312"/>
          <w:sz w:val="32"/>
          <w:szCs w:val="32"/>
        </w:rPr>
      </w:pPr>
    </w:p>
    <w:p w14:paraId="3AECFA6B">
      <w:pPr>
        <w:autoSpaceDE w:val="0"/>
        <w:autoSpaceDN w:val="0"/>
        <w:adjustRightInd w:val="0"/>
        <w:ind w:left="420" w:leftChars="200"/>
        <w:jc w:val="left"/>
        <w:rPr>
          <w:rFonts w:ascii="宋体" w:cs="仿宋_GB2312"/>
          <w:sz w:val="32"/>
          <w:szCs w:val="32"/>
        </w:rPr>
      </w:pPr>
    </w:p>
    <w:p w14:paraId="7FACBDCA">
      <w:pPr>
        <w:autoSpaceDE w:val="0"/>
        <w:autoSpaceDN w:val="0"/>
        <w:adjustRightInd w:val="0"/>
        <w:ind w:left="420" w:leftChars="200"/>
        <w:jc w:val="left"/>
        <w:rPr>
          <w:rFonts w:ascii="宋体" w:cs="仿宋_GB2312"/>
          <w:sz w:val="32"/>
          <w:szCs w:val="32"/>
        </w:rPr>
      </w:pPr>
    </w:p>
    <w:p w14:paraId="16A648D9">
      <w:pPr>
        <w:autoSpaceDE w:val="0"/>
        <w:autoSpaceDN w:val="0"/>
        <w:adjustRightInd w:val="0"/>
        <w:ind w:left="420" w:leftChars="200"/>
        <w:jc w:val="left"/>
        <w:rPr>
          <w:rFonts w:ascii="宋体" w:cs="仿宋_GB2312"/>
          <w:sz w:val="32"/>
          <w:szCs w:val="32"/>
        </w:rPr>
      </w:pPr>
    </w:p>
    <w:p w14:paraId="6E588CEA">
      <w:pPr>
        <w:autoSpaceDE w:val="0"/>
        <w:autoSpaceDN w:val="0"/>
        <w:adjustRightInd w:val="0"/>
        <w:ind w:left="420" w:leftChars="200"/>
        <w:jc w:val="left"/>
        <w:rPr>
          <w:rFonts w:ascii="宋体" w:cs="仿宋_GB2312"/>
          <w:sz w:val="32"/>
          <w:szCs w:val="32"/>
        </w:rPr>
      </w:pPr>
    </w:p>
    <w:p w14:paraId="1627BB50">
      <w:pPr>
        <w:autoSpaceDE w:val="0"/>
        <w:autoSpaceDN w:val="0"/>
        <w:adjustRightInd w:val="0"/>
        <w:jc w:val="left"/>
        <w:rPr>
          <w:rFonts w:ascii="宋体"/>
          <w:sz w:val="32"/>
          <w:szCs w:val="32"/>
        </w:rPr>
      </w:pPr>
      <w:r>
        <w:rPr>
          <w:rFonts w:hint="eastAsia" w:ascii="宋体" w:cs="仿宋_GB2312"/>
          <w:sz w:val="32"/>
          <w:szCs w:val="32"/>
        </w:rPr>
        <w:t>保密审查情况：已审查，内容审定</w:t>
      </w:r>
    </w:p>
    <w:p w14:paraId="2DB7500B">
      <w:pPr>
        <w:autoSpaceDE w:val="0"/>
        <w:autoSpaceDN w:val="0"/>
        <w:adjustRightInd w:val="0"/>
        <w:jc w:val="left"/>
        <w:rPr>
          <w:rFonts w:ascii="宋体"/>
          <w:sz w:val="32"/>
          <w:szCs w:val="32"/>
        </w:rPr>
      </w:pPr>
      <w:r>
        <w:rPr>
          <w:rFonts w:hint="eastAsia" w:ascii="宋体" w:cs="仿宋_GB2312"/>
          <w:sz w:val="32"/>
          <w:szCs w:val="32"/>
        </w:rPr>
        <w:t>部门主要负责人审签情况：已审签，同意对外公开</w:t>
      </w:r>
    </w:p>
    <w:p w14:paraId="300D6427">
      <w:pPr>
        <w:widowControl/>
        <w:jc w:val="center"/>
        <w:rPr>
          <w:rFonts w:hint="eastAsia" w:ascii="黑体" w:hAnsi="黑体" w:eastAsia="黑体"/>
          <w:sz w:val="48"/>
          <w:szCs w:val="48"/>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3C13DCB">
      <w:pPr>
        <w:widowControl/>
        <w:jc w:val="center"/>
        <w:rPr>
          <w:rFonts w:ascii="黑体" w:hAnsi="黑体" w:eastAsia="黑体"/>
          <w:sz w:val="48"/>
          <w:szCs w:val="48"/>
        </w:rPr>
      </w:pPr>
      <w:r>
        <w:rPr>
          <w:rFonts w:hint="eastAsia" w:ascii="黑体" w:hAnsi="黑体" w:eastAsia="黑体"/>
          <w:sz w:val="48"/>
          <w:szCs w:val="48"/>
        </w:rPr>
        <w:t>目录</w:t>
      </w:r>
    </w:p>
    <w:p w14:paraId="2DDC450C">
      <w:pPr>
        <w:widowControl/>
        <w:jc w:val="center"/>
        <w:rPr>
          <w:rFonts w:ascii="黑体" w:hAnsi="黑体" w:eastAsia="黑体" w:cstheme="minorBidi"/>
          <w:sz w:val="28"/>
          <w:szCs w:val="28"/>
        </w:rPr>
      </w:pPr>
    </w:p>
    <w:p w14:paraId="23FA425B">
      <w:pPr>
        <w:pStyle w:val="7"/>
      </w:pPr>
      <w:r>
        <w:rPr>
          <w:rFonts w:hint="eastAsia"/>
        </w:rPr>
        <w:t>公开时间：202</w:t>
      </w:r>
      <w:r>
        <w:rPr>
          <w:rFonts w:hint="eastAsia"/>
          <w:lang w:val="en-US" w:eastAsia="zh-CN"/>
        </w:rPr>
        <w:t>6</w:t>
      </w:r>
      <w:r>
        <w:rPr>
          <w:rFonts w:hint="eastAsia"/>
        </w:rPr>
        <w:t xml:space="preserve">年 </w:t>
      </w:r>
      <w:r>
        <w:rPr>
          <w:rFonts w:hint="eastAsia"/>
          <w:lang w:val="en-US" w:eastAsia="zh-CN"/>
        </w:rPr>
        <w:t>10</w:t>
      </w:r>
      <w:r>
        <w:rPr>
          <w:rFonts w:hint="eastAsia"/>
        </w:rPr>
        <w:t>月 日</w:t>
      </w:r>
    </w:p>
    <w:p w14:paraId="04183616">
      <w:pPr>
        <w:pStyle w:val="9"/>
        <w:keepNext w:val="0"/>
        <w:keepLines w:val="0"/>
        <w:widowControl w:val="0"/>
        <w:suppressLineNumbers w:val="0"/>
        <w:tabs>
          <w:tab w:val="right" w:leader="dot" w:pos="8296"/>
        </w:tabs>
        <w:spacing w:before="93" w:beforeLines="0" w:beforeAutospacing="0" w:after="0" w:afterLines="0" w:afterAutospacing="0"/>
        <w:ind w:left="0" w:right="0"/>
        <w:jc w:val="center"/>
        <w:rPr>
          <w:rFonts w:hint="eastAsia" w:ascii="仿宋" w:hAnsi="仿宋" w:eastAsia="仿宋" w:cs="Times New Roman"/>
          <w:b w:val="0"/>
          <w:kern w:val="2"/>
          <w:sz w:val="21"/>
          <w:szCs w:val="21"/>
        </w:rPr>
      </w:pPr>
      <w:bookmarkStart w:id="12" w:name="_Toc15377196"/>
      <w:bookmarkStart w:id="13" w:name="_Toc15396599"/>
      <w:r>
        <w:rPr>
          <w:rFonts w:hint="eastAsia" w:ascii="黑体" w:hAnsi="宋体" w:eastAsia="黑体" w:cs="黑体"/>
          <w:b w:val="0"/>
          <w:kern w:val="2"/>
          <w:sz w:val="20"/>
          <w:szCs w:val="20"/>
          <w:lang w:val="en-US" w:eastAsia="zh-CN" w:bidi="ar"/>
        </w:rPr>
        <w:t>第一部分</w:t>
      </w:r>
      <w:r>
        <w:rPr>
          <w:rFonts w:hint="eastAsia" w:ascii="黑体" w:hAnsi="仿宋" w:eastAsia="黑体" w:cs="Times New Roman"/>
          <w:b w:val="0"/>
          <w:kern w:val="2"/>
          <w:sz w:val="20"/>
          <w:szCs w:val="20"/>
          <w:lang w:val="en-US" w:eastAsia="zh-CN" w:bidi="ar"/>
        </w:rPr>
        <w:t xml:space="preserve"> </w:t>
      </w:r>
      <w:r>
        <w:rPr>
          <w:rFonts w:hint="eastAsia" w:ascii="黑体" w:hAnsi="宋体" w:eastAsia="黑体" w:cs="黑体"/>
          <w:b w:val="0"/>
          <w:kern w:val="2"/>
          <w:sz w:val="20"/>
          <w:szCs w:val="20"/>
          <w:lang w:val="en-US" w:eastAsia="zh-CN" w:bidi="ar"/>
        </w:rPr>
        <w:t>部门概况</w:t>
      </w:r>
      <w:r>
        <w:rPr>
          <w:rFonts w:hint="eastAsia" w:ascii="仿宋" w:hAnsi="仿宋" w:eastAsia="仿宋" w:cs="Times New Roman"/>
          <w:kern w:val="2"/>
          <w:sz w:val="20"/>
          <w:szCs w:val="20"/>
          <w:lang w:val="en-US" w:eastAsia="zh-CN" w:bidi="ar"/>
        </w:rPr>
        <w:tab/>
      </w:r>
      <w:r>
        <w:rPr>
          <w:rFonts w:hint="eastAsia" w:ascii="仿宋" w:hAnsi="仿宋" w:eastAsia="仿宋" w:cs="仿宋"/>
          <w:kern w:val="2"/>
          <w:sz w:val="20"/>
          <w:szCs w:val="20"/>
          <w:lang w:val="en-US" w:eastAsia="zh-CN" w:bidi="ar"/>
        </w:rPr>
        <w:t>1</w:t>
      </w:r>
    </w:p>
    <w:p w14:paraId="29422C55">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eastAsia" w:ascii="Times New Roman" w:hAnsi="Times New Roman" w:eastAsia="宋体" w:cs="Times New Roman"/>
          <w:kern w:val="2"/>
          <w:sz w:val="21"/>
          <w:szCs w:val="21"/>
        </w:rPr>
      </w:pPr>
      <w:r>
        <w:rPr>
          <w:rFonts w:hint="eastAsia" w:ascii="黑体" w:hAnsi="宋体" w:eastAsia="黑体" w:cs="黑体"/>
          <w:color w:val="000000"/>
          <w:kern w:val="2"/>
          <w:sz w:val="20"/>
          <w:szCs w:val="20"/>
          <w:lang w:val="en-US" w:eastAsia="zh-CN" w:bidi="ar"/>
        </w:rPr>
        <w:t>一、基</w:t>
      </w:r>
      <w:r>
        <w:rPr>
          <w:rFonts w:hint="eastAsia" w:ascii="黑体" w:hAnsi="宋体" w:eastAsia="黑体" w:cs="黑体"/>
          <w:kern w:val="2"/>
          <w:sz w:val="20"/>
          <w:szCs w:val="20"/>
          <w:lang w:val="en-US" w:eastAsia="zh-CN" w:bidi="ar"/>
        </w:rPr>
        <w:t>本职能及主要工作</w:t>
      </w:r>
      <w:r>
        <w:rPr>
          <w:rFonts w:hint="eastAsia" w:ascii="Times New Roman" w:hAnsi="Times New Roman" w:eastAsia="宋体" w:cs="Times New Roman"/>
          <w:kern w:val="2"/>
          <w:sz w:val="20"/>
          <w:szCs w:val="20"/>
          <w:lang w:val="en-US" w:eastAsia="zh-CN" w:bidi="ar"/>
        </w:rPr>
        <w:tab/>
      </w:r>
      <w:r>
        <w:rPr>
          <w:rFonts w:hint="default" w:ascii="Times New Roman" w:hAnsi="Times New Roman" w:eastAsia="宋体" w:cs="Times New Roman"/>
          <w:kern w:val="2"/>
          <w:sz w:val="20"/>
          <w:szCs w:val="20"/>
          <w:lang w:val="en-US" w:eastAsia="zh-CN" w:bidi="ar"/>
        </w:rPr>
        <w:t>1</w:t>
      </w:r>
    </w:p>
    <w:p w14:paraId="2C9F934F">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color w:val="000000"/>
          <w:kern w:val="2"/>
          <w:sz w:val="20"/>
          <w:szCs w:val="20"/>
          <w:lang w:val="en-US" w:eastAsia="zh-CN" w:bidi="ar"/>
        </w:rPr>
        <w:t>二、机</w:t>
      </w:r>
      <w:r>
        <w:rPr>
          <w:rFonts w:hint="eastAsia" w:ascii="黑体" w:hAnsi="宋体" w:eastAsia="黑体" w:cs="黑体"/>
          <w:kern w:val="2"/>
          <w:sz w:val="20"/>
          <w:szCs w:val="20"/>
          <w:lang w:val="en-US" w:eastAsia="zh-CN" w:bidi="ar"/>
        </w:rPr>
        <w:t>构设置</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1</w:t>
      </w:r>
    </w:p>
    <w:p w14:paraId="7A96ECC1">
      <w:pPr>
        <w:pStyle w:val="9"/>
        <w:keepNext w:val="0"/>
        <w:keepLines w:val="0"/>
        <w:widowControl w:val="0"/>
        <w:suppressLineNumbers w:val="0"/>
        <w:tabs>
          <w:tab w:val="right" w:leader="dot" w:pos="8296"/>
        </w:tabs>
        <w:spacing w:before="93" w:beforeLines="0" w:beforeAutospacing="0" w:after="0" w:afterLines="0" w:afterAutospacing="0"/>
        <w:ind w:left="0" w:right="0"/>
        <w:jc w:val="center"/>
        <w:rPr>
          <w:rFonts w:hint="default" w:ascii="仿宋" w:hAnsi="仿宋" w:eastAsia="仿宋" w:cs="Times New Roman"/>
          <w:b w:val="0"/>
          <w:kern w:val="2"/>
          <w:sz w:val="21"/>
          <w:szCs w:val="21"/>
          <w:lang w:val="en-US"/>
        </w:rPr>
      </w:pPr>
      <w:r>
        <w:rPr>
          <w:rFonts w:hint="eastAsia" w:ascii="黑体" w:hAnsi="宋体" w:eastAsia="黑体" w:cs="黑体"/>
          <w:b w:val="0"/>
          <w:color w:val="000000"/>
          <w:kern w:val="2"/>
          <w:sz w:val="20"/>
          <w:szCs w:val="20"/>
          <w:lang w:val="en-US" w:eastAsia="zh-CN" w:bidi="ar"/>
        </w:rPr>
        <w:t>第二部分</w:t>
      </w:r>
      <w:r>
        <w:rPr>
          <w:rFonts w:hint="eastAsia" w:ascii="黑体" w:hAnsi="仿宋" w:eastAsia="黑体" w:cs="Times New Roman"/>
          <w:color w:val="000000"/>
          <w:kern w:val="2"/>
          <w:sz w:val="20"/>
          <w:szCs w:val="20"/>
          <w:lang w:val="en-US" w:eastAsia="zh-CN" w:bidi="ar"/>
        </w:rPr>
        <w:t xml:space="preserve"> </w:t>
      </w:r>
      <w:r>
        <w:rPr>
          <w:rFonts w:hint="eastAsia" w:ascii="黑体" w:hAnsi="宋体" w:eastAsia="黑体" w:cs="黑体"/>
          <w:b w:val="0"/>
          <w:kern w:val="2"/>
          <w:sz w:val="20"/>
          <w:szCs w:val="20"/>
          <w:lang w:val="en-US" w:eastAsia="zh-CN" w:bidi="ar"/>
        </w:rPr>
        <w:t>202</w:t>
      </w:r>
      <w:r>
        <w:rPr>
          <w:rFonts w:hint="eastAsia" w:ascii="黑体" w:eastAsia="黑体" w:cs="黑体"/>
          <w:b w:val="0"/>
          <w:kern w:val="2"/>
          <w:sz w:val="20"/>
          <w:szCs w:val="20"/>
          <w:lang w:val="en-US" w:eastAsia="zh-CN" w:bidi="ar"/>
        </w:rPr>
        <w:t>5</w:t>
      </w:r>
      <w:r>
        <w:rPr>
          <w:rFonts w:hint="eastAsia" w:ascii="黑体" w:hAnsi="宋体" w:eastAsia="黑体" w:cs="黑体"/>
          <w:b w:val="0"/>
          <w:kern w:val="2"/>
          <w:sz w:val="20"/>
          <w:szCs w:val="20"/>
          <w:lang w:val="en-US" w:eastAsia="zh-CN" w:bidi="ar"/>
        </w:rPr>
        <w:t>年度部门决算情况说明</w:t>
      </w:r>
      <w:r>
        <w:rPr>
          <w:rFonts w:hint="eastAsia" w:ascii="仿宋" w:hAnsi="仿宋" w:eastAsia="仿宋" w:cs="Times New Roman"/>
          <w:kern w:val="2"/>
          <w:sz w:val="20"/>
          <w:szCs w:val="20"/>
          <w:lang w:val="en-US" w:eastAsia="zh-CN" w:bidi="ar"/>
        </w:rPr>
        <w:tab/>
      </w:r>
      <w:r>
        <w:rPr>
          <w:rFonts w:hint="eastAsia" w:ascii="仿宋" w:hAnsi="仿宋" w:eastAsia="仿宋" w:cs="Times New Roman"/>
          <w:kern w:val="2"/>
          <w:sz w:val="20"/>
          <w:szCs w:val="20"/>
          <w:lang w:val="en-US" w:eastAsia="zh-CN" w:bidi="ar"/>
        </w:rPr>
        <w:t>2</w:t>
      </w:r>
    </w:p>
    <w:p w14:paraId="550FFE95">
      <w:pPr>
        <w:pStyle w:val="9"/>
        <w:keepNext w:val="0"/>
        <w:keepLines w:val="0"/>
        <w:widowControl w:val="0"/>
        <w:suppressLineNumbers w:val="0"/>
        <w:tabs>
          <w:tab w:val="left" w:pos="840"/>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kern w:val="2"/>
          <w:sz w:val="20"/>
          <w:szCs w:val="20"/>
          <w:lang w:val="en-US" w:eastAsia="zh-CN" w:bidi="ar"/>
        </w:rPr>
        <w:t>一、</w:t>
      </w:r>
      <w:r>
        <w:rPr>
          <w:rFonts w:hint="eastAsia" w:ascii="Times New Roman" w:hAnsi="Times New Roman" w:eastAsia="宋体" w:cs="Times New Roman"/>
          <w:kern w:val="2"/>
          <w:sz w:val="21"/>
          <w:szCs w:val="21"/>
          <w:lang w:val="en-US" w:eastAsia="zh-CN" w:bidi="ar"/>
        </w:rPr>
        <w:tab/>
      </w:r>
      <w:r>
        <w:rPr>
          <w:rFonts w:hint="eastAsia" w:ascii="黑体" w:hAnsi="宋体" w:eastAsia="黑体" w:cs="黑体"/>
          <w:color w:val="000000"/>
          <w:kern w:val="2"/>
          <w:sz w:val="20"/>
          <w:szCs w:val="20"/>
          <w:lang w:val="en-US" w:eastAsia="zh-CN" w:bidi="ar"/>
        </w:rPr>
        <w:t>收</w:t>
      </w:r>
      <w:r>
        <w:rPr>
          <w:rFonts w:hint="eastAsia" w:ascii="黑体" w:hAnsi="宋体" w:eastAsia="黑体" w:cs="黑体"/>
          <w:kern w:val="2"/>
          <w:sz w:val="20"/>
          <w:szCs w:val="20"/>
          <w:lang w:val="en-US" w:eastAsia="zh-CN" w:bidi="ar"/>
        </w:rPr>
        <w:t>入支出决算总体情况说明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2</w:t>
      </w:r>
    </w:p>
    <w:p w14:paraId="5AF7E121">
      <w:pPr>
        <w:pStyle w:val="9"/>
        <w:keepNext w:val="0"/>
        <w:keepLines w:val="0"/>
        <w:widowControl w:val="0"/>
        <w:suppressLineNumbers w:val="0"/>
        <w:tabs>
          <w:tab w:val="left" w:pos="840"/>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kern w:val="2"/>
          <w:sz w:val="20"/>
          <w:szCs w:val="20"/>
          <w:lang w:val="en-US" w:eastAsia="zh-CN" w:bidi="ar"/>
        </w:rPr>
        <w:t>二、</w:t>
      </w:r>
      <w:r>
        <w:rPr>
          <w:rFonts w:hint="eastAsia" w:ascii="Times New Roman" w:hAnsi="Times New Roman" w:eastAsia="宋体" w:cs="Times New Roman"/>
          <w:kern w:val="2"/>
          <w:sz w:val="21"/>
          <w:szCs w:val="21"/>
          <w:lang w:val="en-US" w:eastAsia="zh-CN" w:bidi="ar"/>
        </w:rPr>
        <w:tab/>
      </w:r>
      <w:r>
        <w:rPr>
          <w:rFonts w:hint="eastAsia" w:ascii="黑体" w:hAnsi="宋体" w:eastAsia="黑体" w:cs="黑体"/>
          <w:color w:val="000000"/>
          <w:kern w:val="2"/>
          <w:sz w:val="20"/>
          <w:szCs w:val="20"/>
          <w:lang w:val="en-US" w:eastAsia="zh-CN" w:bidi="ar"/>
        </w:rPr>
        <w:t>收</w:t>
      </w:r>
      <w:r>
        <w:rPr>
          <w:rFonts w:hint="eastAsia" w:ascii="黑体" w:hAnsi="宋体" w:eastAsia="黑体" w:cs="黑体"/>
          <w:kern w:val="2"/>
          <w:sz w:val="20"/>
          <w:szCs w:val="20"/>
          <w:lang w:val="en-US" w:eastAsia="zh-CN" w:bidi="ar"/>
        </w:rPr>
        <w:t>入决算情况说明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3</w:t>
      </w:r>
    </w:p>
    <w:p w14:paraId="17C403E6">
      <w:pPr>
        <w:pStyle w:val="9"/>
        <w:keepNext w:val="0"/>
        <w:keepLines w:val="0"/>
        <w:widowControl w:val="0"/>
        <w:suppressLineNumbers w:val="0"/>
        <w:tabs>
          <w:tab w:val="left" w:pos="840"/>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kern w:val="2"/>
          <w:sz w:val="20"/>
          <w:szCs w:val="20"/>
          <w:lang w:val="en-US" w:eastAsia="zh-CN" w:bidi="ar"/>
        </w:rPr>
        <w:t>三、</w:t>
      </w:r>
      <w:r>
        <w:rPr>
          <w:rFonts w:hint="eastAsia" w:ascii="Times New Roman" w:hAnsi="Times New Roman" w:eastAsia="宋体" w:cs="Times New Roman"/>
          <w:kern w:val="2"/>
          <w:sz w:val="21"/>
          <w:szCs w:val="21"/>
          <w:lang w:val="en-US" w:eastAsia="zh-CN" w:bidi="ar"/>
        </w:rPr>
        <w:tab/>
      </w:r>
      <w:r>
        <w:rPr>
          <w:rFonts w:hint="eastAsia" w:ascii="黑体" w:hAnsi="宋体" w:eastAsia="黑体" w:cs="黑体"/>
          <w:color w:val="000000"/>
          <w:kern w:val="2"/>
          <w:sz w:val="20"/>
          <w:szCs w:val="20"/>
          <w:lang w:val="en-US" w:eastAsia="zh-CN" w:bidi="ar"/>
        </w:rPr>
        <w:t>支</w:t>
      </w:r>
      <w:r>
        <w:rPr>
          <w:rFonts w:hint="eastAsia" w:ascii="黑体" w:hAnsi="宋体" w:eastAsia="黑体" w:cs="黑体"/>
          <w:kern w:val="2"/>
          <w:sz w:val="20"/>
          <w:szCs w:val="20"/>
          <w:lang w:val="en-US" w:eastAsia="zh-CN" w:bidi="ar"/>
        </w:rPr>
        <w:t>出决算情况说明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3</w:t>
      </w:r>
    </w:p>
    <w:p w14:paraId="476FF1C3">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color w:val="000000"/>
          <w:kern w:val="2"/>
          <w:sz w:val="20"/>
          <w:szCs w:val="20"/>
          <w:lang w:val="en-US" w:eastAsia="zh-CN" w:bidi="ar"/>
        </w:rPr>
        <w:t>四、财</w:t>
      </w:r>
      <w:r>
        <w:rPr>
          <w:rFonts w:hint="eastAsia" w:ascii="黑体" w:hAnsi="宋体" w:eastAsia="黑体" w:cs="黑体"/>
          <w:kern w:val="2"/>
          <w:sz w:val="20"/>
          <w:szCs w:val="20"/>
          <w:lang w:val="en-US" w:eastAsia="zh-CN" w:bidi="ar"/>
        </w:rPr>
        <w:t>政拨款收入支出决算总体情况说明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4</w:t>
      </w:r>
    </w:p>
    <w:p w14:paraId="300901C3">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color w:val="000000"/>
          <w:kern w:val="2"/>
          <w:sz w:val="20"/>
          <w:szCs w:val="20"/>
          <w:lang w:val="en-US" w:eastAsia="zh-CN" w:bidi="ar"/>
        </w:rPr>
        <w:t>五、</w:t>
      </w:r>
      <w:r>
        <w:rPr>
          <w:rFonts w:hint="eastAsia" w:ascii="黑体" w:hAnsi="宋体" w:eastAsia="黑体" w:cs="黑体"/>
          <w:b/>
          <w:bCs w:val="0"/>
          <w:color w:val="000000"/>
          <w:kern w:val="2"/>
          <w:sz w:val="20"/>
          <w:szCs w:val="20"/>
          <w:lang w:val="en-US" w:eastAsia="zh-CN" w:bidi="ar"/>
        </w:rPr>
        <w:t>一</w:t>
      </w:r>
      <w:r>
        <w:rPr>
          <w:rFonts w:hint="eastAsia" w:ascii="黑体" w:hAnsi="宋体" w:eastAsia="黑体" w:cs="黑体"/>
          <w:kern w:val="2"/>
          <w:sz w:val="20"/>
          <w:szCs w:val="20"/>
          <w:lang w:val="en-US" w:eastAsia="zh-CN" w:bidi="ar"/>
        </w:rPr>
        <w:t>般公共预算财政拨款支出决算情况说明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5</w:t>
      </w:r>
    </w:p>
    <w:p w14:paraId="0728B59F">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color w:val="000000"/>
          <w:kern w:val="2"/>
          <w:sz w:val="20"/>
          <w:szCs w:val="20"/>
          <w:lang w:val="en-US" w:eastAsia="zh-CN" w:bidi="ar"/>
        </w:rPr>
        <w:t>六</w:t>
      </w:r>
      <w:r>
        <w:rPr>
          <w:rFonts w:hint="eastAsia" w:ascii="黑体" w:hAnsi="宋体" w:eastAsia="黑体" w:cs="黑体"/>
          <w:b/>
          <w:bCs w:val="0"/>
          <w:color w:val="000000"/>
          <w:kern w:val="2"/>
          <w:sz w:val="20"/>
          <w:szCs w:val="20"/>
          <w:lang w:val="en-US" w:eastAsia="zh-CN" w:bidi="ar"/>
        </w:rPr>
        <w:t>、一</w:t>
      </w:r>
      <w:r>
        <w:rPr>
          <w:rFonts w:hint="eastAsia" w:ascii="黑体" w:hAnsi="宋体" w:eastAsia="黑体" w:cs="黑体"/>
          <w:kern w:val="2"/>
          <w:sz w:val="20"/>
          <w:szCs w:val="20"/>
          <w:lang w:val="en-US" w:eastAsia="zh-CN" w:bidi="ar"/>
        </w:rPr>
        <w:t>般公共预算财政拨款基本支出决算情况说明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7</w:t>
      </w:r>
    </w:p>
    <w:p w14:paraId="14880506">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color w:val="000000"/>
          <w:kern w:val="2"/>
          <w:sz w:val="20"/>
          <w:szCs w:val="20"/>
          <w:lang w:val="en-US" w:eastAsia="zh-CN" w:bidi="ar"/>
        </w:rPr>
        <w:t>七、</w:t>
      </w:r>
      <w:r>
        <w:rPr>
          <w:rFonts w:hint="eastAsia" w:ascii="黑体" w:hAnsi="宋体" w:eastAsia="黑体" w:cs="黑体"/>
          <w:b/>
          <w:bCs w:val="0"/>
          <w:kern w:val="2"/>
          <w:sz w:val="20"/>
          <w:szCs w:val="20"/>
          <w:lang w:val="en-US" w:eastAsia="zh-CN" w:bidi="ar"/>
        </w:rPr>
        <w:t>“</w:t>
      </w:r>
      <w:r>
        <w:rPr>
          <w:rFonts w:hint="eastAsia" w:ascii="黑体" w:hAnsi="宋体" w:eastAsia="黑体" w:cs="黑体"/>
          <w:kern w:val="2"/>
          <w:sz w:val="20"/>
          <w:szCs w:val="20"/>
          <w:lang w:val="en-US" w:eastAsia="zh-CN" w:bidi="ar"/>
        </w:rPr>
        <w:t>三公”经费财政拨款支出决算情况说明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8</w:t>
      </w:r>
    </w:p>
    <w:p w14:paraId="114229D0">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color w:val="000000"/>
          <w:kern w:val="2"/>
          <w:sz w:val="20"/>
          <w:szCs w:val="20"/>
          <w:lang w:val="en-US" w:eastAsia="zh-CN" w:bidi="ar"/>
        </w:rPr>
        <w:t>八、</w:t>
      </w:r>
      <w:r>
        <w:rPr>
          <w:rFonts w:hint="eastAsia" w:ascii="黑体" w:hAnsi="宋体" w:eastAsia="黑体" w:cs="黑体"/>
          <w:kern w:val="2"/>
          <w:sz w:val="20"/>
          <w:szCs w:val="20"/>
          <w:lang w:val="en-US" w:eastAsia="zh-CN" w:bidi="ar"/>
        </w:rPr>
        <w:t>政府性基金预算支出决算情况说明</w:t>
      </w:r>
      <w:r>
        <w:rPr>
          <w:rFonts w:hint="eastAsia" w:ascii="Times New Roman" w:hAnsi="Times New Roman" w:eastAsia="宋体" w:cs="Times New Roman"/>
          <w:kern w:val="2"/>
          <w:sz w:val="20"/>
          <w:szCs w:val="20"/>
          <w:lang w:val="en-US" w:eastAsia="zh-CN" w:bidi="ar"/>
        </w:rPr>
        <w:tab/>
      </w:r>
      <w:r>
        <w:rPr>
          <w:rFonts w:hint="eastAsia" w:ascii="Times New Roman" w:hAnsi="Times New Roman" w:eastAsia="宋体" w:cs="Times New Roman"/>
          <w:kern w:val="2"/>
          <w:sz w:val="20"/>
          <w:szCs w:val="20"/>
          <w:lang w:val="en-US" w:eastAsia="zh-CN" w:bidi="ar"/>
        </w:rPr>
        <w:t>10</w:t>
      </w:r>
    </w:p>
    <w:p w14:paraId="38D3F1AD">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kern w:val="2"/>
          <w:sz w:val="20"/>
          <w:szCs w:val="20"/>
          <w:lang w:val="en-US" w:eastAsia="zh-CN" w:bidi="ar"/>
        </w:rPr>
        <w:t>九、</w:t>
      </w:r>
      <w:r>
        <w:rPr>
          <w:rFonts w:hint="eastAsia" w:ascii="黑体" w:hAnsi="Times New Roman" w:eastAsia="黑体" w:cs="Times New Roman"/>
          <w:kern w:val="2"/>
          <w:sz w:val="20"/>
          <w:szCs w:val="20"/>
          <w:lang w:val="en-US" w:eastAsia="zh-CN" w:bidi="ar"/>
        </w:rPr>
        <w:t xml:space="preserve"> </w:t>
      </w:r>
      <w:r>
        <w:rPr>
          <w:rFonts w:hint="eastAsia" w:ascii="黑体" w:hAnsi="宋体" w:eastAsia="黑体" w:cs="黑体"/>
          <w:kern w:val="2"/>
          <w:sz w:val="20"/>
          <w:szCs w:val="20"/>
          <w:lang w:val="en-US" w:eastAsia="zh-CN" w:bidi="ar"/>
        </w:rPr>
        <w:t>国有资本经营预算支出决算情况说明</w:t>
      </w:r>
      <w:r>
        <w:rPr>
          <w:rFonts w:hint="eastAsia" w:ascii="Times New Roman" w:hAnsi="Times New Roman" w:eastAsia="宋体" w:cs="Times New Roman"/>
          <w:kern w:val="2"/>
          <w:sz w:val="20"/>
          <w:szCs w:val="20"/>
          <w:lang w:val="en-US" w:eastAsia="zh-CN" w:bidi="ar"/>
        </w:rPr>
        <w:tab/>
      </w:r>
      <w:r>
        <w:rPr>
          <w:rFonts w:hint="default" w:ascii="Times New Roman" w:hAnsi="Times New Roman" w:eastAsia="宋体" w:cs="Times New Roman"/>
          <w:kern w:val="2"/>
          <w:sz w:val="20"/>
          <w:szCs w:val="20"/>
          <w:lang w:val="en-US" w:eastAsia="zh-CN" w:bidi="ar"/>
        </w:rPr>
        <w:t>1</w:t>
      </w:r>
      <w:r>
        <w:rPr>
          <w:rFonts w:hint="eastAsia" w:ascii="Times New Roman" w:hAnsi="Times New Roman" w:eastAsia="宋体" w:cs="Times New Roman"/>
          <w:kern w:val="2"/>
          <w:sz w:val="20"/>
          <w:szCs w:val="20"/>
          <w:lang w:val="en-US" w:eastAsia="zh-CN" w:bidi="ar"/>
        </w:rPr>
        <w:t>0</w:t>
      </w:r>
    </w:p>
    <w:p w14:paraId="520D2D49">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黑体" w:hAnsi="宋体" w:eastAsia="黑体" w:cs="黑体"/>
          <w:color w:val="000000"/>
          <w:kern w:val="2"/>
          <w:sz w:val="20"/>
          <w:szCs w:val="20"/>
          <w:lang w:val="en-US" w:eastAsia="zh-CN" w:bidi="ar"/>
        </w:rPr>
        <w:t>十</w:t>
      </w:r>
      <w:r>
        <w:rPr>
          <w:rFonts w:hint="eastAsia" w:ascii="黑体" w:hAnsi="宋体" w:eastAsia="黑体" w:cs="黑体"/>
          <w:b/>
          <w:bCs w:val="0"/>
          <w:kern w:val="2"/>
          <w:sz w:val="20"/>
          <w:szCs w:val="20"/>
          <w:lang w:val="en-US" w:eastAsia="zh-CN" w:bidi="ar"/>
        </w:rPr>
        <w:t>、</w:t>
      </w:r>
      <w:r>
        <w:rPr>
          <w:rFonts w:hint="eastAsia" w:ascii="黑体" w:hAnsi="宋体" w:eastAsia="黑体" w:cs="黑体"/>
          <w:kern w:val="2"/>
          <w:sz w:val="20"/>
          <w:szCs w:val="20"/>
          <w:lang w:val="en-US" w:eastAsia="zh-CN" w:bidi="ar"/>
        </w:rPr>
        <w:t>其他重要事项的情况说明</w:t>
      </w:r>
      <w:r>
        <w:rPr>
          <w:rFonts w:hint="eastAsia" w:ascii="Times New Roman" w:hAnsi="Times New Roman" w:eastAsia="宋体" w:cs="Times New Roman"/>
          <w:kern w:val="2"/>
          <w:sz w:val="20"/>
          <w:szCs w:val="20"/>
          <w:lang w:val="en-US" w:eastAsia="zh-CN" w:bidi="ar"/>
        </w:rPr>
        <w:tab/>
      </w:r>
      <w:r>
        <w:rPr>
          <w:rFonts w:hint="default" w:ascii="Times New Roman" w:hAnsi="Times New Roman" w:eastAsia="宋体" w:cs="Times New Roman"/>
          <w:kern w:val="2"/>
          <w:sz w:val="20"/>
          <w:szCs w:val="20"/>
          <w:lang w:val="en-US" w:eastAsia="zh-CN" w:bidi="ar"/>
        </w:rPr>
        <w:t>1</w:t>
      </w:r>
      <w:r>
        <w:rPr>
          <w:rFonts w:hint="eastAsia" w:ascii="Times New Roman" w:hAnsi="Times New Roman" w:eastAsia="宋体" w:cs="Times New Roman"/>
          <w:kern w:val="2"/>
          <w:sz w:val="20"/>
          <w:szCs w:val="20"/>
          <w:lang w:val="en-US" w:eastAsia="zh-CN" w:bidi="ar"/>
        </w:rPr>
        <w:t>0</w:t>
      </w:r>
    </w:p>
    <w:p w14:paraId="79550FE1">
      <w:pPr>
        <w:pStyle w:val="9"/>
        <w:keepNext w:val="0"/>
        <w:keepLines w:val="0"/>
        <w:widowControl w:val="0"/>
        <w:suppressLineNumbers w:val="0"/>
        <w:tabs>
          <w:tab w:val="right" w:leader="dot" w:pos="8296"/>
        </w:tabs>
        <w:spacing w:before="93" w:beforeLines="0" w:beforeAutospacing="0" w:after="0" w:afterLines="0" w:afterAutospacing="0"/>
        <w:ind w:left="0" w:right="0"/>
        <w:jc w:val="center"/>
        <w:rPr>
          <w:rFonts w:hint="default" w:ascii="仿宋" w:hAnsi="仿宋" w:eastAsia="仿宋" w:cs="Times New Roman"/>
          <w:b w:val="0"/>
          <w:kern w:val="2"/>
          <w:sz w:val="21"/>
          <w:szCs w:val="21"/>
          <w:lang w:val="en-US"/>
        </w:rPr>
      </w:pPr>
      <w:r>
        <w:rPr>
          <w:rFonts w:hint="eastAsia" w:ascii="黑体" w:hAnsi="宋体" w:eastAsia="黑体" w:cs="黑体"/>
          <w:kern w:val="44"/>
          <w:sz w:val="20"/>
          <w:szCs w:val="20"/>
          <w:lang w:val="en-US" w:eastAsia="zh-CN" w:bidi="ar"/>
        </w:rPr>
        <w:t>第三部分</w:t>
      </w:r>
      <w:r>
        <w:rPr>
          <w:rFonts w:hint="eastAsia" w:ascii="黑体" w:hAnsi="仿宋" w:eastAsia="黑体" w:cs="Times New Roman"/>
          <w:color w:val="000000"/>
          <w:kern w:val="2"/>
          <w:sz w:val="20"/>
          <w:szCs w:val="20"/>
          <w:lang w:val="en-US" w:eastAsia="zh-CN" w:bidi="ar"/>
        </w:rPr>
        <w:t xml:space="preserve"> </w:t>
      </w:r>
      <w:r>
        <w:rPr>
          <w:rFonts w:hint="eastAsia" w:ascii="黑体" w:hAnsi="宋体" w:eastAsia="黑体" w:cs="黑体"/>
          <w:color w:val="000000"/>
          <w:kern w:val="2"/>
          <w:sz w:val="20"/>
          <w:szCs w:val="20"/>
          <w:lang w:val="en-US" w:eastAsia="zh-CN" w:bidi="ar"/>
        </w:rPr>
        <w:t>名</w:t>
      </w:r>
      <w:r>
        <w:rPr>
          <w:rFonts w:hint="eastAsia" w:ascii="黑体" w:hAnsi="宋体" w:eastAsia="黑体" w:cs="黑体"/>
          <w:kern w:val="44"/>
          <w:sz w:val="20"/>
          <w:szCs w:val="20"/>
          <w:lang w:val="en-US" w:eastAsia="zh-CN" w:bidi="ar"/>
        </w:rPr>
        <w:t>词解释</w:t>
      </w:r>
      <w:r>
        <w:rPr>
          <w:rFonts w:hint="eastAsia" w:ascii="仿宋" w:hAnsi="仿宋" w:eastAsia="仿宋" w:cs="Times New Roman"/>
          <w:kern w:val="2"/>
          <w:sz w:val="20"/>
          <w:szCs w:val="20"/>
          <w:lang w:val="en-US" w:eastAsia="zh-CN" w:bidi="ar"/>
        </w:rPr>
        <w:tab/>
      </w:r>
      <w:r>
        <w:rPr>
          <w:rFonts w:hint="eastAsia" w:ascii="仿宋" w:hAnsi="仿宋" w:eastAsia="仿宋" w:cs="仿宋"/>
          <w:kern w:val="2"/>
          <w:sz w:val="20"/>
          <w:szCs w:val="20"/>
          <w:lang w:val="en-US" w:eastAsia="zh-CN" w:bidi="ar"/>
        </w:rPr>
        <w:t>12</w:t>
      </w:r>
    </w:p>
    <w:p w14:paraId="73A3D536">
      <w:pPr>
        <w:pStyle w:val="9"/>
        <w:keepNext w:val="0"/>
        <w:keepLines w:val="0"/>
        <w:widowControl w:val="0"/>
        <w:suppressLineNumbers w:val="0"/>
        <w:tabs>
          <w:tab w:val="right" w:leader="dot" w:pos="8296"/>
        </w:tabs>
        <w:spacing w:before="93" w:beforeLines="0" w:beforeAutospacing="0" w:after="0" w:afterLines="0" w:afterAutospacing="0"/>
        <w:ind w:left="0" w:right="0"/>
        <w:jc w:val="center"/>
        <w:rPr>
          <w:rFonts w:hint="default" w:ascii="仿宋" w:hAnsi="仿宋" w:eastAsia="仿宋" w:cs="Times New Roman"/>
          <w:b w:val="0"/>
          <w:kern w:val="2"/>
          <w:sz w:val="21"/>
          <w:szCs w:val="21"/>
          <w:lang w:val="en-US"/>
        </w:rPr>
      </w:pPr>
      <w:r>
        <w:rPr>
          <w:rFonts w:hint="eastAsia" w:ascii="黑体" w:hAnsi="宋体" w:eastAsia="黑体" w:cs="黑体"/>
          <w:color w:val="000000"/>
          <w:kern w:val="2"/>
          <w:sz w:val="20"/>
          <w:szCs w:val="20"/>
          <w:lang w:val="en-US" w:eastAsia="zh-CN" w:bidi="ar"/>
        </w:rPr>
        <w:t>第</w:t>
      </w:r>
      <w:r>
        <w:rPr>
          <w:rFonts w:hint="eastAsia" w:ascii="黑体" w:hAnsi="宋体" w:eastAsia="黑体" w:cs="黑体"/>
          <w:kern w:val="44"/>
          <w:sz w:val="20"/>
          <w:szCs w:val="20"/>
          <w:lang w:val="en-US" w:eastAsia="zh-CN" w:bidi="ar"/>
        </w:rPr>
        <w:t>四部分</w:t>
      </w:r>
      <w:r>
        <w:rPr>
          <w:rFonts w:hint="eastAsia" w:ascii="黑体" w:hAnsi="仿宋" w:eastAsia="黑体" w:cs="Times New Roman"/>
          <w:kern w:val="44"/>
          <w:sz w:val="20"/>
          <w:szCs w:val="20"/>
          <w:lang w:val="en-US" w:eastAsia="zh-CN" w:bidi="ar"/>
        </w:rPr>
        <w:t xml:space="preserve"> </w:t>
      </w:r>
      <w:r>
        <w:rPr>
          <w:rFonts w:hint="eastAsia" w:ascii="黑体" w:hAnsi="宋体" w:eastAsia="黑体" w:cs="黑体"/>
          <w:kern w:val="44"/>
          <w:sz w:val="20"/>
          <w:szCs w:val="20"/>
          <w:lang w:val="en-US" w:eastAsia="zh-CN" w:bidi="ar"/>
        </w:rPr>
        <w:t>附件</w:t>
      </w:r>
      <w:r>
        <w:rPr>
          <w:rFonts w:hint="eastAsia" w:ascii="仿宋" w:hAnsi="仿宋" w:eastAsia="仿宋" w:cs="Times New Roman"/>
          <w:kern w:val="2"/>
          <w:sz w:val="20"/>
          <w:szCs w:val="20"/>
          <w:lang w:val="en-US" w:eastAsia="zh-CN" w:bidi="ar"/>
        </w:rPr>
        <w:tab/>
      </w:r>
      <w:r>
        <w:rPr>
          <w:rFonts w:hint="eastAsia" w:ascii="仿宋" w:hAnsi="仿宋" w:eastAsia="仿宋" w:cs="仿宋"/>
          <w:kern w:val="2"/>
          <w:sz w:val="20"/>
          <w:szCs w:val="20"/>
          <w:lang w:val="en-US" w:eastAsia="zh-CN" w:bidi="ar"/>
        </w:rPr>
        <w:t>15</w:t>
      </w:r>
    </w:p>
    <w:p w14:paraId="5E27B10E">
      <w:pPr>
        <w:pStyle w:val="9"/>
        <w:keepNext w:val="0"/>
        <w:keepLines w:val="0"/>
        <w:widowControl w:val="0"/>
        <w:suppressLineNumbers w:val="0"/>
        <w:tabs>
          <w:tab w:val="right" w:leader="dot" w:pos="8296"/>
        </w:tabs>
        <w:spacing w:before="93" w:beforeLines="0" w:beforeAutospacing="0" w:after="0" w:afterLines="0" w:afterAutospacing="0"/>
        <w:ind w:left="0" w:right="0"/>
        <w:jc w:val="center"/>
        <w:rPr>
          <w:rFonts w:hint="default" w:ascii="仿宋" w:hAnsi="仿宋" w:eastAsia="仿宋" w:cs="Times New Roman"/>
          <w:b w:val="0"/>
          <w:kern w:val="2"/>
          <w:sz w:val="21"/>
          <w:szCs w:val="21"/>
          <w:lang w:val="en-US"/>
        </w:rPr>
      </w:pPr>
      <w:r>
        <w:rPr>
          <w:rFonts w:hint="eastAsia" w:ascii="黑体" w:hAnsi="宋体" w:eastAsia="黑体" w:cs="黑体"/>
          <w:color w:val="000000"/>
          <w:kern w:val="2"/>
          <w:sz w:val="20"/>
          <w:szCs w:val="20"/>
          <w:lang w:val="en-US" w:eastAsia="zh-CN" w:bidi="ar"/>
        </w:rPr>
        <w:t>第</w:t>
      </w:r>
      <w:r>
        <w:rPr>
          <w:rFonts w:hint="eastAsia" w:ascii="黑体" w:hAnsi="宋体" w:eastAsia="黑体" w:cs="黑体"/>
          <w:kern w:val="44"/>
          <w:sz w:val="20"/>
          <w:szCs w:val="20"/>
          <w:lang w:val="en-US" w:eastAsia="zh-CN" w:bidi="ar"/>
        </w:rPr>
        <w:t>五部分</w:t>
      </w:r>
      <w:r>
        <w:rPr>
          <w:rFonts w:hint="eastAsia" w:ascii="黑体" w:hAnsi="仿宋" w:eastAsia="黑体" w:cs="Times New Roman"/>
          <w:kern w:val="44"/>
          <w:sz w:val="20"/>
          <w:szCs w:val="20"/>
          <w:lang w:val="en-US" w:eastAsia="zh-CN" w:bidi="ar"/>
        </w:rPr>
        <w:t xml:space="preserve"> </w:t>
      </w:r>
      <w:r>
        <w:rPr>
          <w:rFonts w:hint="eastAsia" w:ascii="黑体" w:hAnsi="宋体" w:eastAsia="黑体" w:cs="黑体"/>
          <w:kern w:val="44"/>
          <w:sz w:val="20"/>
          <w:szCs w:val="20"/>
          <w:lang w:val="en-US" w:eastAsia="zh-CN" w:bidi="ar"/>
        </w:rPr>
        <w:t>附表</w:t>
      </w:r>
      <w:r>
        <w:rPr>
          <w:rFonts w:hint="eastAsia" w:ascii="仿宋" w:hAnsi="仿宋" w:eastAsia="仿宋" w:cs="Times New Roman"/>
          <w:kern w:val="2"/>
          <w:sz w:val="20"/>
          <w:szCs w:val="20"/>
          <w:lang w:val="en-US" w:eastAsia="zh-CN" w:bidi="ar"/>
        </w:rPr>
        <w:tab/>
      </w:r>
      <w:r>
        <w:rPr>
          <w:rFonts w:hint="eastAsia" w:ascii="仿宋" w:hAnsi="仿宋" w:eastAsia="仿宋" w:cs="仿宋"/>
          <w:kern w:val="2"/>
          <w:sz w:val="20"/>
          <w:szCs w:val="20"/>
          <w:lang w:val="en-US" w:eastAsia="zh-CN" w:bidi="ar"/>
        </w:rPr>
        <w:t>53</w:t>
      </w:r>
    </w:p>
    <w:p w14:paraId="53B39708">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color w:val="000000"/>
          <w:kern w:val="2"/>
          <w:sz w:val="20"/>
          <w:szCs w:val="20"/>
          <w:lang w:val="en-US" w:eastAsia="zh-CN" w:bidi="ar"/>
        </w:rPr>
        <w:t>一、收</w:t>
      </w:r>
      <w:r>
        <w:rPr>
          <w:rFonts w:hint="eastAsia" w:ascii="仿宋" w:hAnsi="仿宋" w:eastAsia="仿宋" w:cs="仿宋"/>
          <w:kern w:val="2"/>
          <w:sz w:val="20"/>
          <w:szCs w:val="20"/>
          <w:lang w:val="en-US" w:eastAsia="zh-CN" w:bidi="ar"/>
        </w:rPr>
        <w:t>入支出决算总表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4B9AE747">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color w:val="000000"/>
          <w:kern w:val="2"/>
          <w:sz w:val="20"/>
          <w:szCs w:val="20"/>
          <w:lang w:val="en-US" w:eastAsia="zh-CN" w:bidi="ar"/>
        </w:rPr>
        <w:t>二、收</w:t>
      </w:r>
      <w:r>
        <w:rPr>
          <w:rFonts w:hint="eastAsia" w:ascii="仿宋" w:hAnsi="仿宋" w:eastAsia="仿宋" w:cs="仿宋"/>
          <w:kern w:val="2"/>
          <w:sz w:val="20"/>
          <w:szCs w:val="20"/>
          <w:lang w:val="en-US" w:eastAsia="zh-CN" w:bidi="ar"/>
        </w:rPr>
        <w:t>入决算表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3F0948C3">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三、</w:t>
      </w:r>
      <w:r>
        <w:rPr>
          <w:rFonts w:hint="eastAsia" w:ascii="仿宋" w:hAnsi="仿宋" w:eastAsia="仿宋" w:cs="仿宋"/>
          <w:color w:val="000000"/>
          <w:kern w:val="2"/>
          <w:sz w:val="20"/>
          <w:szCs w:val="20"/>
          <w:lang w:val="en-US" w:eastAsia="zh-CN" w:bidi="ar"/>
        </w:rPr>
        <w:t>支</w:t>
      </w:r>
      <w:r>
        <w:rPr>
          <w:rFonts w:hint="eastAsia" w:ascii="仿宋" w:hAnsi="仿宋" w:eastAsia="仿宋" w:cs="仿宋"/>
          <w:kern w:val="2"/>
          <w:sz w:val="20"/>
          <w:szCs w:val="20"/>
          <w:lang w:val="en-US" w:eastAsia="zh-CN" w:bidi="ar"/>
        </w:rPr>
        <w:t>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2D6EB281">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四、财政拨款收入支出决算总表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602A0992">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五、</w:t>
      </w:r>
      <w:r>
        <w:rPr>
          <w:rFonts w:hint="eastAsia" w:ascii="仿宋" w:hAnsi="仿宋" w:eastAsia="仿宋" w:cs="仿宋"/>
          <w:color w:val="000000"/>
          <w:kern w:val="2"/>
          <w:sz w:val="20"/>
          <w:szCs w:val="20"/>
          <w:lang w:val="en-US" w:eastAsia="zh-CN" w:bidi="ar"/>
        </w:rPr>
        <w:t>财</w:t>
      </w:r>
      <w:r>
        <w:rPr>
          <w:rFonts w:hint="eastAsia" w:ascii="仿宋" w:hAnsi="仿宋" w:eastAsia="仿宋" w:cs="仿宋"/>
          <w:kern w:val="2"/>
          <w:sz w:val="20"/>
          <w:szCs w:val="20"/>
          <w:lang w:val="en-US" w:eastAsia="zh-CN" w:bidi="ar"/>
        </w:rPr>
        <w:t>政拨款支出决算明细表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715742C9">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六、</w:t>
      </w:r>
      <w:r>
        <w:rPr>
          <w:rFonts w:hint="eastAsia" w:ascii="仿宋" w:hAnsi="仿宋" w:eastAsia="仿宋" w:cs="仿宋"/>
          <w:color w:val="000000"/>
          <w:kern w:val="2"/>
          <w:sz w:val="20"/>
          <w:szCs w:val="20"/>
          <w:lang w:val="en-US" w:eastAsia="zh-CN" w:bidi="ar"/>
        </w:rPr>
        <w:t>一</w:t>
      </w:r>
      <w:r>
        <w:rPr>
          <w:rFonts w:hint="eastAsia" w:ascii="仿宋" w:hAnsi="仿宋" w:eastAsia="仿宋" w:cs="仿宋"/>
          <w:kern w:val="2"/>
          <w:sz w:val="20"/>
          <w:szCs w:val="20"/>
          <w:lang w:val="en-US" w:eastAsia="zh-CN" w:bidi="ar"/>
        </w:rPr>
        <w:t>般公共预算财政拨款支出决算表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01265226">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七、</w:t>
      </w:r>
      <w:r>
        <w:rPr>
          <w:rFonts w:hint="eastAsia" w:ascii="仿宋" w:hAnsi="仿宋" w:eastAsia="仿宋" w:cs="仿宋"/>
          <w:color w:val="000000"/>
          <w:kern w:val="2"/>
          <w:sz w:val="20"/>
          <w:szCs w:val="20"/>
          <w:lang w:val="en-US" w:eastAsia="zh-CN" w:bidi="ar"/>
        </w:rPr>
        <w:t>一</w:t>
      </w:r>
      <w:r>
        <w:rPr>
          <w:rFonts w:hint="eastAsia" w:ascii="仿宋" w:hAnsi="仿宋" w:eastAsia="仿宋" w:cs="仿宋"/>
          <w:kern w:val="2"/>
          <w:sz w:val="20"/>
          <w:szCs w:val="20"/>
          <w:lang w:val="en-US" w:eastAsia="zh-CN" w:bidi="ar"/>
        </w:rPr>
        <w:t>般公共预算财政拨款支出决算明细表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70387127">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八、</w:t>
      </w:r>
      <w:r>
        <w:rPr>
          <w:rFonts w:hint="eastAsia" w:ascii="仿宋" w:hAnsi="仿宋" w:eastAsia="仿宋" w:cs="仿宋"/>
          <w:color w:val="000000"/>
          <w:kern w:val="2"/>
          <w:sz w:val="20"/>
          <w:szCs w:val="20"/>
          <w:lang w:val="en-US" w:eastAsia="zh-CN" w:bidi="ar"/>
        </w:rPr>
        <w:t>一</w:t>
      </w:r>
      <w:r>
        <w:rPr>
          <w:rFonts w:hint="eastAsia" w:ascii="仿宋" w:hAnsi="仿宋" w:eastAsia="仿宋" w:cs="仿宋"/>
          <w:kern w:val="2"/>
          <w:sz w:val="20"/>
          <w:szCs w:val="20"/>
          <w:lang w:val="en-US" w:eastAsia="zh-CN" w:bidi="ar"/>
        </w:rPr>
        <w:t>般公共预算财政拨款基本支出决算表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631AB723">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九、</w:t>
      </w:r>
      <w:r>
        <w:rPr>
          <w:rFonts w:hint="eastAsia" w:ascii="仿宋" w:hAnsi="仿宋" w:eastAsia="仿宋" w:cs="仿宋"/>
          <w:color w:val="000000"/>
          <w:kern w:val="2"/>
          <w:sz w:val="20"/>
          <w:szCs w:val="20"/>
          <w:lang w:val="en-US" w:eastAsia="zh-CN" w:bidi="ar"/>
        </w:rPr>
        <w:t>一</w:t>
      </w:r>
      <w:r>
        <w:rPr>
          <w:rFonts w:hint="eastAsia" w:ascii="仿宋" w:hAnsi="仿宋" w:eastAsia="仿宋" w:cs="仿宋"/>
          <w:kern w:val="2"/>
          <w:sz w:val="20"/>
          <w:szCs w:val="20"/>
          <w:lang w:val="en-US" w:eastAsia="zh-CN" w:bidi="ar"/>
        </w:rPr>
        <w:t>般公共预算财政拨款项目支出决算表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1FB4BB7B">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十、</w:t>
      </w:r>
      <w:r>
        <w:rPr>
          <w:rFonts w:hint="eastAsia" w:ascii="仿宋" w:hAnsi="仿宋" w:eastAsia="仿宋" w:cs="仿宋"/>
          <w:color w:val="000000"/>
          <w:kern w:val="2"/>
          <w:sz w:val="20"/>
          <w:szCs w:val="20"/>
          <w:lang w:val="en-US" w:eastAsia="zh-CN" w:bidi="ar"/>
        </w:rPr>
        <w:t>政</w:t>
      </w:r>
      <w:r>
        <w:rPr>
          <w:rFonts w:hint="eastAsia" w:ascii="仿宋" w:hAnsi="仿宋" w:eastAsia="仿宋" w:cs="仿宋"/>
          <w:kern w:val="2"/>
          <w:sz w:val="20"/>
          <w:szCs w:val="20"/>
          <w:lang w:val="en-US" w:eastAsia="zh-CN" w:bidi="ar"/>
        </w:rPr>
        <w:t>府性基金预算财政拨款收入支出决算表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32DA0E00">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十一、</w:t>
      </w:r>
      <w:r>
        <w:rPr>
          <w:rFonts w:hint="eastAsia" w:ascii="仿宋" w:hAnsi="仿宋" w:eastAsia="仿宋" w:cs="仿宋"/>
          <w:color w:val="000000"/>
          <w:kern w:val="2"/>
          <w:sz w:val="20"/>
          <w:szCs w:val="20"/>
          <w:lang w:val="en-US" w:eastAsia="zh-CN" w:bidi="ar"/>
        </w:rPr>
        <w:t>国</w:t>
      </w:r>
      <w:r>
        <w:rPr>
          <w:rFonts w:hint="eastAsia" w:ascii="仿宋" w:hAnsi="仿宋" w:eastAsia="仿宋" w:cs="仿宋"/>
          <w:kern w:val="2"/>
          <w:sz w:val="20"/>
          <w:szCs w:val="20"/>
          <w:lang w:val="en-US" w:eastAsia="zh-CN" w:bidi="ar"/>
        </w:rPr>
        <w:t>有资本经营预算财政拨款支出决算表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0BE644EC">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十二、国有资本经营预算财政拨款支出决算表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4293A6DF">
      <w:pPr>
        <w:pStyle w:val="9"/>
        <w:keepNext w:val="0"/>
        <w:keepLines w:val="0"/>
        <w:widowControl w:val="0"/>
        <w:suppressLineNumbers w:val="0"/>
        <w:tabs>
          <w:tab w:val="right" w:leader="dot" w:pos="8296"/>
        </w:tabs>
        <w:spacing w:before="0" w:beforeLines="0" w:beforeAutospacing="0" w:after="0" w:afterLines="0" w:afterAutospacing="0"/>
        <w:ind w:left="420" w:leftChars="200" w:right="0"/>
        <w:jc w:val="both"/>
        <w:rPr>
          <w:rFonts w:hint="default" w:ascii="Times New Roman" w:hAnsi="Times New Roman" w:eastAsia="宋体" w:cs="Times New Roman"/>
          <w:kern w:val="2"/>
          <w:sz w:val="21"/>
          <w:szCs w:val="21"/>
          <w:lang w:val="en-US"/>
        </w:rPr>
      </w:pPr>
      <w:r>
        <w:rPr>
          <w:rFonts w:hint="eastAsia" w:ascii="仿宋" w:hAnsi="仿宋" w:eastAsia="仿宋" w:cs="仿宋"/>
          <w:kern w:val="2"/>
          <w:sz w:val="20"/>
          <w:szCs w:val="20"/>
          <w:lang w:val="en-US" w:eastAsia="zh-CN" w:bidi="ar"/>
        </w:rPr>
        <w:t>十三、财政拨款“三公”经费支出决算表</w:t>
      </w:r>
      <w:r>
        <w:rPr>
          <w:rFonts w:hint="eastAsia" w:ascii="Times New Roman" w:hAnsi="Times New Roman" w:eastAsia="宋体" w:cs="Times New Roman"/>
          <w:kern w:val="2"/>
          <w:sz w:val="20"/>
          <w:szCs w:val="20"/>
          <w:lang w:val="en-US" w:eastAsia="zh-CN" w:bidi="ar"/>
        </w:rPr>
        <w:tab/>
      </w:r>
      <w:r>
        <w:rPr>
          <w:rFonts w:hint="eastAsia" w:ascii="Times New Roman" w:hAnsi="Times New Roman" w:cs="Times New Roman"/>
          <w:kern w:val="2"/>
          <w:sz w:val="20"/>
          <w:szCs w:val="20"/>
          <w:lang w:val="en-US" w:eastAsia="zh-CN" w:bidi="ar"/>
        </w:rPr>
        <w:t>53</w:t>
      </w:r>
    </w:p>
    <w:p w14:paraId="4E61A02E">
      <w:pPr>
        <w:pStyle w:val="2"/>
        <w:jc w:val="center"/>
        <w:rPr>
          <w:rFonts w:hint="eastAsia" w:ascii="黑体" w:hAnsi="黑体" w:eastAsia="黑体"/>
          <w:b w:val="0"/>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14:paraId="622E9981">
      <w:pPr>
        <w:pStyle w:val="2"/>
        <w:jc w:val="center"/>
        <w:rPr>
          <w:rStyle w:val="14"/>
          <w:rFonts w:ascii="黑体" w:hAnsi="黑体" w:eastAsia="黑体"/>
          <w:b/>
          <w:bCs w:val="0"/>
        </w:rPr>
      </w:pPr>
      <w:r>
        <w:rPr>
          <w:rFonts w:hint="eastAsia" w:ascii="黑体" w:hAnsi="黑体" w:eastAsia="黑体"/>
          <w:b w:val="0"/>
        </w:rPr>
        <w:t>第一部分 单位</w:t>
      </w:r>
      <w:r>
        <w:rPr>
          <w:rStyle w:val="14"/>
          <w:rFonts w:hint="eastAsia" w:ascii="黑体" w:hAnsi="黑体" w:eastAsia="黑体"/>
          <w:b w:val="0"/>
          <w:bCs w:val="0"/>
        </w:rPr>
        <w:t>概况</w:t>
      </w:r>
      <w:bookmarkEnd w:id="12"/>
      <w:bookmarkEnd w:id="13"/>
    </w:p>
    <w:p w14:paraId="3F0EABCC">
      <w:pPr>
        <w:pStyle w:val="3"/>
        <w:numPr>
          <w:ilvl w:val="0"/>
          <w:numId w:val="0"/>
        </w:numPr>
        <w:ind w:firstLine="640" w:firstLineChars="200"/>
        <w:rPr>
          <w:rStyle w:val="15"/>
          <w:rFonts w:hint="eastAsia" w:ascii="黑体" w:hAnsi="黑体" w:eastAsia="黑体"/>
          <w:b w:val="0"/>
          <w:bCs w:val="0"/>
        </w:rPr>
      </w:pPr>
      <w:bookmarkStart w:id="14" w:name="_Toc15377197"/>
      <w:bookmarkStart w:id="15" w:name="_Toc15396600"/>
      <w:r>
        <w:rPr>
          <w:rStyle w:val="15"/>
          <w:rFonts w:hint="eastAsia" w:ascii="黑体" w:hAnsi="黑体" w:eastAsia="黑体"/>
          <w:b w:val="0"/>
          <w:bCs w:val="0"/>
          <w:lang w:eastAsia="zh-CN"/>
        </w:rPr>
        <w:t>一、</w:t>
      </w:r>
      <w:r>
        <w:rPr>
          <w:rStyle w:val="15"/>
          <w:rFonts w:hint="eastAsia" w:ascii="黑体" w:hAnsi="黑体" w:eastAsia="黑体"/>
          <w:b w:val="0"/>
          <w:bCs w:val="0"/>
        </w:rPr>
        <w:t>主要职责</w:t>
      </w:r>
    </w:p>
    <w:p w14:paraId="16B9BE60">
      <w:pPr>
        <w:ind w:firstLine="640" w:firstLineChars="200"/>
        <w:rPr>
          <w:rFonts w:hint="eastAsia" w:ascii="仿宋" w:eastAsia="仿宋" w:cs="宋体"/>
          <w:kern w:val="0"/>
          <w:sz w:val="32"/>
          <w:szCs w:val="32"/>
        </w:rPr>
      </w:pPr>
      <w:r>
        <w:rPr>
          <w:rFonts w:hint="eastAsia" w:ascii="仿宋" w:eastAsia="仿宋" w:cs="宋体"/>
          <w:kern w:val="0"/>
          <w:sz w:val="32"/>
          <w:szCs w:val="32"/>
        </w:rPr>
        <w:t>根据工会的性质和任务，工会履行“维护、参与、教育、建设”四项职能，重点突出和履行“维护”职能，切实维护职工群众的合法权益，调动好、保护好、发挥好广大职工的积极性和创造性，组织和动员职工投身于社会主义现代化建设，推动社会的进步和发展。</w:t>
      </w:r>
    </w:p>
    <w:p w14:paraId="0A78B222">
      <w:pPr>
        <w:pStyle w:val="3"/>
        <w:numPr>
          <w:ilvl w:val="0"/>
          <w:numId w:val="1"/>
        </w:numPr>
        <w:ind w:firstLine="640" w:firstLineChars="200"/>
        <w:rPr>
          <w:rStyle w:val="15"/>
          <w:rFonts w:hint="eastAsia" w:ascii="黑体" w:hAnsi="黑体" w:eastAsia="黑体"/>
          <w:b w:val="0"/>
          <w:bCs w:val="0"/>
          <w:lang w:eastAsia="zh-CN"/>
        </w:rPr>
      </w:pPr>
      <w:r>
        <w:rPr>
          <w:rStyle w:val="15"/>
          <w:rFonts w:hint="eastAsia" w:ascii="黑体" w:hAnsi="黑体" w:eastAsia="黑体"/>
          <w:b w:val="0"/>
          <w:bCs w:val="0"/>
          <w:lang w:eastAsia="zh-CN"/>
        </w:rPr>
        <w:t>机构设置</w:t>
      </w:r>
    </w:p>
    <w:p w14:paraId="6522BE51">
      <w:pPr>
        <w:pageBreakBefore w:val="0"/>
        <w:widowControl w:val="0"/>
        <w:kinsoku/>
        <w:wordWrap/>
        <w:overflowPunct/>
        <w:topLinePunct w:val="0"/>
        <w:autoSpaceDE/>
        <w:autoSpaceDN/>
        <w:bidi w:val="0"/>
        <w:adjustRightInd/>
        <w:snapToGrid/>
        <w:spacing w:line="360" w:lineRule="auto"/>
        <w:ind w:firstLine="800" w:firstLineChars="250"/>
        <w:textAlignment w:val="auto"/>
        <w:rPr>
          <w:rFonts w:hint="eastAsia" w:ascii="仿宋" w:eastAsia="仿宋" w:cs="宋体"/>
          <w:kern w:val="0"/>
          <w:sz w:val="32"/>
          <w:szCs w:val="32"/>
        </w:rPr>
      </w:pPr>
      <w:r>
        <w:rPr>
          <w:rFonts w:hint="eastAsia" w:ascii="仿宋" w:eastAsia="仿宋"/>
          <w:sz w:val="32"/>
          <w:szCs w:val="32"/>
        </w:rPr>
        <w:t>汶川县总工会</w:t>
      </w:r>
      <w:r>
        <w:rPr>
          <w:rFonts w:hint="eastAsia" w:ascii="仿宋" w:eastAsia="仿宋"/>
          <w:sz w:val="32"/>
          <w:szCs w:val="32"/>
          <w:lang w:eastAsia="zh-CN"/>
        </w:rPr>
        <w:t>（本级）是汶川县总工会所属机关单位，</w:t>
      </w:r>
      <w:r>
        <w:rPr>
          <w:rFonts w:hint="eastAsia" w:ascii="仿宋" w:eastAsia="仿宋"/>
          <w:sz w:val="32"/>
          <w:szCs w:val="32"/>
        </w:rPr>
        <w:t>下属二级单位0个，其中行政单位</w:t>
      </w:r>
      <w:r>
        <w:rPr>
          <w:rFonts w:hint="eastAsia" w:ascii="仿宋" w:eastAsia="仿宋"/>
          <w:sz w:val="32"/>
          <w:szCs w:val="32"/>
          <w:lang w:val="en-US" w:eastAsia="zh-CN"/>
        </w:rPr>
        <w:t>1</w:t>
      </w:r>
      <w:r>
        <w:rPr>
          <w:rFonts w:hint="eastAsia" w:ascii="仿宋" w:eastAsia="仿宋"/>
          <w:sz w:val="32"/>
          <w:szCs w:val="32"/>
        </w:rPr>
        <w:t>个，参照公务员法管理的事业单位</w:t>
      </w:r>
      <w:r>
        <w:rPr>
          <w:rFonts w:hint="eastAsia" w:ascii="仿宋" w:eastAsia="仿宋"/>
          <w:bCs/>
          <w:sz w:val="32"/>
          <w:szCs w:val="32"/>
        </w:rPr>
        <w:t>0</w:t>
      </w:r>
      <w:r>
        <w:rPr>
          <w:rFonts w:hint="eastAsia" w:ascii="仿宋" w:eastAsia="仿宋"/>
          <w:sz w:val="32"/>
          <w:szCs w:val="32"/>
        </w:rPr>
        <w:t>个，其他事业单位0个。</w:t>
      </w:r>
      <w:r>
        <w:rPr>
          <w:rFonts w:hint="eastAsia" w:ascii="仿宋" w:eastAsia="仿宋" w:cs="宋体"/>
          <w:kern w:val="0"/>
          <w:sz w:val="32"/>
          <w:szCs w:val="32"/>
        </w:rPr>
        <w:t>我会总编制</w:t>
      </w:r>
      <w:r>
        <w:rPr>
          <w:rFonts w:hint="eastAsia" w:ascii="仿宋" w:eastAsia="仿宋" w:cs="宋体"/>
          <w:kern w:val="0"/>
          <w:sz w:val="32"/>
          <w:szCs w:val="32"/>
          <w:u w:val="single"/>
          <w:lang w:val="en-US" w:eastAsia="zh-CN"/>
        </w:rPr>
        <w:t>5</w:t>
      </w:r>
      <w:r>
        <w:rPr>
          <w:rFonts w:hint="eastAsia" w:ascii="仿宋" w:eastAsia="仿宋" w:cs="宋体"/>
          <w:kern w:val="0"/>
          <w:sz w:val="32"/>
          <w:szCs w:val="32"/>
        </w:rPr>
        <w:t>名,其中:行政编制</w:t>
      </w:r>
      <w:r>
        <w:rPr>
          <w:rFonts w:hint="eastAsia" w:ascii="仿宋" w:eastAsia="仿宋" w:cs="宋体"/>
          <w:kern w:val="0"/>
          <w:sz w:val="32"/>
          <w:szCs w:val="32"/>
          <w:u w:val="single"/>
        </w:rPr>
        <w:t>5</w:t>
      </w:r>
      <w:r>
        <w:rPr>
          <w:rFonts w:hint="eastAsia" w:ascii="仿宋" w:eastAsia="仿宋" w:cs="宋体"/>
          <w:kern w:val="0"/>
          <w:sz w:val="32"/>
          <w:szCs w:val="32"/>
        </w:rPr>
        <w:t>名。在职人员总数</w:t>
      </w:r>
      <w:r>
        <w:rPr>
          <w:rFonts w:hint="eastAsia" w:ascii="仿宋" w:eastAsia="仿宋" w:cs="宋体"/>
          <w:kern w:val="0"/>
          <w:sz w:val="32"/>
          <w:szCs w:val="32"/>
          <w:lang w:val="en-US" w:eastAsia="zh-CN"/>
        </w:rPr>
        <w:t>4</w:t>
      </w:r>
      <w:r>
        <w:rPr>
          <w:rFonts w:hint="eastAsia" w:ascii="仿宋" w:eastAsia="仿宋" w:cs="宋体"/>
          <w:kern w:val="0"/>
          <w:sz w:val="32"/>
          <w:szCs w:val="32"/>
        </w:rPr>
        <w:t>名，其中：行政人员</w:t>
      </w:r>
      <w:r>
        <w:rPr>
          <w:rFonts w:hint="eastAsia" w:ascii="仿宋" w:eastAsia="仿宋" w:cs="宋体"/>
          <w:kern w:val="0"/>
          <w:sz w:val="32"/>
          <w:szCs w:val="32"/>
          <w:lang w:val="en-US" w:eastAsia="zh-CN"/>
        </w:rPr>
        <w:t>4</w:t>
      </w:r>
      <w:r>
        <w:rPr>
          <w:rFonts w:hint="eastAsia" w:ascii="仿宋" w:eastAsia="仿宋" w:cs="宋体"/>
          <w:kern w:val="0"/>
          <w:sz w:val="32"/>
          <w:szCs w:val="32"/>
        </w:rPr>
        <w:t>人。</w:t>
      </w:r>
    </w:p>
    <w:p w14:paraId="0792D897">
      <w:pPr>
        <w:numPr>
          <w:ilvl w:val="0"/>
          <w:numId w:val="0"/>
        </w:numPr>
        <w:rPr>
          <w:rFonts w:hint="eastAsia"/>
          <w:lang w:eastAsia="zh-CN"/>
        </w:rPr>
      </w:pPr>
    </w:p>
    <w:bookmarkEnd w:id="14"/>
    <w:bookmarkEnd w:id="15"/>
    <w:p w14:paraId="7677E5BA">
      <w:pPr>
        <w:pStyle w:val="3"/>
        <w:numPr>
          <w:ilvl w:val="0"/>
          <w:numId w:val="0"/>
        </w:numPr>
        <w:ind w:firstLine="640" w:firstLineChars="200"/>
        <w:rPr>
          <w:rFonts w:ascii="仿宋" w:hAnsi="仿宋" w:eastAsia="仿宋"/>
          <w:kern w:val="0"/>
          <w:sz w:val="32"/>
          <w:szCs w:val="32"/>
        </w:rPr>
      </w:pPr>
      <w:r>
        <w:rPr>
          <w:rStyle w:val="15"/>
          <w:rFonts w:hint="eastAsia" w:ascii="黑体" w:hAnsi="黑体" w:eastAsia="黑体"/>
          <w:b w:val="0"/>
          <w:bCs w:val="0"/>
          <w:lang w:eastAsia="zh-CN"/>
        </w:rPr>
        <w:br w:type="page"/>
      </w:r>
    </w:p>
    <w:p w14:paraId="3BC8DE41">
      <w:pPr>
        <w:pStyle w:val="2"/>
        <w:ind w:right="440"/>
        <w:jc w:val="center"/>
      </w:pPr>
      <w:bookmarkStart w:id="16" w:name="_Toc15396602"/>
      <w:bookmarkStart w:id="17" w:name="_Toc15377204"/>
      <w:r>
        <w:rPr>
          <w:rFonts w:hint="eastAsia" w:ascii="黑体" w:hAnsi="黑体" w:eastAsia="黑体"/>
          <w:b w:val="0"/>
        </w:rPr>
        <w:t>第二部分 202</w:t>
      </w:r>
      <w:r>
        <w:rPr>
          <w:rFonts w:hint="eastAsia" w:ascii="黑体" w:hAnsi="黑体" w:eastAsia="黑体"/>
          <w:b w:val="0"/>
          <w:lang w:val="en-US" w:eastAsia="zh-CN"/>
        </w:rPr>
        <w:t>5</w:t>
      </w:r>
      <w:r>
        <w:rPr>
          <w:rFonts w:hint="eastAsia" w:ascii="黑体" w:hAnsi="黑体" w:eastAsia="黑体"/>
          <w:b w:val="0"/>
        </w:rPr>
        <w:t>年度</w:t>
      </w:r>
      <w:r>
        <w:rPr>
          <w:rStyle w:val="14"/>
          <w:rFonts w:hint="eastAsia" w:ascii="黑体" w:hAnsi="黑体" w:eastAsia="黑体"/>
          <w:b w:val="0"/>
          <w:bCs/>
        </w:rPr>
        <w:t>单位决算情况说明</w:t>
      </w:r>
      <w:bookmarkEnd w:id="16"/>
      <w:bookmarkEnd w:id="17"/>
    </w:p>
    <w:p w14:paraId="5E2EABDF">
      <w:pPr>
        <w:pStyle w:val="16"/>
        <w:numPr>
          <w:ilvl w:val="0"/>
          <w:numId w:val="2"/>
        </w:numPr>
        <w:spacing w:line="600" w:lineRule="exact"/>
        <w:ind w:firstLineChars="0"/>
        <w:outlineLvl w:val="1"/>
        <w:rPr>
          <w:rStyle w:val="15"/>
          <w:rFonts w:ascii="黑体" w:hAnsi="黑体" w:eastAsia="黑体"/>
          <w:b w:val="0"/>
        </w:rPr>
      </w:pPr>
      <w:bookmarkStart w:id="18" w:name="_Toc15377205"/>
      <w:bookmarkStart w:id="19" w:name="_Toc15396603"/>
      <w:r>
        <w:rPr>
          <w:rFonts w:hint="eastAsia" w:ascii="黑体" w:hAnsi="黑体" w:eastAsia="黑体"/>
          <w:sz w:val="32"/>
          <w:szCs w:val="32"/>
        </w:rPr>
        <w:t>收</w:t>
      </w:r>
      <w:r>
        <w:rPr>
          <w:rStyle w:val="15"/>
          <w:rFonts w:hint="eastAsia" w:ascii="黑体" w:hAnsi="黑体" w:eastAsia="黑体"/>
          <w:b w:val="0"/>
        </w:rPr>
        <w:t>入支出决算总体情况说明</w:t>
      </w:r>
      <w:bookmarkEnd w:id="18"/>
      <w:bookmarkEnd w:id="19"/>
    </w:p>
    <w:p w14:paraId="264D1837">
      <w:pPr>
        <w:pStyle w:val="17"/>
        <w:keepNext w:val="0"/>
        <w:keepLines w:val="0"/>
        <w:pageBreakBefore w:val="0"/>
        <w:numPr>
          <w:ilvl w:val="0"/>
          <w:numId w:val="0"/>
        </w:numPr>
        <w:kinsoku/>
        <w:wordWrap/>
        <w:overflowPunct/>
        <w:topLinePunct w:val="0"/>
        <w:bidi w:val="0"/>
        <w:snapToGrid/>
        <w:spacing w:line="540" w:lineRule="exact"/>
        <w:ind w:firstLine="640" w:firstLineChars="200"/>
        <w:jc w:val="both"/>
        <w:textAlignment w:val="auto"/>
        <w:outlineLvl w:val="1"/>
        <w:rPr>
          <w:rFonts w:hint="eastAsia" w:ascii="仿宋" w:hAnsi="仿宋" w:eastAsia="仿宋"/>
          <w:sz w:val="32"/>
          <w:szCs w:val="32"/>
          <w:lang w:val="en-US"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1235.95</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（含年初结转和结余资金</w:t>
      </w:r>
      <w:r>
        <w:rPr>
          <w:rFonts w:hint="eastAsia" w:ascii="仿宋" w:hAnsi="仿宋" w:eastAsia="仿宋"/>
          <w:color w:val="000000"/>
          <w:sz w:val="32"/>
          <w:szCs w:val="32"/>
          <w:lang w:val="en-US" w:eastAsia="zh-CN"/>
        </w:rPr>
        <w:t>100万</w:t>
      </w:r>
      <w:r>
        <w:rPr>
          <w:rFonts w:hint="eastAsia" w:ascii="仿宋" w:hAnsi="仿宋" w:eastAsia="仿宋"/>
          <w:color w:val="000000"/>
          <w:sz w:val="32"/>
          <w:szCs w:val="32"/>
          <w:lang w:eastAsia="zh-CN"/>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80.61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6.98</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sz w:val="32"/>
          <w:szCs w:val="32"/>
        </w:rPr>
        <w:t>主要原因是2025年，年初结转结余资金100万元，全县在编在职人员工资基数变化导致2025年工会经费低幅度下降，年底项目资金未全额完成支付，人员变动原因导致人员经费增加，综上等原因导致总收入较上年增加</w:t>
      </w:r>
      <w:r>
        <w:rPr>
          <w:rFonts w:hint="eastAsia" w:ascii="仿宋" w:hAnsi="仿宋" w:eastAsia="仿宋"/>
          <w:sz w:val="32"/>
          <w:szCs w:val="32"/>
          <w:lang w:val="en-US" w:eastAsia="zh-CN"/>
        </w:rPr>
        <w:t>80.61万元</w:t>
      </w:r>
      <w:r>
        <w:rPr>
          <w:rFonts w:hint="eastAsia" w:ascii="仿宋" w:hAnsi="仿宋" w:eastAsia="仿宋"/>
          <w:color w:val="000000"/>
          <w:sz w:val="32"/>
          <w:szCs w:val="32"/>
          <w:lang w:val="en-US" w:eastAsia="zh-CN"/>
        </w:rPr>
        <w:t>。</w:t>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1235.95</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增加80.61万元，增加6.98%。主要原因是2025年，年初结转结余资金100万元，全县在编在职人员工资基数变化导致2025年工会经费低幅度下降，年底项目资金未全额完成支付，人员变动原因导致人员经费增加，</w:t>
      </w:r>
      <w:r>
        <w:rPr>
          <w:rFonts w:hint="eastAsia" w:ascii="仿宋" w:hAnsi="仿宋" w:eastAsia="仿宋"/>
          <w:sz w:val="32"/>
          <w:szCs w:val="32"/>
          <w:lang w:val="en-US" w:eastAsia="zh-CN"/>
        </w:rPr>
        <w:t>综上原因导致开支较上年增加。</w:t>
      </w:r>
    </w:p>
    <w:p w14:paraId="4D114812">
      <w:pPr>
        <w:pStyle w:val="17"/>
        <w:keepNext w:val="0"/>
        <w:keepLines w:val="0"/>
        <w:pageBreakBefore w:val="0"/>
        <w:numPr>
          <w:ilvl w:val="0"/>
          <w:numId w:val="0"/>
        </w:numPr>
        <w:kinsoku/>
        <w:wordWrap/>
        <w:overflowPunct/>
        <w:topLinePunct w:val="0"/>
        <w:bidi w:val="0"/>
        <w:snapToGrid/>
        <w:spacing w:line="540" w:lineRule="exact"/>
        <w:ind w:firstLine="640"/>
        <w:jc w:val="both"/>
        <w:textAlignment w:val="auto"/>
        <w:outlineLvl w:val="1"/>
        <w:rPr>
          <w:rFonts w:hint="eastAsia" w:ascii="仿宋" w:hAnsi="仿宋" w:eastAsia="仿宋"/>
          <w:sz w:val="32"/>
          <w:szCs w:val="32"/>
        </w:rPr>
      </w:pPr>
      <w:r>
        <w:rPr>
          <w:rFonts w:hint="eastAsia" w:ascii="仿宋_GB2312" w:eastAsia="仿宋_GB2312"/>
          <w:color w:val="000000"/>
          <w:sz w:val="32"/>
          <w:szCs w:val="32"/>
          <w:lang w:eastAsia="zh-CN"/>
        </w:rPr>
        <w:drawing>
          <wp:anchor distT="0" distB="0" distL="114300" distR="114300" simplePos="0" relativeHeight="251663360" behindDoc="0" locked="0" layoutInCell="1" allowOverlap="1">
            <wp:simplePos x="0" y="0"/>
            <wp:positionH relativeFrom="column">
              <wp:posOffset>66675</wp:posOffset>
            </wp:positionH>
            <wp:positionV relativeFrom="page">
              <wp:posOffset>6294120</wp:posOffset>
            </wp:positionV>
            <wp:extent cx="5080000" cy="2724785"/>
            <wp:effectExtent l="4445" t="4445" r="20955" b="1397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sz w:val="32"/>
          <w:szCs w:val="32"/>
        </w:rPr>
        <w:t>（图1：收、支决算总计变动情况图）（柱状图）</w:t>
      </w:r>
    </w:p>
    <w:p w14:paraId="58BB27E2">
      <w:pPr>
        <w:pStyle w:val="17"/>
        <w:keepNext w:val="0"/>
        <w:keepLines w:val="0"/>
        <w:pageBreakBefore w:val="0"/>
        <w:numPr>
          <w:ilvl w:val="0"/>
          <w:numId w:val="0"/>
        </w:numPr>
        <w:kinsoku/>
        <w:wordWrap/>
        <w:overflowPunct/>
        <w:topLinePunct w:val="0"/>
        <w:bidi w:val="0"/>
        <w:snapToGrid/>
        <w:spacing w:line="540" w:lineRule="exact"/>
        <w:jc w:val="both"/>
        <w:textAlignment w:val="auto"/>
        <w:outlineLvl w:val="1"/>
        <w:rPr>
          <w:rFonts w:hint="eastAsia" w:ascii="仿宋" w:hAnsi="仿宋" w:eastAsia="仿宋"/>
          <w:sz w:val="32"/>
          <w:szCs w:val="32"/>
        </w:rPr>
      </w:pPr>
    </w:p>
    <w:p w14:paraId="402AFD48">
      <w:pPr>
        <w:numPr>
          <w:ilvl w:val="0"/>
          <w:numId w:val="2"/>
        </w:numPr>
        <w:spacing w:line="600" w:lineRule="exact"/>
        <w:ind w:left="1360" w:leftChars="0" w:hanging="720" w:firstLineChars="0"/>
        <w:rPr>
          <w:rStyle w:val="15"/>
          <w:rFonts w:hint="eastAsia" w:ascii="黑体" w:hAnsi="黑体" w:eastAsia="黑体"/>
          <w:b w:val="0"/>
        </w:rPr>
      </w:pPr>
      <w:bookmarkStart w:id="20" w:name="_Toc15377206"/>
      <w:bookmarkStart w:id="21" w:name="_Toc15396604"/>
      <w:r>
        <w:rPr>
          <w:rFonts w:hint="eastAsia" w:ascii="黑体" w:hAnsi="黑体" w:eastAsia="黑体"/>
          <w:sz w:val="32"/>
          <w:szCs w:val="32"/>
        </w:rPr>
        <w:t>收</w:t>
      </w:r>
      <w:r>
        <w:rPr>
          <w:rStyle w:val="15"/>
          <w:rFonts w:hint="eastAsia" w:ascii="黑体" w:hAnsi="黑体" w:eastAsia="黑体"/>
          <w:b w:val="0"/>
        </w:rPr>
        <w:t>入决算情况说明</w:t>
      </w:r>
      <w:bookmarkEnd w:id="20"/>
      <w:bookmarkEnd w:id="21"/>
    </w:p>
    <w:p w14:paraId="2A4CB9E1">
      <w:pPr>
        <w:spacing w:line="600" w:lineRule="exact"/>
        <w:ind w:firstLine="640" w:firstLineChars="200"/>
        <w:outlineLvl w:val="1"/>
        <w:rPr>
          <w:rFonts w:ascii="仿宋_GB2312" w:eastAsia="仿宋_GB2312"/>
          <w:sz w:val="32"/>
          <w:szCs w:val="32"/>
        </w:rPr>
      </w:pPr>
      <w:r>
        <w:rPr>
          <w:rFonts w:hint="eastAsia" w:ascii="仿宋" w:eastAsia="仿宋"/>
          <w:color w:val="000000"/>
          <w:sz w:val="32"/>
          <w:szCs w:val="32"/>
          <w:lang w:eastAsia="zh-CN"/>
        </w:rPr>
        <w:t>202</w:t>
      </w:r>
      <w:r>
        <w:rPr>
          <w:rFonts w:hint="eastAsia" w:ascii="仿宋" w:eastAsia="仿宋"/>
          <w:color w:val="000000"/>
          <w:sz w:val="32"/>
          <w:szCs w:val="32"/>
          <w:lang w:val="en-US" w:eastAsia="zh-CN"/>
        </w:rPr>
        <w:t>5</w:t>
      </w:r>
      <w:r>
        <w:rPr>
          <w:rFonts w:hint="eastAsia" w:ascii="仿宋" w:eastAsia="仿宋"/>
          <w:color w:val="000000"/>
          <w:sz w:val="32"/>
          <w:szCs w:val="32"/>
          <w:lang w:eastAsia="zh-CN"/>
        </w:rPr>
        <w:t>年</w:t>
      </w:r>
      <w:r>
        <w:rPr>
          <w:rFonts w:hint="eastAsia" w:ascii="仿宋" w:eastAsia="仿宋"/>
          <w:color w:val="000000"/>
          <w:sz w:val="32"/>
          <w:szCs w:val="32"/>
        </w:rPr>
        <w:t>本年收入合计</w:t>
      </w:r>
      <w:r>
        <w:rPr>
          <w:rFonts w:hint="eastAsia" w:ascii="仿宋" w:eastAsia="仿宋"/>
          <w:color w:val="000000"/>
          <w:sz w:val="32"/>
          <w:szCs w:val="32"/>
          <w:lang w:val="en-US" w:eastAsia="zh-CN"/>
        </w:rPr>
        <w:t>1135.95</w:t>
      </w:r>
      <w:r>
        <w:rPr>
          <w:rFonts w:hint="eastAsia" w:ascii="仿宋" w:eastAsia="仿宋"/>
          <w:color w:val="000000"/>
          <w:sz w:val="32"/>
          <w:szCs w:val="32"/>
        </w:rPr>
        <w:t>万元，其中：一般公共预算财政拨款收入</w:t>
      </w:r>
      <w:r>
        <w:rPr>
          <w:rFonts w:hint="eastAsia" w:ascii="仿宋" w:eastAsia="仿宋"/>
          <w:color w:val="000000"/>
          <w:sz w:val="32"/>
          <w:szCs w:val="32"/>
          <w:lang w:val="en-US" w:eastAsia="zh-CN"/>
        </w:rPr>
        <w:t>1135.93</w:t>
      </w:r>
      <w:r>
        <w:rPr>
          <w:rFonts w:hint="eastAsia" w:ascii="仿宋" w:eastAsia="仿宋"/>
          <w:color w:val="000000"/>
          <w:sz w:val="32"/>
          <w:szCs w:val="32"/>
        </w:rPr>
        <w:t>万元，占</w:t>
      </w:r>
      <w:r>
        <w:rPr>
          <w:rFonts w:hint="eastAsia" w:ascii="仿宋" w:eastAsia="仿宋"/>
          <w:color w:val="000000"/>
          <w:sz w:val="32"/>
          <w:szCs w:val="32"/>
          <w:lang w:val="en-US" w:eastAsia="zh-CN"/>
        </w:rPr>
        <w:t>100</w:t>
      </w:r>
      <w:r>
        <w:rPr>
          <w:rFonts w:ascii="仿宋" w:eastAsia="仿宋"/>
          <w:color w:val="000000"/>
          <w:sz w:val="32"/>
          <w:szCs w:val="32"/>
        </w:rPr>
        <w:t>%</w:t>
      </w:r>
      <w:r>
        <w:rPr>
          <w:rFonts w:hint="eastAsia" w:ascii="仿宋" w:eastAsia="仿宋"/>
          <w:color w:val="000000"/>
          <w:sz w:val="32"/>
          <w:szCs w:val="32"/>
        </w:rPr>
        <w:t>；政府性基金预算财政拨款收入</w:t>
      </w:r>
      <w:r>
        <w:rPr>
          <w:rFonts w:ascii="仿宋" w:eastAsia="仿宋"/>
          <w:color w:val="000000"/>
          <w:sz w:val="32"/>
          <w:szCs w:val="32"/>
        </w:rPr>
        <w:t>0</w:t>
      </w:r>
      <w:r>
        <w:rPr>
          <w:rFonts w:hint="eastAsia" w:ascii="仿宋" w:eastAsia="仿宋"/>
          <w:color w:val="000000"/>
          <w:sz w:val="32"/>
          <w:szCs w:val="32"/>
        </w:rPr>
        <w:t>万元</w:t>
      </w:r>
      <w:r>
        <w:rPr>
          <w:rFonts w:ascii="仿宋" w:eastAsia="仿宋"/>
          <w:color w:val="000000"/>
          <w:sz w:val="32"/>
          <w:szCs w:val="32"/>
        </w:rPr>
        <w:t>、</w:t>
      </w:r>
      <w:r>
        <w:rPr>
          <w:rFonts w:hint="eastAsia" w:ascii="仿宋" w:eastAsia="仿宋"/>
          <w:color w:val="000000"/>
          <w:sz w:val="32"/>
          <w:szCs w:val="32"/>
          <w:lang w:eastAsia="zh-CN"/>
        </w:rPr>
        <w:t>占</w:t>
      </w:r>
      <w:r>
        <w:rPr>
          <w:rFonts w:hint="eastAsia" w:ascii="仿宋" w:eastAsia="仿宋"/>
          <w:color w:val="000000"/>
          <w:sz w:val="32"/>
          <w:szCs w:val="32"/>
          <w:lang w:val="en-US" w:eastAsia="zh-CN"/>
        </w:rPr>
        <w:t>0%</w:t>
      </w:r>
      <w:r>
        <w:rPr>
          <w:rFonts w:hint="eastAsia" w:ascii="仿宋" w:eastAsia="仿宋"/>
          <w:color w:val="000000"/>
          <w:sz w:val="32"/>
          <w:szCs w:val="32"/>
          <w:lang w:eastAsia="zh-CN"/>
        </w:rPr>
        <w:t>，</w:t>
      </w:r>
      <w:r>
        <w:rPr>
          <w:rFonts w:hint="eastAsia" w:ascii="仿宋" w:eastAsia="仿宋"/>
          <w:color w:val="000000"/>
          <w:sz w:val="32"/>
          <w:szCs w:val="32"/>
        </w:rPr>
        <w:t>上级补助收入0万元，占0</w:t>
      </w:r>
      <w:r>
        <w:rPr>
          <w:rFonts w:ascii="仿宋" w:eastAsia="仿宋"/>
          <w:color w:val="000000"/>
          <w:sz w:val="32"/>
          <w:szCs w:val="32"/>
        </w:rPr>
        <w:t>%</w:t>
      </w:r>
      <w:r>
        <w:rPr>
          <w:rFonts w:hint="eastAsia" w:ascii="仿宋" w:eastAsia="仿宋"/>
          <w:color w:val="000000"/>
          <w:sz w:val="32"/>
          <w:szCs w:val="32"/>
        </w:rPr>
        <w:t>；事业收入0万元，占0</w:t>
      </w:r>
      <w:r>
        <w:rPr>
          <w:rFonts w:ascii="仿宋" w:eastAsia="仿宋"/>
          <w:color w:val="000000"/>
          <w:sz w:val="32"/>
          <w:szCs w:val="32"/>
        </w:rPr>
        <w:t>%</w:t>
      </w:r>
      <w:r>
        <w:rPr>
          <w:rFonts w:hint="eastAsia" w:ascii="仿宋" w:eastAsia="仿宋"/>
          <w:color w:val="000000"/>
          <w:sz w:val="32"/>
          <w:szCs w:val="32"/>
        </w:rPr>
        <w:t>；经营收入0万元，占0</w:t>
      </w:r>
      <w:r>
        <w:rPr>
          <w:rFonts w:ascii="仿宋" w:eastAsia="仿宋"/>
          <w:color w:val="000000"/>
          <w:sz w:val="32"/>
          <w:szCs w:val="32"/>
        </w:rPr>
        <w:t>%</w:t>
      </w:r>
      <w:r>
        <w:rPr>
          <w:rFonts w:hint="eastAsia" w:ascii="仿宋" w:eastAsia="仿宋"/>
          <w:color w:val="000000"/>
          <w:sz w:val="32"/>
          <w:szCs w:val="32"/>
        </w:rPr>
        <w:t>；附属单位上缴收入0万元，占0</w:t>
      </w:r>
      <w:r>
        <w:rPr>
          <w:rFonts w:ascii="仿宋" w:eastAsia="仿宋"/>
          <w:color w:val="000000"/>
          <w:sz w:val="32"/>
          <w:szCs w:val="32"/>
        </w:rPr>
        <w:t>%</w:t>
      </w:r>
      <w:r>
        <w:rPr>
          <w:rFonts w:hint="eastAsia" w:ascii="仿宋" w:eastAsia="仿宋"/>
          <w:color w:val="000000"/>
          <w:sz w:val="32"/>
          <w:szCs w:val="32"/>
        </w:rPr>
        <w:t>；其他收入0万元，占0</w:t>
      </w:r>
      <w:r>
        <w:rPr>
          <w:rFonts w:ascii="仿宋" w:eastAsia="仿宋"/>
          <w:color w:val="000000"/>
          <w:sz w:val="32"/>
          <w:szCs w:val="32"/>
        </w:rPr>
        <w:t>%</w:t>
      </w:r>
      <w:r>
        <w:rPr>
          <w:rFonts w:hint="eastAsia" w:ascii="仿宋" w:eastAsia="仿宋"/>
          <w:color w:val="000000"/>
          <w:sz w:val="32"/>
          <w:szCs w:val="32"/>
        </w:rPr>
        <w:t>。</w:t>
      </w:r>
    </w:p>
    <w:p w14:paraId="75C562DC">
      <w:pPr>
        <w:pStyle w:val="9"/>
        <w:shd w:val="clear" w:color="auto" w:fill="FFFFFF"/>
        <w:spacing w:line="560" w:lineRule="exact"/>
        <w:ind w:firstLine="640" w:firstLineChars="200"/>
        <w:rPr>
          <w:rStyle w:val="15"/>
          <w:rFonts w:ascii="黑体" w:hAnsi="黑体" w:eastAsia="黑体"/>
          <w:b w:val="0"/>
        </w:rPr>
      </w:pPr>
      <w:bookmarkStart w:id="22" w:name="_Toc15377207"/>
      <w:bookmarkStart w:id="23" w:name="_Toc15396605"/>
      <w:r>
        <w:rPr>
          <w:rFonts w:ascii="仿宋" w:eastAsia="仿宋"/>
          <w:color w:val="000000"/>
          <w:sz w:val="32"/>
          <w:szCs w:val="32"/>
        </w:rPr>
        <w:drawing>
          <wp:anchor distT="0" distB="0" distL="0" distR="0" simplePos="0" relativeHeight="251660288" behindDoc="0" locked="0" layoutInCell="1" allowOverlap="1">
            <wp:simplePos x="0" y="0"/>
            <wp:positionH relativeFrom="column">
              <wp:posOffset>121285</wp:posOffset>
            </wp:positionH>
            <wp:positionV relativeFrom="page">
              <wp:posOffset>3308350</wp:posOffset>
            </wp:positionV>
            <wp:extent cx="5274310" cy="3076575"/>
            <wp:effectExtent l="6350" t="6350" r="15240" b="2222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eastAsia="仿宋"/>
          <w:color w:val="000000"/>
          <w:sz w:val="32"/>
          <w:szCs w:val="32"/>
        </w:rPr>
        <w:t>（图2：收入决算结构图）（饼状图）</w:t>
      </w:r>
    </w:p>
    <w:p w14:paraId="7EBB873C">
      <w:pPr>
        <w:pStyle w:val="16"/>
        <w:numPr>
          <w:ilvl w:val="0"/>
          <w:numId w:val="0"/>
        </w:numPr>
        <w:spacing w:line="600" w:lineRule="exact"/>
        <w:ind w:left="640" w:leftChars="0"/>
        <w:outlineLvl w:val="1"/>
        <w:rPr>
          <w:rStyle w:val="15"/>
          <w:rFonts w:ascii="黑体" w:hAnsi="黑体" w:eastAsia="黑体"/>
          <w:b w:val="0"/>
        </w:rPr>
      </w:pPr>
      <w:r>
        <w:rPr>
          <w:rFonts w:hint="eastAsia" w:ascii="黑体" w:hAnsi="黑体" w:eastAsia="黑体"/>
          <w:sz w:val="32"/>
          <w:szCs w:val="32"/>
          <w:lang w:eastAsia="zh-CN"/>
        </w:rPr>
        <w:t>三、</w:t>
      </w:r>
      <w:r>
        <w:rPr>
          <w:rFonts w:hint="eastAsia" w:ascii="黑体" w:hAnsi="黑体" w:eastAsia="黑体"/>
          <w:sz w:val="32"/>
          <w:szCs w:val="32"/>
        </w:rPr>
        <w:t>支</w:t>
      </w:r>
      <w:r>
        <w:rPr>
          <w:rStyle w:val="15"/>
          <w:rFonts w:hint="eastAsia" w:ascii="黑体" w:hAnsi="黑体" w:eastAsia="黑体"/>
          <w:b w:val="0"/>
        </w:rPr>
        <w:t>出决算情况说明</w:t>
      </w:r>
      <w:bookmarkEnd w:id="22"/>
      <w:bookmarkEnd w:id="23"/>
    </w:p>
    <w:p w14:paraId="38CC88D9">
      <w:pPr>
        <w:spacing w:line="600" w:lineRule="exact"/>
        <w:ind w:firstLine="640" w:firstLineChars="200"/>
        <w:outlineLvl w:val="1"/>
        <w:rPr>
          <w:rFonts w:hint="eastAsia" w:ascii="仿宋" w:hAnsi="仿宋" w:eastAsia="仿宋"/>
          <w:sz w:val="32"/>
          <w:szCs w:val="32"/>
        </w:rPr>
      </w:pP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年本年支出合计</w:t>
      </w:r>
      <w:r>
        <w:rPr>
          <w:rFonts w:hint="eastAsia" w:ascii="仿宋" w:hAnsi="仿宋" w:eastAsia="仿宋"/>
          <w:sz w:val="32"/>
          <w:szCs w:val="32"/>
          <w:lang w:val="en-US" w:eastAsia="zh-CN"/>
        </w:rPr>
        <w:t>1235.95</w:t>
      </w:r>
      <w:r>
        <w:rPr>
          <w:rFonts w:hint="eastAsia" w:ascii="仿宋" w:hAnsi="仿宋" w:eastAsia="仿宋"/>
          <w:sz w:val="32"/>
          <w:szCs w:val="32"/>
        </w:rPr>
        <w:t>万元，其中：基本支出</w:t>
      </w:r>
      <w:r>
        <w:rPr>
          <w:rFonts w:hint="eastAsia" w:ascii="仿宋" w:hAnsi="仿宋" w:eastAsia="仿宋"/>
          <w:sz w:val="32"/>
          <w:szCs w:val="32"/>
          <w:lang w:val="en-US" w:eastAsia="zh-CN"/>
        </w:rPr>
        <w:t>126.46</w:t>
      </w:r>
      <w:r>
        <w:rPr>
          <w:rFonts w:hint="eastAsia" w:ascii="仿宋" w:hAnsi="仿宋" w:eastAsia="仿宋"/>
          <w:sz w:val="32"/>
          <w:szCs w:val="32"/>
        </w:rPr>
        <w:t>万元，占</w:t>
      </w:r>
      <w:r>
        <w:rPr>
          <w:rFonts w:hint="eastAsia" w:ascii="仿宋" w:hAnsi="仿宋" w:eastAsia="仿宋"/>
          <w:sz w:val="32"/>
          <w:szCs w:val="32"/>
          <w:lang w:val="en-US" w:eastAsia="zh-CN"/>
        </w:rPr>
        <w:t>10.23</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1109.49</w:t>
      </w:r>
      <w:r>
        <w:rPr>
          <w:rFonts w:hint="eastAsia" w:ascii="仿宋" w:hAnsi="仿宋" w:eastAsia="仿宋"/>
          <w:sz w:val="32"/>
          <w:szCs w:val="32"/>
        </w:rPr>
        <w:t>万元，占</w:t>
      </w:r>
      <w:r>
        <w:rPr>
          <w:rFonts w:hint="eastAsia" w:ascii="仿宋" w:hAnsi="仿宋" w:eastAsia="仿宋"/>
          <w:sz w:val="32"/>
          <w:szCs w:val="32"/>
          <w:lang w:val="en-US" w:eastAsia="zh-CN"/>
        </w:rPr>
        <w:t>89.77</w:t>
      </w:r>
      <w:r>
        <w:rPr>
          <w:rFonts w:ascii="仿宋" w:hAnsi="仿宋" w:eastAsia="仿宋"/>
          <w:sz w:val="32"/>
          <w:szCs w:val="32"/>
        </w:rPr>
        <w:t>%</w:t>
      </w:r>
      <w:r>
        <w:rPr>
          <w:rFonts w:hint="eastAsia" w:ascii="仿宋" w:hAnsi="仿宋" w:eastAsia="仿宋"/>
          <w:sz w:val="32"/>
          <w:szCs w:val="32"/>
        </w:rPr>
        <w:t>；上缴上级支出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；对</w:t>
      </w:r>
      <w:r>
        <w:rPr>
          <w:rFonts w:ascii="仿宋" w:eastAsia="仿宋"/>
          <w:color w:val="000000"/>
          <w:sz w:val="32"/>
          <w:szCs w:val="32"/>
        </w:rPr>
        <w:drawing>
          <wp:anchor distT="0" distB="0" distL="0" distR="0" simplePos="0" relativeHeight="251661312" behindDoc="0" locked="0" layoutInCell="1" allowOverlap="1">
            <wp:simplePos x="0" y="0"/>
            <wp:positionH relativeFrom="column">
              <wp:posOffset>297815</wp:posOffset>
            </wp:positionH>
            <wp:positionV relativeFrom="page">
              <wp:posOffset>1386205</wp:posOffset>
            </wp:positionV>
            <wp:extent cx="4678680" cy="2653030"/>
            <wp:effectExtent l="6350" t="6350" r="20320" b="7620"/>
            <wp:wrapSquare wrapText="bothSides"/>
            <wp:docPr id="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sz w:val="32"/>
          <w:szCs w:val="32"/>
        </w:rPr>
        <w:t>附属单位补助支出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5ED4426E">
      <w:pPr>
        <w:spacing w:line="600" w:lineRule="exact"/>
        <w:ind w:firstLine="640" w:firstLineChars="200"/>
        <w:outlineLvl w:val="1"/>
        <w:rPr>
          <w:rFonts w:hint="eastAsia" w:ascii="仿宋" w:hAnsi="仿宋" w:eastAsia="仿宋"/>
          <w:sz w:val="32"/>
          <w:szCs w:val="32"/>
        </w:rPr>
      </w:pPr>
    </w:p>
    <w:p w14:paraId="0E847C27">
      <w:pPr>
        <w:spacing w:line="600" w:lineRule="exact"/>
        <w:ind w:firstLine="640" w:firstLineChars="200"/>
        <w:outlineLvl w:val="1"/>
        <w:rPr>
          <w:rFonts w:hint="eastAsia" w:ascii="仿宋" w:hAnsi="仿宋" w:eastAsia="仿宋"/>
          <w:sz w:val="32"/>
          <w:szCs w:val="32"/>
        </w:rPr>
      </w:pPr>
    </w:p>
    <w:p w14:paraId="309C8A39">
      <w:pPr>
        <w:pStyle w:val="9"/>
        <w:shd w:val="clear" w:color="auto" w:fill="FFFFFF"/>
        <w:spacing w:line="560" w:lineRule="exact"/>
        <w:ind w:firstLine="1280" w:firstLineChars="400"/>
        <w:rPr>
          <w:rFonts w:hint="eastAsia" w:ascii="仿宋" w:eastAsia="仿宋"/>
          <w:color w:val="000000"/>
          <w:sz w:val="32"/>
          <w:szCs w:val="32"/>
        </w:rPr>
      </w:pPr>
      <w:bookmarkStart w:id="24" w:name="_Toc15377208"/>
      <w:bookmarkStart w:id="25" w:name="_Toc15396606"/>
    </w:p>
    <w:p w14:paraId="3A37410E">
      <w:pPr>
        <w:pStyle w:val="9"/>
        <w:shd w:val="clear" w:color="auto" w:fill="FFFFFF"/>
        <w:spacing w:line="560" w:lineRule="exact"/>
        <w:ind w:firstLine="1280" w:firstLineChars="400"/>
        <w:rPr>
          <w:rFonts w:hint="eastAsia" w:ascii="仿宋" w:eastAsia="仿宋"/>
          <w:color w:val="000000"/>
          <w:sz w:val="32"/>
          <w:szCs w:val="32"/>
        </w:rPr>
      </w:pPr>
    </w:p>
    <w:p w14:paraId="3FC0E70F">
      <w:pPr>
        <w:pStyle w:val="9"/>
        <w:shd w:val="clear" w:color="auto" w:fill="FFFFFF"/>
        <w:spacing w:line="560" w:lineRule="exact"/>
        <w:ind w:firstLine="1280" w:firstLineChars="400"/>
        <w:rPr>
          <w:rFonts w:hint="eastAsia" w:ascii="仿宋" w:eastAsia="仿宋"/>
          <w:color w:val="000000"/>
          <w:sz w:val="32"/>
          <w:szCs w:val="32"/>
        </w:rPr>
      </w:pPr>
      <w:r>
        <w:rPr>
          <w:rFonts w:hint="eastAsia" w:ascii="仿宋" w:eastAsia="仿宋"/>
          <w:color w:val="000000"/>
          <w:sz w:val="32"/>
          <w:szCs w:val="32"/>
        </w:rPr>
        <w:t>（图3：支出决算结构图）（饼状图）</w:t>
      </w:r>
    </w:p>
    <w:p w14:paraId="358A2637">
      <w:pPr>
        <w:spacing w:line="600" w:lineRule="exact"/>
        <w:ind w:firstLine="640" w:firstLineChars="200"/>
        <w:outlineLvl w:val="1"/>
        <w:rPr>
          <w:rStyle w:val="15"/>
          <w:rFonts w:ascii="黑体" w:hAnsi="黑体" w:eastAsia="黑体"/>
          <w:b w:val="0"/>
        </w:rPr>
      </w:pPr>
      <w:r>
        <w:rPr>
          <w:rFonts w:hint="eastAsia" w:ascii="黑体" w:hAnsi="黑体" w:eastAsia="黑体"/>
          <w:sz w:val="32"/>
          <w:szCs w:val="32"/>
          <w:lang w:val="en-US" w:eastAsia="zh-CN"/>
        </w:rPr>
        <w:t>四</w:t>
      </w:r>
      <w:r>
        <w:rPr>
          <w:rFonts w:hint="eastAsia" w:ascii="黑体" w:hAnsi="黑体" w:eastAsia="黑体"/>
          <w:sz w:val="32"/>
          <w:szCs w:val="32"/>
        </w:rPr>
        <w:t>、财</w:t>
      </w:r>
      <w:r>
        <w:rPr>
          <w:rStyle w:val="15"/>
          <w:rFonts w:hint="eastAsia" w:ascii="黑体" w:hAnsi="黑体" w:eastAsia="黑体"/>
          <w:b w:val="0"/>
        </w:rPr>
        <w:t>政拨款收入支出决算总体情况说明</w:t>
      </w:r>
      <w:bookmarkEnd w:id="24"/>
      <w:bookmarkEnd w:id="25"/>
    </w:p>
    <w:p w14:paraId="1CB0FF31">
      <w:pPr>
        <w:pStyle w:val="17"/>
        <w:keepNext w:val="0"/>
        <w:keepLines w:val="0"/>
        <w:pageBreakBefore w:val="0"/>
        <w:numPr>
          <w:ilvl w:val="0"/>
          <w:numId w:val="0"/>
        </w:numPr>
        <w:kinsoku/>
        <w:wordWrap/>
        <w:overflowPunct/>
        <w:topLinePunct w:val="0"/>
        <w:bidi w:val="0"/>
        <w:snapToGrid/>
        <w:spacing w:line="540" w:lineRule="exact"/>
        <w:ind w:firstLine="640" w:firstLineChars="200"/>
        <w:jc w:val="both"/>
        <w:textAlignment w:val="auto"/>
        <w:outlineLvl w:val="1"/>
        <w:rPr>
          <w:rFonts w:hint="eastAsia" w:ascii="仿宋" w:hAnsi="仿宋" w:eastAsia="仿宋"/>
          <w:sz w:val="32"/>
          <w:szCs w:val="32"/>
          <w:lang w:val="en-US"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1135.95</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19.39</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1.68</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sz w:val="32"/>
          <w:szCs w:val="32"/>
        </w:rPr>
        <w:t>主要原因是2025年全县在编在职人员工资基数变化导致2025年工会经费低幅度下降，年底项目资金未全额完成支付，人员变动原因导致人员经费增加，综上原因导致收入较上年减少</w:t>
      </w:r>
      <w:r>
        <w:rPr>
          <w:rFonts w:hint="eastAsia" w:ascii="仿宋" w:hAnsi="仿宋" w:eastAsia="仿宋"/>
          <w:sz w:val="32"/>
          <w:szCs w:val="32"/>
          <w:lang w:val="en-US" w:eastAsia="zh-CN"/>
        </w:rPr>
        <w:t>19.39万元</w:t>
      </w:r>
      <w:r>
        <w:rPr>
          <w:rFonts w:hint="eastAsia" w:ascii="仿宋" w:hAnsi="仿宋" w:eastAsia="仿宋"/>
          <w:color w:val="000000"/>
          <w:sz w:val="32"/>
          <w:szCs w:val="32"/>
          <w:lang w:val="en-US" w:eastAsia="zh-CN"/>
        </w:rPr>
        <w:t>。</w:t>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11235.95</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19.39</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1.68</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sz w:val="32"/>
          <w:szCs w:val="32"/>
        </w:rPr>
        <w:t>主要原因是2025年全县在编在职人员工资基数变化导致2025年工会经费低幅度下降，年底项目资金未全额完成支付，人员变动原因导致人员经费增加，综上原因导致</w:t>
      </w:r>
      <w:r>
        <w:rPr>
          <w:rFonts w:hint="eastAsia" w:ascii="仿宋" w:hAnsi="仿宋" w:eastAsia="仿宋"/>
          <w:sz w:val="32"/>
          <w:szCs w:val="32"/>
          <w:lang w:val="en-US" w:eastAsia="zh-CN"/>
        </w:rPr>
        <w:t>开支较上年减少。</w:t>
      </w:r>
    </w:p>
    <w:p w14:paraId="22F2A345">
      <w:pPr>
        <w:spacing w:line="600" w:lineRule="exact"/>
        <w:ind w:firstLine="640"/>
        <w:rPr>
          <w:rFonts w:hint="eastAsia" w:ascii="仿宋" w:hAnsi="仿宋" w:eastAsia="仿宋"/>
          <w:sz w:val="32"/>
          <w:szCs w:val="32"/>
        </w:rPr>
      </w:pPr>
    </w:p>
    <w:p w14:paraId="0A548B7A">
      <w:pPr>
        <w:spacing w:line="600" w:lineRule="exact"/>
        <w:ind w:firstLine="640"/>
        <w:rPr>
          <w:rFonts w:hint="eastAsia" w:ascii="仿宋" w:hAnsi="仿宋" w:eastAsia="仿宋"/>
          <w:sz w:val="32"/>
          <w:szCs w:val="32"/>
        </w:rPr>
      </w:pPr>
    </w:p>
    <w:p w14:paraId="51F4D839">
      <w:pPr>
        <w:spacing w:line="600" w:lineRule="exact"/>
        <w:ind w:firstLine="640"/>
        <w:rPr>
          <w:rFonts w:hint="eastAsia" w:ascii="仿宋" w:hAnsi="仿宋" w:eastAsia="仿宋"/>
          <w:sz w:val="32"/>
          <w:szCs w:val="32"/>
        </w:rPr>
      </w:pPr>
      <w:r>
        <w:rPr>
          <w:rFonts w:ascii="仿宋" w:eastAsia="仿宋"/>
          <w:color w:val="000000"/>
          <w:sz w:val="32"/>
          <w:szCs w:val="32"/>
        </w:rPr>
        <w:drawing>
          <wp:anchor distT="0" distB="0" distL="0" distR="0" simplePos="0" relativeHeight="251662336" behindDoc="0" locked="0" layoutInCell="1" allowOverlap="1">
            <wp:simplePos x="0" y="0"/>
            <wp:positionH relativeFrom="column">
              <wp:posOffset>240030</wp:posOffset>
            </wp:positionH>
            <wp:positionV relativeFrom="page">
              <wp:posOffset>6577330</wp:posOffset>
            </wp:positionV>
            <wp:extent cx="4836795" cy="2343785"/>
            <wp:effectExtent l="6350" t="6350" r="14605" b="12065"/>
            <wp:wrapTopAndBottom/>
            <wp:docPr id="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ascii="仿宋" w:eastAsia="仿宋"/>
          <w:color w:val="000000"/>
          <w:sz w:val="32"/>
          <w:szCs w:val="32"/>
        </w:rPr>
        <w:drawing>
          <wp:anchor distT="0" distB="0" distL="0" distR="0" simplePos="0" relativeHeight="251664384" behindDoc="0" locked="0" layoutInCell="1" allowOverlap="1">
            <wp:simplePos x="0" y="0"/>
            <wp:positionH relativeFrom="column">
              <wp:posOffset>273050</wp:posOffset>
            </wp:positionH>
            <wp:positionV relativeFrom="page">
              <wp:posOffset>1273175</wp:posOffset>
            </wp:positionV>
            <wp:extent cx="4924425" cy="2788285"/>
            <wp:effectExtent l="6350" t="6350" r="22225" b="24765"/>
            <wp:wrapTopAndBottom/>
            <wp:docPr id="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仿宋" w:hAnsi="仿宋" w:eastAsia="仿宋"/>
          <w:sz w:val="32"/>
          <w:szCs w:val="32"/>
        </w:rPr>
        <w:t>（图4：财政拨款收、支决算总计变动情况）（柱状图）</w:t>
      </w:r>
    </w:p>
    <w:p w14:paraId="4B23AAD6">
      <w:pPr>
        <w:spacing w:line="600" w:lineRule="exact"/>
        <w:ind w:firstLine="640" w:firstLineChars="200"/>
        <w:outlineLvl w:val="1"/>
        <w:rPr>
          <w:rStyle w:val="15"/>
          <w:rFonts w:ascii="黑体" w:hAnsi="黑体" w:eastAsia="黑体"/>
          <w:b w:val="0"/>
        </w:rPr>
      </w:pPr>
      <w:bookmarkStart w:id="26" w:name="_Toc15396607"/>
      <w:bookmarkStart w:id="27" w:name="_Toc15377209"/>
      <w:r>
        <w:rPr>
          <w:rFonts w:hint="eastAsia" w:ascii="黑体" w:hAnsi="黑体" w:eastAsia="黑体"/>
          <w:sz w:val="32"/>
          <w:szCs w:val="32"/>
        </w:rPr>
        <w:t>五、</w:t>
      </w:r>
      <w:r>
        <w:rPr>
          <w:rFonts w:hint="eastAsia" w:ascii="黑体" w:hAnsi="黑体" w:eastAsia="黑体"/>
          <w:b/>
          <w:sz w:val="32"/>
          <w:szCs w:val="32"/>
        </w:rPr>
        <w:t>一</w:t>
      </w:r>
      <w:r>
        <w:rPr>
          <w:rStyle w:val="15"/>
          <w:rFonts w:hint="eastAsia" w:ascii="黑体" w:hAnsi="黑体" w:eastAsia="黑体"/>
          <w:b w:val="0"/>
        </w:rPr>
        <w:t>般公共预算财政拨款支出决算情况说明</w:t>
      </w:r>
      <w:bookmarkEnd w:id="26"/>
      <w:bookmarkEnd w:id="27"/>
    </w:p>
    <w:p w14:paraId="4D07E0CE">
      <w:pPr>
        <w:spacing w:line="600" w:lineRule="exact"/>
        <w:ind w:firstLine="643" w:firstLineChars="200"/>
        <w:outlineLvl w:val="2"/>
        <w:rPr>
          <w:rFonts w:ascii="仿宋" w:hAnsi="仿宋" w:eastAsia="仿宋"/>
          <w:b/>
          <w:sz w:val="32"/>
          <w:szCs w:val="32"/>
        </w:rPr>
      </w:pPr>
      <w:bookmarkStart w:id="28" w:name="_Toc15377210"/>
      <w:r>
        <w:rPr>
          <w:rFonts w:hint="eastAsia" w:ascii="仿宋" w:hAnsi="仿宋" w:eastAsia="仿宋"/>
          <w:b/>
          <w:sz w:val="32"/>
          <w:szCs w:val="32"/>
        </w:rPr>
        <w:t>（一）一般公共预算财政拨款支出决算总体情况</w:t>
      </w:r>
      <w:bookmarkEnd w:id="28"/>
    </w:p>
    <w:p w14:paraId="492F3472">
      <w:pPr>
        <w:spacing w:line="600" w:lineRule="exact"/>
        <w:ind w:firstLine="640" w:firstLineChars="200"/>
        <w:outlineLvl w:val="2"/>
        <w:rPr>
          <w:rFonts w:hint="eastAsia"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1135.95</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年相比，一般公共预算财政拨款</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19.39</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1.68</w:t>
      </w:r>
      <w:r>
        <w:rPr>
          <w:rFonts w:hint="eastAsia" w:ascii="仿宋" w:hAnsi="仿宋" w:eastAsia="仿宋"/>
          <w:color w:val="000000"/>
          <w:sz w:val="32"/>
          <w:szCs w:val="32"/>
        </w:rPr>
        <w:t>%。</w:t>
      </w:r>
    </w:p>
    <w:p w14:paraId="5AF93C5E">
      <w:pPr>
        <w:spacing w:line="600" w:lineRule="exact"/>
        <w:ind w:firstLine="640" w:firstLineChars="200"/>
        <w:outlineLvl w:val="2"/>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1B4EDADC">
      <w:pPr>
        <w:spacing w:line="600" w:lineRule="exact"/>
        <w:ind w:firstLine="643" w:firstLineChars="200"/>
        <w:outlineLvl w:val="2"/>
        <w:rPr>
          <w:rFonts w:ascii="仿宋" w:hAnsi="仿宋" w:eastAsia="仿宋"/>
          <w:b/>
          <w:sz w:val="32"/>
          <w:szCs w:val="32"/>
        </w:rPr>
      </w:pPr>
      <w:bookmarkStart w:id="29" w:name="_Toc15377211"/>
      <w:r>
        <w:rPr>
          <w:rFonts w:hint="eastAsia" w:ascii="仿宋" w:hAnsi="仿宋" w:eastAsia="仿宋"/>
          <w:b/>
          <w:sz w:val="32"/>
          <w:szCs w:val="32"/>
        </w:rPr>
        <w:t>（二）一般公共预算财政拨款支出决算结构情况</w:t>
      </w:r>
      <w:bookmarkEnd w:id="29"/>
    </w:p>
    <w:p w14:paraId="2E7BFF9B">
      <w:pPr>
        <w:spacing w:line="600" w:lineRule="exact"/>
        <w:ind w:firstLine="640"/>
        <w:rPr>
          <w:rFonts w:hint="eastAsia" w:ascii="仿宋" w:hAnsi="仿宋" w:eastAsia="仿宋"/>
          <w:sz w:val="32"/>
          <w:szCs w:val="32"/>
        </w:rPr>
      </w:pPr>
      <w:r>
        <w:rPr>
          <w:rFonts w:ascii="仿宋" w:eastAsia="仿宋"/>
          <w:color w:val="000000"/>
          <w:sz w:val="32"/>
          <w:szCs w:val="32"/>
        </w:rPr>
        <w:drawing>
          <wp:anchor distT="0" distB="0" distL="0" distR="0" simplePos="0" relativeHeight="251665408" behindDoc="0" locked="0" layoutInCell="1" allowOverlap="1">
            <wp:simplePos x="0" y="0"/>
            <wp:positionH relativeFrom="column">
              <wp:posOffset>311150</wp:posOffset>
            </wp:positionH>
            <wp:positionV relativeFrom="page">
              <wp:posOffset>3174365</wp:posOffset>
            </wp:positionV>
            <wp:extent cx="4380865" cy="2492375"/>
            <wp:effectExtent l="6350" t="6350" r="13335" b="15875"/>
            <wp:wrapTopAndBottom/>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年一般公共预算财政拨款支出</w:t>
      </w:r>
      <w:r>
        <w:rPr>
          <w:rFonts w:hint="eastAsia" w:ascii="仿宋" w:hAnsi="仿宋" w:eastAsia="仿宋"/>
          <w:sz w:val="32"/>
          <w:szCs w:val="32"/>
          <w:lang w:val="en-US" w:eastAsia="zh-CN"/>
        </w:rPr>
        <w:t>1135.95</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1110.09</w:t>
      </w:r>
      <w:r>
        <w:rPr>
          <w:rFonts w:hint="eastAsia" w:ascii="仿宋" w:hAnsi="仿宋" w:eastAsia="仿宋"/>
          <w:sz w:val="32"/>
          <w:szCs w:val="32"/>
        </w:rPr>
        <w:t>万元，占</w:t>
      </w:r>
      <w:r>
        <w:rPr>
          <w:rFonts w:hint="eastAsia" w:ascii="仿宋" w:hAnsi="仿宋" w:eastAsia="仿宋"/>
          <w:sz w:val="32"/>
          <w:szCs w:val="32"/>
          <w:lang w:val="en-US" w:eastAsia="zh-CN"/>
        </w:rPr>
        <w:t>97.72</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b/>
          <w:bCs/>
          <w:sz w:val="32"/>
          <w:szCs w:val="32"/>
          <w:lang w:val="en-US" w:eastAsia="zh-CN"/>
        </w:rPr>
        <w:t>12.86</w:t>
      </w:r>
      <w:r>
        <w:rPr>
          <w:rFonts w:hint="eastAsia" w:ascii="仿宋" w:hAnsi="仿宋" w:eastAsia="仿宋"/>
          <w:sz w:val="32"/>
          <w:szCs w:val="32"/>
        </w:rPr>
        <w:t>万元，占</w:t>
      </w:r>
      <w:r>
        <w:rPr>
          <w:rFonts w:hint="eastAsia" w:ascii="仿宋" w:hAnsi="仿宋" w:eastAsia="仿宋"/>
          <w:sz w:val="32"/>
          <w:szCs w:val="32"/>
          <w:lang w:val="en-US" w:eastAsia="zh-CN"/>
        </w:rPr>
        <w:t>1.13</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6.27</w:t>
      </w:r>
      <w:r>
        <w:rPr>
          <w:rFonts w:hint="eastAsia" w:ascii="仿宋" w:hAnsi="仿宋" w:eastAsia="仿宋"/>
          <w:sz w:val="32"/>
          <w:szCs w:val="32"/>
        </w:rPr>
        <w:t>万元，占</w:t>
      </w:r>
      <w:r>
        <w:rPr>
          <w:rFonts w:hint="eastAsia" w:ascii="仿宋" w:hAnsi="仿宋" w:eastAsia="仿宋"/>
          <w:sz w:val="32"/>
          <w:szCs w:val="32"/>
          <w:lang w:val="en-US" w:eastAsia="zh-CN"/>
        </w:rPr>
        <w:t>0.55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sz w:val="32"/>
          <w:szCs w:val="32"/>
          <w:lang w:val="en-US" w:eastAsia="zh-CN"/>
        </w:rPr>
        <w:t>6.73</w:t>
      </w:r>
      <w:r>
        <w:rPr>
          <w:rFonts w:hint="eastAsia" w:ascii="仿宋" w:hAnsi="仿宋" w:eastAsia="仿宋"/>
          <w:sz w:val="32"/>
          <w:szCs w:val="32"/>
        </w:rPr>
        <w:t>万元，占</w:t>
      </w:r>
      <w:r>
        <w:rPr>
          <w:rFonts w:hint="eastAsia" w:ascii="仿宋" w:hAnsi="仿宋" w:eastAsia="仿宋"/>
          <w:sz w:val="32"/>
          <w:szCs w:val="32"/>
          <w:lang w:val="en-US" w:eastAsia="zh-CN"/>
        </w:rPr>
        <w:t>0.59</w:t>
      </w:r>
      <w:r>
        <w:rPr>
          <w:rFonts w:ascii="仿宋" w:hAnsi="仿宋" w:eastAsia="仿宋"/>
          <w:sz w:val="32"/>
          <w:szCs w:val="32"/>
        </w:rPr>
        <w:t>%</w:t>
      </w:r>
      <w:r>
        <w:rPr>
          <w:rFonts w:hint="eastAsia" w:ascii="仿宋" w:hAnsi="仿宋" w:eastAsia="仿宋"/>
          <w:sz w:val="32"/>
          <w:szCs w:val="32"/>
        </w:rPr>
        <w:t>。</w:t>
      </w:r>
    </w:p>
    <w:p w14:paraId="0DD2C04E">
      <w:pPr>
        <w:pStyle w:val="9"/>
        <w:shd w:val="clear" w:color="auto" w:fill="FFFFFF"/>
        <w:spacing w:line="560" w:lineRule="exact"/>
        <w:ind w:firstLine="640" w:firstLineChars="200"/>
        <w:rPr>
          <w:rFonts w:hint="eastAsia" w:ascii="仿宋" w:hAnsi="仿宋" w:eastAsia="仿宋"/>
          <w:b/>
          <w:bCs/>
          <w:sz w:val="32"/>
          <w:szCs w:val="32"/>
        </w:rPr>
      </w:pPr>
      <w:r>
        <w:rPr>
          <w:rFonts w:hint="eastAsia" w:ascii="仿宋" w:hAnsi="仿宋" w:eastAsia="仿宋"/>
          <w:sz w:val="32"/>
          <w:szCs w:val="32"/>
        </w:rPr>
        <w:t>（图6：一般公共预算财政拨款支出决算结构）（饼状图）</w:t>
      </w:r>
    </w:p>
    <w:p w14:paraId="1BD1E3BD">
      <w:pPr>
        <w:spacing w:line="600" w:lineRule="exact"/>
        <w:ind w:firstLine="643" w:firstLineChars="200"/>
        <w:outlineLvl w:val="2"/>
        <w:rPr>
          <w:rFonts w:ascii="仿宋" w:hAnsi="仿宋" w:eastAsia="仿宋"/>
          <w:b/>
          <w:sz w:val="32"/>
          <w:szCs w:val="32"/>
        </w:rPr>
      </w:pPr>
      <w:bookmarkStart w:id="30" w:name="_Toc15377212"/>
      <w:r>
        <w:rPr>
          <w:rFonts w:hint="eastAsia" w:ascii="仿宋" w:hAnsi="仿宋" w:eastAsia="仿宋"/>
          <w:b/>
          <w:sz w:val="32"/>
          <w:szCs w:val="32"/>
        </w:rPr>
        <w:t>（三）一般公共预算财政拨款支出决算具体情况</w:t>
      </w:r>
      <w:bookmarkEnd w:id="30"/>
    </w:p>
    <w:p w14:paraId="23ABB1EE">
      <w:pPr>
        <w:spacing w:line="600" w:lineRule="exact"/>
        <w:ind w:firstLine="643" w:firstLineChars="200"/>
        <w:outlineLvl w:val="2"/>
        <w:rPr>
          <w:rFonts w:ascii="仿宋" w:hAnsi="仿宋" w:eastAsia="仿宋"/>
          <w:sz w:val="32"/>
          <w:szCs w:val="32"/>
        </w:rPr>
      </w:pPr>
      <w:bookmarkStart w:id="31" w:name="_Toc15378460"/>
      <w:bookmarkStart w:id="32" w:name="_Toc15377213"/>
      <w:bookmarkStart w:id="33" w:name="_Toc15377444"/>
      <w:r>
        <w:rPr>
          <w:rFonts w:hint="eastAsia" w:ascii="仿宋" w:hAnsi="仿宋" w:eastAsia="仿宋"/>
          <w:b/>
          <w:sz w:val="32"/>
          <w:szCs w:val="32"/>
        </w:rPr>
        <w:t>202</w:t>
      </w:r>
      <w:r>
        <w:rPr>
          <w:rFonts w:hint="eastAsia" w:ascii="仿宋" w:hAnsi="仿宋" w:eastAsia="仿宋"/>
          <w:b/>
          <w:sz w:val="32"/>
          <w:szCs w:val="32"/>
          <w:lang w:val="en-US" w:eastAsia="zh-CN"/>
        </w:rPr>
        <w:t>5</w:t>
      </w:r>
      <w:r>
        <w:rPr>
          <w:rFonts w:hint="eastAsia" w:ascii="仿宋" w:hAnsi="仿宋" w:eastAsia="仿宋"/>
          <w:b/>
          <w:sz w:val="32"/>
          <w:szCs w:val="32"/>
        </w:rPr>
        <w:t>年一般公共预算支出决算数为</w:t>
      </w:r>
      <w:r>
        <w:rPr>
          <w:rFonts w:hint="eastAsia" w:ascii="仿宋" w:hAnsi="仿宋" w:eastAsia="仿宋"/>
          <w:b/>
          <w:sz w:val="32"/>
          <w:szCs w:val="32"/>
          <w:lang w:val="en-US" w:eastAsia="zh-CN"/>
        </w:rPr>
        <w:t>1135.95</w:t>
      </w:r>
      <w:r>
        <w:rPr>
          <w:rFonts w:hint="eastAsia" w:ascii="仿宋" w:hAnsi="仿宋" w:eastAsia="仿宋"/>
          <w:sz w:val="32"/>
          <w:szCs w:val="32"/>
        </w:rPr>
        <w:t>，</w:t>
      </w:r>
      <w:r>
        <w:rPr>
          <w:rStyle w:val="13"/>
          <w:rFonts w:hint="eastAsia" w:ascii="仿宋" w:hAnsi="仿宋" w:eastAsia="仿宋"/>
          <w:bCs/>
          <w:sz w:val="32"/>
          <w:szCs w:val="32"/>
        </w:rPr>
        <w:t>完成预算</w:t>
      </w:r>
      <w:r>
        <w:rPr>
          <w:rStyle w:val="13"/>
          <w:rFonts w:hint="eastAsia" w:ascii="仿宋" w:hAnsi="仿宋" w:eastAsia="仿宋"/>
          <w:bCs/>
          <w:sz w:val="32"/>
          <w:szCs w:val="32"/>
          <w:lang w:val="en-US" w:eastAsia="zh-CN"/>
        </w:rPr>
        <w:t>100</w:t>
      </w:r>
      <w:r>
        <w:rPr>
          <w:rStyle w:val="13"/>
          <w:rFonts w:ascii="仿宋" w:hAnsi="仿宋" w:eastAsia="仿宋"/>
          <w:bCs/>
          <w:sz w:val="32"/>
          <w:szCs w:val="32"/>
        </w:rPr>
        <w:t>%</w:t>
      </w:r>
      <w:r>
        <w:rPr>
          <w:rStyle w:val="13"/>
          <w:rFonts w:hint="eastAsia" w:ascii="仿宋" w:hAnsi="仿宋" w:eastAsia="仿宋"/>
          <w:bCs/>
          <w:sz w:val="32"/>
          <w:szCs w:val="32"/>
        </w:rPr>
        <w:t>。其中：</w:t>
      </w:r>
      <w:bookmarkEnd w:id="31"/>
      <w:bookmarkEnd w:id="32"/>
      <w:bookmarkEnd w:id="33"/>
    </w:p>
    <w:p w14:paraId="18EC5BEB">
      <w:pPr>
        <w:spacing w:line="600" w:lineRule="exact"/>
        <w:ind w:firstLine="643" w:firstLineChars="200"/>
        <w:rPr>
          <w:rStyle w:val="13"/>
          <w:rFonts w:hint="eastAsia" w:ascii="仿宋" w:hAnsi="仿宋" w:eastAsia="仿宋"/>
          <w:b w:val="0"/>
          <w:bCs/>
          <w:sz w:val="32"/>
          <w:szCs w:val="32"/>
          <w:lang w:val="en-US" w:eastAsia="zh-CN"/>
        </w:rPr>
      </w:pPr>
      <w:r>
        <w:rPr>
          <w:rStyle w:val="13"/>
          <w:rFonts w:hint="eastAsia" w:ascii="仿宋" w:hAnsi="仿宋" w:eastAsia="仿宋"/>
          <w:bCs/>
          <w:sz w:val="32"/>
          <w:szCs w:val="32"/>
          <w:lang w:val="en-US" w:eastAsia="zh-CN"/>
        </w:rPr>
        <w:t>1.</w:t>
      </w:r>
      <w:r>
        <w:rPr>
          <w:rStyle w:val="13"/>
          <w:rFonts w:hint="eastAsia" w:ascii="仿宋" w:hAnsi="仿宋" w:eastAsia="仿宋"/>
          <w:bCs/>
          <w:sz w:val="32"/>
          <w:szCs w:val="32"/>
        </w:rPr>
        <w:t>一般公共服务（类）群众团体事务（款）行政运行支出（项）:</w:t>
      </w:r>
      <w:r>
        <w:rPr>
          <w:rStyle w:val="13"/>
          <w:rFonts w:hint="eastAsia" w:ascii="仿宋" w:hAnsi="仿宋" w:eastAsia="仿宋"/>
          <w:b w:val="0"/>
          <w:bCs/>
          <w:sz w:val="32"/>
          <w:szCs w:val="32"/>
        </w:rPr>
        <w:t>决算为</w:t>
      </w:r>
      <w:r>
        <w:rPr>
          <w:rStyle w:val="13"/>
          <w:rFonts w:hint="eastAsia" w:ascii="仿宋" w:hAnsi="仿宋" w:eastAsia="仿宋"/>
          <w:b w:val="0"/>
          <w:bCs/>
          <w:sz w:val="32"/>
          <w:szCs w:val="32"/>
          <w:lang w:val="en-US" w:eastAsia="zh-CN"/>
        </w:rPr>
        <w:t>100.59</w:t>
      </w:r>
      <w:r>
        <w:rPr>
          <w:rStyle w:val="13"/>
          <w:rFonts w:hint="eastAsia" w:ascii="仿宋" w:hAnsi="仿宋" w:eastAsia="仿宋"/>
          <w:b w:val="0"/>
          <w:bCs/>
          <w:sz w:val="32"/>
          <w:szCs w:val="32"/>
        </w:rPr>
        <w:t>万元，完成预算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lang w:eastAsia="zh-CN"/>
        </w:rPr>
        <w:t>。决算数与预算数持平。</w:t>
      </w:r>
    </w:p>
    <w:p w14:paraId="2A526FB8">
      <w:pPr>
        <w:spacing w:line="600" w:lineRule="exact"/>
        <w:ind w:firstLine="643" w:firstLineChars="200"/>
        <w:rPr>
          <w:rStyle w:val="13"/>
          <w:rFonts w:hint="eastAsia" w:ascii="仿宋" w:hAnsi="仿宋" w:eastAsia="仿宋"/>
          <w:b w:val="0"/>
          <w:bCs/>
          <w:sz w:val="32"/>
          <w:szCs w:val="32"/>
          <w:lang w:val="en-US" w:eastAsia="zh-CN"/>
        </w:rPr>
      </w:pPr>
      <w:r>
        <w:rPr>
          <w:rStyle w:val="13"/>
          <w:rFonts w:hint="eastAsia" w:ascii="仿宋" w:hAnsi="仿宋" w:eastAsia="仿宋"/>
          <w:bCs/>
          <w:sz w:val="32"/>
          <w:szCs w:val="32"/>
          <w:lang w:val="en-US" w:eastAsia="zh-CN"/>
        </w:rPr>
        <w:t>2.</w:t>
      </w:r>
      <w:r>
        <w:rPr>
          <w:rStyle w:val="13"/>
          <w:rFonts w:hint="eastAsia" w:ascii="仿宋" w:hAnsi="仿宋" w:eastAsia="仿宋"/>
          <w:bCs/>
          <w:sz w:val="32"/>
          <w:szCs w:val="32"/>
        </w:rPr>
        <w:t>一般公共服务（类）群众团体事务（款）其他群众团体事务支出（项）:</w:t>
      </w:r>
      <w:r>
        <w:rPr>
          <w:rStyle w:val="13"/>
          <w:rFonts w:hint="eastAsia" w:ascii="仿宋" w:hAnsi="仿宋" w:eastAsia="仿宋"/>
          <w:b w:val="0"/>
          <w:bCs/>
          <w:sz w:val="32"/>
          <w:szCs w:val="32"/>
        </w:rPr>
        <w:t>决算为</w:t>
      </w:r>
      <w:r>
        <w:rPr>
          <w:rStyle w:val="13"/>
          <w:rFonts w:hint="eastAsia" w:ascii="仿宋" w:hAnsi="仿宋" w:eastAsia="仿宋"/>
          <w:b w:val="0"/>
          <w:bCs/>
          <w:sz w:val="32"/>
          <w:szCs w:val="32"/>
          <w:lang w:val="en-US" w:eastAsia="zh-CN"/>
        </w:rPr>
        <w:t>1009.5</w:t>
      </w:r>
      <w:r>
        <w:rPr>
          <w:rStyle w:val="13"/>
          <w:rFonts w:hint="eastAsia" w:ascii="仿宋" w:hAnsi="仿宋" w:eastAsia="仿宋"/>
          <w:b w:val="0"/>
          <w:bCs/>
          <w:sz w:val="32"/>
          <w:szCs w:val="32"/>
        </w:rPr>
        <w:t>万元，完成预算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lang w:eastAsia="zh-CN"/>
        </w:rPr>
        <w:t>。决算数与预算数持平。</w:t>
      </w:r>
    </w:p>
    <w:p w14:paraId="04D36111">
      <w:pPr>
        <w:spacing w:line="600" w:lineRule="exact"/>
        <w:ind w:firstLine="643" w:firstLineChars="200"/>
        <w:rPr>
          <w:rFonts w:hint="eastAsia" w:ascii="仿宋" w:hAnsi="仿宋" w:eastAsia="仿宋"/>
          <w:b/>
          <w:sz w:val="32"/>
          <w:szCs w:val="32"/>
          <w:lang w:eastAsia="zh-CN"/>
        </w:rPr>
      </w:pPr>
      <w:r>
        <w:rPr>
          <w:rStyle w:val="13"/>
          <w:rFonts w:hint="eastAsia" w:ascii="仿宋" w:hAnsi="仿宋" w:eastAsia="仿宋"/>
          <w:bCs/>
          <w:sz w:val="32"/>
          <w:szCs w:val="32"/>
          <w:lang w:val="en-US" w:eastAsia="zh-CN"/>
        </w:rPr>
        <w:t>3.</w:t>
      </w:r>
      <w:r>
        <w:rPr>
          <w:rStyle w:val="13"/>
          <w:rFonts w:hint="eastAsia" w:ascii="仿宋" w:hAnsi="仿宋" w:eastAsia="仿宋"/>
          <w:bCs/>
          <w:sz w:val="32"/>
          <w:szCs w:val="32"/>
        </w:rPr>
        <w:t>社会保障和就业（类）行政事业单位养老支出（款）机关事业单位养老保险缴费支出（项）:</w:t>
      </w:r>
      <w:r>
        <w:rPr>
          <w:rStyle w:val="13"/>
          <w:rFonts w:hint="eastAsia" w:ascii="仿宋" w:hAnsi="仿宋" w:eastAsia="仿宋"/>
          <w:b w:val="0"/>
          <w:bCs/>
          <w:sz w:val="32"/>
          <w:szCs w:val="32"/>
        </w:rPr>
        <w:t>决算为</w:t>
      </w:r>
      <w:r>
        <w:rPr>
          <w:rStyle w:val="13"/>
          <w:rFonts w:hint="eastAsia" w:ascii="仿宋" w:hAnsi="仿宋" w:eastAsia="仿宋"/>
          <w:b w:val="0"/>
          <w:bCs/>
          <w:sz w:val="32"/>
          <w:szCs w:val="32"/>
          <w:lang w:val="en-US" w:eastAsia="zh-CN"/>
        </w:rPr>
        <w:t>8.57</w:t>
      </w:r>
      <w:r>
        <w:rPr>
          <w:rStyle w:val="13"/>
          <w:rFonts w:hint="eastAsia" w:ascii="仿宋" w:hAnsi="仿宋" w:eastAsia="仿宋"/>
          <w:b w:val="0"/>
          <w:bCs/>
          <w:sz w:val="32"/>
          <w:szCs w:val="32"/>
        </w:rPr>
        <w:t>万元，完成预算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rPr>
        <w:t>。</w:t>
      </w:r>
      <w:r>
        <w:rPr>
          <w:rStyle w:val="13"/>
          <w:rFonts w:hint="eastAsia" w:ascii="仿宋" w:hAnsi="仿宋" w:eastAsia="仿宋"/>
          <w:b w:val="0"/>
          <w:bCs/>
          <w:sz w:val="32"/>
          <w:szCs w:val="32"/>
          <w:lang w:eastAsia="zh-CN"/>
        </w:rPr>
        <w:t>决算数与预算数持平。</w:t>
      </w:r>
    </w:p>
    <w:p w14:paraId="686E411F">
      <w:pPr>
        <w:spacing w:line="600" w:lineRule="exact"/>
        <w:ind w:firstLine="643" w:firstLineChars="200"/>
        <w:rPr>
          <w:rStyle w:val="13"/>
          <w:rFonts w:hint="eastAsia" w:ascii="仿宋" w:hAnsi="仿宋" w:eastAsia="仿宋"/>
          <w:b w:val="0"/>
          <w:bCs/>
          <w:sz w:val="32"/>
          <w:szCs w:val="32"/>
        </w:rPr>
      </w:pPr>
      <w:r>
        <w:rPr>
          <w:rStyle w:val="13"/>
          <w:rFonts w:hint="eastAsia" w:ascii="仿宋" w:hAnsi="仿宋" w:eastAsia="仿宋"/>
          <w:bCs/>
          <w:sz w:val="32"/>
          <w:szCs w:val="32"/>
          <w:lang w:val="en-US" w:eastAsia="zh-CN"/>
        </w:rPr>
        <w:t>4.</w:t>
      </w:r>
      <w:r>
        <w:rPr>
          <w:rStyle w:val="13"/>
          <w:rFonts w:hint="eastAsia" w:ascii="仿宋" w:hAnsi="仿宋" w:eastAsia="仿宋"/>
          <w:bCs/>
          <w:sz w:val="32"/>
          <w:szCs w:val="32"/>
        </w:rPr>
        <w:t>社会保障和就业（类）行政事业单位养老支出（款）机关事业单位职业年金缴费支出（项）:</w:t>
      </w:r>
      <w:r>
        <w:rPr>
          <w:rStyle w:val="13"/>
          <w:rFonts w:hint="eastAsia" w:ascii="仿宋" w:hAnsi="仿宋" w:eastAsia="仿宋"/>
          <w:b w:val="0"/>
          <w:bCs/>
          <w:sz w:val="32"/>
          <w:szCs w:val="32"/>
        </w:rPr>
        <w:t>决算为</w:t>
      </w:r>
      <w:r>
        <w:rPr>
          <w:rStyle w:val="13"/>
          <w:rFonts w:hint="eastAsia" w:ascii="仿宋" w:hAnsi="仿宋" w:eastAsia="仿宋"/>
          <w:b w:val="0"/>
          <w:bCs/>
          <w:sz w:val="32"/>
          <w:szCs w:val="32"/>
          <w:lang w:val="en-US" w:eastAsia="zh-CN"/>
        </w:rPr>
        <w:t>4.29</w:t>
      </w:r>
      <w:r>
        <w:rPr>
          <w:rStyle w:val="13"/>
          <w:rFonts w:hint="eastAsia" w:ascii="仿宋" w:hAnsi="仿宋" w:eastAsia="仿宋"/>
          <w:b w:val="0"/>
          <w:bCs/>
          <w:sz w:val="32"/>
          <w:szCs w:val="32"/>
        </w:rPr>
        <w:t>万元，完成预算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rPr>
        <w:t>。</w:t>
      </w:r>
      <w:r>
        <w:rPr>
          <w:rStyle w:val="13"/>
          <w:rFonts w:hint="eastAsia" w:ascii="仿宋" w:hAnsi="仿宋" w:eastAsia="仿宋"/>
          <w:b w:val="0"/>
          <w:bCs/>
          <w:sz w:val="32"/>
          <w:szCs w:val="32"/>
          <w:lang w:eastAsia="zh-CN"/>
        </w:rPr>
        <w:t>决算数与预算数持平。</w:t>
      </w:r>
    </w:p>
    <w:p w14:paraId="6BBEECA6">
      <w:pPr>
        <w:spacing w:line="600" w:lineRule="exact"/>
        <w:ind w:firstLine="643" w:firstLineChars="200"/>
        <w:rPr>
          <w:rStyle w:val="13"/>
          <w:rFonts w:hint="eastAsia" w:ascii="仿宋" w:hAnsi="仿宋" w:eastAsia="仿宋"/>
          <w:b w:val="0"/>
          <w:bCs/>
          <w:sz w:val="32"/>
          <w:szCs w:val="32"/>
        </w:rPr>
      </w:pPr>
      <w:r>
        <w:rPr>
          <w:rStyle w:val="13"/>
          <w:rFonts w:hint="eastAsia" w:ascii="仿宋" w:hAnsi="仿宋" w:eastAsia="仿宋"/>
          <w:bCs/>
          <w:sz w:val="32"/>
          <w:szCs w:val="32"/>
          <w:lang w:val="en-US" w:eastAsia="zh-CN"/>
        </w:rPr>
        <w:t>5</w:t>
      </w:r>
      <w:r>
        <w:rPr>
          <w:rStyle w:val="13"/>
          <w:rFonts w:ascii="仿宋" w:hAnsi="仿宋" w:eastAsia="仿宋"/>
          <w:bCs/>
          <w:sz w:val="32"/>
          <w:szCs w:val="32"/>
        </w:rPr>
        <w:t>.</w:t>
      </w:r>
      <w:r>
        <w:rPr>
          <w:rFonts w:hint="eastAsia" w:ascii="仿宋" w:hAnsi="仿宋" w:eastAsia="仿宋"/>
          <w:b/>
          <w:bCs/>
          <w:sz w:val="32"/>
          <w:szCs w:val="32"/>
        </w:rPr>
        <w:t>卫生健康（类）行政事业单位医疗（款）行政单位医疗支出（项）:</w:t>
      </w:r>
      <w:r>
        <w:rPr>
          <w:rStyle w:val="13"/>
          <w:rFonts w:hint="eastAsia" w:ascii="仿宋" w:hAnsi="仿宋" w:eastAsia="仿宋"/>
          <w:b w:val="0"/>
          <w:bCs/>
          <w:sz w:val="32"/>
          <w:szCs w:val="32"/>
        </w:rPr>
        <w:t>决算为</w:t>
      </w:r>
      <w:r>
        <w:rPr>
          <w:rStyle w:val="13"/>
          <w:rFonts w:hint="eastAsia" w:ascii="仿宋" w:hAnsi="仿宋" w:eastAsia="仿宋"/>
          <w:b w:val="0"/>
          <w:bCs/>
          <w:sz w:val="32"/>
          <w:szCs w:val="32"/>
          <w:lang w:val="en-US" w:eastAsia="zh-CN"/>
        </w:rPr>
        <w:t>4.1</w:t>
      </w:r>
      <w:r>
        <w:rPr>
          <w:rStyle w:val="13"/>
          <w:rFonts w:hint="eastAsia" w:ascii="仿宋" w:hAnsi="仿宋" w:eastAsia="仿宋"/>
          <w:b w:val="0"/>
          <w:bCs/>
          <w:sz w:val="32"/>
          <w:szCs w:val="32"/>
        </w:rPr>
        <w:t>万元，完成预算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rPr>
        <w:t>。</w:t>
      </w:r>
      <w:r>
        <w:rPr>
          <w:rStyle w:val="13"/>
          <w:rFonts w:hint="eastAsia" w:ascii="仿宋" w:hAnsi="仿宋" w:eastAsia="仿宋"/>
          <w:b w:val="0"/>
          <w:bCs/>
          <w:sz w:val="32"/>
          <w:szCs w:val="32"/>
          <w:lang w:eastAsia="zh-CN"/>
        </w:rPr>
        <w:t>决算数与预算数持平。</w:t>
      </w:r>
    </w:p>
    <w:p w14:paraId="1740D244">
      <w:pPr>
        <w:spacing w:line="600" w:lineRule="exact"/>
        <w:ind w:firstLine="643" w:firstLineChars="200"/>
        <w:rPr>
          <w:rStyle w:val="13"/>
          <w:rFonts w:hint="eastAsia" w:ascii="仿宋" w:hAnsi="仿宋" w:eastAsia="仿宋"/>
          <w:b w:val="0"/>
          <w:bCs/>
          <w:sz w:val="32"/>
          <w:szCs w:val="32"/>
        </w:rPr>
      </w:pPr>
      <w:r>
        <w:rPr>
          <w:rStyle w:val="13"/>
          <w:rFonts w:hint="eastAsia" w:ascii="仿宋" w:hAnsi="仿宋" w:eastAsia="仿宋"/>
          <w:bCs/>
          <w:sz w:val="32"/>
          <w:szCs w:val="32"/>
          <w:lang w:val="en-US" w:eastAsia="zh-CN"/>
        </w:rPr>
        <w:t>6</w:t>
      </w:r>
      <w:r>
        <w:rPr>
          <w:rStyle w:val="13"/>
          <w:rFonts w:ascii="仿宋" w:hAnsi="仿宋" w:eastAsia="仿宋"/>
          <w:bCs/>
          <w:sz w:val="32"/>
          <w:szCs w:val="32"/>
        </w:rPr>
        <w:t>.</w:t>
      </w:r>
      <w:r>
        <w:rPr>
          <w:rFonts w:hint="eastAsia" w:ascii="仿宋" w:hAnsi="仿宋" w:eastAsia="仿宋"/>
          <w:b/>
          <w:bCs/>
          <w:sz w:val="32"/>
          <w:szCs w:val="32"/>
        </w:rPr>
        <w:t>卫生健康（类）行政事业单位医疗（款）公务员医疗补助支出（项）:</w:t>
      </w:r>
      <w:r>
        <w:rPr>
          <w:rStyle w:val="13"/>
          <w:rFonts w:hint="eastAsia" w:ascii="仿宋" w:hAnsi="仿宋" w:eastAsia="仿宋"/>
          <w:b w:val="0"/>
          <w:bCs/>
          <w:sz w:val="32"/>
          <w:szCs w:val="32"/>
        </w:rPr>
        <w:t>决算为</w:t>
      </w:r>
      <w:r>
        <w:rPr>
          <w:rStyle w:val="13"/>
          <w:rFonts w:hint="eastAsia" w:ascii="仿宋" w:hAnsi="仿宋" w:eastAsia="仿宋"/>
          <w:b w:val="0"/>
          <w:bCs/>
          <w:sz w:val="32"/>
          <w:szCs w:val="32"/>
          <w:lang w:val="en-US" w:eastAsia="zh-CN"/>
        </w:rPr>
        <w:t>2.17</w:t>
      </w:r>
      <w:r>
        <w:rPr>
          <w:rStyle w:val="13"/>
          <w:rFonts w:hint="eastAsia" w:ascii="仿宋" w:hAnsi="仿宋" w:eastAsia="仿宋"/>
          <w:b w:val="0"/>
          <w:bCs/>
          <w:sz w:val="32"/>
          <w:szCs w:val="32"/>
        </w:rPr>
        <w:t>万元，完成预算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rPr>
        <w:t>。</w:t>
      </w:r>
      <w:r>
        <w:rPr>
          <w:rStyle w:val="13"/>
          <w:rFonts w:hint="eastAsia" w:ascii="仿宋" w:hAnsi="仿宋" w:eastAsia="仿宋"/>
          <w:b w:val="0"/>
          <w:bCs/>
          <w:sz w:val="32"/>
          <w:szCs w:val="32"/>
          <w:lang w:eastAsia="zh-CN"/>
        </w:rPr>
        <w:t>决算数与预算数持平。</w:t>
      </w:r>
    </w:p>
    <w:p w14:paraId="7C6DF572">
      <w:pPr>
        <w:spacing w:line="600" w:lineRule="exact"/>
        <w:ind w:firstLine="643" w:firstLineChars="200"/>
        <w:rPr>
          <w:rFonts w:hint="eastAsia" w:ascii="黑体" w:eastAsia="黑体"/>
          <w:sz w:val="32"/>
          <w:szCs w:val="32"/>
        </w:rPr>
      </w:pPr>
      <w:r>
        <w:rPr>
          <w:rFonts w:hint="eastAsia" w:ascii="仿宋" w:hAnsi="仿宋" w:eastAsia="仿宋"/>
          <w:b/>
          <w:bCs/>
          <w:color w:val="000000"/>
          <w:sz w:val="32"/>
          <w:szCs w:val="32"/>
          <w:lang w:val="en-US" w:eastAsia="zh-CN"/>
        </w:rPr>
        <w:t>7.</w:t>
      </w:r>
      <w:r>
        <w:rPr>
          <w:rFonts w:hint="eastAsia" w:ascii="仿宋" w:hAnsi="仿宋" w:eastAsia="仿宋"/>
          <w:b/>
          <w:bCs/>
          <w:color w:val="000000"/>
          <w:sz w:val="32"/>
          <w:szCs w:val="32"/>
          <w:lang w:eastAsia="zh-CN"/>
        </w:rPr>
        <w:t>住房保障支出（类）住房改革支出（款）住房公积金支出（项）:</w:t>
      </w:r>
      <w:r>
        <w:rPr>
          <w:rStyle w:val="13"/>
          <w:rFonts w:hint="eastAsia" w:ascii="仿宋" w:hAnsi="仿宋" w:eastAsia="仿宋" w:cstheme="minorBidi"/>
          <w:b w:val="0"/>
          <w:bCs/>
          <w:color w:val="000000"/>
          <w:sz w:val="32"/>
          <w:szCs w:val="32"/>
        </w:rPr>
        <w:t>决算为</w:t>
      </w:r>
      <w:r>
        <w:rPr>
          <w:rStyle w:val="13"/>
          <w:rFonts w:hint="eastAsia" w:ascii="仿宋" w:hAnsi="仿宋" w:eastAsia="仿宋" w:cstheme="minorBidi"/>
          <w:b w:val="0"/>
          <w:bCs/>
          <w:color w:val="000000"/>
          <w:sz w:val="32"/>
          <w:szCs w:val="32"/>
          <w:lang w:val="en-US" w:eastAsia="zh-CN"/>
        </w:rPr>
        <w:t>6.73</w:t>
      </w:r>
      <w:r>
        <w:rPr>
          <w:rStyle w:val="13"/>
          <w:rFonts w:hint="eastAsia" w:ascii="仿宋" w:hAnsi="仿宋" w:eastAsia="仿宋" w:cstheme="minorBidi"/>
          <w:b w:val="0"/>
          <w:bCs/>
          <w:color w:val="000000"/>
          <w:sz w:val="32"/>
          <w:szCs w:val="32"/>
        </w:rPr>
        <w:t>万元，完成预算</w:t>
      </w:r>
      <w:r>
        <w:rPr>
          <w:rStyle w:val="13"/>
          <w:rFonts w:hint="eastAsia" w:ascii="仿宋" w:hAnsi="仿宋" w:eastAsia="仿宋" w:cstheme="minorBidi"/>
          <w:b w:val="0"/>
          <w:bCs/>
          <w:color w:val="000000"/>
          <w:sz w:val="32"/>
          <w:szCs w:val="32"/>
          <w:lang w:val="en-US" w:eastAsia="zh-CN"/>
        </w:rPr>
        <w:t>100</w:t>
      </w:r>
      <w:r>
        <w:rPr>
          <w:rStyle w:val="13"/>
          <w:rFonts w:hint="eastAsia" w:ascii="仿宋" w:hAnsi="仿宋" w:eastAsia="仿宋" w:cstheme="minorBidi"/>
          <w:b w:val="0"/>
          <w:bCs/>
          <w:color w:val="000000"/>
          <w:sz w:val="32"/>
          <w:szCs w:val="32"/>
        </w:rPr>
        <w:t>%。</w:t>
      </w:r>
      <w:r>
        <w:rPr>
          <w:rStyle w:val="13"/>
          <w:rFonts w:hint="eastAsia" w:ascii="仿宋" w:hAnsi="仿宋" w:eastAsia="仿宋"/>
          <w:b w:val="0"/>
          <w:bCs/>
          <w:sz w:val="32"/>
          <w:szCs w:val="32"/>
          <w:lang w:eastAsia="zh-CN"/>
        </w:rPr>
        <w:t>决算数与预算数持平。</w:t>
      </w:r>
      <w:bookmarkStart w:id="34" w:name="_Toc15377214"/>
      <w:bookmarkStart w:id="35" w:name="_Toc15396608"/>
    </w:p>
    <w:p w14:paraId="18006B9C">
      <w:pPr>
        <w:tabs>
          <w:tab w:val="right" w:pos="8306"/>
        </w:tabs>
        <w:spacing w:line="600" w:lineRule="exact"/>
        <w:ind w:firstLine="640" w:firstLineChars="200"/>
        <w:outlineLvl w:val="1"/>
        <w:rPr>
          <w:rStyle w:val="15"/>
        </w:rPr>
      </w:pPr>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15"/>
          <w:rFonts w:hint="eastAsia" w:ascii="黑体" w:hAnsi="黑体" w:eastAsia="黑体"/>
          <w:b w:val="0"/>
        </w:rPr>
        <w:t>般公共预算财政拨款基本支出决算情况说明</w:t>
      </w:r>
      <w:bookmarkEnd w:id="34"/>
      <w:bookmarkEnd w:id="35"/>
      <w:r>
        <w:rPr>
          <w:rStyle w:val="15"/>
          <w:rFonts w:ascii="黑体" w:hAnsi="黑体" w:eastAsia="黑体"/>
          <w:b w:val="0"/>
        </w:rPr>
        <w:tab/>
      </w:r>
    </w:p>
    <w:p w14:paraId="6D048D4A">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年一般公共预算财政拨款基本支出</w:t>
      </w:r>
      <w:r>
        <w:rPr>
          <w:rFonts w:hint="eastAsia" w:ascii="仿宋" w:hAnsi="仿宋" w:eastAsia="仿宋"/>
          <w:sz w:val="32"/>
          <w:szCs w:val="32"/>
          <w:lang w:val="en-US" w:eastAsia="zh-CN"/>
        </w:rPr>
        <w:t>126.46</w:t>
      </w:r>
      <w:r>
        <w:rPr>
          <w:rFonts w:hint="eastAsia" w:ascii="仿宋" w:hAnsi="仿宋" w:eastAsia="仿宋"/>
          <w:sz w:val="32"/>
          <w:szCs w:val="32"/>
        </w:rPr>
        <w:t>万元，其中：</w:t>
      </w:r>
    </w:p>
    <w:p w14:paraId="1E548F90">
      <w:pPr>
        <w:spacing w:line="600" w:lineRule="exact"/>
        <w:ind w:firstLine="645"/>
        <w:rPr>
          <w:rFonts w:hint="eastAsia" w:ascii="仿宋" w:hAnsi="仿宋" w:eastAsia="仿宋"/>
          <w:sz w:val="32"/>
          <w:szCs w:val="32"/>
          <w:lang w:eastAsia="zh-CN"/>
        </w:rPr>
      </w:pPr>
      <w:r>
        <w:rPr>
          <w:rFonts w:hint="eastAsia" w:ascii="仿宋" w:hAnsi="仿宋" w:eastAsia="仿宋"/>
          <w:sz w:val="32"/>
          <w:szCs w:val="32"/>
        </w:rPr>
        <w:t>人员经费</w:t>
      </w:r>
      <w:r>
        <w:rPr>
          <w:rFonts w:hint="eastAsia" w:ascii="仿宋" w:hAnsi="仿宋" w:eastAsia="仿宋"/>
          <w:sz w:val="32"/>
          <w:szCs w:val="32"/>
          <w:lang w:val="en-US" w:eastAsia="zh-CN"/>
        </w:rPr>
        <w:t>103.08</w:t>
      </w:r>
      <w:r>
        <w:rPr>
          <w:rFonts w:hint="eastAsia" w:ascii="仿宋" w:hAnsi="仿宋" w:eastAsia="仿宋"/>
          <w:sz w:val="32"/>
          <w:szCs w:val="32"/>
        </w:rPr>
        <w:t>万元，主要包括：基本工资</w:t>
      </w:r>
      <w:r>
        <w:rPr>
          <w:rFonts w:hint="eastAsia" w:ascii="仿宋" w:hAnsi="仿宋" w:eastAsia="仿宋"/>
          <w:sz w:val="32"/>
          <w:szCs w:val="32"/>
          <w:lang w:val="en-US" w:eastAsia="zh-CN"/>
        </w:rPr>
        <w:t>22.45万元</w:t>
      </w:r>
      <w:r>
        <w:rPr>
          <w:rFonts w:hint="eastAsia" w:ascii="仿宋" w:hAnsi="仿宋" w:eastAsia="仿宋"/>
          <w:sz w:val="32"/>
          <w:szCs w:val="32"/>
        </w:rPr>
        <w:t>、津贴补贴</w:t>
      </w:r>
      <w:r>
        <w:rPr>
          <w:rFonts w:hint="eastAsia" w:ascii="仿宋" w:hAnsi="仿宋" w:eastAsia="仿宋"/>
          <w:sz w:val="32"/>
          <w:szCs w:val="32"/>
          <w:lang w:val="en-US" w:eastAsia="zh-CN"/>
        </w:rPr>
        <w:t>15.85万元</w:t>
      </w:r>
      <w:r>
        <w:rPr>
          <w:rFonts w:hint="eastAsia" w:ascii="仿宋" w:hAnsi="仿宋" w:eastAsia="仿宋"/>
          <w:sz w:val="32"/>
          <w:szCs w:val="32"/>
        </w:rPr>
        <w:t>、奖金</w:t>
      </w:r>
      <w:r>
        <w:rPr>
          <w:rFonts w:hint="eastAsia" w:ascii="仿宋" w:hAnsi="仿宋" w:eastAsia="仿宋"/>
          <w:sz w:val="32"/>
          <w:szCs w:val="32"/>
          <w:lang w:val="en-US" w:eastAsia="zh-CN"/>
        </w:rPr>
        <w:t>22.56万元</w:t>
      </w:r>
      <w:r>
        <w:rPr>
          <w:rFonts w:hint="eastAsia" w:ascii="仿宋" w:hAnsi="仿宋" w:eastAsia="仿宋"/>
          <w:sz w:val="32"/>
          <w:szCs w:val="32"/>
        </w:rPr>
        <w:t>、机关事业单位基本养老保险缴费</w:t>
      </w:r>
      <w:r>
        <w:rPr>
          <w:rFonts w:hint="eastAsia" w:ascii="仿宋" w:hAnsi="仿宋" w:eastAsia="仿宋"/>
          <w:sz w:val="32"/>
          <w:szCs w:val="32"/>
          <w:lang w:val="en-US" w:eastAsia="zh-CN"/>
        </w:rPr>
        <w:t>8.57万元</w:t>
      </w:r>
      <w:r>
        <w:rPr>
          <w:rFonts w:hint="eastAsia" w:ascii="仿宋" w:hAnsi="仿宋" w:eastAsia="仿宋"/>
          <w:sz w:val="32"/>
          <w:szCs w:val="32"/>
        </w:rPr>
        <w:t>、职业年金缴费</w:t>
      </w:r>
      <w:r>
        <w:rPr>
          <w:rFonts w:hint="eastAsia" w:ascii="仿宋" w:hAnsi="仿宋" w:eastAsia="仿宋"/>
          <w:sz w:val="32"/>
          <w:szCs w:val="32"/>
          <w:lang w:val="en-US" w:eastAsia="zh-CN"/>
        </w:rPr>
        <w:t>4.29万元</w:t>
      </w:r>
      <w:r>
        <w:rPr>
          <w:rFonts w:hint="eastAsia" w:ascii="仿宋" w:hAnsi="仿宋" w:eastAsia="仿宋"/>
          <w:sz w:val="32"/>
          <w:szCs w:val="32"/>
        </w:rPr>
        <w:t>、基本医疗保险缴费</w:t>
      </w:r>
      <w:r>
        <w:rPr>
          <w:rFonts w:hint="eastAsia" w:ascii="仿宋" w:hAnsi="仿宋" w:eastAsia="仿宋"/>
          <w:sz w:val="32"/>
          <w:szCs w:val="32"/>
          <w:lang w:val="en-US" w:eastAsia="zh-CN"/>
        </w:rPr>
        <w:t>4.1</w:t>
      </w:r>
      <w:r>
        <w:rPr>
          <w:rFonts w:hint="eastAsia" w:ascii="仿宋" w:hAnsi="仿宋" w:eastAsia="仿宋"/>
          <w:sz w:val="32"/>
          <w:szCs w:val="32"/>
        </w:rPr>
        <w:t>万元、公务员补助缴费</w:t>
      </w:r>
      <w:r>
        <w:rPr>
          <w:rFonts w:hint="eastAsia" w:ascii="仿宋" w:hAnsi="仿宋" w:eastAsia="仿宋"/>
          <w:sz w:val="32"/>
          <w:szCs w:val="32"/>
          <w:lang w:val="en-US" w:eastAsia="zh-CN"/>
        </w:rPr>
        <w:t>2.17</w:t>
      </w:r>
      <w:r>
        <w:rPr>
          <w:rFonts w:hint="eastAsia" w:ascii="仿宋" w:hAnsi="仿宋" w:eastAsia="仿宋"/>
          <w:sz w:val="32"/>
          <w:szCs w:val="32"/>
        </w:rPr>
        <w:t>万元、其他社会保障缴费</w:t>
      </w:r>
      <w:r>
        <w:rPr>
          <w:rFonts w:hint="eastAsia" w:ascii="仿宋" w:hAnsi="仿宋" w:eastAsia="仿宋"/>
          <w:sz w:val="32"/>
          <w:szCs w:val="32"/>
          <w:lang w:val="en-US" w:eastAsia="zh-CN"/>
        </w:rPr>
        <w:t>0.18</w:t>
      </w:r>
      <w:r>
        <w:rPr>
          <w:rFonts w:hint="eastAsia" w:ascii="仿宋" w:hAnsi="仿宋" w:eastAsia="仿宋"/>
          <w:sz w:val="32"/>
          <w:szCs w:val="32"/>
        </w:rPr>
        <w:t>万元、生活补助</w:t>
      </w:r>
      <w:r>
        <w:rPr>
          <w:rFonts w:hint="eastAsia" w:ascii="仿宋" w:hAnsi="仿宋" w:eastAsia="仿宋"/>
          <w:sz w:val="32"/>
          <w:szCs w:val="32"/>
          <w:lang w:val="en-US" w:eastAsia="zh-CN"/>
        </w:rPr>
        <w:t>6.22</w:t>
      </w:r>
      <w:r>
        <w:rPr>
          <w:rFonts w:hint="eastAsia" w:ascii="仿宋" w:hAnsi="仿宋" w:eastAsia="仿宋"/>
          <w:sz w:val="32"/>
          <w:szCs w:val="32"/>
        </w:rPr>
        <w:t>万元、救济费9.35万元、医疗费补0.61万元、住房公积金</w:t>
      </w:r>
      <w:r>
        <w:rPr>
          <w:rFonts w:hint="eastAsia" w:ascii="仿宋" w:hAnsi="仿宋" w:eastAsia="仿宋"/>
          <w:sz w:val="32"/>
          <w:szCs w:val="32"/>
          <w:lang w:val="en-US" w:eastAsia="zh-CN"/>
        </w:rPr>
        <w:t>6.73</w:t>
      </w:r>
      <w:r>
        <w:rPr>
          <w:rFonts w:hint="eastAsia" w:ascii="仿宋" w:hAnsi="仿宋" w:eastAsia="仿宋"/>
          <w:sz w:val="32"/>
          <w:szCs w:val="32"/>
        </w:rPr>
        <w:t>万元。其他对个人和家庭的补助支出等。</w:t>
      </w:r>
    </w:p>
    <w:p w14:paraId="3CFACAF6">
      <w:pPr>
        <w:spacing w:line="600" w:lineRule="exact"/>
        <w:ind w:firstLine="645"/>
        <w:rPr>
          <w:rFonts w:hint="default" w:ascii="仿宋" w:hAnsi="仿宋" w:eastAsia="仿宋"/>
          <w:sz w:val="32"/>
          <w:szCs w:val="32"/>
          <w:lang w:val="en-US" w:eastAsia="zh-CN"/>
        </w:rPr>
      </w:pPr>
      <w:r>
        <w:rPr>
          <w:rFonts w:hint="eastAsia" w:ascii="仿宋" w:hAnsi="仿宋" w:eastAsia="仿宋"/>
          <w:sz w:val="32"/>
          <w:szCs w:val="32"/>
        </w:rPr>
        <w:t>公用经费</w:t>
      </w:r>
      <w:r>
        <w:rPr>
          <w:rFonts w:hint="eastAsia" w:ascii="仿宋" w:hAnsi="仿宋" w:eastAsia="仿宋"/>
          <w:sz w:val="32"/>
          <w:szCs w:val="32"/>
          <w:lang w:val="en-US" w:eastAsia="zh-CN"/>
        </w:rPr>
        <w:t>23.38</w:t>
      </w:r>
      <w:r>
        <w:rPr>
          <w:rFonts w:hint="eastAsia" w:ascii="仿宋" w:hAnsi="仿宋" w:eastAsia="仿宋"/>
          <w:sz w:val="32"/>
          <w:szCs w:val="32"/>
        </w:rPr>
        <w:t>万元，主要包括：办公费</w:t>
      </w:r>
      <w:r>
        <w:rPr>
          <w:rFonts w:hint="eastAsia" w:ascii="仿宋" w:hAnsi="仿宋" w:eastAsia="仿宋"/>
          <w:sz w:val="32"/>
          <w:szCs w:val="32"/>
          <w:lang w:val="en-US" w:eastAsia="zh-CN"/>
        </w:rPr>
        <w:t>3.85万元</w:t>
      </w:r>
      <w:r>
        <w:rPr>
          <w:rFonts w:hint="eastAsia" w:ascii="仿宋" w:hAnsi="仿宋" w:eastAsia="仿宋"/>
          <w:sz w:val="32"/>
          <w:szCs w:val="32"/>
        </w:rPr>
        <w:t>、水费</w:t>
      </w:r>
      <w:r>
        <w:rPr>
          <w:rFonts w:hint="eastAsia" w:ascii="仿宋" w:hAnsi="仿宋" w:eastAsia="仿宋"/>
          <w:sz w:val="32"/>
          <w:szCs w:val="32"/>
          <w:lang w:val="en-US" w:eastAsia="zh-CN"/>
        </w:rPr>
        <w:t>0.02万元</w:t>
      </w:r>
      <w:r>
        <w:rPr>
          <w:rFonts w:hint="eastAsia" w:ascii="仿宋" w:hAnsi="仿宋" w:eastAsia="仿宋"/>
          <w:sz w:val="32"/>
          <w:szCs w:val="32"/>
        </w:rPr>
        <w:t>、电费</w:t>
      </w:r>
      <w:r>
        <w:rPr>
          <w:rFonts w:hint="eastAsia" w:ascii="仿宋" w:hAnsi="仿宋" w:eastAsia="仿宋"/>
          <w:sz w:val="32"/>
          <w:szCs w:val="32"/>
          <w:lang w:val="en-US" w:eastAsia="zh-CN"/>
        </w:rPr>
        <w:t>0.61万元</w:t>
      </w:r>
      <w:r>
        <w:rPr>
          <w:rFonts w:hint="eastAsia" w:ascii="仿宋" w:hAnsi="仿宋" w:eastAsia="仿宋"/>
          <w:sz w:val="32"/>
          <w:szCs w:val="32"/>
        </w:rPr>
        <w:t>、邮电费</w:t>
      </w:r>
      <w:r>
        <w:rPr>
          <w:rFonts w:hint="eastAsia" w:ascii="仿宋" w:hAnsi="仿宋" w:eastAsia="仿宋"/>
          <w:sz w:val="32"/>
          <w:szCs w:val="32"/>
          <w:lang w:val="en-US" w:eastAsia="zh-CN"/>
        </w:rPr>
        <w:t>0.72万元</w:t>
      </w:r>
      <w:r>
        <w:rPr>
          <w:rFonts w:hint="eastAsia" w:ascii="仿宋" w:hAnsi="仿宋" w:eastAsia="仿宋"/>
          <w:sz w:val="32"/>
          <w:szCs w:val="32"/>
        </w:rPr>
        <w:t>、差旅费</w:t>
      </w:r>
      <w:r>
        <w:rPr>
          <w:rFonts w:hint="eastAsia" w:ascii="仿宋" w:hAnsi="仿宋" w:eastAsia="仿宋"/>
          <w:sz w:val="32"/>
          <w:szCs w:val="32"/>
          <w:lang w:val="en-US" w:eastAsia="zh-CN"/>
        </w:rPr>
        <w:t>6.2万元</w:t>
      </w:r>
      <w:r>
        <w:rPr>
          <w:rFonts w:hint="eastAsia" w:ascii="仿宋" w:hAnsi="仿宋" w:eastAsia="仿宋"/>
          <w:sz w:val="32"/>
          <w:szCs w:val="32"/>
        </w:rPr>
        <w:t>、会议费</w:t>
      </w:r>
      <w:r>
        <w:rPr>
          <w:rFonts w:hint="eastAsia" w:ascii="仿宋" w:hAnsi="仿宋" w:eastAsia="仿宋"/>
          <w:sz w:val="32"/>
          <w:szCs w:val="32"/>
          <w:lang w:val="en-US" w:eastAsia="zh-CN"/>
        </w:rPr>
        <w:t>0.12万元</w:t>
      </w:r>
      <w:r>
        <w:rPr>
          <w:rFonts w:hint="eastAsia" w:ascii="仿宋" w:hAnsi="仿宋" w:eastAsia="仿宋"/>
          <w:sz w:val="32"/>
          <w:szCs w:val="32"/>
        </w:rPr>
        <w:t>、公务接待费</w:t>
      </w:r>
      <w:r>
        <w:rPr>
          <w:rFonts w:hint="eastAsia" w:ascii="仿宋" w:hAnsi="仿宋" w:eastAsia="仿宋"/>
          <w:sz w:val="32"/>
          <w:szCs w:val="32"/>
          <w:lang w:val="en-US" w:eastAsia="zh-CN"/>
        </w:rPr>
        <w:t>0.12万元</w:t>
      </w:r>
      <w:r>
        <w:rPr>
          <w:rFonts w:hint="eastAsia" w:ascii="仿宋" w:hAnsi="仿宋" w:eastAsia="仿宋"/>
          <w:sz w:val="32"/>
          <w:szCs w:val="32"/>
        </w:rPr>
        <w:t>、</w:t>
      </w:r>
      <w:r>
        <w:rPr>
          <w:rFonts w:hint="eastAsia" w:ascii="仿宋" w:hAnsi="仿宋" w:eastAsia="仿宋"/>
          <w:sz w:val="32"/>
          <w:szCs w:val="32"/>
          <w:lang w:eastAsia="zh-CN"/>
        </w:rPr>
        <w:t>劳务费</w:t>
      </w:r>
      <w:r>
        <w:rPr>
          <w:rFonts w:hint="eastAsia" w:ascii="仿宋" w:hAnsi="仿宋" w:eastAsia="仿宋"/>
          <w:sz w:val="32"/>
          <w:szCs w:val="32"/>
          <w:lang w:val="en-US" w:eastAsia="zh-CN"/>
        </w:rPr>
        <w:t>0.35万元、</w:t>
      </w:r>
      <w:r>
        <w:rPr>
          <w:rFonts w:hint="eastAsia" w:ascii="仿宋" w:hAnsi="仿宋" w:eastAsia="仿宋"/>
          <w:sz w:val="32"/>
          <w:szCs w:val="32"/>
        </w:rPr>
        <w:t>工会经费</w:t>
      </w:r>
      <w:r>
        <w:rPr>
          <w:rFonts w:hint="eastAsia" w:ascii="仿宋" w:hAnsi="仿宋" w:eastAsia="仿宋"/>
          <w:sz w:val="32"/>
          <w:szCs w:val="32"/>
          <w:lang w:val="en-US" w:eastAsia="zh-CN"/>
        </w:rPr>
        <w:t>0.36万元</w:t>
      </w:r>
      <w:r>
        <w:rPr>
          <w:rFonts w:hint="eastAsia" w:ascii="仿宋" w:hAnsi="仿宋" w:eastAsia="仿宋"/>
          <w:sz w:val="32"/>
          <w:szCs w:val="32"/>
        </w:rPr>
        <w:t>、福利费</w:t>
      </w:r>
      <w:r>
        <w:rPr>
          <w:rFonts w:hint="eastAsia" w:ascii="仿宋" w:hAnsi="仿宋" w:eastAsia="仿宋"/>
          <w:sz w:val="32"/>
          <w:szCs w:val="32"/>
          <w:lang w:val="en-US" w:eastAsia="zh-CN"/>
        </w:rPr>
        <w:t>1.78万元</w:t>
      </w:r>
      <w:r>
        <w:rPr>
          <w:rFonts w:hint="eastAsia" w:ascii="仿宋" w:hAnsi="仿宋" w:eastAsia="仿宋"/>
          <w:sz w:val="32"/>
          <w:szCs w:val="32"/>
        </w:rPr>
        <w:t>、公务用车运行维护费</w:t>
      </w:r>
      <w:r>
        <w:rPr>
          <w:rFonts w:hint="eastAsia" w:ascii="仿宋" w:hAnsi="仿宋" w:eastAsia="仿宋"/>
          <w:sz w:val="32"/>
          <w:szCs w:val="32"/>
          <w:lang w:val="en-US" w:eastAsia="zh-CN"/>
        </w:rPr>
        <w:t>8万元</w:t>
      </w:r>
      <w:r>
        <w:rPr>
          <w:rFonts w:hint="eastAsia" w:ascii="仿宋" w:hAnsi="仿宋" w:eastAsia="仿宋"/>
          <w:sz w:val="32"/>
          <w:szCs w:val="32"/>
        </w:rPr>
        <w:t>、</w:t>
      </w:r>
      <w:r>
        <w:rPr>
          <w:rFonts w:hint="eastAsia" w:ascii="仿宋" w:hAnsi="仿宋" w:eastAsia="仿宋"/>
          <w:sz w:val="32"/>
          <w:szCs w:val="32"/>
          <w:lang w:eastAsia="zh-CN"/>
        </w:rPr>
        <w:t>其他商品和服务支出</w:t>
      </w:r>
      <w:r>
        <w:rPr>
          <w:rFonts w:hint="eastAsia" w:ascii="仿宋" w:hAnsi="仿宋" w:eastAsia="仿宋"/>
          <w:sz w:val="32"/>
          <w:szCs w:val="32"/>
          <w:lang w:val="en-US" w:eastAsia="zh-CN"/>
        </w:rPr>
        <w:t>1.24</w:t>
      </w:r>
      <w:r>
        <w:rPr>
          <w:rFonts w:hint="eastAsia" w:ascii="仿宋" w:hAnsi="仿宋" w:eastAsia="仿宋"/>
          <w:sz w:val="32"/>
          <w:szCs w:val="32"/>
          <w:lang w:eastAsia="zh-CN"/>
        </w:rPr>
        <w:t>万元。</w:t>
      </w:r>
    </w:p>
    <w:p w14:paraId="56595AE1">
      <w:pPr>
        <w:spacing w:line="600" w:lineRule="exact"/>
        <w:ind w:firstLine="640"/>
        <w:outlineLvl w:val="1"/>
        <w:rPr>
          <w:rStyle w:val="15"/>
          <w:rFonts w:ascii="黑体" w:hAnsi="黑体" w:eastAsia="黑体"/>
          <w:b w:val="0"/>
        </w:rPr>
      </w:pPr>
      <w:bookmarkStart w:id="36" w:name="_Toc15377215"/>
      <w:bookmarkStart w:id="37" w:name="_Toc15396609"/>
      <w:r>
        <w:rPr>
          <w:rFonts w:hint="eastAsia" w:ascii="黑体" w:eastAsia="黑体"/>
          <w:sz w:val="32"/>
          <w:szCs w:val="32"/>
        </w:rPr>
        <w:t>七、</w:t>
      </w:r>
      <w:r>
        <w:rPr>
          <w:rStyle w:val="15"/>
          <w:rFonts w:hint="eastAsia" w:ascii="黑体" w:hAnsi="黑体" w:eastAsia="黑体"/>
          <w:b w:val="0"/>
        </w:rPr>
        <w:t>财政拨款</w:t>
      </w:r>
      <w:r>
        <w:rPr>
          <w:rStyle w:val="15"/>
          <w:rFonts w:hint="eastAsia" w:ascii="黑体" w:hAnsi="黑体" w:eastAsia="黑体"/>
        </w:rPr>
        <w:t>“</w:t>
      </w:r>
      <w:r>
        <w:rPr>
          <w:rStyle w:val="15"/>
          <w:rFonts w:hint="eastAsia" w:ascii="黑体" w:hAnsi="黑体" w:eastAsia="黑体"/>
          <w:b w:val="0"/>
        </w:rPr>
        <w:t>三公”经费支出决算情况说明</w:t>
      </w:r>
      <w:bookmarkEnd w:id="36"/>
      <w:bookmarkEnd w:id="37"/>
    </w:p>
    <w:p w14:paraId="63CF6620">
      <w:pPr>
        <w:pStyle w:val="9"/>
        <w:shd w:val="clear" w:color="auto" w:fill="FFFFFF"/>
        <w:spacing w:line="560" w:lineRule="exact"/>
        <w:ind w:firstLine="643" w:firstLineChars="200"/>
        <w:rPr>
          <w:rFonts w:hint="eastAsia" w:ascii="仿宋" w:hAnsi="仿宋" w:eastAsia="仿宋"/>
          <w:bCs/>
          <w:sz w:val="32"/>
          <w:szCs w:val="32"/>
        </w:rPr>
      </w:pPr>
      <w:r>
        <w:rPr>
          <w:rFonts w:hint="eastAsia" w:ascii="仿宋" w:hAnsi="仿宋" w:eastAsia="仿宋"/>
          <w:b/>
          <w:sz w:val="32"/>
          <w:szCs w:val="32"/>
        </w:rPr>
        <w:t>（一）“三公”经费财政拨款支出决算总体情况说明</w:t>
      </w:r>
    </w:p>
    <w:p w14:paraId="761AF69E">
      <w:pPr>
        <w:pStyle w:val="9"/>
        <w:shd w:val="clear" w:color="auto" w:fill="FFFFFF"/>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年“三公”经费财政拨款支出决算为</w:t>
      </w:r>
      <w:r>
        <w:rPr>
          <w:rFonts w:hint="eastAsia" w:ascii="仿宋" w:hAnsi="仿宋" w:eastAsia="仿宋"/>
          <w:sz w:val="32"/>
          <w:szCs w:val="32"/>
          <w:lang w:val="en-US" w:eastAsia="zh-CN"/>
        </w:rPr>
        <w:t>8.12</w:t>
      </w:r>
      <w:r>
        <w:rPr>
          <w:rFonts w:hint="eastAsia" w:ascii="仿宋" w:hAnsi="仿宋" w:eastAsia="仿宋"/>
          <w:sz w:val="32"/>
          <w:szCs w:val="32"/>
        </w:rPr>
        <w:t>万元，完成预算100%，较上年</w:t>
      </w:r>
      <w:r>
        <w:rPr>
          <w:rFonts w:hint="eastAsia" w:ascii="仿宋" w:hAnsi="仿宋" w:eastAsia="仿宋"/>
          <w:sz w:val="32"/>
          <w:szCs w:val="32"/>
          <w:lang w:eastAsia="zh-CN"/>
        </w:rPr>
        <w:t>增</w:t>
      </w:r>
      <w:r>
        <w:rPr>
          <w:rFonts w:hint="eastAsia" w:ascii="仿宋" w:hAnsi="仿宋" w:eastAsia="仿宋"/>
          <w:sz w:val="32"/>
          <w:szCs w:val="32"/>
          <w:lang w:val="en-US" w:eastAsia="zh-CN"/>
        </w:rPr>
        <w:t>0.93</w:t>
      </w:r>
      <w:r>
        <w:rPr>
          <w:rFonts w:hint="eastAsia" w:ascii="仿宋" w:hAnsi="仿宋" w:eastAsia="仿宋"/>
          <w:sz w:val="32"/>
          <w:szCs w:val="32"/>
        </w:rPr>
        <w:t>万元，</w:t>
      </w:r>
      <w:r>
        <w:rPr>
          <w:rFonts w:hint="eastAsia" w:ascii="仿宋" w:hAnsi="仿宋" w:eastAsia="仿宋"/>
          <w:sz w:val="32"/>
          <w:szCs w:val="32"/>
          <w:lang w:eastAsia="zh-CN"/>
        </w:rPr>
        <w:t>增加</w:t>
      </w:r>
      <w:r>
        <w:rPr>
          <w:rFonts w:hint="eastAsia" w:ascii="仿宋" w:hAnsi="仿宋" w:eastAsia="仿宋"/>
          <w:sz w:val="32"/>
          <w:szCs w:val="32"/>
          <w:lang w:val="en-US" w:eastAsia="zh-CN"/>
        </w:rPr>
        <w:t>12.93</w:t>
      </w:r>
      <w:r>
        <w:rPr>
          <w:rFonts w:hint="eastAsia" w:ascii="仿宋" w:hAnsi="仿宋" w:eastAsia="仿宋"/>
          <w:sz w:val="32"/>
          <w:szCs w:val="32"/>
        </w:rPr>
        <w:t>%。主要原因是</w:t>
      </w:r>
      <w:r>
        <w:rPr>
          <w:rFonts w:hint="eastAsia" w:ascii="仿宋" w:hAnsi="仿宋" w:eastAsia="仿宋"/>
          <w:sz w:val="32"/>
          <w:szCs w:val="32"/>
          <w:lang w:eastAsia="zh-CN"/>
        </w:rPr>
        <w:t>公车运行维护费和公务接待费比较上年增加</w:t>
      </w:r>
      <w:r>
        <w:rPr>
          <w:rFonts w:hint="eastAsia" w:ascii="仿宋" w:hAnsi="仿宋" w:eastAsia="仿宋"/>
          <w:sz w:val="32"/>
          <w:szCs w:val="32"/>
        </w:rPr>
        <w:t>。</w:t>
      </w:r>
    </w:p>
    <w:p w14:paraId="16DD2351">
      <w:pPr>
        <w:pStyle w:val="9"/>
        <w:shd w:val="clear" w:color="auto" w:fill="FFFFFF"/>
        <w:spacing w:line="560" w:lineRule="exact"/>
        <w:ind w:firstLine="643" w:firstLineChars="200"/>
        <w:rPr>
          <w:rFonts w:hint="eastAsia" w:ascii="仿宋" w:hAnsi="仿宋" w:eastAsia="仿宋"/>
          <w:bCs/>
          <w:sz w:val="32"/>
          <w:szCs w:val="32"/>
        </w:rPr>
      </w:pPr>
      <w:r>
        <w:rPr>
          <w:rFonts w:hint="eastAsia" w:ascii="仿宋" w:hAnsi="仿宋" w:eastAsia="仿宋"/>
          <w:b/>
          <w:sz w:val="32"/>
          <w:szCs w:val="32"/>
        </w:rPr>
        <w:t>（二）“三公”经费财政拨款支出决算具体情况说明</w:t>
      </w:r>
    </w:p>
    <w:p w14:paraId="72DAA9A0">
      <w:pPr>
        <w:pStyle w:val="9"/>
        <w:shd w:val="clear" w:color="auto" w:fill="FFFFFF"/>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年“三公”经费财政拨款支出决算中，因公出国（境）费支出决算0万元，占0%；公务用车购置及运行维护费支出决算</w:t>
      </w:r>
      <w:r>
        <w:rPr>
          <w:rFonts w:hint="eastAsia" w:ascii="仿宋" w:hAnsi="仿宋" w:eastAsia="仿宋"/>
          <w:sz w:val="32"/>
          <w:szCs w:val="32"/>
          <w:lang w:val="en-US" w:eastAsia="zh-CN"/>
        </w:rPr>
        <w:t>8</w:t>
      </w:r>
      <w:r>
        <w:rPr>
          <w:rFonts w:hint="eastAsia" w:ascii="仿宋" w:hAnsi="仿宋" w:eastAsia="仿宋"/>
          <w:sz w:val="32"/>
          <w:szCs w:val="32"/>
        </w:rPr>
        <w:t>万元，占</w:t>
      </w:r>
      <w:r>
        <w:rPr>
          <w:rFonts w:hint="eastAsia" w:ascii="仿宋" w:hAnsi="仿宋" w:eastAsia="仿宋"/>
          <w:sz w:val="32"/>
          <w:szCs w:val="32"/>
          <w:lang w:val="en-US" w:eastAsia="zh-CN"/>
        </w:rPr>
        <w:t>98.52</w:t>
      </w:r>
      <w:r>
        <w:rPr>
          <w:rFonts w:hint="eastAsia" w:ascii="仿宋" w:hAnsi="仿宋" w:eastAsia="仿宋"/>
          <w:sz w:val="32"/>
          <w:szCs w:val="32"/>
        </w:rPr>
        <w:t>%；公务接待费支出决算</w:t>
      </w:r>
      <w:r>
        <w:rPr>
          <w:rFonts w:hint="eastAsia" w:ascii="仿宋" w:hAnsi="仿宋" w:eastAsia="仿宋"/>
          <w:sz w:val="32"/>
          <w:szCs w:val="32"/>
          <w:lang w:val="en-US" w:eastAsia="zh-CN"/>
        </w:rPr>
        <w:t>0.12</w:t>
      </w:r>
      <w:r>
        <w:rPr>
          <w:rFonts w:hint="eastAsia" w:ascii="仿宋" w:hAnsi="仿宋" w:eastAsia="仿宋"/>
          <w:sz w:val="32"/>
          <w:szCs w:val="32"/>
        </w:rPr>
        <w:t>万元，占</w:t>
      </w:r>
      <w:r>
        <w:rPr>
          <w:rFonts w:hint="eastAsia" w:ascii="仿宋" w:hAnsi="仿宋" w:eastAsia="仿宋"/>
          <w:sz w:val="32"/>
          <w:szCs w:val="32"/>
          <w:lang w:val="en-US" w:eastAsia="zh-CN"/>
        </w:rPr>
        <w:t>1.48</w:t>
      </w:r>
      <w:r>
        <w:rPr>
          <w:rFonts w:hint="eastAsia" w:ascii="仿宋" w:hAnsi="仿宋" w:eastAsia="仿宋"/>
          <w:sz w:val="32"/>
          <w:szCs w:val="32"/>
        </w:rPr>
        <w:t>%。具体情况如下：</w:t>
      </w:r>
    </w:p>
    <w:p w14:paraId="460BF562">
      <w:pPr>
        <w:numPr>
          <w:ilvl w:val="0"/>
          <w:numId w:val="0"/>
        </w:numPr>
        <w:spacing w:line="600" w:lineRule="exact"/>
        <w:ind w:firstLine="640" w:firstLineChars="200"/>
        <w:outlineLvl w:val="2"/>
        <w:rPr>
          <w:rFonts w:hint="eastAsia" w:ascii="仿宋" w:hAnsi="仿宋" w:eastAsia="仿宋"/>
          <w:sz w:val="32"/>
          <w:szCs w:val="32"/>
        </w:rPr>
      </w:pPr>
    </w:p>
    <w:p w14:paraId="3519A7BC">
      <w:pPr>
        <w:numPr>
          <w:ilvl w:val="0"/>
          <w:numId w:val="0"/>
        </w:numPr>
        <w:spacing w:line="600" w:lineRule="exact"/>
        <w:ind w:firstLine="640" w:firstLineChars="200"/>
        <w:outlineLvl w:val="2"/>
        <w:rPr>
          <w:rFonts w:hint="eastAsia" w:ascii="仿宋" w:hAnsi="仿宋" w:eastAsia="仿宋"/>
          <w:sz w:val="32"/>
          <w:szCs w:val="32"/>
        </w:rPr>
      </w:pPr>
    </w:p>
    <w:p w14:paraId="56214C9D">
      <w:pPr>
        <w:numPr>
          <w:ilvl w:val="0"/>
          <w:numId w:val="0"/>
        </w:numPr>
        <w:spacing w:line="600" w:lineRule="exact"/>
        <w:ind w:firstLine="640" w:firstLineChars="200"/>
        <w:outlineLvl w:val="2"/>
        <w:rPr>
          <w:rFonts w:hint="eastAsia" w:ascii="仿宋" w:hAnsi="仿宋" w:eastAsia="仿宋"/>
          <w:sz w:val="32"/>
          <w:szCs w:val="32"/>
        </w:rPr>
      </w:pPr>
      <w:r>
        <w:rPr>
          <w:rFonts w:ascii="仿宋" w:eastAsia="仿宋"/>
          <w:color w:val="000000"/>
          <w:sz w:val="32"/>
          <w:szCs w:val="32"/>
        </w:rPr>
        <w:drawing>
          <wp:anchor distT="0" distB="0" distL="0" distR="0" simplePos="0" relativeHeight="251666432" behindDoc="0" locked="0" layoutInCell="1" allowOverlap="1">
            <wp:simplePos x="0" y="0"/>
            <wp:positionH relativeFrom="column">
              <wp:posOffset>196850</wp:posOffset>
            </wp:positionH>
            <wp:positionV relativeFrom="page">
              <wp:posOffset>1320800</wp:posOffset>
            </wp:positionV>
            <wp:extent cx="5274310" cy="2343785"/>
            <wp:effectExtent l="6350" t="6350" r="15240" b="12065"/>
            <wp:wrapSquare wrapText="bothSides"/>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2C3C4DA6">
      <w:pPr>
        <w:spacing w:line="600" w:lineRule="exact"/>
        <w:ind w:firstLine="640" w:firstLineChars="200"/>
        <w:rPr>
          <w:rFonts w:ascii="仿宋_GB2312" w:eastAsia="仿宋_GB2312"/>
          <w:b/>
          <w:sz w:val="32"/>
          <w:szCs w:val="32"/>
        </w:rPr>
      </w:pPr>
      <w:r>
        <w:rPr>
          <w:rFonts w:hint="eastAsia" w:ascii="仿宋" w:hAnsi="仿宋" w:eastAsia="仿宋"/>
          <w:bCs/>
          <w:sz w:val="32"/>
          <w:szCs w:val="32"/>
        </w:rPr>
        <w:t>（图7：“三公”经费财政拨款支出结构）（饼状图）</w:t>
      </w:r>
    </w:p>
    <w:p w14:paraId="756BE516">
      <w:pPr>
        <w:spacing w:line="600" w:lineRule="exact"/>
        <w:ind w:firstLine="643" w:firstLineChars="20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b/>
          <w:sz w:val="32"/>
          <w:szCs w:val="32"/>
          <w:lang w:val="en-US" w:eastAsia="zh-CN"/>
        </w:rPr>
        <w:t>0</w:t>
      </w:r>
      <w:r>
        <w:rPr>
          <w:rFonts w:hint="eastAsia" w:ascii="仿宋_GB2312" w:eastAsia="仿宋_GB2312"/>
          <w:sz w:val="32"/>
          <w:szCs w:val="32"/>
        </w:rPr>
        <w:t>万元，</w:t>
      </w:r>
      <w:r>
        <w:rPr>
          <w:rStyle w:val="13"/>
          <w:rFonts w:hint="eastAsia" w:ascii="仿宋" w:hAnsi="仿宋" w:eastAsia="仿宋"/>
          <w:b w:val="0"/>
          <w:bCs/>
          <w:sz w:val="32"/>
          <w:szCs w:val="32"/>
        </w:rPr>
        <w:t>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人。因公出国（境）支出决算比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年增加</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。与上年相比无变化，主要原因是</w:t>
      </w:r>
      <w:r>
        <w:rPr>
          <w:rFonts w:hint="eastAsia" w:ascii="仿宋_GB2312" w:eastAsia="仿宋_GB2312"/>
          <w:sz w:val="32"/>
          <w:szCs w:val="32"/>
          <w:lang w:eastAsia="zh-CN"/>
        </w:rPr>
        <w:t>：本年度与上年度均无因公出国出境费用</w:t>
      </w:r>
      <w:r>
        <w:rPr>
          <w:rFonts w:hint="eastAsia" w:ascii="仿宋_GB2312" w:eastAsia="仿宋_GB2312"/>
          <w:sz w:val="32"/>
          <w:szCs w:val="32"/>
        </w:rPr>
        <w:t>。</w:t>
      </w:r>
    </w:p>
    <w:p w14:paraId="7CF02211">
      <w:pPr>
        <w:spacing w:line="600" w:lineRule="exact"/>
        <w:ind w:firstLine="640"/>
        <w:rPr>
          <w:rFonts w:hint="eastAsia"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8</w:t>
      </w:r>
      <w:r>
        <w:rPr>
          <w:rFonts w:hint="eastAsia" w:ascii="仿宋_GB2312" w:eastAsia="仿宋_GB2312"/>
          <w:sz w:val="32"/>
          <w:szCs w:val="32"/>
        </w:rPr>
        <w:t>万元,</w:t>
      </w:r>
      <w:r>
        <w:rPr>
          <w:rStyle w:val="13"/>
          <w:rFonts w:hint="eastAsia" w:ascii="仿宋" w:hAnsi="仿宋" w:eastAsia="仿宋"/>
          <w:b w:val="0"/>
          <w:bCs/>
          <w:sz w:val="32"/>
          <w:szCs w:val="32"/>
        </w:rPr>
        <w:t>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增加</w:t>
      </w:r>
      <w:r>
        <w:rPr>
          <w:rFonts w:hint="eastAsia" w:ascii="仿宋_GB2312" w:eastAsia="仿宋_GB2312"/>
          <w:sz w:val="32"/>
          <w:szCs w:val="32"/>
          <w:lang w:val="en-US" w:eastAsia="zh-CN"/>
        </w:rPr>
        <w:t>0.86</w:t>
      </w:r>
      <w:r>
        <w:rPr>
          <w:rFonts w:hint="eastAsia" w:ascii="仿宋_GB2312" w:eastAsia="仿宋_GB2312"/>
          <w:sz w:val="32"/>
          <w:szCs w:val="32"/>
        </w:rPr>
        <w:t>万元，</w:t>
      </w:r>
      <w:r>
        <w:rPr>
          <w:rFonts w:hint="eastAsia" w:ascii="仿宋_GB2312" w:eastAsia="仿宋_GB2312"/>
          <w:sz w:val="32"/>
          <w:szCs w:val="32"/>
          <w:lang w:eastAsia="zh-CN"/>
        </w:rPr>
        <w:t>增加</w:t>
      </w:r>
      <w:r>
        <w:rPr>
          <w:rFonts w:hint="eastAsia" w:ascii="仿宋_GB2312" w:eastAsia="仿宋_GB2312"/>
          <w:sz w:val="32"/>
          <w:szCs w:val="32"/>
          <w:lang w:val="en-US" w:eastAsia="zh-CN"/>
        </w:rPr>
        <w:t>12.04</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开展工作需要</w:t>
      </w:r>
      <w:r>
        <w:rPr>
          <w:rFonts w:hint="eastAsia" w:ascii="仿宋_GB2312" w:eastAsia="仿宋_GB2312"/>
          <w:sz w:val="32"/>
          <w:szCs w:val="32"/>
        </w:rPr>
        <w:t>公车运行经费较上年</w:t>
      </w:r>
      <w:r>
        <w:rPr>
          <w:rFonts w:hint="eastAsia" w:ascii="仿宋_GB2312" w:eastAsia="仿宋_GB2312"/>
          <w:sz w:val="32"/>
          <w:szCs w:val="32"/>
          <w:lang w:eastAsia="zh-CN"/>
        </w:rPr>
        <w:t>增加</w:t>
      </w:r>
      <w:r>
        <w:rPr>
          <w:rFonts w:hint="eastAsia" w:ascii="仿宋_GB2312" w:eastAsia="仿宋_GB2312"/>
          <w:sz w:val="32"/>
          <w:szCs w:val="32"/>
        </w:rPr>
        <w:t>。</w:t>
      </w:r>
    </w:p>
    <w:p w14:paraId="27D01DB2">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 w:eastAsia="仿宋" w:cs="宋体"/>
          <w:bCs/>
          <w:kern w:val="0"/>
          <w:sz w:val="32"/>
          <w:szCs w:val="32"/>
          <w:lang w:bidi="ar-SA"/>
        </w:rPr>
        <w:t>公务用车购置支出</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万元。全年按规定更新购置公务用车</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辆，其中：轿车</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辆、金额</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万元，越野车</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辆、金额</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万元，载客汽车</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辆、金额</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万元。截至2025年12月31日，</w:t>
      </w:r>
      <w:r>
        <w:rPr>
          <w:rFonts w:hint="eastAsia" w:ascii="仿宋_GB2312" w:eastAsia="仿宋_GB2312"/>
          <w:sz w:val="32"/>
          <w:szCs w:val="32"/>
        </w:rPr>
        <w:t>单位共有公务用车</w:t>
      </w:r>
      <w:r>
        <w:rPr>
          <w:rFonts w:hint="eastAsia" w:ascii="仿宋_GB2312" w:eastAsia="仿宋_GB2312"/>
          <w:sz w:val="32"/>
          <w:szCs w:val="32"/>
          <w:lang w:val="en-US" w:eastAsia="zh-CN"/>
        </w:rPr>
        <w:t>3</w:t>
      </w:r>
      <w:r>
        <w:rPr>
          <w:rFonts w:hint="eastAsia" w:ascii="仿宋_GB2312" w:eastAsia="仿宋_GB2312"/>
          <w:sz w:val="32"/>
          <w:szCs w:val="32"/>
        </w:rPr>
        <w:t>辆，其中：越野车</w:t>
      </w:r>
      <w:r>
        <w:rPr>
          <w:rFonts w:hint="eastAsia" w:ascii="仿宋_GB2312" w:eastAsia="仿宋_GB2312"/>
          <w:sz w:val="32"/>
          <w:szCs w:val="32"/>
          <w:lang w:val="en-US" w:eastAsia="zh-CN"/>
        </w:rPr>
        <w:t>3</w:t>
      </w:r>
      <w:r>
        <w:rPr>
          <w:rFonts w:hint="eastAsia" w:ascii="仿宋_GB2312" w:eastAsia="仿宋_GB2312"/>
          <w:sz w:val="32"/>
          <w:szCs w:val="32"/>
        </w:rPr>
        <w:t>辆。</w:t>
      </w:r>
    </w:p>
    <w:p w14:paraId="7B9BBF16">
      <w:pPr>
        <w:spacing w:line="600" w:lineRule="exact"/>
        <w:ind w:firstLine="640"/>
        <w:rPr>
          <w:rFonts w:ascii="仿宋_GB2312" w:eastAsia="仿宋_GB2312"/>
          <w:sz w:val="32"/>
          <w:szCs w:val="32"/>
        </w:rPr>
      </w:pPr>
      <w:r>
        <w:rPr>
          <w:rFonts w:hint="eastAsia" w:ascii="仿宋_GB2312" w:eastAsia="仿宋_GB2312"/>
          <w:b w:val="0"/>
          <w:bCs/>
          <w:sz w:val="32"/>
          <w:szCs w:val="32"/>
        </w:rPr>
        <w:t>公务用车运行维护费支出</w:t>
      </w:r>
      <w:r>
        <w:rPr>
          <w:rFonts w:hint="eastAsia" w:ascii="仿宋_GB2312" w:eastAsia="仿宋_GB2312"/>
          <w:sz w:val="32"/>
          <w:szCs w:val="32"/>
          <w:lang w:val="en-US" w:eastAsia="zh-CN"/>
        </w:rPr>
        <w:t>8</w:t>
      </w:r>
      <w:r>
        <w:rPr>
          <w:rFonts w:hint="eastAsia" w:ascii="仿宋_GB2312" w:eastAsia="仿宋_GB2312"/>
          <w:sz w:val="32"/>
          <w:szCs w:val="32"/>
        </w:rPr>
        <w:t>万元。主要用于</w:t>
      </w:r>
      <w:r>
        <w:rPr>
          <w:rFonts w:hint="eastAsia" w:ascii="仿宋_GB2312" w:eastAsia="仿宋_GB2312"/>
          <w:sz w:val="32"/>
          <w:szCs w:val="32"/>
          <w:lang w:eastAsia="zh-CN"/>
        </w:rPr>
        <w:t>工会开展调研、检查、考察、工会业务工作</w:t>
      </w:r>
      <w:r>
        <w:rPr>
          <w:rFonts w:hint="eastAsia" w:ascii="仿宋_GB2312" w:eastAsia="仿宋_GB2312"/>
          <w:sz w:val="32"/>
          <w:szCs w:val="32"/>
        </w:rPr>
        <w:t>等所需的公务用车燃料费、维修费、过路过桥费、保险费等支出。</w:t>
      </w:r>
    </w:p>
    <w:p w14:paraId="137B9308">
      <w:pPr>
        <w:spacing w:line="600" w:lineRule="exact"/>
        <w:ind w:firstLine="640"/>
        <w:rPr>
          <w:rFonts w:hint="eastAsia" w:ascii="仿宋_GB2312" w:eastAsia="仿宋_GB2312"/>
          <w:sz w:val="32"/>
          <w:szCs w:val="32"/>
          <w:lang w:eastAsia="zh-CN"/>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0.12</w:t>
      </w:r>
      <w:r>
        <w:rPr>
          <w:rFonts w:hint="eastAsia" w:ascii="仿宋_GB2312" w:eastAsia="仿宋_GB2312"/>
          <w:sz w:val="32"/>
          <w:szCs w:val="32"/>
        </w:rPr>
        <w:t>万元，</w:t>
      </w:r>
      <w:r>
        <w:rPr>
          <w:rStyle w:val="13"/>
          <w:rFonts w:hint="eastAsia" w:ascii="仿宋" w:hAnsi="仿宋" w:eastAsia="仿宋"/>
          <w:b w:val="0"/>
          <w:bCs/>
          <w:sz w:val="32"/>
          <w:szCs w:val="32"/>
        </w:rPr>
        <w:t>完成预算</w:t>
      </w:r>
      <w:r>
        <w:rPr>
          <w:rStyle w:val="13"/>
          <w:rFonts w:hint="eastAsia" w:ascii="仿宋" w:hAnsi="仿宋" w:eastAsia="仿宋"/>
          <w:b w:val="0"/>
          <w:bCs/>
          <w:sz w:val="32"/>
          <w:szCs w:val="32"/>
          <w:lang w:val="en-US" w:eastAsia="zh-CN"/>
        </w:rPr>
        <w:t>100</w:t>
      </w:r>
      <w:r>
        <w:rPr>
          <w:rStyle w:val="13"/>
          <w:rFonts w:ascii="仿宋" w:hAnsi="仿宋" w:eastAsia="仿宋"/>
          <w:b w:val="0"/>
          <w:bCs/>
          <w:sz w:val="32"/>
          <w:szCs w:val="32"/>
        </w:rPr>
        <w:t>%</w:t>
      </w:r>
      <w:r>
        <w:rPr>
          <w:rStyle w:val="13"/>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增加</w:t>
      </w:r>
      <w:r>
        <w:rPr>
          <w:rFonts w:hint="eastAsia" w:ascii="仿宋_GB2312" w:eastAsia="仿宋_GB2312"/>
          <w:sz w:val="32"/>
          <w:szCs w:val="32"/>
          <w:lang w:val="en-US" w:eastAsia="zh-CN"/>
        </w:rPr>
        <w:t>0.07</w:t>
      </w:r>
      <w:r>
        <w:rPr>
          <w:rFonts w:hint="eastAsia" w:ascii="仿宋_GB2312" w:eastAsia="仿宋_GB2312"/>
          <w:sz w:val="32"/>
          <w:szCs w:val="32"/>
        </w:rPr>
        <w:t>万元，</w:t>
      </w:r>
      <w:r>
        <w:rPr>
          <w:rFonts w:hint="eastAsia" w:ascii="仿宋_GB2312" w:eastAsia="仿宋_GB2312"/>
          <w:sz w:val="32"/>
          <w:szCs w:val="32"/>
          <w:lang w:eastAsia="zh-CN"/>
        </w:rPr>
        <w:t>增加</w:t>
      </w:r>
      <w:r>
        <w:rPr>
          <w:rFonts w:hint="eastAsia" w:ascii="仿宋_GB2312" w:eastAsia="仿宋_GB2312"/>
          <w:sz w:val="32"/>
          <w:szCs w:val="32"/>
          <w:lang w:val="en-US" w:eastAsia="zh-CN"/>
        </w:rPr>
        <w:t>140</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w:t>
      </w:r>
      <w:r>
        <w:rPr>
          <w:rFonts w:hint="eastAsia" w:ascii="仿宋_GB2312" w:hAnsi="仿宋_GB2312" w:eastAsia="仿宋_GB2312" w:cs="仿宋_GB2312"/>
          <w:sz w:val="32"/>
          <w:szCs w:val="32"/>
          <w:lang w:eastAsia="zh-CN"/>
        </w:rPr>
        <w:t>本年</w:t>
      </w:r>
      <w:r>
        <w:rPr>
          <w:rFonts w:hint="eastAsia" w:ascii="仿宋_GB2312" w:hAnsi="仿宋_GB2312" w:eastAsia="仿宋_GB2312" w:cs="仿宋_GB2312"/>
          <w:sz w:val="32"/>
          <w:szCs w:val="32"/>
        </w:rPr>
        <w:t>接待人次较上年</w:t>
      </w:r>
      <w:r>
        <w:rPr>
          <w:rFonts w:hint="eastAsia" w:ascii="仿宋_GB2312" w:hAnsi="仿宋_GB2312" w:eastAsia="仿宋_GB2312" w:cs="仿宋_GB2312"/>
          <w:sz w:val="32"/>
          <w:szCs w:val="32"/>
          <w:lang w:eastAsia="zh-CN"/>
        </w:rPr>
        <w:t>增加。其中：</w:t>
      </w:r>
    </w:p>
    <w:p w14:paraId="2216B678">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sz w:val="32"/>
          <w:szCs w:val="32"/>
          <w:lang w:val="en-US" w:eastAsia="zh-CN"/>
        </w:rPr>
        <w:t>0.12</w:t>
      </w:r>
      <w:r>
        <w:rPr>
          <w:rFonts w:hint="eastAsia" w:ascii="仿宋_GB2312" w:eastAsia="仿宋_GB2312"/>
          <w:sz w:val="32"/>
          <w:szCs w:val="32"/>
        </w:rPr>
        <w:t>万元，主要用于执行公务、开展业务活动开支的餐费等。国内公务接待</w:t>
      </w:r>
      <w:r>
        <w:rPr>
          <w:rFonts w:hint="eastAsia" w:ascii="仿宋_GB2312" w:eastAsia="仿宋_GB2312"/>
          <w:sz w:val="32"/>
          <w:szCs w:val="32"/>
          <w:lang w:val="en-US" w:eastAsia="zh-CN"/>
        </w:rPr>
        <w:t>1</w:t>
      </w:r>
      <w:r>
        <w:rPr>
          <w:rFonts w:hint="eastAsia" w:ascii="仿宋_GB2312" w:eastAsia="仿宋_GB2312"/>
          <w:sz w:val="32"/>
          <w:szCs w:val="32"/>
        </w:rPr>
        <w:t>批次，</w:t>
      </w:r>
      <w:r>
        <w:rPr>
          <w:rFonts w:hint="eastAsia" w:ascii="仿宋_GB2312" w:eastAsia="仿宋_GB2312"/>
          <w:sz w:val="32"/>
          <w:szCs w:val="32"/>
          <w:lang w:val="en-US" w:eastAsia="zh-CN"/>
        </w:rPr>
        <w:t>15</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0.12</w:t>
      </w:r>
      <w:r>
        <w:rPr>
          <w:rFonts w:hint="eastAsia" w:ascii="仿宋_GB2312" w:eastAsia="仿宋_GB2312"/>
          <w:sz w:val="32"/>
          <w:szCs w:val="32"/>
        </w:rPr>
        <w:t>万元，具体内容包括</w:t>
      </w:r>
      <w:r>
        <w:rPr>
          <w:rFonts w:hint="eastAsia" w:ascii="仿宋_GB2312" w:eastAsia="仿宋_GB2312"/>
          <w:sz w:val="32"/>
          <w:szCs w:val="32"/>
          <w:lang w:eastAsia="zh-CN"/>
        </w:rPr>
        <w:t>省总工会教科文组织来我县开展教师慰问工作接待餐费</w:t>
      </w:r>
      <w:r>
        <w:rPr>
          <w:rFonts w:hint="eastAsia" w:ascii="仿宋_GB2312" w:eastAsia="仿宋_GB2312"/>
          <w:sz w:val="32"/>
          <w:szCs w:val="32"/>
        </w:rPr>
        <w:t>。</w:t>
      </w:r>
    </w:p>
    <w:p w14:paraId="682861E4">
      <w:pPr>
        <w:spacing w:line="600" w:lineRule="exact"/>
        <w:ind w:firstLine="640"/>
        <w:rPr>
          <w:rFonts w:hint="eastAsia" w:ascii="仿宋" w:eastAsia="仿宋" w:cs="宋体"/>
          <w:bCs/>
          <w:kern w:val="0"/>
          <w:sz w:val="32"/>
          <w:szCs w:val="32"/>
          <w:lang w:bidi="ar-SA"/>
        </w:rPr>
      </w:pPr>
      <w:r>
        <w:rPr>
          <w:rFonts w:hint="eastAsia" w:ascii="仿宋" w:hAnsi="仿宋" w:eastAsia="仿宋"/>
          <w:b/>
          <w:sz w:val="32"/>
          <w:szCs w:val="32"/>
        </w:rPr>
        <w:t>外事接待支出</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万元，外事接待</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批次</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人次（不包括陪同人员），共计支出</w:t>
      </w:r>
      <w:r>
        <w:rPr>
          <w:rFonts w:hint="eastAsia" w:ascii="仿宋" w:eastAsia="仿宋" w:cs="宋体"/>
          <w:bCs/>
          <w:kern w:val="0"/>
          <w:sz w:val="32"/>
          <w:szCs w:val="32"/>
          <w:lang w:val="en-US" w:eastAsia="zh-CN" w:bidi="ar-SA"/>
        </w:rPr>
        <w:t>0</w:t>
      </w:r>
      <w:r>
        <w:rPr>
          <w:rFonts w:hint="eastAsia" w:ascii="仿宋" w:eastAsia="仿宋" w:cs="宋体"/>
          <w:bCs/>
          <w:kern w:val="0"/>
          <w:sz w:val="32"/>
          <w:szCs w:val="32"/>
          <w:lang w:bidi="ar-SA"/>
        </w:rPr>
        <w:t>万元。</w:t>
      </w:r>
    </w:p>
    <w:p w14:paraId="63DA0042">
      <w:pPr>
        <w:pStyle w:val="9"/>
        <w:keepNext w:val="0"/>
        <w:keepLines w:val="0"/>
        <w:widowControl/>
        <w:suppressLineNumbers w:val="0"/>
        <w:shd w:val="clear" w:fill="FFFFFF"/>
        <w:spacing w:before="0" w:beforeAutospacing="1" w:after="0" w:afterAutospacing="1" w:line="560" w:lineRule="exact"/>
        <w:ind w:left="0" w:right="0" w:firstLine="640" w:firstLineChars="200"/>
        <w:jc w:val="left"/>
        <w:rPr>
          <w:rFonts w:hint="eastAsia" w:ascii="黑体" w:hAnsi="宋体" w:eastAsia="黑体" w:cs="宋体"/>
          <w:kern w:val="0"/>
          <w:sz w:val="32"/>
          <w:szCs w:val="32"/>
          <w:shd w:val="clear" w:fill="FFFFFF"/>
        </w:rPr>
      </w:pPr>
      <w:r>
        <w:rPr>
          <w:rFonts w:hint="eastAsia" w:ascii="黑体" w:hAnsi="宋体" w:eastAsia="黑体" w:cs="黑体"/>
          <w:kern w:val="0"/>
          <w:sz w:val="32"/>
          <w:szCs w:val="32"/>
          <w:shd w:val="clear" w:fill="FFFFFF"/>
          <w:lang w:val="en-US" w:eastAsia="zh-CN" w:bidi="ar"/>
        </w:rPr>
        <w:t>八、政府性基金预算支出决算情况说明</w:t>
      </w:r>
    </w:p>
    <w:p w14:paraId="4498143B">
      <w:pPr>
        <w:pStyle w:val="9"/>
        <w:shd w:val="clear" w:color="auto" w:fill="FFFFFF"/>
        <w:spacing w:line="560" w:lineRule="exact"/>
        <w:ind w:firstLine="640" w:firstLineChars="200"/>
        <w:rPr>
          <w:rFonts w:hint="eastAsia" w:ascii="仿宋" w:hAnsi="仿宋" w:eastAsia="仿宋"/>
          <w:bCs/>
          <w:sz w:val="32"/>
          <w:szCs w:val="32"/>
          <w:lang w:eastAsia="zh-CN"/>
        </w:rPr>
      </w:pPr>
      <w:r>
        <w:rPr>
          <w:rFonts w:hint="eastAsia" w:ascii="仿宋" w:hAnsi="仿宋" w:eastAsia="仿宋"/>
          <w:bCs/>
          <w:sz w:val="32"/>
          <w:szCs w:val="32"/>
        </w:rPr>
        <w:t>202</w:t>
      </w:r>
      <w:r>
        <w:rPr>
          <w:rFonts w:hint="eastAsia" w:ascii="仿宋" w:hAnsi="仿宋" w:eastAsia="仿宋"/>
          <w:bCs/>
          <w:sz w:val="32"/>
          <w:szCs w:val="32"/>
          <w:lang w:val="en-US" w:eastAsia="zh-CN"/>
        </w:rPr>
        <w:t>5</w:t>
      </w:r>
      <w:r>
        <w:rPr>
          <w:rFonts w:hint="eastAsia" w:ascii="仿宋" w:hAnsi="仿宋" w:eastAsia="仿宋"/>
          <w:bCs/>
          <w:sz w:val="32"/>
          <w:szCs w:val="32"/>
        </w:rPr>
        <w:t>年政府性基金预算财政拨款支出</w:t>
      </w:r>
      <w:r>
        <w:rPr>
          <w:rFonts w:hint="eastAsia" w:ascii="仿宋" w:hAnsi="仿宋" w:eastAsia="仿宋"/>
          <w:bCs/>
          <w:sz w:val="32"/>
          <w:szCs w:val="32"/>
          <w:lang w:val="en-US" w:eastAsia="zh-CN"/>
        </w:rPr>
        <w:t>0</w:t>
      </w:r>
      <w:r>
        <w:rPr>
          <w:rFonts w:hint="eastAsia" w:ascii="仿宋" w:hAnsi="仿宋" w:eastAsia="仿宋"/>
          <w:bCs/>
          <w:sz w:val="32"/>
          <w:szCs w:val="32"/>
        </w:rPr>
        <w:t>万元</w:t>
      </w:r>
      <w:r>
        <w:rPr>
          <w:rFonts w:hint="eastAsia" w:ascii="仿宋" w:hAnsi="仿宋" w:eastAsia="仿宋"/>
          <w:bCs/>
          <w:sz w:val="32"/>
          <w:szCs w:val="32"/>
          <w:lang w:eastAsia="zh-CN"/>
        </w:rPr>
        <w:t>，与上年度相比无变化。</w:t>
      </w:r>
    </w:p>
    <w:p w14:paraId="3F356F61">
      <w:pPr>
        <w:pStyle w:val="9"/>
        <w:shd w:val="clear" w:color="auto" w:fill="FFFFFF"/>
        <w:spacing w:line="560" w:lineRule="exact"/>
        <w:ind w:firstLine="640" w:firstLineChars="200"/>
        <w:rPr>
          <w:rFonts w:hint="eastAsia" w:ascii="黑体" w:hAnsi="黑体" w:eastAsia="黑体"/>
          <w:sz w:val="32"/>
          <w:szCs w:val="32"/>
        </w:rPr>
      </w:pPr>
      <w:r>
        <w:rPr>
          <w:rFonts w:hint="eastAsia" w:ascii="黑体" w:hAnsi="黑体" w:eastAsia="黑体"/>
          <w:sz w:val="32"/>
          <w:szCs w:val="32"/>
        </w:rPr>
        <w:t>九、国有资本经营预算支出决算情况说明</w:t>
      </w:r>
    </w:p>
    <w:p w14:paraId="5F6419F3">
      <w:pPr>
        <w:pStyle w:val="9"/>
        <w:shd w:val="clear" w:color="auto" w:fill="FFFFFF"/>
        <w:spacing w:line="560" w:lineRule="exact"/>
        <w:ind w:firstLine="640" w:firstLineChars="200"/>
        <w:rPr>
          <w:rFonts w:hint="eastAsia" w:ascii="仿宋" w:hAnsi="仿宋" w:eastAsia="仿宋"/>
          <w:bCs/>
          <w:sz w:val="32"/>
          <w:szCs w:val="32"/>
        </w:rPr>
      </w:pPr>
      <w:r>
        <w:rPr>
          <w:rFonts w:hint="eastAsia" w:ascii="仿宋" w:hAnsi="仿宋" w:eastAsia="仿宋"/>
          <w:bCs/>
          <w:sz w:val="32"/>
          <w:szCs w:val="32"/>
        </w:rPr>
        <w:t>202</w:t>
      </w:r>
      <w:r>
        <w:rPr>
          <w:rFonts w:hint="eastAsia" w:ascii="仿宋" w:hAnsi="仿宋" w:eastAsia="仿宋"/>
          <w:bCs/>
          <w:sz w:val="32"/>
          <w:szCs w:val="32"/>
          <w:lang w:val="en-US" w:eastAsia="zh-CN"/>
        </w:rPr>
        <w:t>5</w:t>
      </w:r>
      <w:r>
        <w:rPr>
          <w:rFonts w:hint="eastAsia" w:ascii="仿宋" w:hAnsi="仿宋" w:eastAsia="仿宋"/>
          <w:bCs/>
          <w:sz w:val="32"/>
          <w:szCs w:val="32"/>
        </w:rPr>
        <w:t>年国有资本经营预算财政拨款支出</w:t>
      </w:r>
      <w:r>
        <w:rPr>
          <w:rFonts w:hint="eastAsia" w:ascii="仿宋" w:hAnsi="仿宋" w:eastAsia="仿宋"/>
          <w:bCs/>
          <w:sz w:val="32"/>
          <w:szCs w:val="32"/>
          <w:lang w:val="en-US" w:eastAsia="zh-CN"/>
        </w:rPr>
        <w:t>0</w:t>
      </w:r>
      <w:r>
        <w:rPr>
          <w:rFonts w:hint="eastAsia" w:ascii="仿宋" w:hAnsi="仿宋" w:eastAsia="仿宋"/>
          <w:bCs/>
          <w:sz w:val="32"/>
          <w:szCs w:val="32"/>
        </w:rPr>
        <w:t>万元</w:t>
      </w:r>
      <w:r>
        <w:rPr>
          <w:rFonts w:hint="eastAsia" w:ascii="仿宋" w:hAnsi="仿宋" w:eastAsia="仿宋"/>
          <w:bCs/>
          <w:sz w:val="32"/>
          <w:szCs w:val="32"/>
          <w:lang w:eastAsia="zh-CN"/>
        </w:rPr>
        <w:t>，与上年度相比无变化。</w:t>
      </w:r>
    </w:p>
    <w:p w14:paraId="68226EEF">
      <w:pPr>
        <w:pStyle w:val="9"/>
        <w:keepNext w:val="0"/>
        <w:keepLines w:val="0"/>
        <w:widowControl/>
        <w:suppressLineNumbers w:val="0"/>
        <w:shd w:val="clear" w:fill="FFFFFF"/>
        <w:spacing w:before="0" w:beforeAutospacing="1" w:after="0" w:afterAutospacing="1" w:line="560" w:lineRule="exact"/>
        <w:ind w:left="0" w:right="0" w:firstLine="640" w:firstLineChars="200"/>
        <w:jc w:val="left"/>
        <w:rPr>
          <w:rFonts w:hint="eastAsia" w:ascii="黑体" w:hAnsi="宋体" w:eastAsia="黑体" w:cs="宋体"/>
          <w:kern w:val="0"/>
          <w:sz w:val="32"/>
          <w:szCs w:val="32"/>
          <w:shd w:val="clear" w:fill="FFFFFF"/>
        </w:rPr>
      </w:pPr>
      <w:r>
        <w:rPr>
          <w:rFonts w:hint="eastAsia" w:ascii="黑体" w:hAnsi="宋体" w:eastAsia="黑体" w:cs="黑体"/>
          <w:kern w:val="0"/>
          <w:sz w:val="32"/>
          <w:szCs w:val="32"/>
          <w:shd w:val="clear" w:fill="FFFFFF"/>
          <w:lang w:val="en-US" w:eastAsia="zh-CN" w:bidi="ar"/>
        </w:rPr>
        <w:t>十、其他重要事项的情况说明</w:t>
      </w:r>
    </w:p>
    <w:p w14:paraId="0DF58CFF">
      <w:pPr>
        <w:pStyle w:val="9"/>
        <w:keepNext w:val="0"/>
        <w:keepLines w:val="0"/>
        <w:widowControl/>
        <w:suppressLineNumbers w:val="0"/>
        <w:shd w:val="clear" w:fill="FFFFFF"/>
        <w:spacing w:before="0" w:beforeAutospacing="1" w:after="0" w:afterAutospacing="1" w:line="560" w:lineRule="exact"/>
        <w:ind w:left="0" w:right="0" w:firstLine="640" w:firstLineChars="200"/>
        <w:jc w:val="left"/>
        <w:rPr>
          <w:rFonts w:hint="eastAsia" w:ascii="仿宋_GB2312" w:hAnsi="宋体" w:eastAsia="仿宋_GB2312" w:cs="宋体"/>
          <w:kern w:val="0"/>
          <w:sz w:val="32"/>
          <w:szCs w:val="32"/>
          <w:shd w:val="clear" w:fill="FFFFFF"/>
        </w:rPr>
      </w:pPr>
      <w:r>
        <w:rPr>
          <w:rFonts w:hint="eastAsia" w:ascii="仿宋_GB2312" w:hAnsi="宋体" w:eastAsia="仿宋_GB2312" w:cs="仿宋_GB2312"/>
          <w:kern w:val="0"/>
          <w:sz w:val="32"/>
          <w:szCs w:val="32"/>
          <w:shd w:val="clear" w:fill="FFFFFF"/>
          <w:lang w:val="en-US" w:eastAsia="zh-CN" w:bidi="ar"/>
        </w:rPr>
        <w:t>2025年，汶川县总工会机关运行经费支出23.38万元，比2024年增加0.64万元，</w:t>
      </w:r>
      <w:r>
        <w:rPr>
          <w:rFonts w:hint="eastAsia" w:ascii="仿宋_GB2312" w:eastAsia="仿宋_GB2312" w:cs="仿宋_GB2312"/>
          <w:kern w:val="0"/>
          <w:sz w:val="32"/>
          <w:szCs w:val="32"/>
          <w:shd w:val="clear" w:fill="FFFFFF"/>
          <w:lang w:val="en-US" w:eastAsia="zh-CN" w:bidi="ar"/>
        </w:rPr>
        <w:t>增长</w:t>
      </w:r>
      <w:r>
        <w:rPr>
          <w:rFonts w:hint="eastAsia" w:ascii="仿宋_GB2312" w:hAnsi="宋体" w:eastAsia="仿宋_GB2312" w:cs="仿宋_GB2312"/>
          <w:kern w:val="0"/>
          <w:sz w:val="32"/>
          <w:szCs w:val="32"/>
          <w:shd w:val="clear" w:fill="FFFFFF"/>
          <w:lang w:val="en-US" w:eastAsia="zh-CN" w:bidi="ar"/>
        </w:rPr>
        <w:t>2.8%。主要原因是本年度公车运行维护费和公务接待费低幅度增加。</w:t>
      </w:r>
    </w:p>
    <w:p w14:paraId="35FF0044">
      <w:pPr>
        <w:pStyle w:val="9"/>
        <w:keepNext w:val="0"/>
        <w:keepLines w:val="0"/>
        <w:widowControl/>
        <w:suppressLineNumbers w:val="0"/>
        <w:shd w:val="clear" w:fill="FFFFFF"/>
        <w:spacing w:before="0" w:beforeAutospacing="1" w:after="0" w:afterAutospacing="1" w:line="560" w:lineRule="exact"/>
        <w:ind w:left="0" w:right="0" w:firstLine="643" w:firstLineChars="200"/>
        <w:jc w:val="left"/>
        <w:rPr>
          <w:rFonts w:hint="eastAsia" w:ascii="仿宋" w:hAnsi="仿宋" w:eastAsia="仿宋" w:cs="宋体"/>
          <w:bCs/>
          <w:kern w:val="0"/>
          <w:sz w:val="32"/>
          <w:szCs w:val="32"/>
          <w:shd w:val="clear" w:fill="FFFFFF"/>
        </w:rPr>
      </w:pPr>
      <w:r>
        <w:rPr>
          <w:rFonts w:hint="eastAsia" w:ascii="仿宋" w:hAnsi="仿宋" w:eastAsia="仿宋" w:cs="仿宋"/>
          <w:b/>
          <w:bCs w:val="0"/>
          <w:kern w:val="0"/>
          <w:sz w:val="32"/>
          <w:szCs w:val="32"/>
          <w:shd w:val="clear" w:fill="FFFFFF"/>
          <w:lang w:val="en-US" w:eastAsia="zh-CN" w:bidi="ar"/>
        </w:rPr>
        <w:t>（二）政府采购支出情况</w:t>
      </w:r>
    </w:p>
    <w:p w14:paraId="775ECE01">
      <w:pPr>
        <w:pStyle w:val="9"/>
        <w:keepNext w:val="0"/>
        <w:keepLines w:val="0"/>
        <w:widowControl/>
        <w:suppressLineNumbers w:val="0"/>
        <w:shd w:val="clear" w:fill="FFFFFF"/>
        <w:spacing w:before="0" w:beforeAutospacing="1" w:after="0" w:afterAutospacing="1" w:line="560" w:lineRule="exact"/>
        <w:ind w:left="0" w:right="0" w:firstLine="640" w:firstLineChars="200"/>
        <w:jc w:val="left"/>
        <w:rPr>
          <w:rFonts w:hint="eastAsia" w:ascii="仿宋_GB2312" w:hAnsi="宋体" w:eastAsia="仿宋_GB2312" w:cs="宋体"/>
          <w:kern w:val="0"/>
          <w:sz w:val="32"/>
          <w:szCs w:val="32"/>
          <w:shd w:val="clear" w:fill="FFFFFF"/>
        </w:rPr>
      </w:pPr>
      <w:r>
        <w:rPr>
          <w:rFonts w:hint="eastAsia" w:ascii="仿宋_GB2312" w:hAnsi="宋体" w:eastAsia="仿宋_GB2312" w:cs="仿宋_GB2312"/>
          <w:kern w:val="0"/>
          <w:sz w:val="32"/>
          <w:szCs w:val="32"/>
          <w:shd w:val="clear" w:fill="FFFFFF"/>
          <w:lang w:val="en-US" w:eastAsia="zh-CN" w:bidi="ar"/>
        </w:rPr>
        <w:t>2025年，汶川县总工会政府采购支出总额2.76万元，其中：政府采购货物支出0万元、政府采购工程支出0万元、政府采购服务支出2.76万元。授予中小企业合同金额1.89万元，占政府采购支出总额的68.47%，其中：授予小微企业合同金额1.89万元，占政府采购支出总额的68.47%。</w:t>
      </w:r>
    </w:p>
    <w:p w14:paraId="1E2A6244">
      <w:pPr>
        <w:pStyle w:val="9"/>
        <w:keepNext w:val="0"/>
        <w:keepLines w:val="0"/>
        <w:widowControl/>
        <w:suppressLineNumbers w:val="0"/>
        <w:shd w:val="clear" w:fill="FFFFFF"/>
        <w:spacing w:before="0" w:beforeAutospacing="1" w:after="0" w:afterAutospacing="1" w:line="560" w:lineRule="exact"/>
        <w:ind w:left="0" w:right="0" w:firstLine="643" w:firstLineChars="200"/>
        <w:jc w:val="left"/>
        <w:rPr>
          <w:rFonts w:hint="eastAsia" w:ascii="仿宋" w:hAnsi="仿宋" w:eastAsia="仿宋" w:cs="宋体"/>
          <w:bCs/>
          <w:kern w:val="0"/>
          <w:sz w:val="32"/>
          <w:szCs w:val="32"/>
          <w:shd w:val="clear" w:fill="FFFFFF"/>
        </w:rPr>
      </w:pPr>
      <w:r>
        <w:rPr>
          <w:rFonts w:hint="eastAsia" w:ascii="仿宋" w:hAnsi="仿宋" w:eastAsia="仿宋" w:cs="仿宋"/>
          <w:b/>
          <w:bCs w:val="0"/>
          <w:kern w:val="0"/>
          <w:sz w:val="32"/>
          <w:szCs w:val="32"/>
          <w:shd w:val="clear" w:fill="FFFFFF"/>
          <w:lang w:val="en-US" w:eastAsia="zh-CN" w:bidi="ar"/>
        </w:rPr>
        <w:t>（三）国有资产占有使用情况</w:t>
      </w:r>
    </w:p>
    <w:p w14:paraId="651F4EF0">
      <w:pPr>
        <w:pStyle w:val="9"/>
        <w:keepNext w:val="0"/>
        <w:keepLines w:val="0"/>
        <w:widowControl/>
        <w:suppressLineNumbers w:val="0"/>
        <w:shd w:val="clear" w:fill="FFFFFF"/>
        <w:spacing w:before="0" w:beforeAutospacing="1" w:after="0" w:afterAutospacing="1" w:line="560" w:lineRule="exact"/>
        <w:ind w:left="0" w:right="0" w:firstLine="640" w:firstLineChars="200"/>
        <w:jc w:val="left"/>
        <w:rPr>
          <w:rFonts w:hint="eastAsia" w:ascii="仿宋_GB2312" w:hAnsi="宋体" w:eastAsia="仿宋_GB2312" w:cs="宋体"/>
          <w:kern w:val="0"/>
          <w:sz w:val="32"/>
          <w:szCs w:val="32"/>
          <w:shd w:val="clear" w:fill="FFFFFF"/>
        </w:rPr>
      </w:pPr>
      <w:r>
        <w:rPr>
          <w:rFonts w:hint="eastAsia" w:ascii="仿宋_GB2312" w:hAnsi="宋体" w:eastAsia="仿宋_GB2312" w:cs="仿宋_GB2312"/>
          <w:kern w:val="0"/>
          <w:sz w:val="32"/>
          <w:szCs w:val="32"/>
          <w:shd w:val="clear" w:fill="FFFFFF"/>
          <w:lang w:val="en-US" w:eastAsia="zh-CN" w:bidi="ar"/>
        </w:rPr>
        <w:t>截至2025年12月31日，汶川县总工会共有车辆3辆，其中：主要领导干部用车0辆、机要通信用车0辆、应急保障用车0辆、其他用车3辆，其他用车主要是用于工会开展调研、检查、考察、工会业务工作等。单价100万元以上专用设备0台（套）。</w:t>
      </w:r>
    </w:p>
    <w:p w14:paraId="0EE17C79">
      <w:pPr>
        <w:pStyle w:val="9"/>
        <w:keepNext w:val="0"/>
        <w:keepLines w:val="0"/>
        <w:widowControl/>
        <w:suppressLineNumbers w:val="0"/>
        <w:shd w:val="clear" w:fill="FFFFFF"/>
        <w:spacing w:before="0" w:beforeAutospacing="1" w:after="0" w:afterAutospacing="1" w:line="560" w:lineRule="exact"/>
        <w:ind w:left="0" w:leftChars="0" w:right="0" w:firstLine="643" w:firstLineChars="200"/>
        <w:jc w:val="left"/>
        <w:rPr>
          <w:rFonts w:hint="eastAsia" w:ascii="仿宋" w:hAnsi="仿宋" w:eastAsia="仿宋" w:cs="宋体"/>
          <w:b/>
          <w:bCs w:val="0"/>
          <w:kern w:val="0"/>
          <w:sz w:val="32"/>
          <w:szCs w:val="32"/>
          <w:shd w:val="clear" w:fill="FFFFFF"/>
        </w:rPr>
      </w:pPr>
      <w:r>
        <w:rPr>
          <w:rFonts w:hint="eastAsia" w:ascii="仿宋" w:hAnsi="仿宋" w:eastAsia="仿宋" w:cs="仿宋"/>
          <w:b/>
          <w:bCs w:val="0"/>
          <w:kern w:val="0"/>
          <w:sz w:val="32"/>
          <w:szCs w:val="32"/>
          <w:shd w:val="clear" w:fill="FFFFFF"/>
          <w:lang w:val="en-US" w:eastAsia="zh-CN" w:bidi="ar"/>
        </w:rPr>
        <w:t>（四）预算绩效管理情况</w:t>
      </w:r>
    </w:p>
    <w:p w14:paraId="07E6C125">
      <w:pPr>
        <w:pStyle w:val="9"/>
        <w:keepNext w:val="0"/>
        <w:keepLines w:val="0"/>
        <w:widowControl/>
        <w:suppressLineNumbers w:val="0"/>
        <w:shd w:val="clear" w:fill="FFFFFF"/>
        <w:spacing w:before="0" w:beforeAutospacing="1" w:after="0" w:afterAutospacing="1" w:line="560" w:lineRule="exact"/>
        <w:ind w:left="0" w:leftChars="0" w:right="0" w:firstLine="640" w:firstLineChars="200"/>
        <w:jc w:val="left"/>
        <w:rPr>
          <w:rFonts w:ascii="仿宋_GB2312" w:eastAsia="仿宋_GB2312"/>
          <w:b/>
          <w:sz w:val="32"/>
          <w:szCs w:val="32"/>
        </w:rPr>
      </w:pPr>
      <w:r>
        <w:rPr>
          <w:rFonts w:hint="eastAsia" w:ascii="仿宋" w:hAnsi="仿宋" w:eastAsia="仿宋" w:cs="仿宋"/>
          <w:bCs/>
          <w:kern w:val="0"/>
          <w:sz w:val="32"/>
          <w:szCs w:val="32"/>
          <w:shd w:val="clear" w:fill="FFFFFF"/>
          <w:lang w:val="en-US" w:eastAsia="zh-CN" w:bidi="ar"/>
        </w:rPr>
        <w:t>根据预算绩效管理要求，2025年我单位整体支出1235.95万元，支出与目标申报一致。根据绩效管理要求，我单位对2025年部门整体支出进行了自评绩效自评得分为88.72分；本部门在2025年度预算编制阶段，组织对财政划拨工会经费、困难职工帮扶资金项目等5个项目开展了预算事前绩效评估，对5个项目编制了绩效目标，预算执行过程中，选取5个项目开展绩效监控。对财政划拨工会经费、困难职工帮扶资金专项预算项目绩效自评得分为86分，绩效自评综述。绩效自评报告详见附件。</w:t>
      </w:r>
      <w:r>
        <w:rPr>
          <w:rFonts w:ascii="仿宋_GB2312" w:eastAsia="仿宋_GB2312"/>
          <w:b/>
          <w:sz w:val="32"/>
          <w:szCs w:val="32"/>
        </w:rPr>
        <w:br w:type="page"/>
      </w:r>
    </w:p>
    <w:p w14:paraId="1D3BAA23">
      <w:pPr>
        <w:numPr>
          <w:ilvl w:val="0"/>
          <w:numId w:val="3"/>
        </w:numPr>
        <w:spacing w:line="600" w:lineRule="exact"/>
        <w:ind w:firstLine="660" w:firstLineChars="150"/>
        <w:jc w:val="center"/>
        <w:outlineLvl w:val="0"/>
        <w:rPr>
          <w:rStyle w:val="14"/>
          <w:rFonts w:ascii="黑体" w:hAnsi="黑体" w:eastAsia="黑体"/>
          <w:b w:val="0"/>
        </w:rPr>
      </w:pPr>
      <w:bookmarkStart w:id="38" w:name="_Toc15377225"/>
      <w:bookmarkStart w:id="39" w:name="_Toc15396613"/>
      <w:r>
        <w:rPr>
          <w:rFonts w:hint="eastAsia" w:ascii="黑体" w:hAnsi="黑体" w:eastAsia="黑体"/>
          <w:sz w:val="44"/>
          <w:szCs w:val="44"/>
        </w:rPr>
        <w:t>名</w:t>
      </w:r>
      <w:r>
        <w:rPr>
          <w:rStyle w:val="14"/>
          <w:rFonts w:hint="eastAsia" w:ascii="黑体" w:hAnsi="黑体" w:eastAsia="黑体"/>
          <w:b w:val="0"/>
        </w:rPr>
        <w:t>词解释</w:t>
      </w:r>
      <w:bookmarkEnd w:id="38"/>
      <w:bookmarkEnd w:id="39"/>
    </w:p>
    <w:p w14:paraId="5B67AB26">
      <w:pPr>
        <w:spacing w:line="600" w:lineRule="exact"/>
        <w:jc w:val="left"/>
        <w:rPr>
          <w:rFonts w:ascii="宋体"/>
          <w:b/>
          <w:sz w:val="44"/>
          <w:szCs w:val="44"/>
        </w:rPr>
      </w:pPr>
    </w:p>
    <w:p w14:paraId="1A3A7B5E">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20C4A5DC">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事业收入：指事业单位开展专业业务活动及辅助活动取得的收入。如（二级预算单位事业收入情况）等。</w:t>
      </w:r>
    </w:p>
    <w:p w14:paraId="1D5F23F4">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经营收入：指事业单位在专业业务活动及其辅助活动之外开展非独立核算经营活动取得的收入。如（二级预算单位经营收入情况）等。</w:t>
      </w:r>
    </w:p>
    <w:p w14:paraId="1C5B2C31">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14:paraId="0C8A8334">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14:paraId="177E12A3">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54280116">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0E78E40D">
      <w:pPr>
        <w:pStyle w:val="1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513B1F92">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9.一般公共服务（类）群众团体事务（款）行政运行支出（项）。反映行政单位（包括实行公务员管理的事业单位）的基本支出。</w:t>
      </w:r>
    </w:p>
    <w:p w14:paraId="03D9125D">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10.一般公共服务（类）群众团体事务（款）其他群众团体事务支出（项）。反映除上述项目以外其他用于群众团体事务方面的支出。</w:t>
      </w:r>
    </w:p>
    <w:p w14:paraId="04608946">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11.社会保障和就业（类）行政事业单位养老支出（款）机关事业单位养老保险缴费支出（项）。反映机关事业单位实施养老保险制度由单位缴纳的基本养老保险费支出。</w:t>
      </w:r>
    </w:p>
    <w:p w14:paraId="603B73E5">
      <w:pPr>
        <w:spacing w:line="600" w:lineRule="exact"/>
        <w:ind w:firstLine="640" w:firstLineChars="200"/>
        <w:rPr>
          <w:rFonts w:hint="default"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12.社会保障和就业（类）行政事业单位养老支出（款）机关事业单位职业年金缴费支出（项）。反映机关事业单位实施养老保险制度由单位实际缴纳的职业年金支出（含职业年金补记支出）</w:t>
      </w:r>
    </w:p>
    <w:p w14:paraId="469A9D64">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13.卫生健康（类）行政事业单位医疗（款）行政单位医疗支出（项）。反映财政部门安排的行政单位（包括实行公务员管理的事业单位，下同）基本医疗保险缴费经费，未参加医疗保险的行政单位的公费医疗经费，按国家规定享受离休人员、红军老战士待遇人员的医疗经费。</w:t>
      </w:r>
    </w:p>
    <w:p w14:paraId="1AFCFC46">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14.卫生健康（类）行政事业单位医疗（款）公务员医疗补助支出（项）。反映财政部门安排的公务员医疗补助经费。</w:t>
      </w:r>
    </w:p>
    <w:p w14:paraId="24A8C9D5">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15.住房保障支出（类）住房改革支出（款）住房公积金支出（项）。反映按房改政策规定，行政事业单位向符合条件职工（含离退休人员）、军队（含武警）向转役复员离退休人员发放的用于购买住房的补贴。</w:t>
      </w:r>
    </w:p>
    <w:p w14:paraId="492D97CF">
      <w:pPr>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585A8B86">
      <w:pPr>
        <w:ind w:firstLine="640" w:firstLineChars="200"/>
        <w:rPr>
          <w:rFonts w:ascii="仿宋_GB2312" w:eastAsia="仿宋_GB2312"/>
          <w:sz w:val="32"/>
          <w:szCs w:val="32"/>
        </w:rPr>
      </w:pPr>
      <w:r>
        <w:rPr>
          <w:rFonts w:hint="eastAsia" w:ascii="仿宋_GB2312" w:eastAsia="仿宋_GB2312"/>
          <w:sz w:val="32"/>
          <w:szCs w:val="32"/>
          <w:lang w:val="en-US" w:eastAsia="zh-CN"/>
        </w:rPr>
        <w:t>17</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7F0DE7FD">
      <w:pPr>
        <w:ind w:firstLine="640" w:firstLineChars="200"/>
        <w:rPr>
          <w:rFonts w:ascii="仿宋_GB2312" w:eastAsia="仿宋_GB2312"/>
          <w:sz w:val="32"/>
          <w:szCs w:val="32"/>
        </w:rPr>
      </w:pPr>
      <w:r>
        <w:rPr>
          <w:rFonts w:hint="eastAsia" w:ascii="仿宋_GB2312" w:eastAsia="仿宋_GB2312"/>
          <w:sz w:val="32"/>
          <w:szCs w:val="32"/>
          <w:lang w:val="en-US" w:eastAsia="zh-CN"/>
        </w:rPr>
        <w:t>18</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35ED68F1">
      <w:pPr>
        <w:pStyle w:val="1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19</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8A4C8B0">
      <w:pPr>
        <w:pStyle w:val="1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20</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6905C38">
      <w:pPr>
        <w:spacing w:line="600" w:lineRule="exact"/>
        <w:jc w:val="center"/>
        <w:outlineLvl w:val="0"/>
        <w:rPr>
          <w:rFonts w:hint="eastAsia" w:ascii="黑体" w:hAnsi="黑体" w:eastAsia="黑体"/>
          <w:sz w:val="44"/>
          <w:szCs w:val="44"/>
        </w:rPr>
      </w:pPr>
      <w:bookmarkStart w:id="40" w:name="_Toc15396614"/>
      <w:bookmarkStart w:id="41" w:name="_Toc15377226"/>
    </w:p>
    <w:p w14:paraId="0730C6D1">
      <w:pPr>
        <w:spacing w:line="600" w:lineRule="exact"/>
        <w:jc w:val="center"/>
        <w:outlineLvl w:val="0"/>
        <w:rPr>
          <w:rFonts w:hint="eastAsia" w:ascii="黑体" w:hAnsi="黑体" w:eastAsia="黑体"/>
          <w:sz w:val="44"/>
          <w:szCs w:val="44"/>
        </w:rPr>
      </w:pPr>
    </w:p>
    <w:p w14:paraId="040C8191">
      <w:pPr>
        <w:spacing w:line="600" w:lineRule="exact"/>
        <w:jc w:val="center"/>
        <w:outlineLvl w:val="0"/>
        <w:rPr>
          <w:rFonts w:hint="eastAsia" w:ascii="黑体" w:hAnsi="黑体" w:eastAsia="黑体"/>
          <w:sz w:val="44"/>
          <w:szCs w:val="44"/>
        </w:rPr>
      </w:pPr>
    </w:p>
    <w:p w14:paraId="7BFC94D3">
      <w:pPr>
        <w:spacing w:line="600" w:lineRule="exact"/>
        <w:jc w:val="center"/>
        <w:outlineLvl w:val="0"/>
        <w:rPr>
          <w:rFonts w:hint="eastAsia" w:ascii="黑体" w:hAnsi="黑体" w:eastAsia="黑体"/>
          <w:sz w:val="44"/>
          <w:szCs w:val="44"/>
        </w:rPr>
      </w:pPr>
    </w:p>
    <w:p w14:paraId="4927366B">
      <w:pPr>
        <w:spacing w:line="600" w:lineRule="exact"/>
        <w:jc w:val="center"/>
        <w:outlineLvl w:val="0"/>
        <w:rPr>
          <w:rFonts w:hint="eastAsia" w:ascii="黑体" w:hAnsi="黑体" w:eastAsia="黑体"/>
          <w:sz w:val="44"/>
          <w:szCs w:val="44"/>
        </w:rPr>
      </w:pPr>
    </w:p>
    <w:p w14:paraId="3A3502FB">
      <w:pPr>
        <w:spacing w:line="600" w:lineRule="exact"/>
        <w:jc w:val="center"/>
        <w:outlineLvl w:val="0"/>
        <w:rPr>
          <w:rFonts w:hint="eastAsia" w:ascii="黑体" w:hAnsi="黑体" w:eastAsia="黑体"/>
          <w:sz w:val="44"/>
          <w:szCs w:val="44"/>
        </w:rPr>
      </w:pPr>
    </w:p>
    <w:p w14:paraId="18F97708">
      <w:pPr>
        <w:spacing w:line="600" w:lineRule="exact"/>
        <w:jc w:val="center"/>
        <w:outlineLvl w:val="0"/>
        <w:rPr>
          <w:rFonts w:hint="eastAsia" w:ascii="黑体" w:hAnsi="黑体" w:eastAsia="黑体"/>
          <w:sz w:val="44"/>
          <w:szCs w:val="44"/>
        </w:rPr>
      </w:pPr>
    </w:p>
    <w:p w14:paraId="1A35BA52">
      <w:pPr>
        <w:spacing w:line="600" w:lineRule="exact"/>
        <w:jc w:val="both"/>
        <w:outlineLvl w:val="0"/>
        <w:rPr>
          <w:rFonts w:hint="eastAsia" w:ascii="黑体" w:hAnsi="黑体" w:eastAsia="黑体"/>
          <w:sz w:val="44"/>
          <w:szCs w:val="44"/>
        </w:rPr>
      </w:pPr>
    </w:p>
    <w:bookmarkEnd w:id="40"/>
    <w:p w14:paraId="50D0EF26">
      <w:pPr>
        <w:pStyle w:val="9"/>
        <w:keepNext w:val="0"/>
        <w:keepLines w:val="0"/>
        <w:widowControl/>
        <w:suppressLineNumbers w:val="0"/>
        <w:shd w:val="clear" w:fill="FFFFFF"/>
        <w:spacing w:before="0" w:beforeAutospacing="1" w:after="0" w:afterAutospacing="1" w:line="560" w:lineRule="exact"/>
        <w:ind w:left="0" w:right="0" w:firstLine="2650" w:firstLineChars="600"/>
        <w:jc w:val="both"/>
        <w:rPr>
          <w:rFonts w:hint="eastAsia" w:ascii="黑体" w:hAnsi="宋体" w:eastAsia="黑体" w:cs="宋体"/>
          <w:kern w:val="0"/>
          <w:sz w:val="44"/>
          <w:szCs w:val="44"/>
          <w:shd w:val="clear" w:fill="FFFFFF"/>
        </w:rPr>
      </w:pPr>
      <w:bookmarkStart w:id="42" w:name="_Toc15396618"/>
      <w:r>
        <w:rPr>
          <w:rFonts w:hint="eastAsia" w:ascii="黑体" w:hAnsi="宋体" w:eastAsia="黑体" w:cs="黑体"/>
          <w:b/>
          <w:bCs w:val="0"/>
          <w:kern w:val="0"/>
          <w:sz w:val="44"/>
          <w:szCs w:val="44"/>
          <w:shd w:val="clear" w:fill="FFFFFF"/>
          <w:lang w:val="en-US" w:eastAsia="zh-CN" w:bidi="ar"/>
        </w:rPr>
        <w:t>第四部分</w:t>
      </w:r>
      <w:r>
        <w:rPr>
          <w:rFonts w:hint="eastAsia" w:ascii="黑体" w:hAnsi="宋体" w:eastAsia="黑体" w:cs="Times New Roman"/>
          <w:b/>
          <w:bCs w:val="0"/>
          <w:kern w:val="0"/>
          <w:sz w:val="44"/>
          <w:szCs w:val="44"/>
          <w:shd w:val="clear" w:fill="FFFFFF"/>
          <w:lang w:val="en-US" w:eastAsia="zh-CN" w:bidi="ar"/>
        </w:rPr>
        <w:t xml:space="preserve"> </w:t>
      </w:r>
      <w:r>
        <w:rPr>
          <w:rFonts w:hint="eastAsia" w:ascii="黑体" w:hAnsi="宋体" w:eastAsia="黑体" w:cs="黑体"/>
          <w:b/>
          <w:bCs w:val="0"/>
          <w:kern w:val="0"/>
          <w:sz w:val="44"/>
          <w:szCs w:val="44"/>
          <w:shd w:val="clear" w:fill="FFFFFF"/>
          <w:lang w:val="en-US" w:eastAsia="zh-CN" w:bidi="ar"/>
        </w:rPr>
        <w:t>附件</w:t>
      </w:r>
    </w:p>
    <w:p w14:paraId="7796F24E">
      <w:pPr>
        <w:pStyle w:val="9"/>
        <w:keepNext w:val="0"/>
        <w:keepLines w:val="0"/>
        <w:widowControl/>
        <w:suppressLineNumbers w:val="0"/>
        <w:shd w:val="clear" w:fill="FFFFFF"/>
        <w:spacing w:before="0" w:beforeAutospacing="1" w:after="0" w:afterAutospacing="1" w:line="560" w:lineRule="exact"/>
        <w:ind w:left="0" w:right="0"/>
        <w:jc w:val="left"/>
        <w:rPr>
          <w:rFonts w:hint="eastAsia" w:ascii="黑体" w:hAnsi="宋体" w:eastAsia="黑体" w:cs="宋体"/>
          <w:kern w:val="0"/>
          <w:sz w:val="32"/>
          <w:szCs w:val="32"/>
          <w:shd w:val="clear" w:fill="FFFFFF"/>
        </w:rPr>
      </w:pPr>
      <w:r>
        <w:rPr>
          <w:rFonts w:hint="eastAsia" w:ascii="黑体" w:hAnsi="宋体" w:eastAsia="黑体" w:cs="黑体"/>
          <w:kern w:val="0"/>
          <w:sz w:val="32"/>
          <w:szCs w:val="32"/>
          <w:shd w:val="clear" w:fill="FFFFFF"/>
          <w:lang w:val="en-US" w:eastAsia="zh-CN" w:bidi="ar"/>
        </w:rPr>
        <w:t>附件1：</w:t>
      </w:r>
    </w:p>
    <w:p w14:paraId="6C8F2587">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hint="default" w:ascii="Times New Roman" w:hAnsi="Times New Roman" w:eastAsia="方正小标宋简体" w:cs="Times New Roman"/>
          <w:b w:val="0"/>
          <w:bCs/>
          <w:kern w:val="2"/>
          <w:sz w:val="44"/>
          <w:szCs w:val="44"/>
          <w:shd w:val="clear" w:fill="FFFFFF"/>
        </w:rPr>
      </w:pPr>
      <w:r>
        <w:rPr>
          <w:rFonts w:hint="eastAsia" w:ascii="方正小标宋简体" w:hAnsi="方正小标宋简体" w:eastAsia="方正小标宋简体" w:cs="方正小标宋简体"/>
          <w:b w:val="0"/>
          <w:bCs/>
          <w:kern w:val="2"/>
          <w:sz w:val="44"/>
          <w:szCs w:val="44"/>
          <w:shd w:val="clear" w:fill="FFFFFF"/>
          <w:lang w:val="en-US" w:eastAsia="zh-CN" w:bidi="ar"/>
        </w:rPr>
        <w:t>汶川县总工会</w:t>
      </w:r>
      <w:r>
        <w:rPr>
          <w:rFonts w:hint="default" w:ascii="Times New Roman" w:hAnsi="Times New Roman" w:eastAsia="方正小标宋简体" w:cs="Times New Roman"/>
          <w:b w:val="0"/>
          <w:bCs/>
          <w:kern w:val="2"/>
          <w:sz w:val="44"/>
          <w:szCs w:val="44"/>
          <w:shd w:val="clear" w:fill="FFFFFF"/>
          <w:lang w:val="en-US" w:eastAsia="zh-CN" w:bidi="ar"/>
        </w:rPr>
        <w:t>2025</w:t>
      </w:r>
      <w:r>
        <w:rPr>
          <w:rFonts w:hint="eastAsia" w:ascii="方正小标宋简体" w:hAnsi="方正小标宋简体" w:eastAsia="方正小标宋简体" w:cs="方正小标宋简体"/>
          <w:b w:val="0"/>
          <w:bCs/>
          <w:kern w:val="2"/>
          <w:sz w:val="44"/>
          <w:szCs w:val="44"/>
          <w:shd w:val="clear" w:fill="FFFFFF"/>
          <w:lang w:val="en-US" w:eastAsia="zh-CN" w:bidi="ar"/>
        </w:rPr>
        <w:t>年预算绩效评价报告</w:t>
      </w:r>
    </w:p>
    <w:p w14:paraId="513F7601">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（报告范围包括机关和下属单位）</w:t>
      </w:r>
    </w:p>
    <w:p w14:paraId="0379F8FF">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hint="eastAsia" w:ascii="仿宋" w:hAnsi="仿宋" w:eastAsia="仿宋" w:cs="宋体"/>
          <w:bCs/>
          <w:kern w:val="0"/>
          <w:sz w:val="32"/>
          <w:szCs w:val="32"/>
        </w:rPr>
      </w:pPr>
      <w:r>
        <w:rPr>
          <w:rFonts w:hint="eastAsia" w:ascii="仿宋" w:hAnsi="仿宋" w:eastAsia="仿宋" w:cs="宋体"/>
          <w:bCs/>
          <w:kern w:val="0"/>
          <w:sz w:val="32"/>
          <w:szCs w:val="32"/>
          <w:lang w:val="en-US" w:eastAsia="zh-CN" w:bidi="ar"/>
        </w:rPr>
        <w:t xml:space="preserve"> </w:t>
      </w:r>
    </w:p>
    <w:p w14:paraId="0930747D">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outlineLvl w:val="0"/>
        <w:rPr>
          <w:rFonts w:hint="eastAsia" w:ascii="仿宋" w:hAnsi="仿宋" w:eastAsia="仿宋" w:cs="宋体"/>
          <w:b/>
          <w:bCs w:val="0"/>
          <w:kern w:val="0"/>
          <w:sz w:val="32"/>
          <w:szCs w:val="32"/>
        </w:rPr>
      </w:pPr>
      <w:r>
        <w:rPr>
          <w:rFonts w:hint="eastAsia" w:ascii="仿宋" w:hAnsi="仿宋" w:eastAsia="仿宋" w:cs="仿宋"/>
          <w:b/>
          <w:bCs w:val="0"/>
          <w:kern w:val="0"/>
          <w:sz w:val="32"/>
          <w:szCs w:val="32"/>
          <w:lang w:val="en-US" w:eastAsia="zh-CN" w:bidi="ar"/>
        </w:rPr>
        <w:t>一、部门（单位）基本情况</w:t>
      </w:r>
      <w:r>
        <w:rPr>
          <w:rFonts w:hint="eastAsia" w:ascii="仿宋" w:hAnsi="仿宋" w:eastAsia="仿宋" w:cs="宋体"/>
          <w:b/>
          <w:bCs w:val="0"/>
          <w:kern w:val="0"/>
          <w:sz w:val="32"/>
          <w:szCs w:val="32"/>
          <w:lang w:val="en-US" w:eastAsia="zh-CN" w:bidi="ar"/>
        </w:rPr>
        <w:t xml:space="preserve"> </w:t>
      </w:r>
    </w:p>
    <w:p w14:paraId="5355E7C0">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（一）机构组成。我会属一级预算单位，无下属二级预算单位，其中内设机构2个，分别是办公室和困难职工帮扶中心。</w:t>
      </w:r>
    </w:p>
    <w:p w14:paraId="51F27CCC">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二）机构职能。县总工会是全县各级工会的领导机关，以宪法为根本活动准则，依照《工会法》和《中国工会章程》规定，组织和指导全县各级工会组织切实履行“维护、建设、参与、教育”四项社会职能，维护职工合法权益是工会的基本职能。按照经费使用“三服务”原则，独立自主地开展工会各项工作。</w:t>
      </w:r>
    </w:p>
    <w:p w14:paraId="46085EB4">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1．负责单位工会组建工作；</w:t>
      </w:r>
    </w:p>
    <w:p w14:paraId="69CDDAAE">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2．指导基层工会加强对行政与职工签订劳动合同提供帮助并加强监督；代表职工与单位就有关职工的分配、劳动保护、社会保障等事项，与单位进行平等协商、签订劳动合同；维护职工的经济利益和民主权利。</w:t>
      </w:r>
    </w:p>
    <w:p w14:paraId="6F53D8FA">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3．协调和处理单位劳动争议和劳资矛盾。推动职工之家建设，指导创建劳动关系和谐企业，创建稳定协调的劳动关系。</w:t>
      </w:r>
    </w:p>
    <w:p w14:paraId="109A6850">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4．加强单位精神文明建设和文化建设，开展安全生产竞赛等适合单位特点的工会活动和文化体育活动。</w:t>
      </w:r>
    </w:p>
    <w:p w14:paraId="6FAD14F6">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5．指导基层对工会经费的收缴、上解，管好、用好工会经费。</w:t>
      </w:r>
    </w:p>
    <w:p w14:paraId="0A25EF24">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6．执行会员大会上或会员代表大会的决议和上级工会的决定，负责闭会期间工会的日常工作：代表和组织职工依照法律规定，通过职工代表大会的日常工作、检查、督促职工代表大会决议的执行。</w:t>
      </w:r>
    </w:p>
    <w:p w14:paraId="2E73061C">
      <w:pPr>
        <w:keepNext w:val="0"/>
        <w:keepLines w:val="0"/>
        <w:widowControl/>
        <w:suppressLineNumbers w:val="0"/>
        <w:autoSpaceDE w:val="0"/>
        <w:autoSpaceDN/>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7．推动创建职工之家，开展创建"工人先锋号"活动，并使之与建家活动科学结合。</w:t>
      </w:r>
    </w:p>
    <w:p w14:paraId="3162A31E">
      <w:pPr>
        <w:keepNext w:val="0"/>
        <w:keepLines w:val="0"/>
        <w:widowControl/>
        <w:suppressLineNumbers w:val="0"/>
        <w:autoSpaceDE w:val="0"/>
        <w:autoSpaceDN/>
        <w:adjustRightInd w:val="0"/>
        <w:snapToGrid w:val="0"/>
        <w:spacing w:before="0" w:beforeAutospacing="0" w:after="0" w:afterAutospacing="0" w:line="580"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（三）人员概况。截至</w:t>
      </w:r>
      <w:r>
        <w:rPr>
          <w:rFonts w:hint="eastAsia" w:ascii="仿宋" w:hAnsi="仿宋" w:eastAsia="仿宋" w:cs="宋体"/>
          <w:bCs/>
          <w:kern w:val="0"/>
          <w:sz w:val="32"/>
          <w:szCs w:val="32"/>
          <w:lang w:val="en-US" w:eastAsia="zh-CN" w:bidi="ar"/>
        </w:rPr>
        <w:t>202</w:t>
      </w:r>
      <w:r>
        <w:rPr>
          <w:rFonts w:hint="eastAsia" w:ascii="仿宋" w:hAnsi="仿宋" w:eastAsia="仿宋" w:cs="仿宋"/>
          <w:bCs/>
          <w:kern w:val="0"/>
          <w:sz w:val="32"/>
          <w:szCs w:val="32"/>
          <w:lang w:val="en-US" w:eastAsia="zh-CN" w:bidi="ar"/>
        </w:rPr>
        <w:t>5年末，我会根据县委编办核定编制人数9人,其中:行政编制5人,事业编制4人。在职人员总数7人，其中：行政人员4人，事业人员3人。</w:t>
      </w:r>
    </w:p>
    <w:p w14:paraId="139E2990">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rPr>
          <w:rFonts w:hint="eastAsia" w:ascii="仿宋" w:hAnsi="仿宋" w:eastAsia="仿宋" w:cs="宋体"/>
          <w:b/>
          <w:bCs w:val="0"/>
          <w:kern w:val="0"/>
          <w:sz w:val="32"/>
          <w:szCs w:val="32"/>
        </w:rPr>
      </w:pPr>
      <w:r>
        <w:rPr>
          <w:rFonts w:hint="eastAsia" w:ascii="仿宋" w:hAnsi="仿宋" w:eastAsia="仿宋" w:cs="仿宋"/>
          <w:b/>
          <w:bCs w:val="0"/>
          <w:kern w:val="0"/>
          <w:sz w:val="32"/>
          <w:szCs w:val="32"/>
          <w:lang w:val="en-US" w:eastAsia="zh-CN" w:bidi="ar"/>
        </w:rPr>
        <w:t>二、部门资金收支情况</w:t>
      </w:r>
    </w:p>
    <w:p w14:paraId="10BE5ADF">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0"/>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（一）收入情况。汶川县总工会2025年年初预算收入1278.89万元、决算报表收入1302.2万元。其中：一般公共预算财政拨款收入1202.2万元，占收入的92.32%。年初结转结余100万。占收入的7.68%。</w:t>
      </w:r>
    </w:p>
    <w:p w14:paraId="6E605F94">
      <w:pPr>
        <w:keepNext w:val="0"/>
        <w:keepLines w:val="0"/>
        <w:widowControl/>
        <w:suppressLineNumbers w:val="0"/>
        <w:autoSpaceDE w:val="0"/>
        <w:autoSpaceDN/>
        <w:adjustRightInd w:val="0"/>
        <w:snapToGrid w:val="0"/>
        <w:spacing w:before="0" w:beforeAutospacing="0" w:after="0" w:afterAutospacing="0" w:line="580" w:lineRule="exact"/>
        <w:ind w:left="0" w:right="0" w:firstLine="72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二）支出情况。汶川县总工会2025年年初预算支出1278.89万元、决算报表支出1302.2万元。其中:一般公共服务支出1260.97万元，占96.83%；社会保障和就业支出20.34万元，占1.56%；卫生健康支出为9.68万元，占比0.74%；住房保障支出为11.17万元，占比0.86%</w:t>
      </w:r>
    </w:p>
    <w:p w14:paraId="4FCB6AC0">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（三）结余分配和结转结余情况。汶川县总工会2025年无结转结余情况。</w:t>
      </w:r>
    </w:p>
    <w:p w14:paraId="7AF357FA">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rPr>
          <w:rFonts w:hint="eastAsia" w:ascii="仿宋" w:hAnsi="仿宋" w:eastAsia="仿宋" w:cs="宋体"/>
          <w:b/>
          <w:bCs w:val="0"/>
          <w:kern w:val="0"/>
          <w:sz w:val="32"/>
          <w:szCs w:val="32"/>
        </w:rPr>
      </w:pPr>
      <w:r>
        <w:rPr>
          <w:rFonts w:hint="eastAsia" w:ascii="仿宋" w:hAnsi="仿宋" w:eastAsia="仿宋" w:cs="仿宋"/>
          <w:b/>
          <w:bCs w:val="0"/>
          <w:kern w:val="0"/>
          <w:sz w:val="32"/>
          <w:szCs w:val="32"/>
          <w:lang w:val="en-US" w:eastAsia="zh-CN" w:bidi="ar"/>
        </w:rPr>
        <w:t>三、部门预算绩效分析</w:t>
      </w:r>
    </w:p>
    <w:p w14:paraId="668E89D2">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1"/>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（一）部门预算总体绩效分析。根据部门预算绩效评价指标体系“总体绩效”涉及二、三级指标进行逐项绩效分析并评分，依次包括履职效能、预算管理、财务管理、资产管理、采购管理等情况。</w:t>
      </w:r>
    </w:p>
    <w:p w14:paraId="75DF6D2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1.履职效能。（15分）</w:t>
      </w:r>
    </w:p>
    <w:p w14:paraId="230B4623">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（1）数量指标：困难职工帮扶人次100人，全部完成绩效目标。</w:t>
      </w:r>
    </w:p>
    <w:p w14:paraId="7530E43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（2）质量指标：机关事务正常运转率100%，已按照年初计划开展本年度工作，保障工会工运事业健康发展。</w:t>
      </w:r>
    </w:p>
    <w:p w14:paraId="56A5E1F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（3）时效指标：2025年12月前完成年度任务，完成绩效目标，但个别工作推进滞后。</w:t>
      </w:r>
    </w:p>
    <w:p w14:paraId="29CC304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（4）社会效益指标：困难职工帮扶合格率&gt;=90%,完成绩效目标。</w:t>
      </w:r>
    </w:p>
    <w:p w14:paraId="54C27BB8">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（5）可持续影响指标：提升职工获得感，幸福感。有所提升。</w:t>
      </w:r>
    </w:p>
    <w:p w14:paraId="659E14D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（6）满意度指标：服务对象满意度&gt;=90%，完成绩效目标。</w:t>
      </w:r>
    </w:p>
    <w:p w14:paraId="49D4BC8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（7）经济成本指标：财政预算拨款支付率&gt;=95%，完成绩效目标</w:t>
      </w:r>
    </w:p>
    <w:p w14:paraId="0708330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综上，根据评分标准，绩效指标值全部达标，但在时间把控上有待提升，该项指标，得12分。</w:t>
      </w:r>
    </w:p>
    <w:p w14:paraId="5D525C06">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2.预算管理（25分）。</w:t>
      </w:r>
    </w:p>
    <w:p w14:paraId="336E4473">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2025年总工会的部门预算编制规范、准确，各项经费足额纳入预算安排，确保了部门正常运转和专项工作的顺利开展，较好完成年初绩效目标任务。2025年决算按县财政要求进行编制、准确、详实、真实地反映了本单位财政收支情况。</w:t>
      </w:r>
    </w:p>
    <w:p w14:paraId="7C3CE4E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县总工会认真贯彻落实中央和省委省政府相关规定，厉行节约，严格控制经费支出。2025年年初预算收入为1278.89万元，支出为1302.2元。因人员工资标准以及人员变动等情况导致比年初预算收入增加23.31万元。2025年“三公”经费财政拨款预算数10万元，其中:公务接待费预算2万元，公务用车运行维护费8万元。年末实际“三公”经费支出8.15万元，其中公务接待费0.15万元，公务用车运行维护费8万元。公务车购置费0万元。</w:t>
      </w:r>
    </w:p>
    <w:p w14:paraId="6D050387">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综上，根据评分标准，全年完成预算执行，得22.92分。</w:t>
      </w:r>
    </w:p>
    <w:p w14:paraId="420BAEB2">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3.财务管理（10分）</w:t>
      </w:r>
    </w:p>
    <w:p w14:paraId="4F8AD36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围绕财务管理制度、财务岗位设置、资金使用规范进行绩效分析。</w:t>
      </w:r>
    </w:p>
    <w:p w14:paraId="3147199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我单位建立了全面、系统的财务管理制度，涵盖预算管理、收支管理、资产管理、合同管理等多个方面。并及时及时更新制度，以适应国家政策法规和单位发展的需要。</w:t>
      </w:r>
    </w:p>
    <w:p w14:paraId="1AA410E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财务岗位设置与单位业务规模、业务范围及复杂程度相匹配，确保各岗位职责明确、分工合理，避免职责重叠或缺失。</w:t>
      </w:r>
    </w:p>
    <w:p w14:paraId="38B7C84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建立了完善的资金管理制度，包括资金收入、使用、审批、监督等各个环节。明确规定了资金使用的范围、标准、程序和责任。但细节把控仍有不足需改进。</w:t>
      </w:r>
    </w:p>
    <w:p w14:paraId="2BB1EEA4">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综上，根据评分标准，该项指标，得7分。</w:t>
      </w:r>
    </w:p>
    <w:p w14:paraId="63AD939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4.资产管理。（9分）</w:t>
      </w:r>
    </w:p>
    <w:p w14:paraId="36031FC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围绕人均资产变化率、资产利用率、资产盘活率进行绩效分析。</w:t>
      </w:r>
    </w:p>
    <w:p w14:paraId="20F140F3">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我单位2025年年末人均资产变化率未超过县级财政同期比率，资产利用率较好，资产得到了充分有效利用。单位通过出租方式实现资产价值增值，在资产管理方面具有较强的市场敏感性和操作能力，但总体有待提高。</w:t>
      </w:r>
    </w:p>
    <w:p w14:paraId="386597EA">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综上，根据评分标准，该项指标，得6.3分。</w:t>
      </w:r>
    </w:p>
    <w:p w14:paraId="55B04C8B">
      <w:pPr>
        <w:keepNext w:val="0"/>
        <w:keepLines w:val="0"/>
        <w:widowControl w:val="0"/>
        <w:numPr>
          <w:ilvl w:val="0"/>
          <w:numId w:val="4"/>
        </w:numPr>
        <w:suppressLineNumbers w:val="0"/>
        <w:autoSpaceDE w:val="0"/>
        <w:autoSpaceDN/>
        <w:adjustRightInd w:val="0"/>
        <w:snapToGrid w:val="0"/>
        <w:spacing w:before="0" w:beforeAutospacing="0" w:after="0" w:afterAutospacing="0" w:line="578" w:lineRule="exact"/>
        <w:ind w:left="0" w:leftChars="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采购管理。（6分）</w:t>
      </w:r>
    </w:p>
    <w:p w14:paraId="5234EFD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围绕支持中小企业发展、采购执行率进行绩效分析。</w:t>
      </w:r>
    </w:p>
    <w:p w14:paraId="4B74180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2025年度我单位采购均为框架协议采购公车维修以及保险服务，严格按照相关流程进行采购。</w:t>
      </w:r>
    </w:p>
    <w:p w14:paraId="0F89C8E4">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综上，根据评分标准，该项指标，得5.5分。</w:t>
      </w:r>
    </w:p>
    <w:p w14:paraId="0D1DD7FE">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1"/>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（二）部门预算项目绩效分析。填报以下数据，并根据部门预算绩效评价指标体系“项目绩效”涉及二、三级指标进行逐项绩效分析并评分，依次包括项目决策、项目执行、目标实现等情况。</w:t>
      </w:r>
    </w:p>
    <w:p w14:paraId="0E3B67B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常年项目绩效分析。该类项目总数5个，涉及预算总金额1127.05万元，其他资金项目1个，涉及金额100万。</w:t>
      </w:r>
      <w:r>
        <w:rPr>
          <w:rFonts w:hint="eastAsia" w:ascii="仿宋" w:hAnsi="仿宋" w:eastAsia="仿宋" w:cs="宋体"/>
          <w:bCs/>
          <w:kern w:val="0"/>
          <w:sz w:val="32"/>
          <w:szCs w:val="32"/>
          <w:lang w:val="en-US" w:eastAsia="zh-CN" w:bidi="ar"/>
        </w:rPr>
        <w:t>1</w:t>
      </w:r>
      <w:r>
        <w:rPr>
          <w:rFonts w:hint="eastAsia" w:ascii="仿宋" w:hAnsi="仿宋" w:eastAsia="仿宋" w:cs="仿宋"/>
          <w:bCs/>
          <w:kern w:val="0"/>
          <w:sz w:val="32"/>
          <w:szCs w:val="32"/>
          <w:lang w:val="en-US" w:eastAsia="zh-CN" w:bidi="ar"/>
        </w:rPr>
        <w:t>—</w:t>
      </w:r>
      <w:r>
        <w:rPr>
          <w:rFonts w:hint="eastAsia" w:ascii="仿宋" w:hAnsi="仿宋" w:eastAsia="仿宋" w:cs="宋体"/>
          <w:bCs/>
          <w:kern w:val="0"/>
          <w:sz w:val="32"/>
          <w:szCs w:val="32"/>
          <w:lang w:val="en-US" w:eastAsia="zh-CN" w:bidi="ar"/>
        </w:rPr>
        <w:t>12</w:t>
      </w:r>
      <w:r>
        <w:rPr>
          <w:rFonts w:hint="eastAsia" w:ascii="仿宋" w:hAnsi="仿宋" w:eastAsia="仿宋" w:cs="仿宋"/>
          <w:bCs/>
          <w:kern w:val="0"/>
          <w:sz w:val="32"/>
          <w:szCs w:val="32"/>
          <w:lang w:val="en-US" w:eastAsia="zh-CN" w:bidi="ar"/>
        </w:rPr>
        <w:t>月预算执行总体进度为100</w:t>
      </w:r>
      <w:r>
        <w:rPr>
          <w:rFonts w:hint="eastAsia" w:ascii="仿宋" w:hAnsi="仿宋" w:eastAsia="仿宋" w:cs="宋体"/>
          <w:bCs/>
          <w:kern w:val="0"/>
          <w:sz w:val="32"/>
          <w:szCs w:val="32"/>
          <w:lang w:val="en-US" w:eastAsia="zh-CN" w:bidi="ar"/>
        </w:rPr>
        <w:t>%，其中：预算结余率大于10%</w:t>
      </w:r>
      <w:r>
        <w:rPr>
          <w:rFonts w:hint="eastAsia" w:ascii="仿宋" w:hAnsi="仿宋" w:eastAsia="仿宋" w:cs="仿宋"/>
          <w:bCs/>
          <w:kern w:val="0"/>
          <w:sz w:val="32"/>
          <w:szCs w:val="32"/>
          <w:lang w:val="en-US" w:eastAsia="zh-CN" w:bidi="ar"/>
        </w:rPr>
        <w:t>的项目共计0个。</w:t>
      </w:r>
    </w:p>
    <w:p w14:paraId="06625E62">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阶段（一次性）项目绩效分析。该类项目总数5个，涉及预算总金额1127.05万元，</w:t>
      </w:r>
      <w:r>
        <w:rPr>
          <w:rFonts w:hint="eastAsia" w:ascii="仿宋" w:hAnsi="仿宋" w:eastAsia="仿宋" w:cs="宋体"/>
          <w:bCs/>
          <w:kern w:val="0"/>
          <w:sz w:val="32"/>
          <w:szCs w:val="32"/>
          <w:lang w:val="en-US" w:eastAsia="zh-CN" w:bidi="ar"/>
        </w:rPr>
        <w:t>1</w:t>
      </w:r>
      <w:r>
        <w:rPr>
          <w:rFonts w:hint="eastAsia" w:ascii="仿宋" w:hAnsi="仿宋" w:eastAsia="仿宋" w:cs="仿宋"/>
          <w:bCs/>
          <w:kern w:val="0"/>
          <w:sz w:val="32"/>
          <w:szCs w:val="32"/>
          <w:lang w:val="en-US" w:eastAsia="zh-CN" w:bidi="ar"/>
        </w:rPr>
        <w:t>—</w:t>
      </w:r>
      <w:r>
        <w:rPr>
          <w:rFonts w:hint="eastAsia" w:ascii="仿宋" w:hAnsi="仿宋" w:eastAsia="仿宋" w:cs="宋体"/>
          <w:bCs/>
          <w:kern w:val="0"/>
          <w:sz w:val="32"/>
          <w:szCs w:val="32"/>
          <w:lang w:val="en-US" w:eastAsia="zh-CN" w:bidi="ar"/>
        </w:rPr>
        <w:t>12</w:t>
      </w:r>
      <w:r>
        <w:rPr>
          <w:rFonts w:hint="eastAsia" w:ascii="仿宋" w:hAnsi="仿宋" w:eastAsia="仿宋" w:cs="仿宋"/>
          <w:bCs/>
          <w:kern w:val="0"/>
          <w:sz w:val="32"/>
          <w:szCs w:val="32"/>
          <w:lang w:val="en-US" w:eastAsia="zh-CN" w:bidi="ar"/>
        </w:rPr>
        <w:t>月预算执行总体进度为100</w:t>
      </w:r>
      <w:r>
        <w:rPr>
          <w:rFonts w:hint="eastAsia" w:ascii="仿宋" w:hAnsi="仿宋" w:eastAsia="仿宋" w:cs="宋体"/>
          <w:bCs/>
          <w:kern w:val="0"/>
          <w:sz w:val="32"/>
          <w:szCs w:val="32"/>
          <w:lang w:val="en-US" w:eastAsia="zh-CN" w:bidi="ar"/>
        </w:rPr>
        <w:t>%，其中：预算结余率大于10%</w:t>
      </w:r>
      <w:r>
        <w:rPr>
          <w:rFonts w:hint="eastAsia" w:ascii="仿宋" w:hAnsi="仿宋" w:eastAsia="仿宋" w:cs="仿宋"/>
          <w:bCs/>
          <w:kern w:val="0"/>
          <w:sz w:val="32"/>
          <w:szCs w:val="32"/>
          <w:lang w:val="en-US" w:eastAsia="zh-CN" w:bidi="ar"/>
        </w:rPr>
        <w:t>的项目共计0个。</w:t>
      </w:r>
    </w:p>
    <w:p w14:paraId="517C81C2">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1.项目决策。（12分）</w:t>
      </w:r>
    </w:p>
    <w:p w14:paraId="2890BA0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围绕决策程序、目标设置、项目入库进行绩效分析。</w:t>
      </w:r>
    </w:p>
    <w:p w14:paraId="6D94BC0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决策过程科学和合理，决策程序的规范，包括项目立项的依据、资金构成、事前绩效评估、设置合理的绩效目标。按照预算编制规定及时进行项目入库。</w:t>
      </w:r>
    </w:p>
    <w:p w14:paraId="31E99F6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综上，根据评分标准，该项指标，得12分。</w:t>
      </w:r>
    </w:p>
    <w:p w14:paraId="60374669">
      <w:pPr>
        <w:keepNext w:val="0"/>
        <w:keepLines w:val="0"/>
        <w:widowControl w:val="0"/>
        <w:numPr>
          <w:ilvl w:val="0"/>
          <w:numId w:val="5"/>
        </w:numPr>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项目执行。（12分）</w:t>
      </w:r>
    </w:p>
    <w:p w14:paraId="7C247CE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围绕资金执行同向、项目调整、执行结果进行绩效分析。</w:t>
      </w:r>
    </w:p>
    <w:p w14:paraId="1A8B0B23">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项目执行计划具有合理性和可操作性，在任务分解、时间节点、责任分配等方面合理明确。项目执行过程中的关键环节和重点任务顺利完成，在进度控制、质量控制、成本控制等方面有待加强。</w:t>
      </w:r>
    </w:p>
    <w:p w14:paraId="5454BB2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综上，根据评分标准，该项指标，得12分。</w:t>
      </w:r>
    </w:p>
    <w:p w14:paraId="7FDE1AE9">
      <w:pPr>
        <w:keepNext w:val="0"/>
        <w:keepLines w:val="0"/>
        <w:widowControl w:val="0"/>
        <w:numPr>
          <w:ilvl w:val="0"/>
          <w:numId w:val="5"/>
        </w:numPr>
        <w:suppressLineNumbers w:val="0"/>
        <w:autoSpaceDE w:val="0"/>
        <w:autoSpaceDN/>
        <w:adjustRightInd w:val="0"/>
        <w:snapToGrid w:val="0"/>
        <w:spacing w:before="0" w:beforeAutospacing="0" w:after="0" w:afterAutospacing="0" w:line="578" w:lineRule="exact"/>
        <w:ind w:left="0" w:leftChars="0" w:right="0" w:firstLine="640" w:firstLineChars="20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目标实现。（11分）</w:t>
      </w:r>
    </w:p>
    <w:p w14:paraId="0D683AC8">
      <w:pPr>
        <w:keepNext w:val="0"/>
        <w:keepLines w:val="0"/>
        <w:widowControl w:val="0"/>
        <w:suppressLineNumbers w:val="0"/>
        <w:autoSpaceDE w:val="0"/>
        <w:autoSpaceDN/>
        <w:adjustRightInd w:val="0"/>
        <w:snapToGrid w:val="0"/>
        <w:spacing w:before="0" w:beforeAutospacing="0" w:after="0" w:afterAutospacing="0" w:line="578" w:lineRule="exact"/>
        <w:ind w:left="420" w:leftChars="200" w:right="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围绕目标完成、目标偏离、实现效果进行绩效分析。</w:t>
      </w:r>
    </w:p>
    <w:p w14:paraId="42676D32">
      <w:pPr>
        <w:keepNext w:val="0"/>
        <w:keepLines w:val="0"/>
        <w:widowControl w:val="0"/>
        <w:suppressLineNumbers w:val="0"/>
        <w:autoSpaceDE w:val="0"/>
        <w:autoSpaceDN/>
        <w:adjustRightInd w:val="0"/>
        <w:snapToGrid w:val="0"/>
        <w:spacing w:before="0" w:beforeAutospacing="0" w:after="0" w:afterAutospacing="0" w:line="578" w:lineRule="exact"/>
        <w:ind w:left="420" w:leftChars="200" w:right="0"/>
        <w:contextualSpacing/>
        <w:jc w:val="left"/>
        <w:outlineLvl w:val="2"/>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按计划完成了项目、目标偏离度小于10%，达到预期效果。</w:t>
      </w:r>
    </w:p>
    <w:p w14:paraId="2F4DF7C4">
      <w:pPr>
        <w:keepNext w:val="0"/>
        <w:keepLines w:val="0"/>
        <w:widowControl w:val="0"/>
        <w:suppressLineNumbers w:val="0"/>
        <w:snapToGrid w:val="0"/>
        <w:spacing w:before="0" w:beforeAutospacing="0" w:after="0" w:afterAutospacing="0" w:line="578"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综上，根据评分标准，该项指标，得11分。</w:t>
      </w:r>
    </w:p>
    <w:p w14:paraId="29161488">
      <w:pPr>
        <w:keepNext w:val="0"/>
        <w:keepLines w:val="0"/>
        <w:widowControl w:val="0"/>
        <w:suppressLineNumbers w:val="0"/>
        <w:snapToGrid w:val="0"/>
        <w:spacing w:before="0" w:beforeAutospacing="0" w:after="0" w:afterAutospacing="0" w:line="578" w:lineRule="exact"/>
        <w:ind w:left="0" w:right="0" w:firstLine="640" w:firstLineChars="200"/>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（三）绩效结果应用情况。围绕内部应用情况、信息公开情况、整改反馈情况进行分析。</w:t>
      </w:r>
    </w:p>
    <w:p w14:paraId="2F2460F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我会将绩效自评结果作为下年度预算配置、预算执行和预算管理的重要参照依据，不断细化绩效评价指标，提高资金使用效益。严格按照财政要求对相关数据在指定地点规定时间内进行信息公开，接受上级部门的监督检查，同时不定期进行财务自查。对于存在的问题及时整改并反馈结果。</w:t>
      </w:r>
    </w:p>
    <w:p w14:paraId="64BAC18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仿宋" w:hAnsi="仿宋" w:eastAsia="仿宋" w:cs="宋体"/>
          <w:b/>
          <w:bCs w:val="0"/>
          <w:kern w:val="0"/>
          <w:sz w:val="32"/>
          <w:szCs w:val="32"/>
        </w:rPr>
      </w:pPr>
      <w:r>
        <w:rPr>
          <w:rFonts w:hint="eastAsia" w:ascii="仿宋" w:hAnsi="仿宋" w:eastAsia="仿宋" w:cs="仿宋"/>
          <w:b/>
          <w:bCs w:val="0"/>
          <w:kern w:val="0"/>
          <w:sz w:val="32"/>
          <w:szCs w:val="32"/>
          <w:lang w:val="en-US" w:eastAsia="zh-CN" w:bidi="ar"/>
        </w:rPr>
        <w:t>四、评价结论及建议</w:t>
      </w:r>
    </w:p>
    <w:p w14:paraId="3D5CFBA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（一）评价结论。</w:t>
      </w:r>
    </w:p>
    <w:p w14:paraId="30AD67C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从整体看，本单位重视财政资金的支出绩效，并加强日常监管，在资金的预算、执行、支付上严格按相关规定执行。无截留、挪用等现象。自评得分88.72分</w:t>
      </w:r>
    </w:p>
    <w:p w14:paraId="663E9D7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存在问题。</w:t>
      </w:r>
    </w:p>
    <w:p w14:paraId="78D9E568">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1、对绩效管理工作的重要性认识不够，财务管理科学化、精细化有待进一步加强。</w:t>
      </w:r>
    </w:p>
    <w:p w14:paraId="406D3DC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2、部分绩效指标缺乏科学合理的设置，绩效指标体系有待完善。</w:t>
      </w:r>
    </w:p>
    <w:p w14:paraId="37D2DF5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（三）改进建议。</w:t>
      </w:r>
    </w:p>
    <w:p w14:paraId="33264B6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业务素质有待进一步提高，由于预算绩效管理工作缺乏系统的培训，对预算绩效管理认识不到位、理解不充分，对预算绩效管理业务不了解、不熟悉，对工作重点把握不到位。加大对会计人员的培训力度，进一步统一认识，充实业务知识。</w:t>
      </w:r>
    </w:p>
    <w:p w14:paraId="5DC8C19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宋体"/>
          <w:bCs/>
          <w:kern w:val="0"/>
          <w:sz w:val="32"/>
          <w:szCs w:val="32"/>
          <w:lang w:val="en-US" w:eastAsia="zh-CN" w:bidi="ar"/>
        </w:rPr>
        <w:t xml:space="preserve"> </w:t>
      </w:r>
    </w:p>
    <w:p w14:paraId="610BF98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附表：部门整体支出绩效目标表</w:t>
      </w:r>
    </w:p>
    <w:p w14:paraId="402DC643">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r>
        <w:rPr>
          <w:rFonts w:hint="eastAsia" w:ascii="宋体" w:hAnsi="宋体" w:eastAsia="宋体" w:cs="宋体"/>
          <w:kern w:val="0"/>
          <w:sz w:val="24"/>
          <w:szCs w:val="24"/>
          <w:shd w:val="clear" w:fill="FFFFFF"/>
          <w:lang w:val="en-US" w:eastAsia="zh-CN" w:bidi="ar"/>
        </w:rPr>
        <w:drawing>
          <wp:anchor distT="0" distB="0" distL="114300" distR="114300" simplePos="0" relativeHeight="251667456" behindDoc="0" locked="0" layoutInCell="1" allowOverlap="1">
            <wp:simplePos x="0" y="0"/>
            <wp:positionH relativeFrom="column">
              <wp:posOffset>55245</wp:posOffset>
            </wp:positionH>
            <wp:positionV relativeFrom="paragraph">
              <wp:posOffset>379730</wp:posOffset>
            </wp:positionV>
            <wp:extent cx="5276850" cy="8467725"/>
            <wp:effectExtent l="0" t="0" r="0" b="9525"/>
            <wp:wrapNone/>
            <wp:docPr id="1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18"/>
                    <a:stretch>
                      <a:fillRect/>
                    </a:stretch>
                  </pic:blipFill>
                  <pic:spPr>
                    <a:xfrm>
                      <a:off x="0" y="0"/>
                      <a:ext cx="5276850" cy="8467725"/>
                    </a:xfrm>
                    <a:prstGeom prst="rect">
                      <a:avLst/>
                    </a:prstGeom>
                    <a:noFill/>
                    <a:ln w="9525">
                      <a:noFill/>
                    </a:ln>
                  </pic:spPr>
                </pic:pic>
              </a:graphicData>
            </a:graphic>
          </wp:anchor>
        </w:drawing>
      </w:r>
    </w:p>
    <w:p w14:paraId="709DD1DA">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0CDDFBD2">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753021E9">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26E19579">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103BFF5B">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3676C05E">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5CF95EF6">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11649D7B">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6BAD8C1E">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45603F97">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04262951">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4D758251">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7DCA6868">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0C5A3FE4">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33AB842B">
      <w:pPr>
        <w:pStyle w:val="9"/>
        <w:keepNext w:val="0"/>
        <w:keepLines w:val="0"/>
        <w:widowControl/>
        <w:suppressLineNumbers w:val="0"/>
        <w:shd w:val="clear" w:fill="FFFFFF"/>
        <w:spacing w:before="0" w:beforeAutospacing="1" w:after="0" w:afterAutospacing="1" w:line="560" w:lineRule="exact"/>
        <w:ind w:left="0" w:right="0"/>
        <w:jc w:val="left"/>
        <w:rPr>
          <w:rFonts w:hint="eastAsia" w:ascii="仿宋_GB2312" w:hAnsi="宋体" w:eastAsia="仿宋_GB2312" w:cs="宋体"/>
          <w:color w:val="FF0000"/>
          <w:kern w:val="0"/>
          <w:sz w:val="32"/>
          <w:szCs w:val="32"/>
          <w:shd w:val="clear" w:fill="FFFFFF"/>
        </w:rPr>
      </w:pPr>
      <w:r>
        <w:rPr>
          <w:rFonts w:hint="eastAsia" w:ascii="仿宋_GB2312" w:hAnsi="宋体" w:eastAsia="仿宋_GB2312" w:cs="宋体"/>
          <w:color w:val="FF0000"/>
          <w:kern w:val="0"/>
          <w:sz w:val="32"/>
          <w:szCs w:val="32"/>
          <w:shd w:val="clear" w:fill="FFFFFF"/>
          <w:lang w:val="en-US" w:eastAsia="zh-CN" w:bidi="ar"/>
        </w:rPr>
        <w:t xml:space="preserve"> </w:t>
      </w:r>
    </w:p>
    <w:p w14:paraId="49D3A03C">
      <w:pPr>
        <w:pStyle w:val="9"/>
        <w:keepNext w:val="0"/>
        <w:keepLines w:val="0"/>
        <w:widowControl/>
        <w:suppressLineNumbers w:val="0"/>
        <w:shd w:val="clear" w:fill="FFFFFF"/>
        <w:spacing w:before="0" w:beforeAutospacing="1" w:after="0" w:afterAutospacing="1" w:line="560" w:lineRule="exact"/>
        <w:ind w:left="0" w:right="0"/>
        <w:jc w:val="left"/>
        <w:rPr>
          <w:rFonts w:hint="eastAsia" w:ascii="黑体" w:hAnsi="宋体" w:eastAsia="黑体" w:cs="宋体"/>
          <w:kern w:val="0"/>
          <w:sz w:val="32"/>
          <w:szCs w:val="32"/>
          <w:shd w:val="clear" w:fill="FFFFFF"/>
        </w:rPr>
      </w:pPr>
      <w:r>
        <w:rPr>
          <w:rFonts w:hint="eastAsia" w:ascii="黑体" w:hAnsi="宋体" w:eastAsia="黑体" w:cs="黑体"/>
          <w:kern w:val="0"/>
          <w:sz w:val="32"/>
          <w:szCs w:val="32"/>
          <w:shd w:val="clear" w:fill="FFFFFF"/>
          <w:lang w:val="en-US" w:eastAsia="zh-CN" w:bidi="ar"/>
        </w:rPr>
        <w:t>附件2：</w:t>
      </w:r>
    </w:p>
    <w:p w14:paraId="4A4B2F2C">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b/>
          <w:bCs/>
          <w:kern w:val="2"/>
          <w:sz w:val="44"/>
          <w:szCs w:val="44"/>
          <w:lang w:val="en-US" w:eastAsia="zh-CN" w:bidi="ar"/>
        </w:rPr>
        <w:t>困难帮扶资金预算项目绩效评价报告范本</w:t>
      </w:r>
    </w:p>
    <w:p w14:paraId="35B7BBF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仿宋" w:hAnsi="仿宋" w:eastAsia="仿宋" w:cs="宋体"/>
          <w:b/>
          <w:bCs w:val="0"/>
          <w:kern w:val="0"/>
          <w:sz w:val="32"/>
          <w:szCs w:val="32"/>
        </w:rPr>
      </w:pPr>
      <w:r>
        <w:rPr>
          <w:rFonts w:hint="eastAsia" w:ascii="仿宋" w:hAnsi="仿宋" w:eastAsia="仿宋" w:cs="仿宋"/>
          <w:b/>
          <w:bCs w:val="0"/>
          <w:kern w:val="0"/>
          <w:sz w:val="32"/>
          <w:szCs w:val="32"/>
          <w:lang w:val="en-US" w:eastAsia="zh-CN" w:bidi="ar"/>
        </w:rPr>
        <w:t>一、项目概况</w:t>
      </w:r>
    </w:p>
    <w:p w14:paraId="25B47F2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一）设立背景及基本情况。根据《中共汶川县委关于进一步加强和改进新时期工会、共青团、妇联工作的意见》（汶委发[2013]126号）文件精神，第四条第四点保障工作经费中提出，工会开展送温暖活动、困难职工帮扶等重大活动的经费要纳入财政预算。为进一步协助县委政府继续做好每年对困难职工的帮扶救助工作，充分体现党和政府对全县困难职工群体的深切关怀，困难职工帮扶资金是保障和改善民生、发挥工会维权服务职能的重要专项资金，主要用于符合政策条件的困难职工生活救助、医疗救助、子女助学、法律援助、节日走访慰问等支出。根据专项预算绩效评价指标体系，本次评价严格按照通用指标、专用指标、个性指标开展，项目实施规范、资金使用安全、帮扶成效明显，现将绩效自评情况报告如下</w:t>
      </w:r>
    </w:p>
    <w:p w14:paraId="5C4E4A0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（二）实施目的及支持方向。通过开展困难职工帮扶慰问，传递党委政府及工会组织对困难职工的关心关爱，达到聚人心、暖人心、稳人心的目标，促进职工队伍稳定，维护社会和谐发展。</w:t>
      </w:r>
    </w:p>
    <w:p w14:paraId="1339B7A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（三）预算安排及分配管理。预算申请2025年县财政困难职工帮扶专项资金9.35万元，用于全县困难职工（农民工）群体日常生活救助、医疗救助以及受疫情影响造成临时困难的救助活动。</w:t>
      </w:r>
    </w:p>
    <w:p w14:paraId="19F65F3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四）项目绩效目标设置。根据项目具体情况设置一级指标4个，分别为产出指标、效益指标、满意度指标、成本指标以及相对应二级指标7个分别为数量指标、质量指标、时效指标、经济效益指标、可持续影响指标、服务对象满意度指标、经济成本指标。各指标按要求完成，达到年初绩效目标，自评得分82。</w:t>
      </w:r>
    </w:p>
    <w:p w14:paraId="7AFF2C4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仿宋" w:hAnsi="仿宋" w:eastAsia="仿宋" w:cs="宋体"/>
          <w:b/>
          <w:bCs w:val="0"/>
          <w:kern w:val="0"/>
          <w:sz w:val="32"/>
          <w:szCs w:val="32"/>
        </w:rPr>
      </w:pPr>
      <w:r>
        <w:rPr>
          <w:rFonts w:hint="eastAsia" w:ascii="仿宋" w:hAnsi="仿宋" w:eastAsia="仿宋" w:cs="仿宋"/>
          <w:b/>
          <w:bCs w:val="0"/>
          <w:kern w:val="0"/>
          <w:sz w:val="32"/>
          <w:szCs w:val="32"/>
          <w:lang w:val="en-US" w:eastAsia="zh-CN" w:bidi="ar"/>
        </w:rPr>
        <w:t>二、评价实施</w:t>
      </w:r>
    </w:p>
    <w:p w14:paraId="10B449F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（一）评价目的。对年初目标绩效进行综合评价，有效监控专项资金使用情况。</w:t>
      </w:r>
    </w:p>
    <w:p w14:paraId="634F3C2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（二）预设问题及评价重点。帮扶困难职工人数、保障落实率帮扶率、困难职工满意度、经费使用率率。</w:t>
      </w:r>
    </w:p>
    <w:p w14:paraId="29D3F5E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（三）评价选点。汶川县总工会。</w:t>
      </w:r>
    </w:p>
    <w:p w14:paraId="4EA71AE4">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（四）评价方法。单位自评。</w:t>
      </w:r>
    </w:p>
    <w:p w14:paraId="4C5CE49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（五）评价组织。汶川县总工会具体项目负责人以及财务人员。</w:t>
      </w:r>
    </w:p>
    <w:p w14:paraId="2139BD6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仿宋" w:hAnsi="仿宋" w:eastAsia="仿宋" w:cs="宋体"/>
          <w:b/>
          <w:bCs w:val="0"/>
          <w:kern w:val="0"/>
          <w:sz w:val="32"/>
          <w:szCs w:val="32"/>
        </w:rPr>
      </w:pPr>
      <w:r>
        <w:rPr>
          <w:rFonts w:hint="eastAsia" w:ascii="仿宋" w:hAnsi="仿宋" w:eastAsia="仿宋" w:cs="仿宋"/>
          <w:b/>
          <w:bCs w:val="0"/>
          <w:kern w:val="0"/>
          <w:sz w:val="32"/>
          <w:szCs w:val="32"/>
          <w:lang w:val="en-US" w:eastAsia="zh-CN" w:bidi="ar"/>
        </w:rPr>
        <w:t>三、绩效分析</w:t>
      </w:r>
      <w:r>
        <w:rPr>
          <w:rFonts w:hint="eastAsia" w:ascii="仿宋" w:hAnsi="仿宋" w:eastAsia="仿宋" w:cs="宋体"/>
          <w:b/>
          <w:bCs w:val="0"/>
          <w:kern w:val="0"/>
          <w:sz w:val="32"/>
          <w:szCs w:val="32"/>
          <w:lang w:val="en-US" w:eastAsia="zh-CN" w:bidi="ar"/>
        </w:rPr>
        <w:tab/>
      </w:r>
    </w:p>
    <w:p w14:paraId="57FE7D7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根据项目预算绩效评价指标体系“通用指标”“专用指标”“个性指标”涉及二、三级指标进行逐项绩效分析并评分。综合评分86分。</w:t>
      </w:r>
    </w:p>
    <w:p w14:paraId="5D74B2F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（一）通用指标绩效分析。</w:t>
      </w:r>
    </w:p>
    <w:p w14:paraId="11B5329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1.项目决策（18分，得分15分）</w:t>
      </w:r>
    </w:p>
    <w:p w14:paraId="4365BB2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项目决策程序严密，符合中央、省、州关于困难职工帮扶工作部署要求，项目设立、延续、调整规范，资金投向聚焦困难职工群体，未出现交叉重复、分散使用等问题。绩效目标总体设置合理，能够全面反映帮扶工作产出与效益。</w:t>
      </w:r>
    </w:p>
    <w:p w14:paraId="430BD24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扣分原因：部分绩效目标量化细化程度不足，个别指标合理性偏离度略超控制区间，扣3分。</w:t>
      </w:r>
    </w:p>
    <w:p w14:paraId="2F4F6F4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2.项目管理（18分，得分14分）</w:t>
      </w:r>
    </w:p>
    <w:p w14:paraId="18FAAA4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项目管理制度健全，资金管理办法完善有效；资金分配依据充分、程序规范、区域分布公平；按要求开展绩效目标管理、绩效评价、问题整改等工作，对基层帮扶工作实施指导与监管。</w:t>
      </w:r>
    </w:p>
    <w:p w14:paraId="037F943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扣分原因：个别年度分配档案资料不够完整，绩效监管痕迹材料不够齐全，对基层指导力度有待加强，扣4分。</w:t>
      </w:r>
    </w:p>
    <w:p w14:paraId="6C31D3E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3.项目实施（9分，得分9分）</w:t>
      </w:r>
    </w:p>
    <w:p w14:paraId="71090C97">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财政资金拨付及时，单位资金使用率高，地方配套资金足额到位；资金使用严格遵守财经法规及帮扶资金管理规定，无超范围、超标准、挤占、挪用、截留、虚列支出等问题，资金使用安全高效。本指标满分。</w:t>
      </w:r>
    </w:p>
    <w:p w14:paraId="5DA0FDE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4.项目结果（9分，得分7分）</w:t>
      </w:r>
    </w:p>
    <w:p w14:paraId="708DEF7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项目按计划推进实施，帮扶对象、救助标准、发放时效总体符合要求，有效解决困难职工实际困难，社会效益良好。</w:t>
      </w:r>
    </w:p>
    <w:p w14:paraId="76A43B4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扣分原因：部分效益指标未完全达到预期目标，目标完成率未达最优，扣2分。</w:t>
      </w:r>
    </w:p>
    <w:p w14:paraId="775741A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专用指标绩效分析。</w:t>
      </w:r>
    </w:p>
    <w:p w14:paraId="30FCABA8">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行政运转（30分，得分28分）</w:t>
      </w:r>
    </w:p>
    <w:p w14:paraId="54D7F63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专用指标为行政运转类，从用途合规性、程序合规性、标准合规性3个维度评价，各10分，合计30分。</w:t>
      </w:r>
    </w:p>
    <w:p w14:paraId="3E10DD63">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1用途合规性：资金全部用于困难职工帮扶规定范围，无违规使用情况。</w:t>
      </w:r>
    </w:p>
    <w:p w14:paraId="55103638">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2.程序合规性：资金审批、分配、拨付、发放程序规范，流程完整。</w:t>
      </w:r>
    </w:p>
    <w:p w14:paraId="5F1510E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3.标准合规性：严格执行救助标准，无擅自调整、多发少发等问题。</w:t>
      </w:r>
    </w:p>
    <w:p w14:paraId="41A3F93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扣分原因：个别环节审核档案、痕迹资料不够细致，扣2分。</w:t>
      </w:r>
    </w:p>
    <w:p w14:paraId="3D63D87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（三）个性指标绩效分析。（16分，得分13分）</w:t>
      </w:r>
    </w:p>
    <w:p w14:paraId="312C4C9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个性指标围绕困难职工帮扶精准度、长效机制建设、信息化管理、创新服务、典型成效等设置。项目精准识别帮扶对象，动态管理规范，帮扶形式多样，政策落实到位，群众满意度较高。</w:t>
      </w:r>
    </w:p>
    <w:p w14:paraId="18FB7FC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扣分原因：典型案例总结不够充分，创新举措佐证材料不够完善，信息化支撑水平有待提升，扣3分。</w:t>
      </w:r>
    </w:p>
    <w:p w14:paraId="1243E232">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四、评价结论</w:t>
      </w:r>
    </w:p>
    <w:p w14:paraId="0E2004F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困难职工帮扶资金项目绩效目标明确、资金使用规范、预算执行高效、社会效益良好，综合自评得分86分，评价等级为良好。项目有效保障困难职工基本生活，充分发挥工会服务职工职能，建议继续加大保障力度，持续提升资金使用绩效。</w:t>
      </w:r>
    </w:p>
    <w:p w14:paraId="070D9D8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五、存在主要问题</w:t>
      </w:r>
    </w:p>
    <w:p w14:paraId="5A5FAEA4">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1.绩效目标精细化、量化水平仍需提升，指标偏离度管控需加强。</w:t>
      </w:r>
    </w:p>
    <w:p w14:paraId="68DDB8D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2.项目管理档案资料完整性、规范性有待进一步提高。</w:t>
      </w:r>
    </w:p>
    <w:p w14:paraId="26EEC08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3.部分绩效指标完成质量未达最优，跟踪督办力度不足。</w:t>
      </w:r>
    </w:p>
    <w:p w14:paraId="19C4169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4.特色成果总结、典型案例提炼、佐证材料不够充分。</w:t>
      </w:r>
    </w:p>
    <w:p w14:paraId="28DBB9D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5.对基层帮扶工作的指导与监管力度需持续强化。</w:t>
      </w:r>
    </w:p>
    <w:p w14:paraId="21A4DB9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六、改进建议</w:t>
      </w:r>
    </w:p>
    <w:p w14:paraId="4CF5D6A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1.优化绩效目标管理：细化量化指标，严格控制偏离度，提升目标科学性。</w:t>
      </w:r>
    </w:p>
    <w:p w14:paraId="7FA3826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2.强化全过程档案管理：完善分配、审批、发放、监管全链条资料归档。</w:t>
      </w:r>
    </w:p>
    <w:p w14:paraId="56F797C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3.紧盯目标提质增效：加强项目调度，确保各项指标全面高质量完成。</w:t>
      </w:r>
    </w:p>
    <w:p w14:paraId="47DD5287">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4.做优特色成果提炼：总结典型案例，完善佐证材料，突出帮扶成效。</w:t>
      </w:r>
    </w:p>
    <w:p w14:paraId="457002A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5.健全指导监管机制：加大培训、督导力度，提升基层规范化管理水平。</w:t>
      </w:r>
    </w:p>
    <w:p w14:paraId="6A0E8467">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宋体"/>
          <w:bCs/>
          <w:kern w:val="0"/>
          <w:sz w:val="32"/>
          <w:szCs w:val="32"/>
          <w:lang w:val="en-US" w:eastAsia="zh-CN" w:bidi="ar"/>
        </w:rPr>
        <w:t xml:space="preserve"> </w:t>
      </w:r>
    </w:p>
    <w:p w14:paraId="377A264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 w:hAnsi="仿宋" w:eastAsia="仿宋" w:cs="宋体"/>
          <w:bCs/>
          <w:kern w:val="0"/>
          <w:sz w:val="32"/>
          <w:szCs w:val="32"/>
        </w:rPr>
      </w:pPr>
      <w:r>
        <w:rPr>
          <w:rFonts w:hint="eastAsia" w:ascii="仿宋" w:hAnsi="仿宋" w:eastAsia="仿宋" w:cs="仿宋"/>
          <w:bCs/>
          <w:kern w:val="0"/>
          <w:sz w:val="32"/>
          <w:szCs w:val="32"/>
          <w:lang w:val="en-US" w:eastAsia="zh-CN" w:bidi="ar"/>
        </w:rPr>
        <w:t>附表：.部门预算项目支出绩效自评表</w:t>
      </w:r>
    </w:p>
    <w:p w14:paraId="7DC6EFF6">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br w:type="page"/>
      </w:r>
    </w:p>
    <w:p w14:paraId="1D993996">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160D3330">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drawing>
          <wp:anchor distT="0" distB="0" distL="114300" distR="114300" simplePos="0" relativeHeight="251670528" behindDoc="0" locked="0" layoutInCell="1" allowOverlap="1">
            <wp:simplePos x="0" y="0"/>
            <wp:positionH relativeFrom="column">
              <wp:posOffset>-16510</wp:posOffset>
            </wp:positionH>
            <wp:positionV relativeFrom="paragraph">
              <wp:posOffset>20955</wp:posOffset>
            </wp:positionV>
            <wp:extent cx="5269230" cy="5252720"/>
            <wp:effectExtent l="0" t="0" r="7620" b="5080"/>
            <wp:wrapNone/>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19"/>
                    <a:stretch>
                      <a:fillRect/>
                    </a:stretch>
                  </pic:blipFill>
                  <pic:spPr>
                    <a:xfrm>
                      <a:off x="0" y="0"/>
                      <a:ext cx="5269230" cy="5252720"/>
                    </a:xfrm>
                    <a:prstGeom prst="rect">
                      <a:avLst/>
                    </a:prstGeom>
                    <a:noFill/>
                    <a:ln>
                      <a:noFill/>
                    </a:ln>
                  </pic:spPr>
                </pic:pic>
              </a:graphicData>
            </a:graphic>
          </wp:anchor>
        </w:drawing>
      </w:r>
      <w:r>
        <w:rPr>
          <w:rFonts w:hint="default" w:ascii="Times New Roman" w:hAnsi="Times New Roman" w:eastAsia="宋体" w:cs="Times New Roman"/>
          <w:color w:val="000000"/>
          <w:kern w:val="0"/>
          <w:sz w:val="21"/>
          <w:szCs w:val="21"/>
          <w:shd w:val="clear" w:fill="FFFFFF"/>
          <w:lang w:val="en-US" w:eastAsia="zh-CN" w:bidi="ar"/>
        </w:rPr>
        <w:t xml:space="preserve"> </w:t>
      </w:r>
    </w:p>
    <w:p w14:paraId="464C86D3">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2DE405C1">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238AA1F1">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664CF36B">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51EE6417">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516A2A77">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0DCEACE5">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61BBC634">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5204A035">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66D0C071">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560BA5C1">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70E9F0D0">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3B07E9F1">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076D9E59">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09E764B4">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56FE5377">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07034F86">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53E672A7">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3053029E">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3579656B">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66C2988F">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164AAD7A">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宋体" w:cs="Times New Roman"/>
          <w:color w:val="000000"/>
          <w:kern w:val="0"/>
          <w:sz w:val="21"/>
          <w:szCs w:val="21"/>
          <w:shd w:val="clear" w:fill="FFFFFF"/>
        </w:rPr>
      </w:pPr>
      <w:r>
        <w:rPr>
          <w:rFonts w:hint="default" w:ascii="Times New Roman" w:hAnsi="Times New Roman" w:eastAsia="宋体" w:cs="Times New Roman"/>
          <w:color w:val="000000"/>
          <w:kern w:val="0"/>
          <w:sz w:val="21"/>
          <w:szCs w:val="21"/>
          <w:shd w:val="clear" w:fill="FFFFFF"/>
          <w:lang w:val="en-US" w:eastAsia="zh-CN" w:bidi="ar"/>
        </w:rPr>
        <w:t xml:space="preserve"> </w:t>
      </w:r>
    </w:p>
    <w:p w14:paraId="3A2B5690">
      <w:pPr>
        <w:keepNext w:val="0"/>
        <w:keepLines w:val="0"/>
        <w:widowControl w:val="0"/>
        <w:suppressLineNumbers w:val="0"/>
        <w:spacing w:before="0" w:beforeAutospacing="0" w:after="0" w:afterAutospacing="0"/>
        <w:ind w:left="0" w:right="0"/>
        <w:jc w:val="center"/>
        <w:rPr>
          <w:rFonts w:hint="eastAsia" w:ascii="宋体" w:hAnsi="宋体" w:eastAsia="仿宋_GB2312" w:cs="宋体"/>
          <w:kern w:val="2"/>
          <w:sz w:val="44"/>
          <w:szCs w:val="44"/>
        </w:rPr>
      </w:pPr>
      <w:r>
        <w:rPr>
          <w:rFonts w:hint="eastAsia" w:ascii="方正小标宋简体" w:hAnsi="方正小标宋简体" w:eastAsia="方正小标宋简体" w:cs="方正小标宋简体"/>
          <w:b/>
          <w:bCs/>
          <w:kern w:val="2"/>
          <w:sz w:val="44"/>
          <w:szCs w:val="44"/>
          <w:lang w:val="en-US" w:eastAsia="zh-CN" w:bidi="ar"/>
        </w:rPr>
        <w:t>工会经费预算项目绩效评价报告范本</w:t>
      </w:r>
    </w:p>
    <w:p w14:paraId="7C600D4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一、项目概况</w:t>
      </w:r>
    </w:p>
    <w:p w14:paraId="2D2821BA">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根据《中共汶川县委关于进一步加强和改进新时期工会、共青团、妇联工作的意见》（汶委发[2013]126号）文件精神，第四条第四点保障工作经费中提出，凡建立工会组织的机关、企事业单位要严格按照《工会法》的规定，按时足额向工会拨缴经费。财政拨款的行政事业单位，工会经费由县财政按照工资总额的2%足额列入财政预算，并及时划转给县总工会，县总工会按照比例划拨给基层工会。</w:t>
      </w:r>
    </w:p>
    <w:p w14:paraId="0EEEF8B4">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0" w:firstLineChars="200"/>
        <w:contextualSpacing/>
        <w:jc w:val="left"/>
        <w:rPr>
          <w:rFonts w:hint="eastAsia" w:ascii="仿宋_GB2312" w:hAnsi="Times New Roman" w:eastAsia="仿宋_GB2312" w:cs="仿宋_GB2312"/>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按照2024年10月100个县级行政事业单位应发工资总额为基数，县财政按全县全年在职职工工资总额的2%足额预算2024年工会经费10094973元，按照经费分成比例，60%返还基层工会，20%留存县总工会，20%上解州总工会。</w:t>
      </w:r>
    </w:p>
    <w:p w14:paraId="57790013">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kern w:val="0"/>
          <w:sz w:val="32"/>
          <w:szCs w:val="32"/>
          <w:shd w:val="clear" w:fill="FFFFFF"/>
          <w:lang w:val="en-US" w:eastAsia="zh-CN" w:bidi="ar"/>
        </w:rPr>
        <w:t xml:space="preserve"> 该经费用以确保县级工会组织开展工会活动工作的需要，使各基层工会能顺利开展职工活动、困难职工慰问等工会活动，增加各基层工会组织和职工的凝聚力。工会经费将用于组织会员开展集体活动及会员特殊困难补助，为职工举办政治、科技、业务、再就业等各种知识培训，慰问困难职工等</w:t>
      </w:r>
    </w:p>
    <w:p w14:paraId="19B2EC16">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kern w:val="0"/>
          <w:sz w:val="32"/>
          <w:szCs w:val="32"/>
          <w:shd w:val="clear" w:fill="FFFFFF"/>
          <w:lang w:val="en-US" w:eastAsia="zh-CN" w:bidi="ar"/>
        </w:rPr>
        <w:t>县财政按全县全年在职职工工资总额的2%足额预算2025年工会经费10094973元，按照经费分成比例，60%返还基层工会，20%留存县总工会，20%上解州总工会。</w:t>
      </w:r>
    </w:p>
    <w:p w14:paraId="107CAB5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8个分别为数量指标、质量指标、时效指标、经济效益指标、社会效益指标、可持续影响指标、服务对象满意度指标、经济成本指标。各指标按要求完成，达到年初绩效目标，自评得分88。</w:t>
      </w:r>
    </w:p>
    <w:p w14:paraId="3A51BD9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二、评价实施</w:t>
      </w:r>
    </w:p>
    <w:p w14:paraId="5F092453">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w:t>
      </w:r>
    </w:p>
    <w:p w14:paraId="234AD0A1">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下拨基层工会个数、工会经费足额率、工会经费下拨完成时间、工会会员权益保障情况、工会会员满意度、经费使用率。</w:t>
      </w:r>
    </w:p>
    <w:p w14:paraId="501525C3">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汶川县总工会。</w:t>
      </w:r>
    </w:p>
    <w:p w14:paraId="35DCB6E2">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1DAB35C1">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汶川县总工会具体项目负责人以及财务人员。</w:t>
      </w:r>
    </w:p>
    <w:p w14:paraId="7BB76D6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仿宋_GB2312" w:hAnsi="宋体" w:eastAsia="仿宋_GB2312" w:cs="仿宋_GB2312"/>
          <w:kern w:val="2"/>
          <w:sz w:val="32"/>
          <w:szCs w:val="32"/>
        </w:rPr>
      </w:pPr>
      <w:r>
        <w:rPr>
          <w:rFonts w:hint="eastAsia" w:ascii="黑体" w:hAnsi="宋体" w:eastAsia="黑体" w:cs="黑体"/>
          <w:kern w:val="2"/>
          <w:sz w:val="32"/>
          <w:szCs w:val="32"/>
          <w:lang w:val="en-US" w:eastAsia="zh-CN" w:bidi="ar"/>
        </w:rPr>
        <w:t>三、绩效分析</w:t>
      </w:r>
      <w:r>
        <w:rPr>
          <w:rFonts w:hint="eastAsia" w:ascii="仿宋_GB2312" w:hAnsi="宋体" w:eastAsia="仿宋_GB2312" w:cs="仿宋_GB2312"/>
          <w:kern w:val="2"/>
          <w:sz w:val="32"/>
          <w:szCs w:val="32"/>
          <w:lang w:val="en-US" w:eastAsia="zh-CN" w:bidi="ar"/>
        </w:rPr>
        <w:tab/>
      </w:r>
    </w:p>
    <w:p w14:paraId="7900DB3A">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88</w:t>
      </w:r>
      <w:r>
        <w:rPr>
          <w:rFonts w:hint="eastAsia" w:ascii="仿宋_GB2312" w:hAnsi="Times New Roman" w:eastAsia="仿宋_GB2312" w:cs="仿宋_GB2312"/>
          <w:kern w:val="2"/>
          <w:sz w:val="32"/>
          <w:szCs w:val="32"/>
          <w:lang w:val="en-US" w:eastAsia="zh-CN" w:bidi="ar"/>
        </w:rPr>
        <w:t>分。</w:t>
      </w:r>
    </w:p>
    <w:p w14:paraId="3257D5B7">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6101BEE6">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1.项目决策（18分，得分16分）</w:t>
      </w:r>
    </w:p>
    <w:p w14:paraId="116EDFC6">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项目决策程序严密、依据充分，完全符合工会经费收缴管理相关政策及财政资金管理要求。项目设立、资金划拨规范合规，绩效目标设置科学合理，资金投向聚焦基层工会履职需求，精准服务</w:t>
      </w:r>
      <w:r>
        <w:rPr>
          <w:rFonts w:hint="default" w:ascii="Times New Roman" w:hAnsi="Times New Roman" w:eastAsia="仿宋_GB2312" w:cs="Times New Roman"/>
          <w:kern w:val="2"/>
          <w:sz w:val="32"/>
          <w:szCs w:val="32"/>
          <w:lang w:val="en-US" w:eastAsia="zh-CN" w:bidi="ar"/>
        </w:rPr>
        <w:t>100</w:t>
      </w:r>
      <w:r>
        <w:rPr>
          <w:rFonts w:hint="eastAsia" w:ascii="仿宋_GB2312" w:hAnsi="Times New Roman" w:eastAsia="仿宋_GB2312" w:cs="仿宋_GB2312"/>
          <w:kern w:val="2"/>
          <w:sz w:val="32"/>
          <w:szCs w:val="32"/>
          <w:lang w:val="en-US" w:eastAsia="zh-CN" w:bidi="ar"/>
        </w:rPr>
        <w:t>个行政事业单位工会工作开展，未出现资金交叉重复、分散低效等问题。</w:t>
      </w:r>
    </w:p>
    <w:p w14:paraId="6B7BECF4">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扣分原因：少数绩效目标量化细化程度有待提升，个别指标合理性偏离度小幅超标，扣</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5C156DD5">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2.项目管理（18分，得分15分）</w:t>
      </w:r>
    </w:p>
    <w:p w14:paraId="045BD66D">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项目制度体系健全完善，工会经费管理制度、拨付流程规范；资金分配因素科学、权重合理、覆盖全面；按要求开展绩效目标管理、绩效监控、评价整改及对下指导工作，整体管理规范有序。</w:t>
      </w:r>
    </w:p>
    <w:p w14:paraId="1912C370">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扣分原因：个别单位经费拨付档案资料不够完整，绩效监管痕迹材料不够齐全，对基层工会经费使用指导力度有待加强，扣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125AE868">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3.项目实施（9分，得分8分）</w:t>
      </w:r>
    </w:p>
    <w:p w14:paraId="3238B87C">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财政资金拨付及时，预算执行情况良好，资金到位率、使用率保持较高水平；资金使用严格遵守国家财经法规及工会经费管理规定，无挤占、挪用、截留、虚列支出等违规问题，资金使用安全规范。</w:t>
      </w:r>
    </w:p>
    <w:p w14:paraId="6BAFC2C8">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扣分原因：个别单位资金支付进度不够均衡，执行效率未达最优，扣</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分。</w:t>
      </w:r>
    </w:p>
    <w:p w14:paraId="4F46A366">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4.项目结果（9分，得分8分</w:t>
      </w:r>
    </w:p>
    <w:p w14:paraId="2D8694C8">
      <w:pPr>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项目总体完成预期绩效目标，有效保障</w:t>
      </w:r>
      <w:r>
        <w:rPr>
          <w:rFonts w:hint="default" w:ascii="Times New Roman" w:hAnsi="Times New Roman" w:eastAsia="仿宋_GB2312" w:cs="Times New Roman"/>
          <w:kern w:val="2"/>
          <w:sz w:val="32"/>
          <w:szCs w:val="32"/>
          <w:lang w:val="en-US" w:eastAsia="zh-CN" w:bidi="ar"/>
        </w:rPr>
        <w:t>106</w:t>
      </w:r>
      <w:r>
        <w:rPr>
          <w:rFonts w:hint="eastAsia" w:ascii="仿宋_GB2312" w:hAnsi="Times New Roman" w:eastAsia="仿宋_GB2312" w:cs="仿宋_GB2312"/>
          <w:kern w:val="2"/>
          <w:sz w:val="32"/>
          <w:szCs w:val="32"/>
          <w:lang w:val="en-US" w:eastAsia="zh-CN" w:bidi="ar"/>
        </w:rPr>
        <w:t>个行政事业单位工会正常运转，基层工会组织活力显著增强，职工服务、文体活动、维权帮扶等工作有序开展，社会效益明显。</w:t>
      </w:r>
    </w:p>
    <w:p w14:paraId="63C04AAD">
      <w:pPr>
        <w:keepNext w:val="0"/>
        <w:keepLines w:val="0"/>
        <w:widowControl w:val="0"/>
        <w:suppressLineNumbers w:val="0"/>
        <w:spacing w:before="0" w:beforeAutospacing="0" w:after="0" w:afterAutospacing="0"/>
        <w:ind w:left="0" w:right="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扣分原因：部分单位绩效指标完成质量未达预期，指标实现率未达到满分标准，扣</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分。</w:t>
      </w:r>
    </w:p>
    <w:p w14:paraId="1AE6F59F">
      <w:pPr>
        <w:keepNext w:val="0"/>
        <w:keepLines w:val="0"/>
        <w:widowControl w:val="0"/>
        <w:suppressLineNumbers w:val="0"/>
        <w:autoSpaceDE w:val="0"/>
        <w:autoSpaceDN/>
        <w:spacing w:before="0" w:beforeAutospacing="0" w:after="0" w:afterAutospacing="0" w:line="578" w:lineRule="exact"/>
        <w:ind w:left="0" w:right="0" w:firstLine="643" w:firstLineChars="200"/>
        <w:jc w:val="both"/>
        <w:rPr>
          <w:rFonts w:hint="eastAsia" w:ascii="楷体_GB2312" w:hAnsi="Times New Roman" w:eastAsia="楷体_GB2312" w:cs="楷体_GB2312"/>
          <w:kern w:val="2"/>
          <w:sz w:val="32"/>
          <w:szCs w:val="32"/>
        </w:rPr>
      </w:pPr>
      <w:r>
        <w:rPr>
          <w:rFonts w:hint="eastAsia" w:ascii="楷体_GB2312" w:hAnsi="宋体"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73F48597">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行政运转。（30分，得分27分）</w:t>
      </w:r>
    </w:p>
    <w:p w14:paraId="74271DF9">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本项目专用指标为行政运转类，从用途合规性、程序合规性、标准合规性三个方面评价，每项</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分，合计</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分。</w:t>
      </w:r>
    </w:p>
    <w:p w14:paraId="31E113B8">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用途合规性：经费严格按照规定范围使用，全部用于基层工会履职及职工服务相关支出，无超范围、超标准支出。</w:t>
      </w:r>
    </w:p>
    <w:p w14:paraId="6314B9A0">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程序合规性：经费收缴、划拨、审批、使用程序规范，流程完整，符合财政及工会经费管理要求。</w:t>
      </w:r>
    </w:p>
    <w:p w14:paraId="7BDDB6DA">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标准合规性：严格按照</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比例足额拨缴，标准执行统一规范，无擅自调整、少拨、漏拨等问题。</w:t>
      </w:r>
    </w:p>
    <w:p w14:paraId="46BDD6D7">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扣分原因：个别单位资料归档不够细致，审核痕迹留存不够完整，共计扣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07FB7B68">
      <w:pPr>
        <w:keepNext w:val="0"/>
        <w:keepLines w:val="0"/>
        <w:widowControl w:val="0"/>
        <w:suppressLineNumbers w:val="0"/>
        <w:autoSpaceDE w:val="0"/>
        <w:autoSpaceDN/>
        <w:spacing w:before="0" w:beforeAutospacing="0" w:after="0" w:afterAutospacing="0" w:line="578" w:lineRule="exact"/>
        <w:ind w:left="420" w:leftChars="200" w:right="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分，得分</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0B27F3FE">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个性指标围绕</w:t>
      </w:r>
      <w:r>
        <w:rPr>
          <w:rFonts w:hint="default" w:ascii="Times New Roman" w:hAnsi="Times New Roman" w:eastAsia="仿宋_GB2312" w:cs="Times New Roman"/>
          <w:kern w:val="2"/>
          <w:sz w:val="32"/>
          <w:szCs w:val="32"/>
          <w:lang w:val="en-US" w:eastAsia="zh-CN" w:bidi="ar"/>
        </w:rPr>
        <w:t>100</w:t>
      </w:r>
      <w:r>
        <w:rPr>
          <w:rFonts w:hint="eastAsia" w:ascii="仿宋_GB2312" w:hAnsi="Times New Roman" w:eastAsia="仿宋_GB2312" w:cs="仿宋_GB2312"/>
          <w:kern w:val="2"/>
          <w:sz w:val="32"/>
          <w:szCs w:val="32"/>
          <w:lang w:val="en-US" w:eastAsia="zh-CN" w:bidi="ar"/>
        </w:rPr>
        <w:t>个单位经费全覆盖、基层工会建设成效、经费使用创新、服务职工满意度、特色工作成果等内容设置。项目实现经费足额拨付、全覆盖保障，基层工会规范化建设水平提升，职工服务质效向好，整体运行平稳高效。</w:t>
      </w:r>
    </w:p>
    <w:p w14:paraId="757D399D">
      <w:pPr>
        <w:keepNext w:val="0"/>
        <w:keepLines w:val="0"/>
        <w:widowControl w:val="0"/>
        <w:suppressLineNumbers w:val="0"/>
        <w:autoSpaceDE w:val="0"/>
        <w:autoSpaceDN/>
        <w:spacing w:before="0" w:beforeAutospacing="0" w:after="0" w:afterAutospacing="0" w:line="578" w:lineRule="exact"/>
        <w:ind w:left="0" w:right="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扣分原因：部分单位工作亮点总结不够充分，创新举措佐证材料不够完善，扣</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0AB0D756">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四、评价结论</w:t>
      </w:r>
    </w:p>
    <w:p w14:paraId="40C6960C">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财政划拨行政事业单位2%拨交工会经费项目绩效目标清晰、资金管理规范、预算执行较好、覆盖范围全面、服务成效明显，综合自评得分88分，评价等级为良好。项目有效保障基层工会履职行权，切实服务职工群众，建议持续稳定经费保障，不断提升资金使用绩效与工会工作水平。</w:t>
      </w:r>
    </w:p>
    <w:p w14:paraId="5DE52155">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4FCE8342">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1.绩效目标设置精细化、量化程度仍需进一步提升。</w:t>
      </w:r>
    </w:p>
    <w:p w14:paraId="24026086">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2.个别单位经费管理痕迹资料、档案归档不够规范完整。</w:t>
      </w:r>
    </w:p>
    <w:p w14:paraId="728EBCEA">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3.预算执行均衡性不足，部分单位支付进度偏慢。</w:t>
      </w:r>
    </w:p>
    <w:p w14:paraId="5316DA13">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4.基层工会经费使用监管与指导力度需持续强化。</w:t>
      </w:r>
    </w:p>
    <w:p w14:paraId="54F4B000">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5.个性指标成果总结、典型案例提炼不够充分。</w:t>
      </w:r>
    </w:p>
    <w:p w14:paraId="122BA4E1">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39BD900D">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1.优化绩效目标管理：进一步细化量化绩效指标，严控指标偏离度，提升指标科学性与可考核性。</w:t>
      </w:r>
    </w:p>
    <w:p w14:paraId="4CABC5AE">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2.强化全过程资料管理：规范经费收缴、划拨、使用、监管全流程档案归集，做到全程留痕、有据可查。</w:t>
      </w:r>
    </w:p>
    <w:p w14:paraId="12617BFD">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3.提升预算执行质效：加强资金拨付与使用调度，提升支付均衡性与使用效率。</w:t>
      </w:r>
    </w:p>
    <w:p w14:paraId="14CE31EE">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4.健全监管指导机制：加大对100个单位工会经费使用培训、督导力度，提升规范化管理水平。</w:t>
      </w:r>
    </w:p>
    <w:p w14:paraId="207545A5">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5.做优成果总结提炼：加强典型案例、创新做法梳理，完善佐证材料，突出经费使用绩效。</w:t>
      </w:r>
    </w:p>
    <w:p w14:paraId="287519A5">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 xml:space="preserve"> </w:t>
      </w:r>
    </w:p>
    <w:p w14:paraId="11500F51">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部门预算项目支出绩效自评表</w:t>
      </w:r>
    </w:p>
    <w:p w14:paraId="4A6BECE0">
      <w:pPr>
        <w:pStyle w:val="9"/>
        <w:keepNext w:val="0"/>
        <w:keepLines w:val="0"/>
        <w:widowControl w:val="0"/>
        <w:suppressLineNumbers w:val="0"/>
        <w:spacing w:before="0" w:beforeAutospacing="1" w:after="0" w:afterAutospacing="0" w:line="20" w:lineRule="exact"/>
        <w:ind w:left="0" w:right="0"/>
        <w:jc w:val="both"/>
        <w:rPr>
          <w:rFonts w:hint="eastAsia" w:ascii="宋体" w:hAnsi="宋体" w:eastAsia="宋体" w:cs="Times New Roman"/>
          <w:b/>
          <w:bCs w:val="0"/>
          <w:sz w:val="39"/>
          <w:szCs w:val="39"/>
        </w:rPr>
      </w:pPr>
      <w:r>
        <w:rPr>
          <w:rFonts w:hint="default" w:ascii="Times New Roman" w:hAnsi="Times New Roman" w:eastAsia="仿宋_GB2312" w:cs="Times New Roman"/>
          <w:color w:val="000000"/>
          <w:kern w:val="0"/>
          <w:sz w:val="32"/>
          <w:szCs w:val="32"/>
          <w:shd w:val="clear" w:fill="FFFFFF"/>
          <w:lang w:val="en-US" w:eastAsia="zh-CN" w:bidi="ar"/>
        </w:rPr>
        <w:br w:type="page"/>
      </w:r>
    </w:p>
    <w:p w14:paraId="7F6A19F7">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r>
        <w:drawing>
          <wp:anchor distT="0" distB="0" distL="114300" distR="114300" simplePos="0" relativeHeight="251671552" behindDoc="0" locked="0" layoutInCell="1" allowOverlap="1">
            <wp:simplePos x="0" y="0"/>
            <wp:positionH relativeFrom="column">
              <wp:posOffset>-364490</wp:posOffset>
            </wp:positionH>
            <wp:positionV relativeFrom="paragraph">
              <wp:posOffset>245745</wp:posOffset>
            </wp:positionV>
            <wp:extent cx="5941060" cy="5918835"/>
            <wp:effectExtent l="0" t="0" r="2540" b="571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20"/>
                    <a:stretch>
                      <a:fillRect/>
                    </a:stretch>
                  </pic:blipFill>
                  <pic:spPr>
                    <a:xfrm>
                      <a:off x="0" y="0"/>
                      <a:ext cx="5941060" cy="5918835"/>
                    </a:xfrm>
                    <a:prstGeom prst="rect">
                      <a:avLst/>
                    </a:prstGeom>
                    <a:noFill/>
                    <a:ln>
                      <a:noFill/>
                    </a:ln>
                  </pic:spPr>
                </pic:pic>
              </a:graphicData>
            </a:graphic>
          </wp:anchor>
        </w:drawing>
      </w:r>
    </w:p>
    <w:p w14:paraId="205E9DA2">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3ADDD89C">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9066936">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B10D1D3">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3EB536E">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4D35D14">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68B947C3">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50791C24">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FE1EE3C">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56DC3B3">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6F93972">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F0B7B88">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16D588C">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0B31B8B">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47251A8">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BACB80E">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b/>
          <w:bCs/>
          <w:kern w:val="2"/>
          <w:sz w:val="44"/>
          <w:szCs w:val="44"/>
          <w:lang w:val="en-US" w:eastAsia="zh-CN" w:bidi="ar"/>
        </w:rPr>
        <w:t>专项工会经费预算项目绩效评价报告范本</w:t>
      </w:r>
    </w:p>
    <w:p w14:paraId="79C66FD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一、项目概况</w:t>
      </w:r>
    </w:p>
    <w:p w14:paraId="57CAE3ED">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根据《中共汶川县委关于进一步加强和改进新时期工会、共青团、妇联工作的意见》（汶委发[2013]126号）文件精神，第四条第四点保障工作经费中提出，进一步完善工青妇工作经费保障机制，加大经费投入，将其必要工作经费纳入财政预算，并随着财政预算收入增长和工作需要逐年增加。</w:t>
      </w:r>
    </w:p>
    <w:p w14:paraId="69D13794">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kern w:val="0"/>
          <w:sz w:val="32"/>
          <w:szCs w:val="32"/>
          <w:shd w:val="clear" w:fill="FFFFFF"/>
          <w:lang w:val="en-US" w:eastAsia="zh-CN" w:bidi="ar"/>
        </w:rPr>
        <w:t>为完成工会重点工作，为工会工运事业的健康发展起到推动作用，为工会组织持续发展起到推动作用，为基层工会组织和职工服好务，充分发挥工会组织的作用，让他们感受到工会组织的关爱，使其满意度达到100%。</w:t>
      </w:r>
    </w:p>
    <w:p w14:paraId="5D86DBB1">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kern w:val="0"/>
          <w:sz w:val="32"/>
          <w:szCs w:val="32"/>
          <w:shd w:val="clear" w:fill="FFFFFF"/>
          <w:lang w:val="en-US" w:eastAsia="zh-CN" w:bidi="ar"/>
        </w:rPr>
        <w:t>预算申请2025年工会专项业务经费12万元，其中：办公费5万元，差旅费5万元，其他商品和服务支出2万元。</w:t>
      </w:r>
    </w:p>
    <w:p w14:paraId="74650B6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8个分别为数量指标、质量指标、时效指标、经济效益指标、社会效益指标、可持续影响指标、服务对象满意度指标、经济成本指标。各指标按要求完成，达到年初绩效目标，自评得分85分。</w:t>
      </w:r>
    </w:p>
    <w:p w14:paraId="2348BE1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二、评价实施</w:t>
      </w:r>
    </w:p>
    <w:p w14:paraId="025B050D">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w:t>
      </w:r>
    </w:p>
    <w:p w14:paraId="2A7D0B84">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预算经费使用情况、经费使用率率、节约办公成本、表本机关办公人员满意度。</w:t>
      </w:r>
    </w:p>
    <w:p w14:paraId="7BF52A88">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汶川县总工会。</w:t>
      </w:r>
    </w:p>
    <w:p w14:paraId="562A998B">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14CC212F">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汶川县总工会具体项目负责人以及财务人员。</w:t>
      </w:r>
    </w:p>
    <w:p w14:paraId="6F0E71B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仿宋_GB2312" w:hAnsi="宋体" w:eastAsia="仿宋_GB2312" w:cs="仿宋_GB2312"/>
          <w:kern w:val="2"/>
          <w:sz w:val="32"/>
          <w:szCs w:val="32"/>
        </w:rPr>
      </w:pPr>
      <w:r>
        <w:rPr>
          <w:rFonts w:hint="eastAsia" w:ascii="黑体" w:hAnsi="宋体" w:eastAsia="黑体" w:cs="黑体"/>
          <w:kern w:val="2"/>
          <w:sz w:val="32"/>
          <w:szCs w:val="32"/>
          <w:lang w:val="en-US" w:eastAsia="zh-CN" w:bidi="ar"/>
        </w:rPr>
        <w:t>三、绩效分析</w:t>
      </w:r>
      <w:r>
        <w:rPr>
          <w:rFonts w:hint="eastAsia" w:ascii="仿宋_GB2312" w:hAnsi="宋体" w:eastAsia="仿宋_GB2312" w:cs="仿宋_GB2312"/>
          <w:kern w:val="2"/>
          <w:sz w:val="32"/>
          <w:szCs w:val="32"/>
          <w:lang w:val="en-US" w:eastAsia="zh-CN" w:bidi="ar"/>
        </w:rPr>
        <w:tab/>
      </w:r>
    </w:p>
    <w:p w14:paraId="735E722C">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85</w:t>
      </w:r>
      <w:r>
        <w:rPr>
          <w:rFonts w:hint="eastAsia" w:ascii="仿宋_GB2312" w:hAnsi="Times New Roman" w:eastAsia="仿宋_GB2312" w:cs="仿宋_GB2312"/>
          <w:kern w:val="2"/>
          <w:sz w:val="32"/>
          <w:szCs w:val="32"/>
          <w:lang w:val="en-US" w:eastAsia="zh-CN" w:bidi="ar"/>
        </w:rPr>
        <w:t>分。</w:t>
      </w:r>
    </w:p>
    <w:p w14:paraId="106A6FFE">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05B3DA11">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1.项目决策（18分，得分14分）</w:t>
      </w:r>
      <w:r>
        <w:rPr>
          <w:rFonts w:hint="eastAsia" w:ascii="仿宋_GB2312" w:hAnsi="Times New Roman" w:eastAsia="仿宋_GB2312" w:cs="仿宋_GB2312"/>
          <w:kern w:val="2"/>
          <w:sz w:val="32"/>
          <w:szCs w:val="32"/>
          <w:lang w:val="en-US" w:eastAsia="zh-CN" w:bidi="ar"/>
        </w:rPr>
        <w:t>项目决策整体规范，在立项依据、规划论证、资金投向等方面基本符合要求，主要亮点：一是项目设立符合工会工作部署与财政资金管理规范，决策程序完备。二是绩效目标设置与工会履职、职工服务需求匹配，目标量化程度较高。三是资金投向聚焦工会主责主业，未出现交叉重复与“撒胡椒面”现象。</w:t>
      </w:r>
    </w:p>
    <w:p w14:paraId="57E6289F">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扣分原因：项目前期论证深度不足，部分绩效目标偏离度略超合理区间；个别环节论证材料不够完备，导致少量失分。</w:t>
      </w:r>
    </w:p>
    <w:p w14:paraId="54105A2B">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2.项目管理（18分，得分14分）</w:t>
      </w:r>
      <w:r>
        <w:rPr>
          <w:rFonts w:hint="eastAsia" w:ascii="仿宋_GB2312" w:hAnsi="Times New Roman" w:eastAsia="仿宋_GB2312" w:cs="仿宋_GB2312"/>
          <w:kern w:val="2"/>
          <w:sz w:val="32"/>
          <w:szCs w:val="32"/>
          <w:lang w:val="en-US" w:eastAsia="zh-CN" w:bidi="ar"/>
        </w:rPr>
        <w:t>项目管理制度健全、执行总体到位，资金分配与绩效监管规范有效：工会经费管理制度体系完善，无过期、缺失情况。资金分配依据充分、程序合规，分配因素与权重设置合理。按要求开展绩效目标管理、绩效评价与问题整改工作，监管到位。</w:t>
      </w:r>
    </w:p>
    <w:p w14:paraId="43DCA0C6">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扣分原因：资金分配个别环节资料留存不够完整；对下级工会经费使用指导频次不足；部分年度绩效监管痕迹材料不够齐全，造成小幅扣分。</w:t>
      </w:r>
    </w:p>
    <w:p w14:paraId="03A6F1AD">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3.项目实施（9分，得分8分）</w:t>
      </w:r>
      <w:r>
        <w:rPr>
          <w:rFonts w:hint="eastAsia" w:ascii="仿宋_GB2312" w:hAnsi="Times New Roman" w:eastAsia="仿宋_GB2312" w:cs="仿宋_GB2312"/>
          <w:kern w:val="2"/>
          <w:sz w:val="32"/>
          <w:szCs w:val="32"/>
          <w:lang w:val="en-US" w:eastAsia="zh-CN" w:bidi="ar"/>
        </w:rPr>
        <w:t>预算执行与资金使用整体合规高效：财政资金拨付及时，单位资金使用率较高，配套保障到位。资金使用严格遵守财经法规与工会经费管理规定，无挤占、挪用、虚列支出等问题。项目实施依法合规，未发生违规使用情况。</w:t>
      </w:r>
    </w:p>
    <w:p w14:paraId="07AA4DFE">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扣分原因：个别月份资金支付进度略缓，资金使用率未达最优，导致轻微扣分。</w:t>
      </w:r>
    </w:p>
    <w:p w14:paraId="436B0FF1">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4.项目结果（9分，得分8分）</w:t>
      </w:r>
      <w:r>
        <w:rPr>
          <w:rFonts w:hint="eastAsia" w:ascii="仿宋_GB2312" w:hAnsi="Times New Roman" w:eastAsia="仿宋_GB2312" w:cs="仿宋_GB2312"/>
          <w:kern w:val="2"/>
          <w:sz w:val="32"/>
          <w:szCs w:val="32"/>
          <w:lang w:val="en-US" w:eastAsia="zh-CN" w:bidi="ar"/>
        </w:rPr>
        <w:t>项目总体完成预期绩效目标：产出与效益类指标基本完成，目标实现程度较高。项目完成时效符合计划安排，未出现严重滞后。经费使用有效支撑工会行政运转与履职服务，效果良好。</w:t>
      </w:r>
    </w:p>
    <w:p w14:paraId="401F7F64">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扣分原因：个别量化指标未完全达到预期目标，完成率略有不足。</w:t>
      </w:r>
    </w:p>
    <w:p w14:paraId="2381C80D">
      <w:pPr>
        <w:keepNext w:val="0"/>
        <w:keepLines w:val="0"/>
        <w:widowControl w:val="0"/>
        <w:suppressLineNumbers w:val="0"/>
        <w:spacing w:before="0" w:beforeAutospacing="0" w:after="0" w:afterAutospacing="0"/>
        <w:ind w:left="0" w:right="0"/>
        <w:jc w:val="both"/>
        <w:rPr>
          <w:rFonts w:hint="eastAsia" w:ascii="仿宋_GB2312" w:hAnsi="Times New Roman" w:eastAsia="仿宋_GB2312" w:cs="仿宋_GB2312"/>
          <w:kern w:val="2"/>
          <w:sz w:val="32"/>
          <w:szCs w:val="32"/>
        </w:rPr>
      </w:pPr>
      <w:r>
        <w:rPr>
          <w:rFonts w:hint="eastAsia" w:ascii="楷体_GB2312" w:hAnsi="宋体"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专用指标绩效分析（</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分，得分</w:t>
      </w:r>
      <w:r>
        <w:rPr>
          <w:rFonts w:hint="default" w:ascii="Times New Roman" w:hAnsi="Times New Roman" w:eastAsia="仿宋_GB2312" w:cs="Times New Roman"/>
          <w:kern w:val="2"/>
          <w:sz w:val="32"/>
          <w:szCs w:val="32"/>
          <w:lang w:val="en-US" w:eastAsia="zh-CN" w:bidi="ar"/>
        </w:rPr>
        <w:t>27</w:t>
      </w:r>
      <w:r>
        <w:rPr>
          <w:rFonts w:hint="eastAsia" w:ascii="仿宋_GB2312" w:hAnsi="Times New Roman" w:eastAsia="仿宋_GB2312" w:cs="仿宋_GB2312"/>
          <w:kern w:val="2"/>
          <w:sz w:val="32"/>
          <w:szCs w:val="32"/>
          <w:lang w:val="en-US" w:eastAsia="zh-CN" w:bidi="ar"/>
        </w:rPr>
        <w:t>分）</w:t>
      </w:r>
    </w:p>
    <w:p w14:paraId="492B9BBF">
      <w:pPr>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本项目专用指标为行政运转类，从用途合规性、程序合规性、标准合规性三项评价，各</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分，合计</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分，自评</w:t>
      </w:r>
      <w:r>
        <w:rPr>
          <w:rFonts w:hint="default" w:ascii="Times New Roman" w:hAnsi="Times New Roman" w:eastAsia="仿宋_GB2312" w:cs="Times New Roman"/>
          <w:kern w:val="2"/>
          <w:sz w:val="32"/>
          <w:szCs w:val="32"/>
          <w:lang w:val="en-US" w:eastAsia="zh-CN" w:bidi="ar"/>
        </w:rPr>
        <w:t>27</w:t>
      </w:r>
      <w:r>
        <w:rPr>
          <w:rFonts w:hint="eastAsia" w:ascii="仿宋_GB2312" w:hAnsi="Times New Roman" w:eastAsia="仿宋_GB2312" w:cs="仿宋_GB2312"/>
          <w:kern w:val="2"/>
          <w:sz w:val="32"/>
          <w:szCs w:val="32"/>
          <w:lang w:val="en-US" w:eastAsia="zh-CN" w:bidi="ar"/>
        </w:rPr>
        <w:t>分。</w:t>
      </w:r>
    </w:p>
    <w:p w14:paraId="001374C7">
      <w:pPr>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仿宋_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用途合规性（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分）：经费严格按工会规定用途与适用范围分配使用，未发生超范围、超标准支出，得分高。</w:t>
      </w:r>
    </w:p>
    <w:p w14:paraId="3D179B58">
      <w:pPr>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仿宋_GB2312"/>
          <w:kern w:val="2"/>
          <w:sz w:val="32"/>
          <w:szCs w:val="32"/>
        </w:rPr>
      </w:pPr>
      <w:r>
        <w:rPr>
          <w:rFonts w:hint="default" w:ascii="Times New Roman" w:hAnsi="Times New Roman" w:eastAsia="仿宋_GB2312" w:cs="Times New Roman"/>
          <w:kern w:val="2"/>
          <w:sz w:val="32"/>
          <w:szCs w:val="32"/>
          <w:lang w:val="en-US" w:eastAsia="zh-CN" w:bidi="ar"/>
        </w:rPr>
        <w:t xml:space="preserve">2. </w:t>
      </w:r>
      <w:r>
        <w:rPr>
          <w:rFonts w:hint="eastAsia" w:ascii="仿宋_GB2312" w:hAnsi="Times New Roman" w:eastAsia="仿宋_GB2312" w:cs="仿宋_GB2312"/>
          <w:kern w:val="2"/>
          <w:sz w:val="32"/>
          <w:szCs w:val="32"/>
          <w:lang w:val="en-US" w:eastAsia="zh-CN" w:bidi="ar"/>
        </w:rPr>
        <w:t>程序合规性（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分）：经费决策、分配、拨付、使用程序规范，审批流程完整，符合管理要求。</w:t>
      </w:r>
    </w:p>
    <w:p w14:paraId="209FEDDF">
      <w:pPr>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仿宋_GB2312"/>
          <w:kern w:val="2"/>
          <w:sz w:val="32"/>
          <w:szCs w:val="32"/>
        </w:rPr>
      </w:pPr>
      <w:r>
        <w:rPr>
          <w:rFonts w:hint="default" w:ascii="Times New Roman" w:hAnsi="Times New Roman" w:eastAsia="仿宋_GB2312" w:cs="Times New Roman"/>
          <w:kern w:val="2"/>
          <w:sz w:val="32"/>
          <w:szCs w:val="32"/>
          <w:lang w:val="en-US" w:eastAsia="zh-CN" w:bidi="ar"/>
        </w:rPr>
        <w:t xml:space="preserve">3. </w:t>
      </w:r>
      <w:r>
        <w:rPr>
          <w:rFonts w:hint="eastAsia"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分）：经费分配标准统一、执行到位，无违规调整标准、多发少发等问题。</w:t>
      </w:r>
    </w:p>
    <w:p w14:paraId="6F51617F">
      <w:pPr>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楷体_GB2312" w:cs="Times New Roman"/>
          <w:b/>
          <w:bCs/>
          <w:color w:val="000000"/>
          <w:kern w:val="0"/>
          <w:sz w:val="32"/>
          <w:szCs w:val="32"/>
          <w:shd w:val="clear" w:fill="FFFFFF"/>
        </w:rPr>
      </w:pPr>
      <w:r>
        <w:rPr>
          <w:rFonts w:hint="eastAsia" w:ascii="仿宋_GB2312" w:hAnsi="Times New Roman" w:eastAsia="仿宋_GB2312" w:cs="仿宋_GB2312"/>
          <w:kern w:val="2"/>
          <w:sz w:val="32"/>
          <w:szCs w:val="32"/>
          <w:lang w:val="en-US" w:eastAsia="zh-CN" w:bidi="ar"/>
        </w:rPr>
        <w:t>个别环节存在凭证附件不够完善、流程记录不够细致的问题，未完全达到满分标准，共计扣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63115436">
      <w:pPr>
        <w:keepNext w:val="0"/>
        <w:keepLines w:val="0"/>
        <w:widowControl w:val="0"/>
        <w:suppressLineNumbers w:val="0"/>
        <w:autoSpaceDE w:val="0"/>
        <w:autoSpaceDN/>
        <w:spacing w:before="0" w:beforeAutospacing="0" w:after="0" w:afterAutospacing="0" w:line="578" w:lineRule="exact"/>
        <w:ind w:left="420" w:leftChars="200" w:right="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分，得分</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35243EF7">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个性指标围绕工会专项工作特色设置，重点评价工会履职成效、经费使用特色成效、内部管理创新等内容。</w:t>
      </w:r>
    </w:p>
    <w:p w14:paraId="67BAA7BA">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指标设置贴合工会工作实际，有效反映项目专属绩效。各项任务按计划完成，特色工作成效明显，经费使用效益良好。</w:t>
      </w:r>
    </w:p>
    <w:p w14:paraId="570CB139">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扣分主要因部分特色工作成果总结不够充分、佐证材料不够丰富，导致少量失分。</w:t>
      </w:r>
    </w:p>
    <w:p w14:paraId="4408B18E">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四、评价结论</w:t>
      </w:r>
    </w:p>
    <w:p w14:paraId="7872A2E0">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黑体"/>
          <w:b w:val="0"/>
          <w:bCs w:val="0"/>
          <w:kern w:val="2"/>
          <w:sz w:val="32"/>
          <w:szCs w:val="32"/>
        </w:rPr>
      </w:pPr>
      <w:r>
        <w:rPr>
          <w:rFonts w:hint="eastAsia" w:ascii="仿宋_GB2312" w:hAnsi="宋体" w:eastAsia="仿宋_GB2312" w:cs="仿宋_GB2312"/>
          <w:b w:val="0"/>
          <w:bCs w:val="0"/>
          <w:kern w:val="0"/>
          <w:position w:val="3"/>
          <w:sz w:val="32"/>
          <w:szCs w:val="32"/>
          <w:lang w:val="en-US" w:eastAsia="zh-CN" w:bidi="ar"/>
        </w:rPr>
        <w:t>在规定时间按照资管理办法支付，完成年初目标绩效，评价总分85分。</w:t>
      </w:r>
    </w:p>
    <w:p w14:paraId="51EA777B">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7ED1EF51">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1.项目前期论证与绩效目标精细化水平有待提升。</w:t>
      </w:r>
    </w:p>
    <w:p w14:paraId="3EBC5CFD">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2.资金执行进度均衡性不足，个别时段支付偏慢。</w:t>
      </w:r>
    </w:p>
    <w:p w14:paraId="4BA52F09">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3.绩效监管痕迹管理、资料归档完整性需加强。</w:t>
      </w:r>
    </w:p>
    <w:p w14:paraId="1BB1D89F">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宋体" w:eastAsia="仿宋_GB2312" w:cs="仿宋_GB2312"/>
          <w:b w:val="0"/>
          <w:bCs w:val="0"/>
          <w:kern w:val="0"/>
          <w:position w:val="3"/>
          <w:sz w:val="32"/>
          <w:szCs w:val="32"/>
          <w:lang w:val="en-US" w:eastAsia="zh-CN" w:bidi="ar"/>
        </w:rPr>
        <w:t>4.个性指标成果提炼与佐证材料不够充分。</w:t>
      </w:r>
    </w:p>
    <w:p w14:paraId="666AA4F0">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6FAC4066">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1.强化项目前期论证，进一步细化量化绩效目标，降低偏离度。</w:t>
      </w:r>
    </w:p>
    <w:p w14:paraId="4AEE9CCC">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2.加强预算执行动态监控，提升资金支付均衡性与使用效率。</w:t>
      </w:r>
    </w:p>
    <w:p w14:paraId="6E416874">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3.完善制度执行台账，规范审批、分配、监管等全流程资料归档。</w:t>
      </w:r>
    </w:p>
    <w:p w14:paraId="5C35F577">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4.健全绩效整改闭环，加强对下级工会经费使用的指导与监督。</w:t>
      </w:r>
    </w:p>
    <w:p w14:paraId="1F0AB02D">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5.做优个性指标成果总结，完善特色工作佐证材料，提升绩效展示度。</w:t>
      </w:r>
    </w:p>
    <w:p w14:paraId="5082EDB7">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 xml:space="preserve"> </w:t>
      </w:r>
    </w:p>
    <w:p w14:paraId="43398C0F">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部门预算项目支出绩效自评表</w:t>
      </w:r>
    </w:p>
    <w:p w14:paraId="22EAF101">
      <w:pPr>
        <w:pStyle w:val="9"/>
        <w:keepNext w:val="0"/>
        <w:keepLines w:val="0"/>
        <w:widowControl/>
        <w:suppressLineNumbers w:val="0"/>
        <w:spacing w:before="0" w:beforeAutospacing="1" w:after="0" w:afterAutospacing="0" w:line="20" w:lineRule="exact"/>
        <w:ind w:left="0" w:leftChars="0" w:right="0" w:firstLine="640" w:firstLineChars="200"/>
        <w:jc w:val="both"/>
        <w:rPr>
          <w:rFonts w:hint="default" w:ascii="Times New Roman" w:hAnsi="Times New Roman" w:eastAsia="黑体" w:cs="Times New Roman"/>
          <w:kern w:val="2"/>
          <w:sz w:val="24"/>
          <w:szCs w:val="24"/>
        </w:rPr>
      </w:pPr>
      <w:r>
        <w:rPr>
          <w:rFonts w:hint="default" w:ascii="Times New Roman" w:hAnsi="Times New Roman" w:eastAsia="仿宋_GB2312" w:cs="Times New Roman"/>
          <w:color w:val="000000"/>
          <w:kern w:val="0"/>
          <w:sz w:val="32"/>
          <w:szCs w:val="32"/>
          <w:shd w:val="clear" w:fill="FFFFFF"/>
          <w:lang w:val="en-US" w:eastAsia="zh-CN" w:bidi="ar"/>
        </w:rPr>
        <w:br w:type="page"/>
      </w:r>
    </w:p>
    <w:p w14:paraId="143B0E1A">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7757F69">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r>
        <w:drawing>
          <wp:anchor distT="0" distB="0" distL="114300" distR="114300" simplePos="0" relativeHeight="251672576" behindDoc="0" locked="0" layoutInCell="1" allowOverlap="1">
            <wp:simplePos x="0" y="0"/>
            <wp:positionH relativeFrom="column">
              <wp:posOffset>-356870</wp:posOffset>
            </wp:positionH>
            <wp:positionV relativeFrom="paragraph">
              <wp:posOffset>-250190</wp:posOffset>
            </wp:positionV>
            <wp:extent cx="5924550" cy="6017260"/>
            <wp:effectExtent l="0" t="0" r="0" b="2540"/>
            <wp:wrapNone/>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21"/>
                    <a:stretch>
                      <a:fillRect/>
                    </a:stretch>
                  </pic:blipFill>
                  <pic:spPr>
                    <a:xfrm>
                      <a:off x="0" y="0"/>
                      <a:ext cx="5924550" cy="6017260"/>
                    </a:xfrm>
                    <a:prstGeom prst="rect">
                      <a:avLst/>
                    </a:prstGeom>
                    <a:noFill/>
                    <a:ln>
                      <a:noFill/>
                    </a:ln>
                  </pic:spPr>
                </pic:pic>
              </a:graphicData>
            </a:graphic>
          </wp:anchor>
        </w:drawing>
      </w:r>
    </w:p>
    <w:p w14:paraId="5532B67B">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160098A">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32ACA29">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EFDB0FB">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2F397E3">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5901AEE4">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8F4596E">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2923E648">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D79124F">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2D0B3F85">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1B260FA">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28B63562">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21DC39F">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BE89F16">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6852C25B">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b/>
          <w:bCs/>
          <w:kern w:val="2"/>
          <w:sz w:val="44"/>
          <w:szCs w:val="44"/>
        </w:rPr>
      </w:pPr>
      <w:r>
        <w:rPr>
          <w:rFonts w:hint="eastAsia" w:ascii="方正小标宋简体" w:hAnsi="方正小标宋简体" w:eastAsia="方正小标宋简体" w:cs="方正小标宋简体"/>
          <w:b/>
          <w:bCs/>
          <w:kern w:val="2"/>
          <w:sz w:val="44"/>
          <w:szCs w:val="44"/>
          <w:lang w:val="en-US" w:eastAsia="zh-CN" w:bidi="ar"/>
        </w:rPr>
        <w:t>劳模津贴专项预算</w:t>
      </w:r>
    </w:p>
    <w:p w14:paraId="7A57957B">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b/>
          <w:bCs/>
          <w:kern w:val="2"/>
          <w:sz w:val="44"/>
          <w:szCs w:val="44"/>
          <w:lang w:val="en-US" w:eastAsia="zh-CN" w:bidi="ar"/>
        </w:rPr>
        <w:t>项目绩效评价报告范本</w:t>
      </w:r>
    </w:p>
    <w:p w14:paraId="47A7D443">
      <w:pPr>
        <w:pStyle w:val="9"/>
        <w:keepNext w:val="0"/>
        <w:keepLines w:val="0"/>
        <w:widowControl/>
        <w:suppressLineNumbers w:val="0"/>
        <w:spacing w:before="0" w:beforeAutospacing="0" w:after="0" w:afterAutospacing="0" w:line="578" w:lineRule="exact"/>
        <w:ind w:left="0" w:right="0" w:firstLine="640"/>
        <w:jc w:val="center"/>
        <w:rPr>
          <w:rFonts w:hint="default" w:ascii="Times New Roman" w:hAnsi="Times New Roman" w:eastAsia="宋体" w:cs="Times New Roman"/>
          <w:color w:val="000000"/>
          <w:kern w:val="2"/>
          <w:sz w:val="32"/>
          <w:szCs w:val="32"/>
        </w:rPr>
      </w:pPr>
      <w:r>
        <w:rPr>
          <w:rFonts w:hint="default" w:ascii="Times New Roman" w:hAnsi="Times New Roman" w:eastAsia="宋体" w:cs="Times New Roman"/>
          <w:color w:val="000000"/>
          <w:kern w:val="2"/>
          <w:sz w:val="32"/>
          <w:szCs w:val="32"/>
          <w:lang w:val="en-US" w:eastAsia="zh-CN" w:bidi="ar"/>
        </w:rPr>
        <w:t xml:space="preserve"> </w:t>
      </w:r>
    </w:p>
    <w:p w14:paraId="22B98977">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一、项目概况</w:t>
      </w:r>
    </w:p>
    <w:p w14:paraId="7984B23A">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为大力弘扬劳模精神，有效激发劳模的创造活力，营造尊重劳模、争当劳模的浓厚氛围，根据《阿坝州人民政府办公室关于转发〈四川省人民政府办公厅关于对省级以上离退休职工劳模实行荣誉津贴和改善省级以上职工劳模住房条件的通知〉的通知》（阿府办发〔2002〕18号）规定。设立此项目。</w:t>
      </w:r>
    </w:p>
    <w:p w14:paraId="73E55E98">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kern w:val="0"/>
          <w:sz w:val="32"/>
          <w:szCs w:val="32"/>
          <w:shd w:val="clear" w:fill="FFFFFF"/>
          <w:lang w:val="en-US" w:eastAsia="zh-CN" w:bidi="ar"/>
        </w:rPr>
        <w:t>荣誉津贴由离退休劳动模范所在企业按月支付，破产企业、特困企业确实无力支付的，经政府有关部门核实后，由同级财政支付。我县破产及特困企业享受省级以上离退休职工劳模荣誉津贴共1人（省职工劳模魏德钦80元/月,960元/年）</w:t>
      </w:r>
    </w:p>
    <w:p w14:paraId="7839769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hAnsi="Times New Roman" w:eastAsia="仿宋_GB2312" w:cs="仿宋_GB2312"/>
          <w:b/>
          <w:bCs w:val="0"/>
          <w:kern w:val="0"/>
          <w:sz w:val="32"/>
          <w:szCs w:val="32"/>
          <w:shd w:val="clear" w:fill="FFFFFF"/>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kern w:val="0"/>
          <w:sz w:val="32"/>
          <w:szCs w:val="32"/>
          <w:shd w:val="clear" w:fill="FFFFFF"/>
          <w:lang w:val="en-US" w:eastAsia="zh-CN" w:bidi="ar"/>
        </w:rPr>
        <w:t>向破产特困企业离退休职工劳模荣誉津贴共1人省职工劳模魏德钦80元/月,960元/年。于2025年11月支付。</w:t>
      </w:r>
    </w:p>
    <w:p w14:paraId="0AACA00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default" w:ascii="Times New Roman" w:hAnsi="Times New Roman" w:eastAsia="仿宋_GB2312" w:cs="Times New Roman"/>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8个分别为数量指标、质量指标、时效指标、经济效益指标、社会效益指标、可持续影响指标、服务对象满意度指标、经济成本指标。各指标按要求完成，达到年初绩效目标，自评得分88。</w:t>
      </w:r>
    </w:p>
    <w:p w14:paraId="6A12B3D9">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77E508A5">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w:t>
      </w:r>
    </w:p>
    <w:p w14:paraId="0307861D">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享受劳模荣誉人数、慰问合格率、社会效益完成情况、预算资金支付情况。</w:t>
      </w:r>
    </w:p>
    <w:p w14:paraId="7831DA8F">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汶川县总工会。</w:t>
      </w:r>
    </w:p>
    <w:p w14:paraId="1A4ECEEC">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1FF92720">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汶川县总工会具体项目负责人以及财务人员。</w:t>
      </w:r>
    </w:p>
    <w:p w14:paraId="0B37BC7A">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default" w:ascii="Times New Roman" w:hAnsi="Times New Roman" w:eastAsia="仿宋_GB2312" w:cs="Times New Roman"/>
          <w:kern w:val="2"/>
          <w:sz w:val="32"/>
          <w:szCs w:val="32"/>
          <w:lang w:val="en-US" w:eastAsia="zh-CN" w:bidi="ar"/>
        </w:rPr>
        <w:tab/>
      </w:r>
    </w:p>
    <w:p w14:paraId="15801D28">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88</w:t>
      </w:r>
      <w:r>
        <w:rPr>
          <w:rFonts w:hint="eastAsia" w:ascii="仿宋_GB2312" w:hAnsi="Times New Roman" w:eastAsia="仿宋_GB2312" w:cs="仿宋_GB2312"/>
          <w:kern w:val="2"/>
          <w:sz w:val="32"/>
          <w:szCs w:val="32"/>
          <w:lang w:val="en-US" w:eastAsia="zh-CN" w:bidi="ar"/>
        </w:rPr>
        <w:t>分。</w:t>
      </w:r>
    </w:p>
    <w:p w14:paraId="6D65BABA">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3B71EFB2">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1.项目决策。（18分）</w:t>
      </w:r>
      <w:r>
        <w:rPr>
          <w:rFonts w:hint="eastAsia" w:ascii="仿宋_GB2312" w:hAnsi="Times New Roman" w:eastAsia="仿宋_GB2312" w:cs="仿宋_GB2312"/>
          <w:kern w:val="2"/>
          <w:sz w:val="32"/>
          <w:szCs w:val="32"/>
          <w:lang w:val="en-US" w:eastAsia="zh-CN" w:bidi="ar"/>
        </w:rPr>
        <w:t>项目决策程序严密，项目规划论证符合要求，项目绩效目标设置科学合理、项目资金与项目总体规划、相关行业事业发展相匹配，聚焦重大任务、重点领域、重点环节和重点项目。该指标得</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w:t>
      </w:r>
    </w:p>
    <w:p w14:paraId="1099863C">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2.项目管理。（18分）</w:t>
      </w:r>
      <w:r>
        <w:rPr>
          <w:rFonts w:hint="eastAsia" w:ascii="仿宋_GB2312" w:hAnsi="Times New Roman" w:eastAsia="仿宋_GB2312" w:cs="仿宋_GB2312"/>
          <w:kern w:val="2"/>
          <w:sz w:val="32"/>
          <w:szCs w:val="32"/>
          <w:lang w:val="en-US" w:eastAsia="zh-CN" w:bidi="ar"/>
        </w:rPr>
        <w:t>项目制度办法体系健全、要素完备，项目资金分配因素选取、权重设置、区域分布，项目管理、审批符合管理要求，资金、项目、政策绩效，项目绩效监管按要求开展，对下指导有力有效。综上所述，该指标得</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23A5E609">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仿宋_GB2312"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3.项目实施。（9分）</w:t>
      </w:r>
      <w:r>
        <w:rPr>
          <w:rFonts w:hint="eastAsia" w:ascii="仿宋_GB2312" w:hAnsi="Times New Roman" w:eastAsia="仿宋_GB2312" w:cs="仿宋_GB2312"/>
          <w:kern w:val="2"/>
          <w:sz w:val="32"/>
          <w:szCs w:val="32"/>
          <w:lang w:val="en-US" w:eastAsia="zh-CN" w:bidi="ar"/>
        </w:rPr>
        <w:t>项目资金财政拨付、单位执行及时到位，资金使用拨付、项目实施符合规定。综上所述，该指标得</w:t>
      </w:r>
      <w:r>
        <w:rPr>
          <w:rFonts w:hint="default" w:ascii="Times New Roman" w:hAnsi="Times New Roman" w:eastAsia="仿宋_GB2312" w:cs="Times New Roman"/>
          <w:kern w:val="2"/>
          <w:sz w:val="32"/>
          <w:szCs w:val="32"/>
          <w:lang w:val="en-US" w:eastAsia="zh-CN" w:bidi="ar"/>
        </w:rPr>
        <w:t>9</w:t>
      </w:r>
      <w:r>
        <w:rPr>
          <w:rFonts w:hint="eastAsia" w:ascii="仿宋_GB2312" w:hAnsi="Times New Roman" w:eastAsia="仿宋_GB2312" w:cs="仿宋_GB2312"/>
          <w:kern w:val="2"/>
          <w:sz w:val="32"/>
          <w:szCs w:val="32"/>
          <w:lang w:val="en-US" w:eastAsia="zh-CN" w:bidi="ar"/>
        </w:rPr>
        <w:t>分。</w:t>
      </w:r>
    </w:p>
    <w:p w14:paraId="4194BDA8">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4.项目结果。（9分）</w:t>
      </w:r>
      <w:r>
        <w:rPr>
          <w:rFonts w:hint="eastAsia" w:ascii="仿宋_GB2312" w:hAnsi="Times New Roman" w:eastAsia="仿宋_GB2312" w:cs="仿宋_GB2312"/>
          <w:kern w:val="2"/>
          <w:sz w:val="32"/>
          <w:szCs w:val="32"/>
          <w:lang w:val="en-US" w:eastAsia="zh-CN" w:bidi="ar"/>
        </w:rPr>
        <w:t>项目完成预期目标，实施结果与绩效目标相匹配，反映目标实现程度，项目目标绩效规定时间完成。综上所述，该指标得</w:t>
      </w:r>
      <w:r>
        <w:rPr>
          <w:rFonts w:hint="default" w:ascii="Times New Roman" w:hAnsi="Times New Roman" w:eastAsia="仿宋_GB2312" w:cs="Times New Roman"/>
          <w:kern w:val="2"/>
          <w:sz w:val="32"/>
          <w:szCs w:val="32"/>
          <w:lang w:val="en-US" w:eastAsia="zh-CN" w:bidi="ar"/>
        </w:rPr>
        <w:t>8</w:t>
      </w:r>
      <w:r>
        <w:rPr>
          <w:rFonts w:hint="eastAsia" w:ascii="仿宋_GB2312" w:hAnsi="Times New Roman" w:eastAsia="仿宋_GB2312" w:cs="仿宋_GB2312"/>
          <w:kern w:val="2"/>
          <w:sz w:val="32"/>
          <w:szCs w:val="32"/>
          <w:lang w:val="en-US" w:eastAsia="zh-CN" w:bidi="ar"/>
        </w:rPr>
        <w:t>分。</w:t>
      </w:r>
    </w:p>
    <w:p w14:paraId="74365C6C">
      <w:pPr>
        <w:keepNext w:val="0"/>
        <w:keepLines w:val="0"/>
        <w:widowControl w:val="0"/>
        <w:suppressLineNumbers w:val="0"/>
        <w:autoSpaceDE w:val="0"/>
        <w:autoSpaceDN/>
        <w:spacing w:before="0" w:beforeAutospacing="0" w:after="0" w:afterAutospacing="0" w:line="578" w:lineRule="exact"/>
        <w:ind w:left="0" w:right="0" w:firstLine="643" w:firstLineChars="200"/>
        <w:jc w:val="both"/>
        <w:rPr>
          <w:rFonts w:hint="eastAsia" w:ascii="楷体_GB2312" w:hAnsi="Times New Roman" w:eastAsia="楷体_GB2312" w:cs="楷体_GB2312"/>
          <w:kern w:val="2"/>
          <w:sz w:val="32"/>
          <w:szCs w:val="32"/>
        </w:rPr>
      </w:pPr>
      <w:r>
        <w:rPr>
          <w:rFonts w:hint="eastAsia" w:ascii="楷体_GB2312" w:hAnsi="宋体"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根据专项预算项目资金支持对象选择所属指标进行绩效分析。支持对象包括产业发展、民生保障、基础设施、行政运转等方面。</w:t>
      </w:r>
    </w:p>
    <w:p w14:paraId="23871FA4">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1.产业发展。（30分）</w:t>
      </w:r>
      <w:r>
        <w:rPr>
          <w:rFonts w:hint="eastAsia" w:ascii="仿宋_GB2312" w:hAnsi="Times New Roman" w:eastAsia="仿宋_GB2312" w:cs="仿宋_GB2312"/>
          <w:kern w:val="2"/>
          <w:sz w:val="32"/>
          <w:szCs w:val="32"/>
          <w:lang w:val="en-US" w:eastAsia="zh-CN" w:bidi="ar"/>
        </w:rPr>
        <w:t>围绕符合性、成长性、经济性进行绩效分析。综上所述，该指标得</w:t>
      </w:r>
      <w:r>
        <w:rPr>
          <w:rFonts w:hint="default" w:ascii="Times New Roman" w:hAnsi="Times New Roman" w:eastAsia="仿宋_GB2312" w:cs="Times New Roman"/>
          <w:kern w:val="2"/>
          <w:sz w:val="32"/>
          <w:szCs w:val="32"/>
          <w:lang w:val="en-US" w:eastAsia="zh-CN" w:bidi="ar"/>
        </w:rPr>
        <w:t>X</w:t>
      </w:r>
      <w:r>
        <w:rPr>
          <w:rFonts w:hint="eastAsia" w:ascii="仿宋_GB2312" w:hAnsi="Times New Roman" w:eastAsia="仿宋_GB2312" w:cs="仿宋_GB2312"/>
          <w:kern w:val="2"/>
          <w:sz w:val="32"/>
          <w:szCs w:val="32"/>
          <w:lang w:val="en-US" w:eastAsia="zh-CN" w:bidi="ar"/>
        </w:rPr>
        <w:t>分。</w:t>
      </w:r>
    </w:p>
    <w:p w14:paraId="17F5B458">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2.民生保障。（30分）</w:t>
      </w:r>
      <w:r>
        <w:rPr>
          <w:rFonts w:hint="eastAsia" w:ascii="仿宋_GB2312" w:hAnsi="Times New Roman" w:eastAsia="仿宋_GB2312" w:cs="仿宋_GB2312"/>
          <w:kern w:val="2"/>
          <w:sz w:val="32"/>
          <w:szCs w:val="32"/>
          <w:lang w:val="en-US" w:eastAsia="zh-CN" w:bidi="ar"/>
        </w:rPr>
        <w:t>围绕区域均衡性、对象精准性、标准合理性、群众满意度进行绩效分析。综上所述，该指标得</w:t>
      </w:r>
      <w:r>
        <w:rPr>
          <w:rFonts w:hint="default" w:ascii="Times New Roman" w:hAnsi="Times New Roman" w:eastAsia="仿宋_GB2312" w:cs="Times New Roman"/>
          <w:kern w:val="2"/>
          <w:sz w:val="32"/>
          <w:szCs w:val="32"/>
          <w:lang w:val="en-US" w:eastAsia="zh-CN" w:bidi="ar"/>
        </w:rPr>
        <w:t>X</w:t>
      </w:r>
      <w:r>
        <w:rPr>
          <w:rFonts w:hint="eastAsia" w:ascii="仿宋_GB2312" w:hAnsi="Times New Roman" w:eastAsia="仿宋_GB2312" w:cs="仿宋_GB2312"/>
          <w:kern w:val="2"/>
          <w:sz w:val="32"/>
          <w:szCs w:val="32"/>
          <w:lang w:val="en-US" w:eastAsia="zh-CN" w:bidi="ar"/>
        </w:rPr>
        <w:t>分。</w:t>
      </w:r>
    </w:p>
    <w:p w14:paraId="3439BF26">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3.基础设施。（30分）</w:t>
      </w:r>
      <w:r>
        <w:rPr>
          <w:rFonts w:hint="eastAsia" w:ascii="仿宋_GB2312" w:hAnsi="Times New Roman" w:eastAsia="仿宋_GB2312" w:cs="仿宋_GB2312"/>
          <w:kern w:val="2"/>
          <w:sz w:val="32"/>
          <w:szCs w:val="32"/>
          <w:lang w:val="en-US" w:eastAsia="zh-CN" w:bidi="ar"/>
        </w:rPr>
        <w:t>在建项目围绕工程进度和资金拨付进行绩效分析；建成项目围绕项目验收、功能实现、后续管护进行绩效分析。综上所述，该指标得</w:t>
      </w:r>
      <w:r>
        <w:rPr>
          <w:rFonts w:hint="default" w:ascii="Times New Roman" w:hAnsi="Times New Roman" w:eastAsia="仿宋_GB2312" w:cs="Times New Roman"/>
          <w:kern w:val="2"/>
          <w:sz w:val="32"/>
          <w:szCs w:val="32"/>
          <w:lang w:val="en-US" w:eastAsia="zh-CN" w:bidi="ar"/>
        </w:rPr>
        <w:t>X</w:t>
      </w:r>
      <w:r>
        <w:rPr>
          <w:rFonts w:hint="eastAsia" w:ascii="仿宋_GB2312" w:hAnsi="Times New Roman" w:eastAsia="仿宋_GB2312" w:cs="仿宋_GB2312"/>
          <w:kern w:val="2"/>
          <w:sz w:val="32"/>
          <w:szCs w:val="32"/>
          <w:lang w:val="en-US" w:eastAsia="zh-CN" w:bidi="ar"/>
        </w:rPr>
        <w:t>分。</w:t>
      </w:r>
    </w:p>
    <w:p w14:paraId="194DCCFB">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仿宋_GB2312"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4.行政运转。（30分）</w:t>
      </w:r>
      <w:r>
        <w:rPr>
          <w:rFonts w:hint="eastAsia" w:ascii="仿宋_GB2312" w:hAnsi="Times New Roman" w:eastAsia="仿宋_GB2312" w:cs="仿宋_GB2312"/>
          <w:kern w:val="2"/>
          <w:sz w:val="32"/>
          <w:szCs w:val="32"/>
          <w:lang w:val="en-US" w:eastAsia="zh-CN" w:bidi="ar"/>
        </w:rPr>
        <w:t>按规定用途、适用范围进行本地区专项资金分配，资金管理程序符合专项资金管理要求，资金分配标准符合专项资金管理要求。综上所述，该指标得</w:t>
      </w:r>
      <w:r>
        <w:rPr>
          <w:rFonts w:hint="default" w:ascii="Times New Roman" w:hAnsi="Times New Roman" w:eastAsia="仿宋_GB2312" w:cs="Times New Roman"/>
          <w:kern w:val="2"/>
          <w:sz w:val="32"/>
          <w:szCs w:val="32"/>
          <w:lang w:val="en-US" w:eastAsia="zh-CN" w:bidi="ar"/>
        </w:rPr>
        <w:t>26</w:t>
      </w:r>
      <w:r>
        <w:rPr>
          <w:rFonts w:hint="eastAsia" w:ascii="仿宋_GB2312" w:hAnsi="Times New Roman" w:eastAsia="仿宋_GB2312" w:cs="仿宋_GB2312"/>
          <w:kern w:val="2"/>
          <w:sz w:val="32"/>
          <w:szCs w:val="32"/>
          <w:lang w:val="en-US" w:eastAsia="zh-CN" w:bidi="ar"/>
        </w:rPr>
        <w:t>分。</w:t>
      </w:r>
    </w:p>
    <w:p w14:paraId="3ED659AC">
      <w:pPr>
        <w:keepNext w:val="0"/>
        <w:keepLines w:val="0"/>
        <w:widowControl w:val="0"/>
        <w:suppressLineNumbers w:val="0"/>
        <w:autoSpaceDE w:val="0"/>
        <w:autoSpaceDN/>
        <w:spacing w:before="0" w:beforeAutospacing="0" w:after="0" w:afterAutospacing="0" w:line="578" w:lineRule="exact"/>
        <w:ind w:left="0" w:leftChars="0" w:right="0" w:firstLine="643" w:firstLineChars="200"/>
        <w:jc w:val="both"/>
        <w:rPr>
          <w:rFonts w:hint="eastAsia" w:ascii="仿宋_GB2312"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不涉及，综上所述，该指标得</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w:t>
      </w:r>
    </w:p>
    <w:p w14:paraId="6E022292">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四、评价结论</w:t>
      </w:r>
    </w:p>
    <w:p w14:paraId="234097E8">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黑体"/>
          <w:b w:val="0"/>
          <w:bCs w:val="0"/>
          <w:kern w:val="2"/>
          <w:sz w:val="32"/>
          <w:szCs w:val="32"/>
        </w:rPr>
      </w:pPr>
      <w:r>
        <w:rPr>
          <w:rFonts w:hint="eastAsia" w:ascii="仿宋_GB2312" w:hAnsi="宋体" w:eastAsia="仿宋_GB2312" w:cs="仿宋_GB2312"/>
          <w:b w:val="0"/>
          <w:bCs w:val="0"/>
          <w:kern w:val="0"/>
          <w:position w:val="3"/>
          <w:sz w:val="32"/>
          <w:szCs w:val="32"/>
          <w:lang w:val="en-US" w:eastAsia="zh-CN" w:bidi="ar"/>
        </w:rPr>
        <w:t>在规定时间按照资管理办法支付，完成年初目标绩效，评价总分88分。</w:t>
      </w:r>
    </w:p>
    <w:p w14:paraId="3592FD0D">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681B58A1">
      <w:pPr>
        <w:pStyle w:val="9"/>
        <w:keepNext w:val="0"/>
        <w:keepLines w:val="0"/>
        <w:widowControl/>
        <w:suppressLineNumbers w:val="0"/>
        <w:tabs>
          <w:tab w:val="left" w:pos="2160"/>
        </w:tabs>
        <w:autoSpaceDE w:val="0"/>
        <w:autoSpaceDN/>
        <w:spacing w:before="0" w:beforeAutospacing="0" w:after="0" w:afterAutospacing="0" w:line="600" w:lineRule="exact"/>
        <w:ind w:left="420" w:leftChars="200" w:right="0" w:firstLine="0" w:firstLineChars="0"/>
        <w:jc w:val="left"/>
        <w:rPr>
          <w:rFonts w:hint="eastAsia" w:ascii="黑体" w:hAnsi="宋体" w:eastAsia="黑体" w:cs="Times New Roman"/>
          <w:kern w:val="0"/>
          <w:position w:val="3"/>
          <w:sz w:val="32"/>
          <w:szCs w:val="32"/>
        </w:rPr>
      </w:pPr>
      <w:r>
        <w:rPr>
          <w:rFonts w:hint="eastAsia" w:ascii="仿宋_GB2312" w:hAnsi="宋体" w:eastAsia="仿宋_GB2312" w:cs="仿宋_GB2312"/>
          <w:b w:val="0"/>
          <w:bCs w:val="0"/>
          <w:kern w:val="0"/>
          <w:position w:val="3"/>
          <w:sz w:val="32"/>
          <w:szCs w:val="32"/>
          <w:lang w:val="en-US" w:eastAsia="zh-CN" w:bidi="ar"/>
        </w:rPr>
        <w:t>设置目标过于宽泛，在执行过程中难以衡量进度和成果。</w:t>
      </w:r>
      <w:r>
        <w:rPr>
          <w:rFonts w:hint="eastAsia" w:ascii="黑体" w:hAnsi="宋体" w:eastAsia="黑体" w:cs="黑体"/>
          <w:kern w:val="0"/>
          <w:position w:val="3"/>
          <w:sz w:val="32"/>
          <w:szCs w:val="32"/>
          <w:lang w:val="en-US" w:eastAsia="zh-CN" w:bidi="ar"/>
        </w:rPr>
        <w:t>六、改进建议</w:t>
      </w:r>
    </w:p>
    <w:p w14:paraId="52F3E75E">
      <w:pPr>
        <w:keepNext w:val="0"/>
        <w:keepLines w:val="0"/>
        <w:widowControl w:val="0"/>
        <w:suppressLineNumbers w:val="0"/>
        <w:tabs>
          <w:tab w:val="left" w:pos="1911"/>
        </w:tabs>
        <w:spacing w:before="0" w:beforeAutospacing="0" w:after="0" w:afterAutospacing="0"/>
        <w:ind w:left="0" w:right="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kern w:val="0"/>
          <w:sz w:val="32"/>
          <w:szCs w:val="32"/>
          <w:shd w:val="clear" w:fill="FFFFFF"/>
          <w:lang w:val="en-US" w:eastAsia="zh-CN" w:bidi="ar"/>
        </w:rPr>
        <w:t xml:space="preserve"> </w:t>
      </w:r>
      <w:r>
        <w:rPr>
          <w:rFonts w:hint="eastAsia" w:ascii="仿宋_GB2312" w:hAnsi="Times New Roman" w:eastAsia="仿宋_GB2312" w:cs="仿宋_GB2312"/>
          <w:b w:val="0"/>
          <w:bCs w:val="0"/>
          <w:kern w:val="0"/>
          <w:sz w:val="32"/>
          <w:szCs w:val="32"/>
          <w:lang w:val="en-US" w:eastAsia="zh-CN" w:bidi="ar"/>
        </w:rPr>
        <w:t xml:space="preserve">   充分研究目标流程，明确主要目标，分解任务，确保对目标进度有清晰的认识。</w:t>
      </w:r>
    </w:p>
    <w:p w14:paraId="0D8BC4B7">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 xml:space="preserve"> </w:t>
      </w:r>
    </w:p>
    <w:p w14:paraId="18F51DB5">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部门预算项目支出绩效自评表</w:t>
      </w:r>
    </w:p>
    <w:p w14:paraId="31AE270F">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default" w:ascii="Times New Roman" w:hAnsi="Times New Roman" w:eastAsia="仿宋_GB2312" w:cs="Times New Roman"/>
          <w:color w:val="000000"/>
          <w:kern w:val="0"/>
          <w:sz w:val="32"/>
          <w:szCs w:val="32"/>
          <w:shd w:val="clear" w:fill="FFFFFF"/>
          <w:lang w:val="en-US" w:eastAsia="zh-CN" w:bidi="ar"/>
        </w:rPr>
        <w:br w:type="page"/>
      </w:r>
    </w:p>
    <w:p w14:paraId="1599B102">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ADC11F3">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r>
        <w:drawing>
          <wp:anchor distT="0" distB="0" distL="114300" distR="114300" simplePos="0" relativeHeight="251673600" behindDoc="0" locked="0" layoutInCell="1" allowOverlap="1">
            <wp:simplePos x="0" y="0"/>
            <wp:positionH relativeFrom="column">
              <wp:posOffset>-387985</wp:posOffset>
            </wp:positionH>
            <wp:positionV relativeFrom="paragraph">
              <wp:posOffset>-304165</wp:posOffset>
            </wp:positionV>
            <wp:extent cx="6043930" cy="6082665"/>
            <wp:effectExtent l="0" t="0" r="13970" b="13335"/>
            <wp:wrapNone/>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22"/>
                    <a:stretch>
                      <a:fillRect/>
                    </a:stretch>
                  </pic:blipFill>
                  <pic:spPr>
                    <a:xfrm>
                      <a:off x="0" y="0"/>
                      <a:ext cx="6043930" cy="6082665"/>
                    </a:xfrm>
                    <a:prstGeom prst="rect">
                      <a:avLst/>
                    </a:prstGeom>
                    <a:noFill/>
                    <a:ln>
                      <a:noFill/>
                    </a:ln>
                  </pic:spPr>
                </pic:pic>
              </a:graphicData>
            </a:graphic>
          </wp:anchor>
        </w:drawing>
      </w:r>
    </w:p>
    <w:p w14:paraId="67DB46C5">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DC9C947">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56E647D4">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0A39C2F">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DC6A9BE">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FFE114A">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EDB8A3F">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32629667">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31663C7B">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6B630DC">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759A872">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63D367E6">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4AB6350">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5689921D">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3CBD1A82">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b/>
          <w:bCs/>
          <w:kern w:val="2"/>
          <w:sz w:val="44"/>
          <w:szCs w:val="44"/>
        </w:rPr>
      </w:pPr>
      <w:r>
        <w:rPr>
          <w:rFonts w:hint="eastAsia" w:ascii="方正小标宋简体" w:hAnsi="方正小标宋简体" w:eastAsia="方正小标宋简体" w:cs="方正小标宋简体"/>
          <w:b/>
          <w:bCs/>
          <w:kern w:val="2"/>
          <w:sz w:val="44"/>
          <w:szCs w:val="44"/>
          <w:lang w:val="en-US" w:eastAsia="zh-CN" w:bidi="ar"/>
        </w:rPr>
        <w:t>浙江长兴县总工会捐赠资金预算</w:t>
      </w:r>
    </w:p>
    <w:p w14:paraId="37488665">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b/>
          <w:bCs/>
          <w:kern w:val="2"/>
          <w:sz w:val="44"/>
          <w:szCs w:val="44"/>
          <w:lang w:val="en-US" w:eastAsia="zh-CN" w:bidi="ar"/>
        </w:rPr>
        <w:t>项目绩效评价报告范本</w:t>
      </w:r>
    </w:p>
    <w:p w14:paraId="44AE0CCB">
      <w:pPr>
        <w:pStyle w:val="9"/>
        <w:keepNext w:val="0"/>
        <w:keepLines w:val="0"/>
        <w:widowControl w:val="0"/>
        <w:suppressLineNumbers w:val="0"/>
        <w:spacing w:before="0" w:beforeAutospacing="0" w:after="0" w:afterAutospacing="0" w:line="578" w:lineRule="exact"/>
        <w:ind w:left="0" w:right="0" w:firstLine="640"/>
        <w:jc w:val="center"/>
        <w:rPr>
          <w:rFonts w:hint="default" w:ascii="Times New Roman" w:hAnsi="Times New Roman" w:eastAsia="宋体" w:cs="Times New Roman"/>
          <w:kern w:val="2"/>
          <w:sz w:val="32"/>
          <w:szCs w:val="32"/>
        </w:rPr>
      </w:pPr>
      <w:r>
        <w:rPr>
          <w:rFonts w:hint="default" w:ascii="Times New Roman" w:hAnsi="Times New Roman" w:eastAsia="宋体" w:cs="Times New Roman"/>
          <w:color w:val="000000"/>
          <w:kern w:val="2"/>
          <w:sz w:val="32"/>
          <w:szCs w:val="32"/>
          <w:lang w:val="en-US" w:eastAsia="zh-CN" w:bidi="ar"/>
        </w:rPr>
        <w:t xml:space="preserve"> </w:t>
      </w:r>
    </w:p>
    <w:p w14:paraId="2261C76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一、项目概况</w:t>
      </w:r>
    </w:p>
    <w:p w14:paraId="112BC9FD">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本项目为浙江长兴县向汶川无忧活动中心提供建设资金捐赠，旨在支持汶川无忧活动中心建设，完善当地公共服务设施，助力职工服务与民生保障工作落地。项目资金已按计划拨付，主要用于中心场地装修、功能设备采购及配套设施完善，覆盖电子阅读室、健身场馆、多功能活动室、心理咨询室等核心区域。</w:t>
      </w:r>
    </w:p>
    <w:p w14:paraId="7F1D153C">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kern w:val="0"/>
          <w:sz w:val="32"/>
          <w:szCs w:val="32"/>
          <w:shd w:val="clear" w:fill="FFFFFF"/>
          <w:lang w:val="en-US" w:eastAsia="zh-CN" w:bidi="ar"/>
        </w:rPr>
        <w:t>面向全县机关企事业单位职工、新就业形态劳动者、农民工等群体提供一站式公益服务。</w:t>
      </w:r>
    </w:p>
    <w:p w14:paraId="363A034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hAnsi="Times New Roman"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kern w:val="0"/>
          <w:sz w:val="32"/>
          <w:szCs w:val="32"/>
          <w:shd w:val="clear" w:fill="FFFFFF"/>
          <w:lang w:val="en-US" w:eastAsia="zh-CN" w:bidi="ar"/>
        </w:rPr>
        <w:t>项目资金1000000元，已按计划拨付，主要用于中心场地装修、功能设备采购及配套设施完善。</w:t>
      </w:r>
    </w:p>
    <w:p w14:paraId="26B674A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default" w:ascii="Times New Roman" w:hAnsi="Times New Roman" w:eastAsia="仿宋_GB2312" w:cs="Times New Roman"/>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7个分别为数量指标、质量指标、时效指标、经济效益指标、社会效益指标、服务对象满意度指标、经济成本指标。各指标按要求完成，达到年初绩效目标，自评得分86。</w:t>
      </w:r>
    </w:p>
    <w:p w14:paraId="439F496D">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65DA975B">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对预算目标绩效进行综合评价，有效监控专项资金使用情况。</w:t>
      </w:r>
    </w:p>
    <w:p w14:paraId="645FDE3B">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核心功能区域数量、工程质量合格率、工程完成时效、成本控制率等情况。</w:t>
      </w:r>
    </w:p>
    <w:p w14:paraId="2773B4CF">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汶川县总工会。</w:t>
      </w:r>
    </w:p>
    <w:p w14:paraId="578AD76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7396FBF2">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汶川县总工会具体项目负责人以及财务人员。</w:t>
      </w:r>
    </w:p>
    <w:p w14:paraId="3EF0AF53">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default" w:ascii="Times New Roman" w:hAnsi="Times New Roman" w:eastAsia="仿宋_GB2312" w:cs="Times New Roman"/>
          <w:kern w:val="2"/>
          <w:sz w:val="32"/>
          <w:szCs w:val="32"/>
          <w:lang w:val="en-US" w:eastAsia="zh-CN" w:bidi="ar"/>
        </w:rPr>
        <w:tab/>
      </w:r>
    </w:p>
    <w:p w14:paraId="030AF4B2">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86</w:t>
      </w:r>
      <w:r>
        <w:rPr>
          <w:rFonts w:hint="eastAsia" w:ascii="仿宋_GB2312" w:hAnsi="Times New Roman" w:eastAsia="仿宋_GB2312" w:cs="仿宋_GB2312"/>
          <w:kern w:val="2"/>
          <w:sz w:val="32"/>
          <w:szCs w:val="32"/>
          <w:lang w:val="en-US" w:eastAsia="zh-CN" w:bidi="ar"/>
        </w:rPr>
        <w:t>分。</w:t>
      </w:r>
    </w:p>
    <w:p w14:paraId="0396E404">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75EA4220">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1.项目决策（总分18分，自评15分）</w:t>
      </w:r>
      <w:r>
        <w:rPr>
          <w:rFonts w:hint="eastAsia" w:ascii="仿宋_GB2312" w:hAnsi="Times New Roman" w:eastAsia="仿宋_GB2312" w:cs="仿宋_GB2312"/>
          <w:kern w:val="2"/>
          <w:sz w:val="32"/>
          <w:szCs w:val="32"/>
          <w:lang w:val="en-US" w:eastAsia="zh-CN" w:bidi="ar"/>
        </w:rPr>
        <w:t>项目立项符合公益捐赠导向与汶川地区公共服务需求，绩效目标明确，与资金规模匹配。扣分项为部分绩效指标细化程度不足，未完全实现量化可考核。</w:t>
      </w:r>
    </w:p>
    <w:p w14:paraId="4D9BFAE5">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2.项目管理（总分18分，自评15分）</w:t>
      </w:r>
      <w:r>
        <w:rPr>
          <w:rFonts w:hint="eastAsia" w:ascii="仿宋_GB2312" w:hAnsi="Times New Roman" w:eastAsia="仿宋_GB2312" w:cs="仿宋_GB2312"/>
          <w:kern w:val="2"/>
          <w:sz w:val="32"/>
          <w:szCs w:val="32"/>
          <w:lang w:val="en-US" w:eastAsia="zh-CN" w:bidi="ar"/>
        </w:rPr>
        <w:t>资金使用合规，按规定履行审批、拨付程序，无截留、挤占、挪用情况；管理制度健全，档案资料完整。扣分项为项目实施过程监控细节记录不够完善。</w:t>
      </w:r>
    </w:p>
    <w:p w14:paraId="747EA082">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3.项项目实施（总分9分，自评8分）</w:t>
      </w:r>
      <w:r>
        <w:rPr>
          <w:rFonts w:hint="eastAsia" w:ascii="仿宋_GB2312" w:hAnsi="Times New Roman" w:eastAsia="仿宋_GB2312" w:cs="仿宋_GB2312"/>
          <w:kern w:val="2"/>
          <w:sz w:val="32"/>
          <w:szCs w:val="32"/>
          <w:lang w:val="en-US" w:eastAsia="zh-CN" w:bidi="ar"/>
        </w:rPr>
        <w:t>项目按计划推进，核心功能区域建设如期完成，设备采购安装质量达标。扣分项为部分配套设施调试进度略慢于预期，影响整体交付时效。</w:t>
      </w:r>
    </w:p>
    <w:p w14:paraId="7919DCBA">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4.项目结果（总分9分，自评7分）</w:t>
      </w:r>
      <w:r>
        <w:rPr>
          <w:rFonts w:hint="eastAsia" w:ascii="仿宋_GB2312" w:hAnsi="Times New Roman" w:eastAsia="仿宋_GB2312" w:cs="仿宋_GB2312"/>
          <w:kern w:val="2"/>
          <w:sz w:val="32"/>
          <w:szCs w:val="32"/>
          <w:lang w:val="en-US" w:eastAsia="zh-CN" w:bidi="ar"/>
        </w:rPr>
        <w:t>中心已建成启用，开展职工游园活动、技能培训等服务，初步实现社会效益。扣分项为受益群体满意度调研样本量有限，数据全面性不足。</w:t>
      </w:r>
    </w:p>
    <w:p w14:paraId="005C4352">
      <w:pPr>
        <w:keepNext w:val="0"/>
        <w:keepLines w:val="0"/>
        <w:widowControl w:val="0"/>
        <w:suppressLineNumbers w:val="0"/>
        <w:autoSpaceDE w:val="0"/>
        <w:autoSpaceDN/>
        <w:spacing w:before="0" w:beforeAutospacing="0" w:after="0" w:afterAutospacing="0" w:line="578" w:lineRule="exact"/>
        <w:ind w:left="0" w:right="0" w:firstLine="643" w:firstLineChars="200"/>
        <w:jc w:val="both"/>
        <w:rPr>
          <w:rFonts w:hint="eastAsia" w:ascii="楷体_GB2312" w:hAnsi="Times New Roman" w:eastAsia="楷体_GB2312" w:cs="楷体_GB2312"/>
          <w:kern w:val="2"/>
          <w:sz w:val="32"/>
          <w:szCs w:val="32"/>
        </w:rPr>
      </w:pPr>
      <w:r>
        <w:rPr>
          <w:rFonts w:hint="eastAsia" w:ascii="楷体_GB2312" w:hAnsi="宋体"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w:t>
      </w:r>
    </w:p>
    <w:p w14:paraId="413E6453">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hAnsi="Times New Roman" w:eastAsia="楷体_GB2312" w:cs="楷体_GB2312"/>
          <w:kern w:val="2"/>
          <w:sz w:val="32"/>
          <w:szCs w:val="32"/>
        </w:rPr>
      </w:pPr>
      <w:r>
        <w:rPr>
          <w:rFonts w:hint="eastAsia" w:ascii="楷体_GB2312" w:hAnsi="Times New Roman" w:eastAsia="楷体_GB2312" w:cs="楷体_GB2312"/>
          <w:kern w:val="2"/>
          <w:sz w:val="32"/>
          <w:szCs w:val="32"/>
          <w:lang w:val="en-US" w:eastAsia="zh-CN" w:bidi="ar"/>
        </w:rPr>
        <w:t>行政运转（总分30分，自评27分）</w:t>
      </w:r>
    </w:p>
    <w:p w14:paraId="5C8DD920">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用途合规（</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9</w:t>
      </w:r>
      <w:r>
        <w:rPr>
          <w:rFonts w:hint="eastAsia" w:ascii="仿宋_GB2312" w:hAnsi="Times New Roman" w:eastAsia="仿宋_GB2312" w:cs="仿宋_GB2312"/>
          <w:kern w:val="2"/>
          <w:sz w:val="32"/>
          <w:szCs w:val="32"/>
          <w:lang w:val="en-US" w:eastAsia="zh-CN" w:bidi="ar"/>
        </w:rPr>
        <w:t>分）</w:t>
      </w:r>
    </w:p>
    <w:p w14:paraId="7D600A96">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资金全部用于汶川无忧活动中心建设，无超范围使用情况，支出凭证完整。扣</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分因部分小额支出票据分类标注不够精准。</w:t>
      </w:r>
    </w:p>
    <w:p w14:paraId="556069DB">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程序合规（</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9</w:t>
      </w:r>
      <w:r>
        <w:rPr>
          <w:rFonts w:hint="eastAsia" w:ascii="仿宋_GB2312" w:hAnsi="Times New Roman" w:eastAsia="仿宋_GB2312" w:cs="仿宋_GB2312"/>
          <w:kern w:val="2"/>
          <w:sz w:val="32"/>
          <w:szCs w:val="32"/>
          <w:lang w:val="en-US" w:eastAsia="zh-CN" w:bidi="ar"/>
        </w:rPr>
        <w:t>分）</w:t>
      </w:r>
    </w:p>
    <w:p w14:paraId="1B5BDDA2">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捐赠资金履行了内部审批、对外函告及备案程序，流程规范。扣</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分因资金拨付后续跟踪台账更新不够及时。</w:t>
      </w:r>
    </w:p>
    <w:p w14:paraId="4901E403">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标准合规（</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分，得</w:t>
      </w:r>
      <w:r>
        <w:rPr>
          <w:rFonts w:hint="default" w:ascii="Times New Roman" w:hAnsi="Times New Roman" w:eastAsia="仿宋_GB2312" w:cs="Times New Roman"/>
          <w:kern w:val="2"/>
          <w:sz w:val="32"/>
          <w:szCs w:val="32"/>
          <w:lang w:val="en-US" w:eastAsia="zh-CN" w:bidi="ar"/>
        </w:rPr>
        <w:t>9</w:t>
      </w:r>
      <w:r>
        <w:rPr>
          <w:rFonts w:hint="eastAsia" w:ascii="仿宋_GB2312" w:hAnsi="Times New Roman" w:eastAsia="仿宋_GB2312" w:cs="仿宋_GB2312"/>
          <w:kern w:val="2"/>
          <w:sz w:val="32"/>
          <w:szCs w:val="32"/>
          <w:lang w:val="en-US" w:eastAsia="zh-CN" w:bidi="ar"/>
        </w:rPr>
        <w:t>分）</w:t>
      </w:r>
    </w:p>
    <w:p w14:paraId="566B15AA">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资金使用符合财政资金管理及公益捐赠相关标准，设备采购符合政府采购要求。扣</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分因部分装修工艺验收标准记录不够细化。</w:t>
      </w:r>
    </w:p>
    <w:p w14:paraId="70BCB924">
      <w:pPr>
        <w:keepNext w:val="0"/>
        <w:keepLines w:val="0"/>
        <w:widowControl w:val="0"/>
        <w:suppressLineNumbers w:val="0"/>
        <w:autoSpaceDE w:val="0"/>
        <w:autoSpaceDN/>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个性指标（总分</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分，自评</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52860456">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position w:val="3"/>
          <w:sz w:val="32"/>
          <w:szCs w:val="32"/>
          <w:lang w:val="en-US" w:eastAsia="zh-CN" w:bidi="ar"/>
        </w:rPr>
        <w:t>1.</w:t>
      </w:r>
      <w:r>
        <w:rPr>
          <w:rFonts w:hint="eastAsia" w:ascii="仿宋_GB2312" w:hAnsi="Times New Roman" w:eastAsia="仿宋_GB2312" w:cs="仿宋_GB2312"/>
          <w:kern w:val="2"/>
          <w:position w:val="3"/>
          <w:sz w:val="32"/>
          <w:szCs w:val="32"/>
          <w:lang w:val="en-US" w:eastAsia="zh-CN" w:bidi="ar"/>
        </w:rPr>
        <w:t>项目协同性（</w:t>
      </w:r>
      <w:r>
        <w:rPr>
          <w:rFonts w:hint="default" w:ascii="Times New Roman" w:hAnsi="Times New Roman" w:eastAsia="仿宋_GB2312" w:cs="Times New Roman"/>
          <w:kern w:val="2"/>
          <w:position w:val="3"/>
          <w:sz w:val="32"/>
          <w:szCs w:val="32"/>
          <w:lang w:val="en-US" w:eastAsia="zh-CN" w:bidi="ar"/>
        </w:rPr>
        <w:t>6</w:t>
      </w:r>
      <w:r>
        <w:rPr>
          <w:rFonts w:hint="eastAsia" w:ascii="仿宋_GB2312" w:hAnsi="Times New Roman" w:eastAsia="仿宋_GB2312" w:cs="仿宋_GB2312"/>
          <w:kern w:val="2"/>
          <w:position w:val="3"/>
          <w:sz w:val="32"/>
          <w:szCs w:val="32"/>
          <w:lang w:val="en-US" w:eastAsia="zh-CN" w:bidi="ar"/>
        </w:rPr>
        <w:t>分，得</w:t>
      </w:r>
      <w:r>
        <w:rPr>
          <w:rFonts w:hint="default" w:ascii="Times New Roman" w:hAnsi="Times New Roman" w:eastAsia="仿宋_GB2312" w:cs="Times New Roman"/>
          <w:kern w:val="2"/>
          <w:position w:val="3"/>
          <w:sz w:val="32"/>
          <w:szCs w:val="32"/>
          <w:lang w:val="en-US" w:eastAsia="zh-CN" w:bidi="ar"/>
        </w:rPr>
        <w:t>5</w:t>
      </w:r>
      <w:r>
        <w:rPr>
          <w:rFonts w:hint="eastAsia" w:ascii="仿宋_GB2312" w:hAnsi="Times New Roman" w:eastAsia="仿宋_GB2312" w:cs="仿宋_GB2312"/>
          <w:kern w:val="2"/>
          <w:position w:val="3"/>
          <w:sz w:val="32"/>
          <w:szCs w:val="32"/>
          <w:lang w:val="en-US" w:eastAsia="zh-CN" w:bidi="ar"/>
        </w:rPr>
        <w:t>分）</w:t>
      </w:r>
    </w:p>
    <w:p w14:paraId="4D537BFA">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与汶川当地工会及相关部门协同推进项目，沟通机制顺畅。扣</w:t>
      </w:r>
      <w:r>
        <w:rPr>
          <w:rFonts w:hint="default" w:ascii="Times New Roman" w:hAnsi="Times New Roman" w:eastAsia="仿宋_GB2312" w:cs="Times New Roman"/>
          <w:kern w:val="2"/>
          <w:position w:val="3"/>
          <w:sz w:val="32"/>
          <w:szCs w:val="32"/>
          <w:lang w:val="en-US" w:eastAsia="zh-CN" w:bidi="ar"/>
        </w:rPr>
        <w:t>1</w:t>
      </w:r>
      <w:r>
        <w:rPr>
          <w:rFonts w:hint="eastAsia" w:ascii="仿宋_GB2312" w:hAnsi="Times New Roman" w:eastAsia="仿宋_GB2312" w:cs="仿宋_GB2312"/>
          <w:kern w:val="2"/>
          <w:position w:val="3"/>
          <w:sz w:val="32"/>
          <w:szCs w:val="32"/>
          <w:lang w:val="en-US" w:eastAsia="zh-CN" w:bidi="ar"/>
        </w:rPr>
        <w:t>分因跨区域项目对接频次略少，信息同步效率待提升。</w:t>
      </w:r>
    </w:p>
    <w:p w14:paraId="0AD893CA">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position w:val="3"/>
          <w:sz w:val="32"/>
          <w:szCs w:val="32"/>
          <w:lang w:val="en-US" w:eastAsia="zh-CN" w:bidi="ar"/>
        </w:rPr>
        <w:t>2.</w:t>
      </w:r>
      <w:r>
        <w:rPr>
          <w:rFonts w:hint="eastAsia" w:ascii="仿宋_GB2312" w:hAnsi="Times New Roman" w:eastAsia="仿宋_GB2312" w:cs="仿宋_GB2312"/>
          <w:kern w:val="2"/>
          <w:position w:val="3"/>
          <w:sz w:val="32"/>
          <w:szCs w:val="32"/>
          <w:lang w:val="en-US" w:eastAsia="zh-CN" w:bidi="ar"/>
        </w:rPr>
        <w:t>社会效益呈现（</w:t>
      </w:r>
      <w:r>
        <w:rPr>
          <w:rFonts w:hint="default" w:ascii="Times New Roman" w:hAnsi="Times New Roman" w:eastAsia="仿宋_GB2312" w:cs="Times New Roman"/>
          <w:kern w:val="2"/>
          <w:position w:val="3"/>
          <w:sz w:val="32"/>
          <w:szCs w:val="32"/>
          <w:lang w:val="en-US" w:eastAsia="zh-CN" w:bidi="ar"/>
        </w:rPr>
        <w:t>6</w:t>
      </w:r>
      <w:r>
        <w:rPr>
          <w:rFonts w:hint="eastAsia" w:ascii="仿宋_GB2312" w:hAnsi="Times New Roman" w:eastAsia="仿宋_GB2312" w:cs="仿宋_GB2312"/>
          <w:kern w:val="2"/>
          <w:position w:val="3"/>
          <w:sz w:val="32"/>
          <w:szCs w:val="32"/>
          <w:lang w:val="en-US" w:eastAsia="zh-CN" w:bidi="ar"/>
        </w:rPr>
        <w:t>分，得</w:t>
      </w:r>
      <w:r>
        <w:rPr>
          <w:rFonts w:hint="default" w:ascii="Times New Roman" w:hAnsi="Times New Roman" w:eastAsia="仿宋_GB2312" w:cs="Times New Roman"/>
          <w:kern w:val="2"/>
          <w:position w:val="3"/>
          <w:sz w:val="32"/>
          <w:szCs w:val="32"/>
          <w:lang w:val="en-US" w:eastAsia="zh-CN" w:bidi="ar"/>
        </w:rPr>
        <w:t>5</w:t>
      </w:r>
      <w:r>
        <w:rPr>
          <w:rFonts w:hint="eastAsia" w:ascii="仿宋_GB2312" w:hAnsi="Times New Roman" w:eastAsia="仿宋_GB2312" w:cs="仿宋_GB2312"/>
          <w:kern w:val="2"/>
          <w:position w:val="3"/>
          <w:sz w:val="32"/>
          <w:szCs w:val="32"/>
          <w:lang w:val="en-US" w:eastAsia="zh-CN" w:bidi="ar"/>
        </w:rPr>
        <w:t>分）</w:t>
      </w:r>
    </w:p>
    <w:p w14:paraId="4AAC37B8">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中心启用后服务职工群体，丰富职工精神文化生活，传递公益温度。扣</w:t>
      </w:r>
      <w:r>
        <w:rPr>
          <w:rFonts w:hint="default" w:ascii="Times New Roman" w:hAnsi="Times New Roman" w:eastAsia="仿宋_GB2312" w:cs="Times New Roman"/>
          <w:kern w:val="2"/>
          <w:position w:val="3"/>
          <w:sz w:val="32"/>
          <w:szCs w:val="32"/>
          <w:lang w:val="en-US" w:eastAsia="zh-CN" w:bidi="ar"/>
        </w:rPr>
        <w:t>1</w:t>
      </w:r>
      <w:r>
        <w:rPr>
          <w:rFonts w:hint="eastAsia" w:ascii="仿宋_GB2312" w:hAnsi="Times New Roman" w:eastAsia="仿宋_GB2312" w:cs="仿宋_GB2312"/>
          <w:kern w:val="2"/>
          <w:position w:val="3"/>
          <w:sz w:val="32"/>
          <w:szCs w:val="32"/>
          <w:lang w:val="en-US" w:eastAsia="zh-CN" w:bidi="ar"/>
        </w:rPr>
        <w:t>分因社会效益宣传推广力度不足，社会知晓度有限。</w:t>
      </w:r>
    </w:p>
    <w:p w14:paraId="302165AF">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position w:val="3"/>
          <w:sz w:val="32"/>
          <w:szCs w:val="32"/>
          <w:lang w:val="en-US" w:eastAsia="zh-CN" w:bidi="ar"/>
        </w:rPr>
        <w:t>3.</w:t>
      </w:r>
      <w:r>
        <w:rPr>
          <w:rFonts w:hint="eastAsia" w:ascii="仿宋_GB2312" w:hAnsi="Times New Roman" w:eastAsia="仿宋_GB2312" w:cs="仿宋_GB2312"/>
          <w:kern w:val="2"/>
          <w:position w:val="3"/>
          <w:sz w:val="32"/>
          <w:szCs w:val="32"/>
          <w:lang w:val="en-US" w:eastAsia="zh-CN" w:bidi="ar"/>
        </w:rPr>
        <w:t>可持续性（</w:t>
      </w:r>
      <w:r>
        <w:rPr>
          <w:rFonts w:hint="default" w:ascii="Times New Roman" w:hAnsi="Times New Roman" w:eastAsia="仿宋_GB2312" w:cs="Times New Roman"/>
          <w:kern w:val="2"/>
          <w:position w:val="3"/>
          <w:sz w:val="32"/>
          <w:szCs w:val="32"/>
          <w:lang w:val="en-US" w:eastAsia="zh-CN" w:bidi="ar"/>
        </w:rPr>
        <w:t>4</w:t>
      </w:r>
      <w:r>
        <w:rPr>
          <w:rFonts w:hint="eastAsia" w:ascii="仿宋_GB2312" w:hAnsi="Times New Roman" w:eastAsia="仿宋_GB2312" w:cs="仿宋_GB2312"/>
          <w:kern w:val="2"/>
          <w:position w:val="3"/>
          <w:sz w:val="32"/>
          <w:szCs w:val="32"/>
          <w:lang w:val="en-US" w:eastAsia="zh-CN" w:bidi="ar"/>
        </w:rPr>
        <w:t>分，得</w:t>
      </w:r>
      <w:r>
        <w:rPr>
          <w:rFonts w:hint="default" w:ascii="Times New Roman" w:hAnsi="Times New Roman" w:eastAsia="仿宋_GB2312" w:cs="Times New Roman"/>
          <w:kern w:val="2"/>
          <w:position w:val="3"/>
          <w:sz w:val="32"/>
          <w:szCs w:val="32"/>
          <w:lang w:val="en-US" w:eastAsia="zh-CN" w:bidi="ar"/>
        </w:rPr>
        <w:t>4</w:t>
      </w:r>
      <w:r>
        <w:rPr>
          <w:rFonts w:hint="eastAsia" w:ascii="仿宋_GB2312" w:hAnsi="Times New Roman" w:eastAsia="仿宋_GB2312" w:cs="仿宋_GB2312"/>
          <w:kern w:val="2"/>
          <w:position w:val="3"/>
          <w:sz w:val="32"/>
          <w:szCs w:val="32"/>
          <w:lang w:val="en-US" w:eastAsia="zh-CN" w:bidi="ar"/>
        </w:rPr>
        <w:t>分）</w:t>
      </w:r>
    </w:p>
    <w:p w14:paraId="2DDBB9E3">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明确中心后续运营维护责任主体，制定基础维护方案，具备可持续运营基础。</w:t>
      </w:r>
    </w:p>
    <w:p w14:paraId="4D606F9F">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四、评价结论</w:t>
      </w:r>
    </w:p>
    <w:p w14:paraId="53C86F29">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黑体"/>
          <w:b w:val="0"/>
          <w:bCs w:val="0"/>
          <w:kern w:val="2"/>
          <w:sz w:val="32"/>
          <w:szCs w:val="32"/>
        </w:rPr>
      </w:pPr>
      <w:r>
        <w:rPr>
          <w:rFonts w:hint="eastAsia" w:ascii="仿宋_GB2312" w:hAnsi="Times New Roman" w:eastAsia="仿宋_GB2312" w:cs="仿宋_GB2312"/>
          <w:b w:val="0"/>
          <w:bCs w:val="0"/>
          <w:kern w:val="0"/>
          <w:position w:val="3"/>
          <w:sz w:val="32"/>
          <w:szCs w:val="32"/>
          <w:lang w:val="en-US" w:eastAsia="zh-CN" w:bidi="ar"/>
        </w:rPr>
        <w:t>在规定时间按照资管理办法支付，完成年初目标绩效，评价总分88分。</w:t>
      </w:r>
    </w:p>
    <w:p w14:paraId="7811BFAE">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2FEE4B51">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1.绩效指标细化量化不足，部分指标缺乏可量化数据支撑，考核性较弱。</w:t>
      </w:r>
    </w:p>
    <w:p w14:paraId="5C22F04B">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2.项目实施过程监控细节记录不够完善，资金拨付后续跟踪台账更新不及时。</w:t>
      </w:r>
    </w:p>
    <w:p w14:paraId="1B68B38E">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3.社会效益宣传推广力度不足，中心社会知晓度有限，跨区域项目对接频次需提升。</w:t>
      </w:r>
    </w:p>
    <w:p w14:paraId="49F8CDD0">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hAnsi="宋体"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4.受益群体满意度调研样本量有限，数据全面性有待加强。</w:t>
      </w:r>
    </w:p>
    <w:p w14:paraId="46C23116">
      <w:pPr>
        <w:pStyle w:val="9"/>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41B04C80">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1优化指标体系：结合项目实际，进一步细化量化绩效指标，明确目标值、考核标准及数据来源，提升指标可考核性。</w:t>
      </w:r>
    </w:p>
    <w:p w14:paraId="6CCB4BC8">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2.完善过程管理：规范项目实施过程监控记录，及时更新资金拨付跟踪台账，强化档案资料规范化管理。</w:t>
      </w:r>
    </w:p>
    <w:p w14:paraId="6A0FECEE">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3.加强协同与宣传：增加跨区域项目对接频次，建立常态化信息同步机制；通过多渠道宣传中心服务内容，提升社会知晓度。</w:t>
      </w:r>
    </w:p>
    <w:p w14:paraId="4543AB9F">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hAnsi="Times New Roman"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4.扩大调研范围：扩大受益群体满意度调研样本量，丰富调研形式，确保数据全面、真实反映项目成效。</w:t>
      </w:r>
    </w:p>
    <w:p w14:paraId="26743843">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 xml:space="preserve"> </w:t>
      </w:r>
    </w:p>
    <w:p w14:paraId="1B1591DF">
      <w:pPr>
        <w:keepNext w:val="0"/>
        <w:keepLines w:val="0"/>
        <w:widowControl w:val="0"/>
        <w:suppressLineNumbers w:val="0"/>
        <w:snapToGrid w:val="0"/>
        <w:spacing w:before="0" w:beforeAutospacing="0" w:after="0" w:afterAutospacing="0" w:line="578" w:lineRule="exact"/>
        <w:ind w:left="0" w:right="0"/>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部门预算项目支出绩效自评表</w:t>
      </w:r>
    </w:p>
    <w:p w14:paraId="3C9583F3">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default" w:ascii="Times New Roman" w:hAnsi="Times New Roman" w:eastAsia="仿宋_GB2312" w:cs="Times New Roman"/>
          <w:color w:val="000000"/>
          <w:kern w:val="0"/>
          <w:sz w:val="32"/>
          <w:szCs w:val="32"/>
          <w:shd w:val="clear" w:fill="FFFFFF"/>
          <w:lang w:val="en-US" w:eastAsia="zh-CN" w:bidi="ar"/>
        </w:rPr>
        <w:br w:type="page"/>
      </w:r>
    </w:p>
    <w:p w14:paraId="1B802D9E">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348C084">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bookmarkStart w:id="56" w:name="_GoBack"/>
      <w:r>
        <w:drawing>
          <wp:anchor distT="0" distB="0" distL="114300" distR="114300" simplePos="0" relativeHeight="251674624" behindDoc="0" locked="0" layoutInCell="1" allowOverlap="1">
            <wp:simplePos x="0" y="0"/>
            <wp:positionH relativeFrom="column">
              <wp:posOffset>-294005</wp:posOffset>
            </wp:positionH>
            <wp:positionV relativeFrom="paragraph">
              <wp:posOffset>-359410</wp:posOffset>
            </wp:positionV>
            <wp:extent cx="5853430" cy="5756275"/>
            <wp:effectExtent l="0" t="0" r="13970" b="15875"/>
            <wp:wrapNone/>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23"/>
                    <a:stretch>
                      <a:fillRect/>
                    </a:stretch>
                  </pic:blipFill>
                  <pic:spPr>
                    <a:xfrm>
                      <a:off x="0" y="0"/>
                      <a:ext cx="5853430" cy="5756275"/>
                    </a:xfrm>
                    <a:prstGeom prst="rect">
                      <a:avLst/>
                    </a:prstGeom>
                    <a:noFill/>
                    <a:ln>
                      <a:noFill/>
                    </a:ln>
                  </pic:spPr>
                </pic:pic>
              </a:graphicData>
            </a:graphic>
          </wp:anchor>
        </w:drawing>
      </w:r>
      <w:bookmarkEnd w:id="56"/>
    </w:p>
    <w:p w14:paraId="15A8D75A">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63893142">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22478BF">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6D2D3825">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04BFCD23">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5D31DD75">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13C5668B">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F826F74">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43DF63FE">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3FCACEE7">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2C94FFDA">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2E948B74">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6E5741E1">
      <w:pPr>
        <w:pStyle w:val="9"/>
        <w:keepNext w:val="0"/>
        <w:keepLines w:val="0"/>
        <w:widowControl/>
        <w:suppressLineNumbers w:val="0"/>
        <w:shd w:val="clear" w:fill="FFFFFF"/>
        <w:spacing w:before="0" w:beforeAutospacing="1" w:after="0" w:afterAutospacing="1" w:line="560" w:lineRule="exact"/>
        <w:ind w:left="0" w:right="0"/>
        <w:jc w:val="left"/>
        <w:rPr>
          <w:rFonts w:hint="eastAsia" w:ascii="宋体" w:hAnsi="宋体" w:eastAsia="宋体" w:cs="Times New Roman"/>
          <w:b/>
          <w:bCs w:val="0"/>
          <w:sz w:val="39"/>
          <w:szCs w:val="39"/>
          <w:shd w:val="clear" w:fill="FFFFFF"/>
        </w:rPr>
      </w:pPr>
      <w:r>
        <w:rPr>
          <w:rFonts w:hint="eastAsia" w:ascii="宋体" w:hAnsi="宋体" w:eastAsia="宋体" w:cs="Times New Roman"/>
          <w:b/>
          <w:bCs w:val="0"/>
          <w:kern w:val="0"/>
          <w:sz w:val="39"/>
          <w:szCs w:val="39"/>
          <w:shd w:val="clear" w:fill="FFFFFF"/>
          <w:lang w:val="en-US" w:eastAsia="zh-CN" w:bidi="ar"/>
        </w:rPr>
        <w:t xml:space="preserve"> </w:t>
      </w:r>
    </w:p>
    <w:p w14:paraId="7ED4F80F">
      <w:pPr>
        <w:spacing w:line="600" w:lineRule="exact"/>
        <w:jc w:val="both"/>
        <w:outlineLvl w:val="0"/>
        <w:rPr>
          <w:rFonts w:hint="eastAsia" w:ascii="黑体" w:hAnsi="黑体" w:eastAsia="黑体"/>
          <w:sz w:val="44"/>
          <w:szCs w:val="44"/>
        </w:rPr>
      </w:pPr>
    </w:p>
    <w:p w14:paraId="40009C9F">
      <w:pPr>
        <w:spacing w:line="600" w:lineRule="exact"/>
        <w:jc w:val="both"/>
        <w:outlineLvl w:val="0"/>
        <w:rPr>
          <w:rFonts w:hint="eastAsia" w:ascii="黑体" w:hAnsi="黑体" w:eastAsia="黑体"/>
          <w:sz w:val="44"/>
          <w:szCs w:val="44"/>
        </w:rPr>
      </w:pPr>
    </w:p>
    <w:p w14:paraId="1C9CACA3">
      <w:pPr>
        <w:spacing w:line="600" w:lineRule="exact"/>
        <w:ind w:firstLine="2640" w:firstLineChars="600"/>
        <w:jc w:val="both"/>
        <w:outlineLvl w:val="0"/>
        <w:rPr>
          <w:rFonts w:ascii="仿宋" w:hAnsi="仿宋" w:eastAsia="仿宋"/>
        </w:rPr>
      </w:pPr>
      <w:r>
        <w:rPr>
          <w:rFonts w:hint="eastAsia" w:ascii="黑体" w:hAnsi="黑体" w:eastAsia="黑体"/>
          <w:sz w:val="44"/>
          <w:szCs w:val="44"/>
        </w:rPr>
        <w:t>第</w:t>
      </w:r>
      <w:r>
        <w:rPr>
          <w:rStyle w:val="14"/>
          <w:rFonts w:hint="eastAsia" w:ascii="黑体" w:hAnsi="黑体" w:eastAsia="黑体"/>
          <w:b w:val="0"/>
        </w:rPr>
        <w:t>五部分 附表</w:t>
      </w:r>
      <w:bookmarkEnd w:id="41"/>
      <w:bookmarkEnd w:id="42"/>
      <w:bookmarkStart w:id="43" w:name="_Toc15396619"/>
    </w:p>
    <w:p w14:paraId="5DED2699">
      <w:pPr>
        <w:pStyle w:val="3"/>
        <w:rPr>
          <w:rFonts w:ascii="仿宋" w:hAnsi="仿宋" w:eastAsia="仿宋"/>
        </w:rPr>
      </w:pPr>
      <w:r>
        <w:rPr>
          <w:rFonts w:hint="eastAsia" w:ascii="仿宋" w:hAnsi="仿宋" w:eastAsia="仿宋"/>
          <w:b w:val="0"/>
        </w:rPr>
        <w:t>一、收</w:t>
      </w:r>
      <w:r>
        <w:rPr>
          <w:rStyle w:val="15"/>
          <w:rFonts w:hint="eastAsia" w:ascii="仿宋" w:hAnsi="仿宋" w:eastAsia="仿宋"/>
          <w:b w:val="0"/>
          <w:bCs w:val="0"/>
        </w:rPr>
        <w:t>入支出决算总表</w:t>
      </w:r>
      <w:bookmarkEnd w:id="43"/>
    </w:p>
    <w:p w14:paraId="346CF4CB">
      <w:pPr>
        <w:pStyle w:val="3"/>
        <w:rPr>
          <w:rFonts w:ascii="仿宋" w:hAnsi="仿宋" w:eastAsia="仿宋"/>
        </w:rPr>
      </w:pPr>
      <w:bookmarkStart w:id="44" w:name="_Toc15396620"/>
      <w:r>
        <w:rPr>
          <w:rFonts w:hint="eastAsia" w:ascii="仿宋" w:hAnsi="仿宋" w:eastAsia="仿宋"/>
          <w:b w:val="0"/>
        </w:rPr>
        <w:t>二、收</w:t>
      </w:r>
      <w:r>
        <w:rPr>
          <w:rStyle w:val="15"/>
          <w:rFonts w:hint="eastAsia" w:ascii="仿宋" w:hAnsi="仿宋" w:eastAsia="仿宋"/>
          <w:b w:val="0"/>
          <w:bCs w:val="0"/>
        </w:rPr>
        <w:t>入决算表</w:t>
      </w:r>
      <w:bookmarkEnd w:id="44"/>
    </w:p>
    <w:p w14:paraId="0D5811C8">
      <w:pPr>
        <w:pStyle w:val="3"/>
        <w:rPr>
          <w:rFonts w:ascii="仿宋" w:hAnsi="仿宋" w:eastAsia="仿宋"/>
        </w:rPr>
      </w:pPr>
      <w:bookmarkStart w:id="45" w:name="_Toc15396621"/>
      <w:r>
        <w:rPr>
          <w:rStyle w:val="15"/>
          <w:rFonts w:hint="eastAsia" w:ascii="仿宋" w:hAnsi="仿宋" w:eastAsia="仿宋"/>
          <w:b w:val="0"/>
          <w:bCs w:val="0"/>
        </w:rPr>
        <w:t>三、</w:t>
      </w:r>
      <w:r>
        <w:rPr>
          <w:rFonts w:hint="eastAsia" w:ascii="仿宋" w:hAnsi="仿宋" w:eastAsia="仿宋"/>
          <w:b w:val="0"/>
        </w:rPr>
        <w:t>支</w:t>
      </w:r>
      <w:r>
        <w:rPr>
          <w:rStyle w:val="15"/>
          <w:rFonts w:hint="eastAsia" w:ascii="仿宋" w:hAnsi="仿宋" w:eastAsia="仿宋"/>
          <w:b w:val="0"/>
          <w:bCs w:val="0"/>
        </w:rPr>
        <w:t>出决算表</w:t>
      </w:r>
      <w:bookmarkEnd w:id="45"/>
    </w:p>
    <w:p w14:paraId="7686C502">
      <w:pPr>
        <w:pStyle w:val="3"/>
        <w:rPr>
          <w:rFonts w:ascii="仿宋" w:hAnsi="仿宋" w:eastAsia="仿宋"/>
          <w:b w:val="0"/>
        </w:rPr>
      </w:pPr>
      <w:bookmarkStart w:id="46" w:name="_Toc15396622"/>
      <w:r>
        <w:rPr>
          <w:rStyle w:val="15"/>
          <w:rFonts w:hint="eastAsia" w:ascii="仿宋" w:hAnsi="仿宋" w:eastAsia="仿宋"/>
          <w:b w:val="0"/>
          <w:bCs w:val="0"/>
        </w:rPr>
        <w:t>四、</w:t>
      </w:r>
      <w:r>
        <w:rPr>
          <w:rFonts w:hint="eastAsia" w:ascii="仿宋" w:hAnsi="仿宋" w:eastAsia="仿宋"/>
          <w:b w:val="0"/>
        </w:rPr>
        <w:t>财</w:t>
      </w:r>
      <w:r>
        <w:rPr>
          <w:rStyle w:val="15"/>
          <w:rFonts w:hint="eastAsia" w:ascii="仿宋" w:hAnsi="仿宋" w:eastAsia="仿宋"/>
          <w:b w:val="0"/>
          <w:bCs w:val="0"/>
        </w:rPr>
        <w:t>政拨款收入支出决算总表</w:t>
      </w:r>
      <w:bookmarkEnd w:id="46"/>
    </w:p>
    <w:p w14:paraId="192CD07D">
      <w:pPr>
        <w:pStyle w:val="3"/>
        <w:rPr>
          <w:rStyle w:val="15"/>
          <w:rFonts w:ascii="仿宋" w:hAnsi="仿宋" w:eastAsia="仿宋"/>
          <w:b w:val="0"/>
          <w:bCs w:val="0"/>
        </w:rPr>
      </w:pPr>
      <w:bookmarkStart w:id="47" w:name="_Toc15396623"/>
      <w:r>
        <w:rPr>
          <w:rStyle w:val="15"/>
          <w:rFonts w:hint="eastAsia" w:ascii="仿宋" w:hAnsi="仿宋" w:eastAsia="仿宋"/>
          <w:b w:val="0"/>
          <w:bCs w:val="0"/>
        </w:rPr>
        <w:t>五、</w:t>
      </w:r>
      <w:r>
        <w:rPr>
          <w:rFonts w:hint="eastAsia" w:ascii="仿宋" w:hAnsi="仿宋" w:eastAsia="仿宋"/>
          <w:b w:val="0"/>
        </w:rPr>
        <w:t>财</w:t>
      </w:r>
      <w:r>
        <w:rPr>
          <w:rStyle w:val="15"/>
          <w:rFonts w:hint="eastAsia" w:ascii="仿宋" w:hAnsi="仿宋" w:eastAsia="仿宋"/>
          <w:b w:val="0"/>
          <w:bCs w:val="0"/>
        </w:rPr>
        <w:t>政拨款支出决算明细表</w:t>
      </w:r>
      <w:bookmarkEnd w:id="47"/>
      <w:bookmarkStart w:id="48" w:name="_Toc15396624"/>
    </w:p>
    <w:p w14:paraId="6CFC15B1">
      <w:pPr>
        <w:pStyle w:val="3"/>
        <w:rPr>
          <w:rFonts w:ascii="仿宋" w:hAnsi="仿宋" w:eastAsia="仿宋"/>
        </w:rPr>
      </w:pPr>
      <w:r>
        <w:rPr>
          <w:rStyle w:val="15"/>
          <w:rFonts w:hint="eastAsia" w:ascii="仿宋" w:hAnsi="仿宋" w:eastAsia="仿宋"/>
          <w:b w:val="0"/>
          <w:bCs w:val="0"/>
        </w:rPr>
        <w:t>六、</w:t>
      </w:r>
      <w:r>
        <w:rPr>
          <w:rFonts w:hint="eastAsia" w:ascii="仿宋" w:hAnsi="仿宋" w:eastAsia="仿宋"/>
          <w:b w:val="0"/>
        </w:rPr>
        <w:t>一</w:t>
      </w:r>
      <w:r>
        <w:rPr>
          <w:rStyle w:val="15"/>
          <w:rFonts w:hint="eastAsia" w:ascii="仿宋" w:hAnsi="仿宋" w:eastAsia="仿宋"/>
          <w:b w:val="0"/>
          <w:bCs w:val="0"/>
        </w:rPr>
        <w:t>般公共预算财政拨款支出决算表</w:t>
      </w:r>
      <w:bookmarkEnd w:id="48"/>
    </w:p>
    <w:p w14:paraId="0C24246D">
      <w:pPr>
        <w:pStyle w:val="3"/>
        <w:rPr>
          <w:rFonts w:ascii="仿宋" w:hAnsi="仿宋" w:eastAsia="仿宋"/>
        </w:rPr>
      </w:pPr>
      <w:bookmarkStart w:id="49" w:name="_Toc15396625"/>
      <w:r>
        <w:rPr>
          <w:rStyle w:val="15"/>
          <w:rFonts w:hint="eastAsia" w:ascii="仿宋" w:hAnsi="仿宋" w:eastAsia="仿宋"/>
          <w:b w:val="0"/>
          <w:bCs w:val="0"/>
        </w:rPr>
        <w:t>七、</w:t>
      </w:r>
      <w:r>
        <w:rPr>
          <w:rFonts w:hint="eastAsia" w:ascii="仿宋" w:hAnsi="仿宋" w:eastAsia="仿宋"/>
          <w:b w:val="0"/>
        </w:rPr>
        <w:t>一</w:t>
      </w:r>
      <w:r>
        <w:rPr>
          <w:rStyle w:val="15"/>
          <w:rFonts w:hint="eastAsia" w:ascii="仿宋" w:hAnsi="仿宋" w:eastAsia="仿宋"/>
          <w:b w:val="0"/>
          <w:bCs w:val="0"/>
        </w:rPr>
        <w:t>般公共预算财政拨款支出决算明细表</w:t>
      </w:r>
      <w:bookmarkEnd w:id="49"/>
    </w:p>
    <w:p w14:paraId="3428EAF9">
      <w:pPr>
        <w:pStyle w:val="3"/>
        <w:rPr>
          <w:rFonts w:ascii="仿宋" w:hAnsi="仿宋" w:eastAsia="仿宋"/>
        </w:rPr>
      </w:pPr>
      <w:bookmarkStart w:id="50" w:name="_Toc15396626"/>
      <w:r>
        <w:rPr>
          <w:rStyle w:val="15"/>
          <w:rFonts w:hint="eastAsia" w:ascii="仿宋" w:hAnsi="仿宋" w:eastAsia="仿宋"/>
          <w:b w:val="0"/>
          <w:bCs w:val="0"/>
        </w:rPr>
        <w:t>八、</w:t>
      </w:r>
      <w:r>
        <w:rPr>
          <w:rFonts w:hint="eastAsia" w:ascii="仿宋" w:hAnsi="仿宋" w:eastAsia="仿宋"/>
          <w:b w:val="0"/>
        </w:rPr>
        <w:t>一</w:t>
      </w:r>
      <w:r>
        <w:rPr>
          <w:rStyle w:val="15"/>
          <w:rFonts w:hint="eastAsia" w:ascii="仿宋" w:hAnsi="仿宋" w:eastAsia="仿宋"/>
          <w:b w:val="0"/>
          <w:bCs w:val="0"/>
        </w:rPr>
        <w:t>般公共预算财政拨款基本支出决算表</w:t>
      </w:r>
      <w:bookmarkEnd w:id="50"/>
    </w:p>
    <w:p w14:paraId="1536F685">
      <w:pPr>
        <w:pStyle w:val="3"/>
        <w:rPr>
          <w:rFonts w:ascii="仿宋" w:hAnsi="仿宋" w:eastAsia="仿宋"/>
        </w:rPr>
      </w:pPr>
      <w:bookmarkStart w:id="51" w:name="_Toc15396627"/>
      <w:r>
        <w:rPr>
          <w:rStyle w:val="15"/>
          <w:rFonts w:hint="eastAsia" w:ascii="仿宋" w:hAnsi="仿宋" w:eastAsia="仿宋"/>
          <w:b w:val="0"/>
          <w:bCs w:val="0"/>
        </w:rPr>
        <w:t>九、</w:t>
      </w:r>
      <w:r>
        <w:rPr>
          <w:rFonts w:hint="eastAsia" w:ascii="仿宋" w:hAnsi="仿宋" w:eastAsia="仿宋"/>
          <w:b w:val="0"/>
        </w:rPr>
        <w:t>一</w:t>
      </w:r>
      <w:r>
        <w:rPr>
          <w:rStyle w:val="15"/>
          <w:rFonts w:hint="eastAsia" w:ascii="仿宋" w:hAnsi="仿宋" w:eastAsia="仿宋"/>
          <w:b w:val="0"/>
          <w:bCs w:val="0"/>
        </w:rPr>
        <w:t>般公共预算财政拨款项目支出决算表</w:t>
      </w:r>
      <w:bookmarkEnd w:id="51"/>
    </w:p>
    <w:p w14:paraId="58FF6AC4">
      <w:pPr>
        <w:pStyle w:val="3"/>
        <w:rPr>
          <w:rFonts w:ascii="仿宋" w:hAnsi="仿宋" w:eastAsia="仿宋"/>
        </w:rPr>
      </w:pPr>
      <w:bookmarkStart w:id="52" w:name="_Toc15396628"/>
      <w:r>
        <w:rPr>
          <w:rStyle w:val="15"/>
          <w:rFonts w:hint="eastAsia" w:ascii="仿宋" w:hAnsi="仿宋" w:eastAsia="仿宋"/>
          <w:b w:val="0"/>
          <w:bCs w:val="0"/>
        </w:rPr>
        <w:t>十、</w:t>
      </w:r>
      <w:bookmarkEnd w:id="52"/>
      <w:r>
        <w:rPr>
          <w:rFonts w:hint="eastAsia" w:ascii="仿宋" w:hAnsi="仿宋" w:eastAsia="仿宋"/>
          <w:b w:val="0"/>
        </w:rPr>
        <w:t>政</w:t>
      </w:r>
      <w:r>
        <w:rPr>
          <w:rStyle w:val="15"/>
          <w:rFonts w:hint="eastAsia" w:ascii="仿宋" w:hAnsi="仿宋" w:eastAsia="仿宋"/>
          <w:b w:val="0"/>
          <w:bCs w:val="0"/>
        </w:rPr>
        <w:t>府性基金预算财政拨款收入支出决算表</w:t>
      </w:r>
    </w:p>
    <w:p w14:paraId="08FA6587">
      <w:pPr>
        <w:pStyle w:val="3"/>
        <w:rPr>
          <w:rFonts w:ascii="仿宋" w:hAnsi="仿宋" w:eastAsia="仿宋"/>
        </w:rPr>
      </w:pPr>
      <w:bookmarkStart w:id="53" w:name="_Toc15396629"/>
      <w:r>
        <w:rPr>
          <w:rStyle w:val="15"/>
          <w:rFonts w:hint="eastAsia" w:ascii="仿宋" w:hAnsi="仿宋" w:eastAsia="仿宋"/>
          <w:b w:val="0"/>
          <w:bCs w:val="0"/>
        </w:rPr>
        <w:t>十一、</w:t>
      </w:r>
      <w:bookmarkEnd w:id="53"/>
      <w:r>
        <w:rPr>
          <w:rFonts w:hint="eastAsia" w:ascii="仿宋" w:hAnsi="仿宋" w:eastAsia="仿宋"/>
          <w:b w:val="0"/>
        </w:rPr>
        <w:t>国</w:t>
      </w:r>
      <w:r>
        <w:rPr>
          <w:rStyle w:val="15"/>
          <w:rFonts w:hint="eastAsia" w:ascii="仿宋" w:hAnsi="仿宋" w:eastAsia="仿宋"/>
          <w:b w:val="0"/>
          <w:bCs w:val="0"/>
        </w:rPr>
        <w:t>有资本经营预算财政拨款收入支出决算表</w:t>
      </w:r>
    </w:p>
    <w:p w14:paraId="20F3B38E">
      <w:pPr>
        <w:pStyle w:val="3"/>
        <w:rPr>
          <w:rFonts w:ascii="仿宋" w:hAnsi="仿宋" w:eastAsia="仿宋"/>
        </w:rPr>
      </w:pPr>
      <w:bookmarkStart w:id="54" w:name="_Toc15396630"/>
      <w:r>
        <w:rPr>
          <w:rStyle w:val="15"/>
          <w:rFonts w:hint="eastAsia" w:ascii="仿宋" w:hAnsi="仿宋" w:eastAsia="仿宋"/>
          <w:b w:val="0"/>
          <w:bCs w:val="0"/>
        </w:rPr>
        <w:t>十二、</w:t>
      </w:r>
      <w:bookmarkEnd w:id="54"/>
      <w:r>
        <w:rPr>
          <w:rStyle w:val="15"/>
          <w:rFonts w:hint="eastAsia" w:ascii="仿宋" w:hAnsi="仿宋" w:eastAsia="仿宋"/>
          <w:b w:val="0"/>
          <w:bCs w:val="0"/>
        </w:rPr>
        <w:t>国有资本经营预算财政拨款支出决算表</w:t>
      </w:r>
    </w:p>
    <w:p w14:paraId="4BE816E1">
      <w:pPr>
        <w:pStyle w:val="3"/>
        <w:rPr>
          <w:rFonts w:eastAsia="仿宋"/>
        </w:rPr>
      </w:pPr>
      <w:bookmarkStart w:id="55" w:name="_Toc15396631"/>
      <w:r>
        <w:rPr>
          <w:rStyle w:val="15"/>
          <w:rFonts w:hint="eastAsia" w:ascii="仿宋" w:hAnsi="仿宋" w:eastAsia="仿宋"/>
          <w:b w:val="0"/>
          <w:bCs w:val="0"/>
        </w:rPr>
        <w:t>十三、</w:t>
      </w:r>
      <w:bookmarkEnd w:id="55"/>
      <w:r>
        <w:rPr>
          <w:rStyle w:val="15"/>
          <w:rFonts w:hint="eastAsia" w:ascii="仿宋" w:hAnsi="仿宋" w:eastAsia="仿宋"/>
          <w:b w:val="0"/>
          <w:bCs w:val="0"/>
        </w:rPr>
        <w:t>财政拨款“三公”经费支出决算表</w:t>
      </w:r>
    </w:p>
    <w:p w14:paraId="73EFAE1D"/>
    <w:p w14:paraId="437E289F"/>
    <w:sectPr>
      <w:footerReference r:id="rId9" w:type="first"/>
      <w:footerReference r:id="rId8"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67341">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3E065">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B03E06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B5BDB">
    <w:pPr>
      <w:pStyle w:val="5"/>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B84D7">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0EB84D7">
                    <w:pPr>
                      <w:pStyle w:val="5"/>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C889D">
                          <w:pPr>
                            <w:pStyle w:val="5"/>
                          </w:pPr>
                        </w:p>
                        <w:p w14:paraId="440A5700">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C9C889D">
                    <w:pPr>
                      <w:pStyle w:val="5"/>
                    </w:pPr>
                  </w:p>
                  <w:p w14:paraId="440A5700">
                    <w:pPr>
                      <w:pStyle w:val="5"/>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6E371">
    <w:pPr>
      <w:pStyle w:val="5"/>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3794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C43794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A2576">
    <w:pPr>
      <w:pStyle w:val="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D2CC74">
                          <w:pPr>
                            <w:pStyle w:val="5"/>
                          </w:pPr>
                        </w:p>
                        <w:p w14:paraId="490478BA">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0D2CC74">
                    <w:pPr>
                      <w:pStyle w:val="5"/>
                    </w:pPr>
                  </w:p>
                  <w:p w14:paraId="490478BA">
                    <w:pPr>
                      <w:pStyle w:val="5"/>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4C9EB">
    <w:pPr>
      <w:pStyle w:val="5"/>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1F17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751F17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A88DE">
    <w:pPr>
      <w:pStyle w:val="5"/>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3AFC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813AFC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D73B9">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D2643A"/>
    <w:multiLevelType w:val="multilevel"/>
    <w:tmpl w:val="AED2643A"/>
    <w:lvl w:ilvl="0" w:tentative="0">
      <w:start w:val="2"/>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ind w:left="1440"/>
      </w:pPr>
    </w:lvl>
    <w:lvl w:ilvl="2" w:tentative="0">
      <w:start w:val="1"/>
      <w:numFmt w:val="decimal"/>
      <w:lvlText w:val="%3."/>
      <w:lvlJc w:val="left"/>
      <w:pPr>
        <w:ind w:left="2160"/>
      </w:pPr>
    </w:lvl>
    <w:lvl w:ilvl="3" w:tentative="0">
      <w:start w:val="1"/>
      <w:numFmt w:val="decimal"/>
      <w:lvlText w:val="%4."/>
      <w:lvlJc w:val="left"/>
      <w:pPr>
        <w:ind w:left="2880"/>
      </w:pPr>
    </w:lvl>
    <w:lvl w:ilvl="4" w:tentative="0">
      <w:start w:val="1"/>
      <w:numFmt w:val="decimal"/>
      <w:lvlText w:val="%5."/>
      <w:lvlJc w:val="left"/>
      <w:pPr>
        <w:ind w:left="3600"/>
      </w:pPr>
    </w:lvl>
    <w:lvl w:ilvl="5" w:tentative="0">
      <w:start w:val="1"/>
      <w:numFmt w:val="decimal"/>
      <w:lvlText w:val="%6."/>
      <w:lvlJc w:val="left"/>
      <w:pPr>
        <w:ind w:left="4320"/>
      </w:pPr>
    </w:lvl>
    <w:lvl w:ilvl="6" w:tentative="0">
      <w:start w:val="1"/>
      <w:numFmt w:val="decimal"/>
      <w:lvlText w:val="%7."/>
      <w:lvlJc w:val="left"/>
      <w:pPr>
        <w:ind w:left="5040"/>
      </w:pPr>
    </w:lvl>
    <w:lvl w:ilvl="7" w:tentative="0">
      <w:start w:val="1"/>
      <w:numFmt w:val="decimal"/>
      <w:lvlText w:val="%8."/>
      <w:lvlJc w:val="left"/>
      <w:pPr>
        <w:ind w:left="5760"/>
      </w:pPr>
    </w:lvl>
    <w:lvl w:ilvl="8" w:tentative="0">
      <w:start w:val="1"/>
      <w:numFmt w:val="decimal"/>
      <w:lvlText w:val="%9."/>
      <w:lvlJc w:val="left"/>
      <w:pPr>
        <w:ind w:left="6480"/>
      </w:p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01FF7A78"/>
    <w:multiLevelType w:val="multilevel"/>
    <w:tmpl w:val="01FF7A78"/>
    <w:lvl w:ilvl="0" w:tentative="0">
      <w:start w:val="2"/>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ind w:left="1440"/>
      </w:pPr>
    </w:lvl>
    <w:lvl w:ilvl="2" w:tentative="0">
      <w:start w:val="1"/>
      <w:numFmt w:val="decimal"/>
      <w:lvlText w:val="%3."/>
      <w:lvlJc w:val="left"/>
      <w:pPr>
        <w:ind w:left="2160"/>
      </w:pPr>
    </w:lvl>
    <w:lvl w:ilvl="3" w:tentative="0">
      <w:start w:val="1"/>
      <w:numFmt w:val="decimal"/>
      <w:lvlText w:val="%4."/>
      <w:lvlJc w:val="left"/>
      <w:pPr>
        <w:ind w:left="2880"/>
      </w:pPr>
    </w:lvl>
    <w:lvl w:ilvl="4" w:tentative="0">
      <w:start w:val="1"/>
      <w:numFmt w:val="decimal"/>
      <w:lvlText w:val="%5."/>
      <w:lvlJc w:val="left"/>
      <w:pPr>
        <w:ind w:left="3600"/>
      </w:pPr>
    </w:lvl>
    <w:lvl w:ilvl="5" w:tentative="0">
      <w:start w:val="1"/>
      <w:numFmt w:val="decimal"/>
      <w:lvlText w:val="%6."/>
      <w:lvlJc w:val="left"/>
      <w:pPr>
        <w:ind w:left="4320"/>
      </w:pPr>
    </w:lvl>
    <w:lvl w:ilvl="6" w:tentative="0">
      <w:start w:val="1"/>
      <w:numFmt w:val="decimal"/>
      <w:lvlText w:val="%7."/>
      <w:lvlJc w:val="left"/>
      <w:pPr>
        <w:ind w:left="5040"/>
      </w:pPr>
    </w:lvl>
    <w:lvl w:ilvl="7" w:tentative="0">
      <w:start w:val="1"/>
      <w:numFmt w:val="decimal"/>
      <w:lvlText w:val="%8."/>
      <w:lvlJc w:val="left"/>
      <w:pPr>
        <w:ind w:left="5760"/>
      </w:pPr>
    </w:lvl>
    <w:lvl w:ilvl="8" w:tentative="0">
      <w:start w:val="1"/>
      <w:numFmt w:val="decimal"/>
      <w:lvlText w:val="%9."/>
      <w:lvlJc w:val="left"/>
      <w:pPr>
        <w:ind w:left="6480"/>
      </w:p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26638CC"/>
    <w:multiLevelType w:val="singleLevel"/>
    <w:tmpl w:val="326638CC"/>
    <w:lvl w:ilvl="0" w:tentative="0">
      <w:start w:val="2"/>
      <w:numFmt w:val="chineseCounting"/>
      <w:suff w:val="nothing"/>
      <w:lvlText w:val="%1、"/>
      <w:lvlJc w:val="left"/>
      <w:rPr>
        <w:rFonts w:hint="eastAsia"/>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AF71AB"/>
    <w:rsid w:val="020944C3"/>
    <w:rsid w:val="02F32FFC"/>
    <w:rsid w:val="03716D43"/>
    <w:rsid w:val="04012B21"/>
    <w:rsid w:val="04F01EE9"/>
    <w:rsid w:val="078E1545"/>
    <w:rsid w:val="082A3964"/>
    <w:rsid w:val="0882554E"/>
    <w:rsid w:val="08BD20E2"/>
    <w:rsid w:val="0D5D64AC"/>
    <w:rsid w:val="0DA25D4B"/>
    <w:rsid w:val="0DB02216"/>
    <w:rsid w:val="0E3966AF"/>
    <w:rsid w:val="0E8B67DF"/>
    <w:rsid w:val="110A7E8F"/>
    <w:rsid w:val="111D4066"/>
    <w:rsid w:val="11B31C24"/>
    <w:rsid w:val="132711CC"/>
    <w:rsid w:val="13866850"/>
    <w:rsid w:val="13961EAE"/>
    <w:rsid w:val="13BD38DE"/>
    <w:rsid w:val="1557566D"/>
    <w:rsid w:val="166D15EC"/>
    <w:rsid w:val="17253C74"/>
    <w:rsid w:val="1C342AD1"/>
    <w:rsid w:val="1F775289"/>
    <w:rsid w:val="25A17680"/>
    <w:rsid w:val="26DB60FD"/>
    <w:rsid w:val="28DC5CAA"/>
    <w:rsid w:val="29A96C00"/>
    <w:rsid w:val="29CC7F7F"/>
    <w:rsid w:val="2A946CEF"/>
    <w:rsid w:val="2ABE1FBE"/>
    <w:rsid w:val="2B4A6E50"/>
    <w:rsid w:val="2C35005E"/>
    <w:rsid w:val="2E255EB0"/>
    <w:rsid w:val="331210F9"/>
    <w:rsid w:val="331C1F78"/>
    <w:rsid w:val="3411315F"/>
    <w:rsid w:val="3699743B"/>
    <w:rsid w:val="37B409D1"/>
    <w:rsid w:val="3B424545"/>
    <w:rsid w:val="3B660234"/>
    <w:rsid w:val="3C3E2F5F"/>
    <w:rsid w:val="3CA134EE"/>
    <w:rsid w:val="3CEF24AB"/>
    <w:rsid w:val="3EF943D8"/>
    <w:rsid w:val="40A8309D"/>
    <w:rsid w:val="40F938F8"/>
    <w:rsid w:val="426D634C"/>
    <w:rsid w:val="42F951EF"/>
    <w:rsid w:val="43D9397F"/>
    <w:rsid w:val="43E91A02"/>
    <w:rsid w:val="44CD4E80"/>
    <w:rsid w:val="473F5DDD"/>
    <w:rsid w:val="497E0E3E"/>
    <w:rsid w:val="4A370FED"/>
    <w:rsid w:val="4AA2369F"/>
    <w:rsid w:val="4ACC3E2B"/>
    <w:rsid w:val="4B3F63AB"/>
    <w:rsid w:val="4BAF71AB"/>
    <w:rsid w:val="4E102281"/>
    <w:rsid w:val="4F5C39D0"/>
    <w:rsid w:val="504A1A7A"/>
    <w:rsid w:val="51A670F9"/>
    <w:rsid w:val="527C6137"/>
    <w:rsid w:val="52AC605F"/>
    <w:rsid w:val="53C15826"/>
    <w:rsid w:val="54812055"/>
    <w:rsid w:val="561B78F2"/>
    <w:rsid w:val="564E5677"/>
    <w:rsid w:val="57193F55"/>
    <w:rsid w:val="57CC546B"/>
    <w:rsid w:val="57D4431F"/>
    <w:rsid w:val="586A53C3"/>
    <w:rsid w:val="5B6A7475"/>
    <w:rsid w:val="5B8A71CF"/>
    <w:rsid w:val="5B8C73EB"/>
    <w:rsid w:val="5CE02B58"/>
    <w:rsid w:val="5D2D69AC"/>
    <w:rsid w:val="60591866"/>
    <w:rsid w:val="62682234"/>
    <w:rsid w:val="63C11BFC"/>
    <w:rsid w:val="642B176B"/>
    <w:rsid w:val="65F91B21"/>
    <w:rsid w:val="66D40F40"/>
    <w:rsid w:val="66E84A19"/>
    <w:rsid w:val="690C3919"/>
    <w:rsid w:val="69D87C9F"/>
    <w:rsid w:val="69E27DB0"/>
    <w:rsid w:val="6A6908F7"/>
    <w:rsid w:val="6C991968"/>
    <w:rsid w:val="6CA65E33"/>
    <w:rsid w:val="6D4600F4"/>
    <w:rsid w:val="6D9E6B0A"/>
    <w:rsid w:val="707A385E"/>
    <w:rsid w:val="70F51137"/>
    <w:rsid w:val="720520FB"/>
    <w:rsid w:val="758E56B6"/>
    <w:rsid w:val="75CB690A"/>
    <w:rsid w:val="764741E2"/>
    <w:rsid w:val="766D79C1"/>
    <w:rsid w:val="77075720"/>
    <w:rsid w:val="771D3195"/>
    <w:rsid w:val="78CA0004"/>
    <w:rsid w:val="793037A0"/>
    <w:rsid w:val="7BE6624C"/>
    <w:rsid w:val="7D592A4D"/>
    <w:rsid w:val="7D8201F6"/>
    <w:rsid w:val="7E0D3F64"/>
    <w:rsid w:val="7E9E4BBC"/>
    <w:rsid w:val="7EF40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30"/>
    </w:rPr>
  </w:style>
  <w:style w:type="paragraph" w:styleId="5">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6">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7">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8">
    <w:name w:val="toc 2"/>
    <w:basedOn w:val="1"/>
    <w:next w:val="1"/>
    <w:unhideWhenUsed/>
    <w:qFormat/>
    <w:uiPriority w:val="39"/>
    <w:pPr>
      <w:tabs>
        <w:tab w:val="right" w:leader="dot" w:pos="8296"/>
      </w:tabs>
      <w:ind w:left="420" w:leftChars="200"/>
    </w:p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2"/>
    <w:basedOn w:val="1"/>
    <w:qFormat/>
    <w:uiPriority w:val="0"/>
    <w:pPr>
      <w:keepNext w:val="0"/>
      <w:keepLines w:val="0"/>
      <w:widowControl w:val="0"/>
      <w:suppressLineNumbers w:val="0"/>
      <w:spacing w:after="120" w:afterAutospacing="0"/>
      <w:ind w:leftChars="200" w:firstLine="420" w:firstLineChars="200"/>
      <w:jc w:val="both"/>
    </w:pPr>
    <w:rPr>
      <w:rFonts w:hint="eastAsia" w:ascii="仿宋_GB2312" w:hAnsi="Times New Roman" w:eastAsia="仿宋_GB2312" w:cs="仿宋_GB2312"/>
      <w:kern w:val="2"/>
      <w:sz w:val="32"/>
      <w:szCs w:val="32"/>
      <w:lang w:val="en-US" w:eastAsia="zh-CN" w:bidi="ar"/>
    </w:rPr>
  </w:style>
  <w:style w:type="character" w:styleId="13">
    <w:name w:val="Strong"/>
    <w:basedOn w:val="12"/>
    <w:qFormat/>
    <w:uiPriority w:val="99"/>
    <w:rPr>
      <w:b/>
    </w:rPr>
  </w:style>
  <w:style w:type="character" w:customStyle="1" w:styleId="14">
    <w:name w:val="标题 1 Char"/>
    <w:basedOn w:val="12"/>
    <w:link w:val="2"/>
    <w:qFormat/>
    <w:uiPriority w:val="9"/>
    <w:rPr>
      <w:b/>
      <w:bCs/>
      <w:kern w:val="44"/>
      <w:sz w:val="44"/>
      <w:szCs w:val="44"/>
    </w:rPr>
  </w:style>
  <w:style w:type="character" w:customStyle="1" w:styleId="15">
    <w:name w:val="标题 2 Char"/>
    <w:basedOn w:val="12"/>
    <w:link w:val="3"/>
    <w:autoRedefine/>
    <w:qFormat/>
    <w:uiPriority w:val="9"/>
    <w:rPr>
      <w:rFonts w:asciiTheme="majorHAnsi" w:hAnsiTheme="majorHAnsi" w:eastAsiaTheme="majorEastAsia" w:cstheme="majorBidi"/>
      <w:b/>
      <w:bCs/>
      <w:sz w:val="32"/>
      <w:szCs w:val="32"/>
    </w:rPr>
  </w:style>
  <w:style w:type="paragraph" w:styleId="16">
    <w:name w:val="List Paragraph"/>
    <w:basedOn w:val="1"/>
    <w:qFormat/>
    <w:uiPriority w:val="34"/>
    <w:pPr>
      <w:ind w:firstLine="420" w:firstLineChars="200"/>
    </w:pPr>
  </w:style>
  <w:style w:type="paragraph" w:customStyle="1" w:styleId="17">
    <w:name w:val="列表段落1"/>
    <w:basedOn w:val="1"/>
    <w:autoRedefine/>
    <w:qFormat/>
    <w:uiPriority w:val="0"/>
    <w:pPr>
      <w:ind w:firstLine="200" w:firstLineChars="200"/>
    </w:pPr>
  </w:style>
  <w:style w:type="paragraph" w:customStyle="1" w:styleId="1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19">
    <w:name w:val="10"/>
    <w:basedOn w:val="12"/>
    <w:qFormat/>
    <w:uiPriority w:val="0"/>
    <w:rPr>
      <w:rFonts w:hint="default" w:ascii="Times New Roman" w:hAnsi="Times New Roman" w:cs="Times New Roman"/>
    </w:rPr>
  </w:style>
  <w:style w:type="character" w:customStyle="1" w:styleId="20">
    <w:name w:val="15"/>
    <w:basedOn w:val="12"/>
    <w:qFormat/>
    <w:uiPriority w:val="0"/>
    <w:rPr>
      <w:rFonts w:hint="default" w:ascii="Times New Roman" w:hAnsi="Times New Roman" w:cs="Times New Roman"/>
      <w:b/>
    </w:rPr>
  </w:style>
  <w:style w:type="paragraph" w:customStyle="1" w:styleId="21">
    <w:name w:val="四号正文"/>
    <w:basedOn w:val="1"/>
    <w:qFormat/>
    <w:uiPriority w:val="0"/>
    <w:pPr>
      <w:keepNext w:val="0"/>
      <w:keepLines w:val="0"/>
      <w:widowControl w:val="0"/>
      <w:suppressLineNumbers w:val="0"/>
      <w:spacing w:before="0" w:beforeAutospacing="0" w:after="0" w:afterAutospacing="0" w:line="360" w:lineRule="auto"/>
      <w:ind w:left="0" w:right="0"/>
      <w:jc w:val="both"/>
    </w:pPr>
    <w:rPr>
      <w:rFonts w:hint="default" w:ascii="??" w:hAnsi="??" w:eastAsia="宋体" w:cs="??"/>
      <w:color w:val="000000"/>
      <w:kern w:val="0"/>
      <w:sz w:val="28"/>
      <w:szCs w:val="28"/>
      <w:lang w:val="en-US" w:eastAsia="zh-CN" w:bidi="ar"/>
    </w:rPr>
  </w:style>
  <w:style w:type="paragraph" w:customStyle="1" w:styleId="22">
    <w:name w:val="标题 5（有编号）（绿盟科技）"/>
    <w:basedOn w:val="1"/>
    <w:qFormat/>
    <w:uiPriority w:val="0"/>
    <w:pPr>
      <w:keepNext/>
      <w:keepLines/>
      <w:widowControl w:val="0"/>
      <w:suppressLineNumbers w:val="0"/>
      <w:spacing w:before="280" w:beforeAutospacing="0" w:after="156" w:afterAutospacing="0" w:line="376" w:lineRule="auto"/>
      <w:jc w:val="left"/>
      <w:outlineLvl w:val="4"/>
    </w:pPr>
    <w:rPr>
      <w:rFonts w:hint="default" w:ascii="Arial" w:hAnsi="Arial" w:eastAsia="黑体" w:cs="Times New Roman"/>
      <w:b/>
      <w:kern w:val="2"/>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jpeg"/><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收入支出决算表</a:t>
            </a:r>
          </a:p>
        </c:rich>
      </c:tx>
      <c:layout/>
      <c:overlay val="0"/>
      <c:spPr>
        <a:noFill/>
        <a:ln>
          <a:noFill/>
        </a:ln>
        <a:effectLst/>
      </c:spPr>
    </c:title>
    <c:autoTitleDeleted val="0"/>
    <c:plotArea>
      <c:layout>
        <c:manualLayout>
          <c:layoutTarget val="inner"/>
          <c:xMode val="edge"/>
          <c:yMode val="edge"/>
          <c:x val="0.091075"/>
          <c:y val="0.187045544939019"/>
          <c:w val="0.905175"/>
          <c:h val="0.716566666666667"/>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delete val="1"/>
          </c:dLbls>
          <c:cat>
            <c:strRef>
              <c:f>Sheet1!$A$2:$A$5</c:f>
              <c:strCache>
                <c:ptCount val="4"/>
                <c:pt idx="0">
                  <c:v>2024年收入</c:v>
                </c:pt>
                <c:pt idx="1">
                  <c:v>2025年收入</c:v>
                </c:pt>
                <c:pt idx="2">
                  <c:v>2024年支出</c:v>
                </c:pt>
                <c:pt idx="3">
                  <c:v>2025年支出</c:v>
                </c:pt>
              </c:strCache>
            </c:strRef>
          </c:cat>
          <c:val>
            <c:numRef>
              <c:f>Sheet1!#REF!</c:f>
              <c:numCache>
                <c:formatCode>General</c:formatCode>
                <c:ptCount val="1"/>
                <c:pt idx="0">
                  <c:v>1</c:v>
                </c:pt>
              </c:numCache>
            </c:numRef>
          </c:val>
        </c:ser>
        <c:ser>
          <c:idx val="1"/>
          <c:order val="1"/>
          <c:tx>
            <c:strRef>
              <c:f>Sheet1!$B$1</c:f>
              <c:strCache>
                <c:ptCount val="1"/>
                <c:pt idx="0">
                  <c:v>系列 2</c:v>
                </c:pt>
              </c:strCache>
            </c:strRef>
          </c:tx>
          <c:spPr>
            <a:solidFill>
              <a:schemeClr val="accent2"/>
            </a:solidFill>
            <a:ln>
              <a:noFill/>
            </a:ln>
            <a:effectLst/>
          </c:spPr>
          <c:invertIfNegative val="0"/>
          <c:dPt>
            <c:idx val="0"/>
            <c:invertIfNegative val="0"/>
            <c:bubble3D val="0"/>
            <c:spPr>
              <a:solidFill>
                <a:schemeClr val="accent1"/>
              </a:solidFill>
              <a:ln>
                <a:noFill/>
              </a:ln>
              <a:effectLst/>
            </c:spPr>
          </c:dPt>
          <c:dPt>
            <c:idx val="1"/>
            <c:invertIfNegative val="0"/>
            <c:bubble3D val="0"/>
            <c:spPr>
              <a:solidFill>
                <a:schemeClr val="accent4"/>
              </a:solidFill>
              <a:ln>
                <a:noFill/>
              </a:ln>
              <a:effectLst/>
            </c:spPr>
          </c:dPt>
          <c:dPt>
            <c:idx val="2"/>
            <c:invertIfNegative val="0"/>
            <c:bubble3D val="0"/>
            <c:spPr>
              <a:solidFill>
                <a:schemeClr val="accent1"/>
              </a:solidFill>
              <a:ln>
                <a:noFill/>
              </a:ln>
              <a:effectLst/>
            </c:spPr>
          </c:dPt>
          <c:dPt>
            <c:idx val="3"/>
            <c:invertIfNegative val="0"/>
            <c:bubble3D val="0"/>
            <c:spPr>
              <a:solidFill>
                <a:schemeClr val="accent4"/>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Sheet1!$B$2:$B$5</c:f>
              <c:numCache>
                <c:formatCode>General</c:formatCode>
                <c:ptCount val="4"/>
                <c:pt idx="0">
                  <c:v>1155.34</c:v>
                </c:pt>
                <c:pt idx="1">
                  <c:v>1235.95</c:v>
                </c:pt>
                <c:pt idx="2">
                  <c:v>1155.34</c:v>
                </c:pt>
                <c:pt idx="3">
                  <c:v>1235.95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2024年收入</c:v>
                </c:pt>
                <c:pt idx="1">
                  <c:v>2025年收入</c:v>
                </c:pt>
                <c:pt idx="2">
                  <c:v>2024年支出</c:v>
                </c:pt>
                <c:pt idx="3">
                  <c:v>2025年支出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516654236"/>
        <c:axId val="487698753"/>
      </c:barChart>
      <c:catAx>
        <c:axId val="5166542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7698753"/>
        <c:crosses val="autoZero"/>
        <c:auto val="1"/>
        <c:lblAlgn val="ctr"/>
        <c:lblOffset val="100"/>
        <c:noMultiLvlLbl val="0"/>
      </c:catAx>
      <c:valAx>
        <c:axId val="48769875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654236"/>
        <c:crosses val="autoZero"/>
        <c:crossBetween val="between"/>
      </c:valAx>
      <c:spPr>
        <a:noFill/>
        <a:ln>
          <a:noFill/>
        </a:ln>
        <a:effectLst/>
      </c:spPr>
    </c:plotArea>
    <c:plotVisOnly val="1"/>
    <c:dispBlanksAs val="gap"/>
    <c:showDLblsOverMax val="0"/>
    <c:extLst>
      <c:ext uri="{0b15fc19-7d7d-44ad-8c2d-2c3a37ce22c3}">
        <chartProps xmlns="https://web.wps.cn/et/2018/main" chartId="{f37c5b90-c5bb-43fc-94a8-ec9f4498e73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title>
    <c:autoTitleDeleted val="0"/>
    <c:plotArea>
      <c:layout/>
      <c:pieChart>
        <c:varyColors val="1"/>
        <c:ser>
          <c:idx val="0"/>
          <c:order val="0"/>
          <c:tx>
            <c:strRef>
              <c:f>'Sheet1 (2)'!$B$1</c:f>
              <c:strCache>
                <c:ptCount val="1"/>
                <c:pt idx="0">
                  <c:v>收入决算结构图</c:v>
                </c:pt>
              </c:strCache>
            </c:strRef>
          </c:tx>
          <c:spPr>
            <a:solidFill>
              <a:srgbClr val="4F81BD"/>
            </a:solidFill>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Lbls>
            <c:numFmt formatCode="0.0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(2)'!$A$2:$A$7</c:f>
              <c:strCache>
                <c:ptCount val="6"/>
                <c:pt idx="0">
                  <c:v>一般公共预算财政拨款收入</c:v>
                </c:pt>
                <c:pt idx="1">
                  <c:v>政府性基金预算财政拨款收入</c:v>
                </c:pt>
                <c:pt idx="2">
                  <c:v>国有资本经营预算财政拨款收入</c:v>
                </c:pt>
                <c:pt idx="3">
                  <c:v>事业收入</c:v>
                </c:pt>
                <c:pt idx="4">
                  <c:v>经营收入</c:v>
                </c:pt>
                <c:pt idx="5">
                  <c:v>其他收入</c:v>
                </c:pt>
              </c:strCache>
            </c:strRef>
          </c:cat>
          <c:val>
            <c:numRef>
              <c:f>'Sheet1 (2)'!$B$2:$B$7</c:f>
              <c:numCache>
                <c:formatCode>0.00%</c:formatCode>
                <c:ptCount val="6"/>
                <c:pt idx="0">
                  <c:v>1</c:v>
                </c:pt>
              </c:numCache>
            </c:numRef>
          </c:val>
        </c:ser>
        <c:dLbls>
          <c:showLegendKey val="0"/>
          <c:showVal val="1"/>
          <c:showCatName val="0"/>
          <c:showSerName val="0"/>
          <c:showPercent val="0"/>
          <c:showBubbleSize val="0"/>
          <c:showLeaderLines val="1"/>
        </c:dLbls>
        <c:firstSliceAng val="0"/>
      </c:pieChart>
      <c:spPr>
        <a:noFill/>
      </c:spPr>
    </c:plotArea>
    <c:legend>
      <c:legendPos val="r"/>
      <c:layout>
        <c:manualLayout>
          <c:xMode val="edge"/>
          <c:yMode val="edge"/>
          <c:x val="0.645677823260294"/>
          <c:y val="0.173787409700722"/>
        </c:manualLayout>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51994917-a37c-414c-a808-c7c85b660108}"/>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a:t>支出决算结构图</a:t>
            </a:r>
            <a:endParaRPr lang="zh-CN"/>
          </a:p>
        </c:rich>
      </c:tx>
      <c:layout/>
      <c:overlay val="0"/>
      <c:spPr>
        <a:ln>
          <a:noFill/>
        </a:ln>
      </c:spPr>
    </c:title>
    <c:autoTitleDeleted val="0"/>
    <c:plotArea>
      <c:layout>
        <c:manualLayout>
          <c:layoutTarget val="inner"/>
          <c:xMode val="edge"/>
          <c:yMode val="edge"/>
          <c:x val="0.226886588008668"/>
          <c:y val="0.223739938080495"/>
          <c:w val="0.399104261979292"/>
          <c:h val="0.684202270381837"/>
        </c:manualLayout>
      </c:layout>
      <c:pieChart>
        <c:varyColors val="1"/>
        <c:ser>
          <c:idx val="0"/>
          <c:order val="0"/>
          <c:tx>
            <c:strRef>
              <c:f>'Sheet1 (3)'!$B$1</c:f>
              <c:strCache>
                <c:ptCount val="1"/>
                <c:pt idx="0">
                  <c:v>支出决算结构图</c:v>
                </c:pt>
              </c:strCache>
            </c:strRef>
          </c:tx>
          <c:spPr>
            <a:ln>
              <a:noFill/>
            </a:ln>
          </c:spPr>
          <c:explosion val="0"/>
          <c:dPt>
            <c:idx val="0"/>
            <c:bubble3D val="0"/>
            <c:spPr>
              <a:solidFill>
                <a:srgbClr val="4F81BD"/>
              </a:solidFill>
              <a:ln>
                <a:noFill/>
              </a:ln>
            </c:spPr>
          </c:dPt>
          <c:dPt>
            <c:idx val="1"/>
            <c:bubble3D val="0"/>
            <c:spPr>
              <a:solidFill>
                <a:srgbClr val="C0504D"/>
              </a:solidFill>
              <a:ln>
                <a:noFill/>
              </a:ln>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0.00%</c:formatCode>
                <c:ptCount val="2"/>
                <c:pt idx="0">
                  <c:v>0.102318054937497</c:v>
                </c:pt>
                <c:pt idx="1">
                  <c:v>0.897681945062503</c:v>
                </c:pt>
              </c:numCache>
            </c:numRef>
          </c:val>
        </c:ser>
        <c:dLbls>
          <c:showLegendKey val="0"/>
          <c:showVal val="1"/>
          <c:showCatName val="0"/>
          <c:showSerName val="0"/>
          <c:showPercent val="0"/>
          <c:showBubbleSize val="0"/>
          <c:showLeaderLines val="1"/>
        </c:dLbls>
        <c:firstSliceAng val="0"/>
      </c:pieChart>
      <c:spPr>
        <a:noFill/>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dcde15b7-805b-4ec0-a782-6a05894d4759}"/>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a:t>一般公共预算财政拨款支出决算变动情况图</a:t>
            </a:r>
            <a:endParaRPr lang="zh-CN"/>
          </a:p>
        </c:rich>
      </c:tx>
      <c:layout>
        <c:manualLayout>
          <c:xMode val="edge"/>
          <c:yMode val="edge"/>
          <c:x val="0.114415124064592"/>
          <c:y val="0.0325115144947169"/>
        </c:manualLayout>
      </c:layout>
      <c:overlay val="0"/>
      <c:spPr>
        <a:ln>
          <a:noFill/>
        </a:ln>
      </c:spPr>
    </c:title>
    <c:autoTitleDeleted val="0"/>
    <c:plotArea>
      <c:layout>
        <c:manualLayout>
          <c:layoutTarget val="inner"/>
          <c:xMode val="edge"/>
          <c:yMode val="edge"/>
          <c:x val="0.0752468095352757"/>
          <c:y val="0.274097007223942"/>
          <c:w val="0.548278352997833"/>
          <c:h val="0.625593395252838"/>
        </c:manualLayout>
      </c:layout>
      <c:barChart>
        <c:barDir val="col"/>
        <c:grouping val="stacked"/>
        <c:varyColors val="0"/>
        <c:ser>
          <c:idx val="0"/>
          <c:order val="0"/>
          <c:tx>
            <c:strRef>
              <c:f>'Sheet1 (5)'!$B$1</c:f>
              <c:strCache>
                <c:ptCount val="1"/>
                <c:pt idx="0">
                  <c:v>一般公共预算财政拨款支出决算变动情况图</c:v>
                </c:pt>
              </c:strCache>
            </c:strRef>
          </c:tx>
          <c:spPr>
            <a:solidFill>
              <a:srgbClr val="4F81BD"/>
            </a:solidFill>
            <a:ln>
              <a:noFill/>
            </a:ln>
          </c:spPr>
          <c:invertIfNegative val="0"/>
          <c:dPt>
            <c:idx val="0"/>
            <c:invertIfNegative val="0"/>
            <c:bubble3D val="0"/>
            <c:spPr>
              <a:solidFill>
                <a:srgbClr val="92D050"/>
              </a:solidFill>
              <a:ln>
                <a:noFill/>
              </a:ln>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(5)'!$A$2:$A$3</c:f>
              <c:strCache>
                <c:ptCount val="2"/>
                <c:pt idx="0">
                  <c:v>2024年支出决算</c:v>
                </c:pt>
                <c:pt idx="1">
                  <c:v>2025年支出决算</c:v>
                </c:pt>
              </c:strCache>
            </c:strRef>
          </c:cat>
          <c:val>
            <c:numRef>
              <c:f>'Sheet1 (5)'!$B$2:$B$3</c:f>
              <c:numCache>
                <c:formatCode>General</c:formatCode>
                <c:ptCount val="2"/>
                <c:pt idx="0">
                  <c:v>1155.34</c:v>
                </c:pt>
                <c:pt idx="1">
                  <c:v>1135.95</c:v>
                </c:pt>
              </c:numCache>
            </c:numRef>
          </c:val>
        </c:ser>
        <c:dLbls>
          <c:showLegendKey val="0"/>
          <c:showVal val="1"/>
          <c:showCatName val="0"/>
          <c:showSerName val="0"/>
          <c:showPercent val="0"/>
          <c:showBubbleSize val="0"/>
        </c:dLbls>
        <c:gapWidth val="150"/>
        <c:overlap val="100"/>
        <c:axId val="0"/>
        <c:axId val="1"/>
      </c:barChart>
      <c:catAx>
        <c:axId val="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0"/>
        <c:crossesAt val="1"/>
        <c:crossBetween val="between"/>
      </c:valAx>
      <c:spPr>
        <a:solidFill>
          <a:srgbClr val="FFFFFF"/>
        </a:solidFill>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2283658b-c51b-4750-a801-328e072825ee}"/>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a:t>收入支出变动情况图</a:t>
            </a:r>
            <a:endParaRPr lang="zh-CN"/>
          </a:p>
        </c:rich>
      </c:tx>
      <c:layout>
        <c:manualLayout>
          <c:xMode val="edge"/>
          <c:yMode val="edge"/>
          <c:x val="0.312894906511928"/>
          <c:y val="0.00683215668412662"/>
        </c:manualLayout>
      </c:layout>
      <c:overlay val="0"/>
      <c:spPr>
        <a:ln>
          <a:noFill/>
        </a:ln>
      </c:spPr>
    </c:title>
    <c:autoTitleDeleted val="0"/>
    <c:plotArea>
      <c:layout/>
      <c:barChart>
        <c:barDir val="col"/>
        <c:grouping val="clustered"/>
        <c:varyColors val="0"/>
        <c:ser>
          <c:idx val="0"/>
          <c:order val="0"/>
          <c:tx>
            <c:strRef>
              <c:f>'Sheet1 (4)'!$B$1</c:f>
              <c:strCache>
                <c:ptCount val="1"/>
                <c:pt idx="0">
                  <c:v>收入支出变动情况图</c:v>
                </c:pt>
              </c:strCache>
            </c:strRef>
          </c:tx>
          <c:spPr>
            <a:solidFill>
              <a:srgbClr val="4F81BD"/>
            </a:solidFill>
            <a:ln>
              <a:noFill/>
            </a:ln>
          </c:spPr>
          <c:invertIfNegative val="0"/>
          <c:dPt>
            <c:idx val="0"/>
            <c:invertIfNegative val="0"/>
            <c:bubble3D val="0"/>
            <c:spPr>
              <a:solidFill>
                <a:srgbClr val="92D050"/>
              </a:solidFill>
              <a:ln>
                <a:noFill/>
              </a:ln>
            </c:spPr>
          </c:dPt>
          <c:dPt>
            <c:idx val="2"/>
            <c:invertIfNegative val="0"/>
            <c:bubble3D val="0"/>
            <c:spPr>
              <a:solidFill>
                <a:srgbClr val="92D050"/>
              </a:solidFill>
              <a:ln>
                <a:noFill/>
              </a:ln>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(4)'!$A$2:$A$5</c:f>
              <c:strCache>
                <c:ptCount val="4"/>
                <c:pt idx="0">
                  <c:v>2024年收入</c:v>
                </c:pt>
                <c:pt idx="1">
                  <c:v>2025年收入</c:v>
                </c:pt>
                <c:pt idx="2">
                  <c:v>2025年支出</c:v>
                </c:pt>
                <c:pt idx="3">
                  <c:v>2024年支出</c:v>
                </c:pt>
              </c:strCache>
            </c:strRef>
          </c:cat>
          <c:val>
            <c:numRef>
              <c:f>'Sheet1 (4)'!$B$2:$B$5</c:f>
              <c:numCache>
                <c:formatCode>General</c:formatCode>
                <c:ptCount val="4"/>
                <c:pt idx="0">
                  <c:v>1155.34</c:v>
                </c:pt>
                <c:pt idx="1">
                  <c:v>1135.95</c:v>
                </c:pt>
                <c:pt idx="2">
                  <c:v>1135.95</c:v>
                </c:pt>
                <c:pt idx="3">
                  <c:v>1155.34</c:v>
                </c:pt>
              </c:numCache>
            </c:numRef>
          </c:val>
        </c:ser>
        <c:dLbls>
          <c:showLegendKey val="0"/>
          <c:showVal val="1"/>
          <c:showCatName val="0"/>
          <c:showSerName val="0"/>
          <c:showPercent val="0"/>
          <c:showBubbleSize val="0"/>
        </c:dLbls>
        <c:gapWidth val="150"/>
        <c:axId val="0"/>
        <c:axId val="1"/>
      </c:barChart>
      <c:catAx>
        <c:axId val="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0"/>
        <c:crossesAt val="1"/>
        <c:crossBetween val="between"/>
      </c:valAx>
      <c:spPr>
        <a:solidFill>
          <a:srgbClr val="FFFFFF"/>
        </a:solidFill>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1b2d740e-4baf-487a-9898-54de993e1a5a}"/>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title>
    <c:autoTitleDeleted val="0"/>
    <c:plotArea>
      <c:layout>
        <c:manualLayout>
          <c:layoutTarget val="inner"/>
          <c:xMode val="edge"/>
          <c:yMode val="edge"/>
          <c:x val="0.119504275982026"/>
          <c:y val="0.197059872611465"/>
          <c:w val="0.381516161762574"/>
          <c:h val="0.670593630573248"/>
        </c:manualLayout>
      </c:layout>
      <c:pieChart>
        <c:varyColors val="1"/>
        <c:ser>
          <c:idx val="0"/>
          <c:order val="0"/>
          <c:tx>
            <c:strRef>
              <c:f>'Sheet1 (6)'!$B$1</c:f>
              <c:strCache>
                <c:ptCount val="1"/>
                <c:pt idx="0">
                  <c:v>一般公共预算财政拨款支出结构图</c:v>
                </c:pt>
              </c:strCache>
            </c:strRef>
          </c:tx>
          <c:spPr>
            <a:ln>
              <a:noFill/>
            </a:ln>
          </c:spPr>
          <c:explosion val="0"/>
          <c:dPt>
            <c:idx val="0"/>
            <c:bubble3D val="0"/>
            <c:spPr>
              <a:solidFill>
                <a:srgbClr val="4F81BD"/>
              </a:solidFill>
              <a:ln>
                <a:noFill/>
              </a:ln>
            </c:spPr>
          </c:dPt>
          <c:dPt>
            <c:idx val="1"/>
            <c:bubble3D val="0"/>
            <c:spPr>
              <a:solidFill>
                <a:srgbClr val="C0504D"/>
              </a:solidFill>
              <a:ln>
                <a:noFill/>
              </a:ln>
            </c:spPr>
          </c:dPt>
          <c:dPt>
            <c:idx val="2"/>
            <c:bubble3D val="0"/>
            <c:spPr>
              <a:solidFill>
                <a:srgbClr val="9BBB59"/>
              </a:solidFill>
              <a:ln>
                <a:noFill/>
              </a:ln>
            </c:spPr>
          </c:dPt>
          <c:dPt>
            <c:idx val="3"/>
            <c:bubble3D val="0"/>
            <c:spPr>
              <a:solidFill>
                <a:srgbClr val="8064A2"/>
              </a:solidFill>
              <a:ln>
                <a:noFill/>
              </a:ln>
            </c:spPr>
          </c:dPt>
          <c:dPt>
            <c:idx val="4"/>
            <c:bubble3D val="0"/>
            <c:spPr>
              <a:ln>
                <a:noFill/>
              </a:ln>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(6)'!$A$2:$A$6</c:f>
              <c:strCache>
                <c:ptCount val="5"/>
                <c:pt idx="0">
                  <c:v>一般公共服务支出</c:v>
                </c:pt>
                <c:pt idx="1">
                  <c:v>社会保障和就业支出</c:v>
                </c:pt>
                <c:pt idx="2">
                  <c:v>卫生健康支出</c:v>
                </c:pt>
                <c:pt idx="3">
                  <c:v>住房保障支出</c:v>
                </c:pt>
              </c:strCache>
            </c:strRef>
          </c:cat>
          <c:val>
            <c:numRef>
              <c:f>'Sheet1 (6)'!$B$2:$B$6</c:f>
              <c:numCache>
                <c:formatCode>0.00%</c:formatCode>
                <c:ptCount val="5"/>
                <c:pt idx="0">
                  <c:v>0.977234913508517</c:v>
                </c:pt>
                <c:pt idx="1">
                  <c:v>0.0113209208151767</c:v>
                </c:pt>
                <c:pt idx="2">
                  <c:v>0.00551960913772613</c:v>
                </c:pt>
                <c:pt idx="3">
                  <c:v>0.00592455653858004</c:v>
                </c:pt>
              </c:numCache>
            </c:numRef>
          </c:val>
        </c:ser>
        <c:dLbls>
          <c:showLegendKey val="0"/>
          <c:showVal val="0"/>
          <c:showCatName val="0"/>
          <c:showSerName val="0"/>
          <c:showPercent val="0"/>
          <c:showBubbleSize val="0"/>
          <c:showLeaderLines val="1"/>
        </c:dLbls>
        <c:firstSliceAng val="0"/>
      </c:pieChart>
      <c:spPr>
        <a:noFill/>
      </c:spPr>
    </c:plotArea>
    <c:legend>
      <c:legendPos val="r"/>
      <c:legendEntry>
        <c:idx val="4"/>
        <c:delete val="1"/>
      </c:legendEntry>
      <c:layout/>
      <c:overlay val="0"/>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11eb1f20-46a3-4eb2-b61a-6ca4593833fd}"/>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a:t>“三公”经费财政拨款支出决算情况图</a:t>
            </a:r>
            <a:endParaRPr lang="zh-CN"/>
          </a:p>
        </c:rich>
      </c:tx>
      <c:layout/>
      <c:overlay val="0"/>
      <c:spPr>
        <a:ln>
          <a:noFill/>
        </a:ln>
      </c:spPr>
    </c:title>
    <c:autoTitleDeleted val="0"/>
    <c:plotArea>
      <c:layout/>
      <c:pieChart>
        <c:varyColors val="1"/>
        <c:ser>
          <c:idx val="0"/>
          <c:order val="0"/>
          <c:tx>
            <c:strRef>
              <c:f>'Sheet1 (7)'!$B$1</c:f>
              <c:strCache>
                <c:ptCount val="1"/>
                <c:pt idx="0">
                  <c:v>“三公”经费财政拨款支出决算情况图</c:v>
                </c:pt>
              </c:strCache>
            </c:strRef>
          </c:tx>
          <c:spPr>
            <a:ln>
              <a:noFill/>
            </a:ln>
          </c:spPr>
          <c:explosion val="0"/>
          <c:dPt>
            <c:idx val="0"/>
            <c:bubble3D val="0"/>
            <c:spPr>
              <a:solidFill>
                <a:srgbClr val="4F81BD"/>
              </a:solidFill>
              <a:ln>
                <a:noFill/>
              </a:ln>
            </c:spPr>
          </c:dPt>
          <c:dPt>
            <c:idx val="1"/>
            <c:bubble3D val="0"/>
            <c:spPr>
              <a:solidFill>
                <a:srgbClr val="C0504D"/>
              </a:solidFill>
              <a:ln>
                <a:noFill/>
              </a:ln>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(7)'!$A$2:$A$3</c:f>
              <c:strCache>
                <c:ptCount val="2"/>
                <c:pt idx="0">
                  <c:v>公务用车购置及运行维护费支出</c:v>
                </c:pt>
                <c:pt idx="1">
                  <c:v>公务接待费支出</c:v>
                </c:pt>
              </c:strCache>
            </c:strRef>
          </c:cat>
          <c:val>
            <c:numRef>
              <c:f>'Sheet1 (7)'!$B$2:$B$3</c:f>
              <c:numCache>
                <c:formatCode>0.00%</c:formatCode>
                <c:ptCount val="2"/>
                <c:pt idx="0">
                  <c:v>0.985221674876847</c:v>
                </c:pt>
                <c:pt idx="1">
                  <c:v>0.0147783251231527</c:v>
                </c:pt>
              </c:numCache>
            </c:numRef>
          </c:val>
        </c:ser>
        <c:dLbls>
          <c:showLegendKey val="0"/>
          <c:showVal val="1"/>
          <c:showCatName val="0"/>
          <c:showSerName val="0"/>
          <c:showPercent val="0"/>
          <c:showBubbleSize val="0"/>
          <c:showLeaderLines val="1"/>
        </c:dLbls>
        <c:firstSliceAng val="0"/>
      </c:pieChart>
      <c:spPr>
        <a:noFill/>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a5f2cee0-f599-49f7-9949-c568282e7a91}"/>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16293</Words>
  <Characters>17410</Characters>
  <Lines>1</Lines>
  <Paragraphs>1</Paragraphs>
  <TotalTime>0</TotalTime>
  <ScaleCrop>false</ScaleCrop>
  <LinksUpToDate>false</LinksUpToDate>
  <CharactersWithSpaces>17547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2025-10-27T02:16:00Z</dcterms:created>
  <dc:creator>Y–Queen</dc:creator>
  <cp:lastModifiedBy>Y–Queen</cp:lastModifiedBy>
  <dcterms:modified xsi:type="dcterms:W3CDTF">2026-10-10T08:58:00Z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843EBDE7AA344CF397D271F3B222B228_11</vt:lpwstr>
  </property>
  <property fmtid="{D5CDD505-2E9C-101B-9397-08002B2CF9AE}" pid="4" name="KSOTemplateDocerSaveRecord">
    <vt:lpwstr>eyJoZGlkIjoiZGFlMmNkOGM3YTI5Yzc0M2NlYzcyNzk2ZjRkYmQ4ZjYiLCJ1c2VySWQiOiIxOTQ2MTY4NTAifQ==</vt:lpwstr>
  </property>
</Properties>
</file>