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0B39A">
      <w:pPr>
        <w:spacing w:line="600" w:lineRule="exact"/>
        <w:jc w:val="center"/>
        <w:outlineLvl w:val="0"/>
        <w:rPr>
          <w:rFonts w:ascii="微软雅黑" w:eastAsia="微软雅黑"/>
          <w:sz w:val="72"/>
          <w:szCs w:val="72"/>
        </w:rPr>
      </w:pPr>
      <w:bookmarkStart w:id="0" w:name="_Toc15306267"/>
    </w:p>
    <w:p w14:paraId="6A318FCF">
      <w:pPr>
        <w:spacing w:line="600" w:lineRule="exact"/>
        <w:jc w:val="center"/>
        <w:outlineLvl w:val="0"/>
        <w:rPr>
          <w:rFonts w:ascii="微软雅黑" w:eastAsia="微软雅黑"/>
          <w:sz w:val="72"/>
          <w:szCs w:val="72"/>
        </w:rPr>
      </w:pPr>
    </w:p>
    <w:bookmarkEnd w:id="0"/>
    <w:p w14:paraId="0865EEC2">
      <w:pPr>
        <w:jc w:val="center"/>
        <w:rPr>
          <w:rFonts w:hint="eastAsia" w:ascii="方正小标宋简体" w:hAnsi="Times New Roman" w:eastAsia="方正小标宋简体" w:cs="方正小标宋简体"/>
          <w:sz w:val="72"/>
          <w:szCs w:val="72"/>
        </w:rPr>
      </w:pPr>
      <w:bookmarkStart w:id="1" w:name="_Toc15378441"/>
      <w:bookmarkStart w:id="2" w:name="_Toc15377193"/>
      <w:bookmarkStart w:id="3" w:name="_Toc15377425"/>
      <w:bookmarkStart w:id="4" w:name="_Toc15396597"/>
      <w:bookmarkStart w:id="5" w:name="_Toc15396475"/>
      <w:bookmarkStart w:id="6" w:name="_Toc15377194"/>
      <w:bookmarkStart w:id="7" w:name="_Toc15306268"/>
      <w:bookmarkStart w:id="8" w:name="_Toc15378442"/>
      <w:bookmarkStart w:id="9" w:name="_Toc15396476"/>
      <w:bookmarkStart w:id="10" w:name="_Toc15396598"/>
      <w:bookmarkStart w:id="11" w:name="_Toc15377426"/>
      <w:r>
        <w:rPr>
          <w:rFonts w:hint="eastAsia" w:ascii="方正小标宋简体" w:hAnsi="Times New Roman" w:eastAsia="方正小标宋简体" w:cs="方正小标宋简体"/>
          <w:sz w:val="72"/>
          <w:szCs w:val="72"/>
        </w:rPr>
        <w:t>202</w:t>
      </w:r>
      <w:r>
        <w:rPr>
          <w:rFonts w:hint="eastAsia" w:ascii="方正小标宋简体" w:hAnsi="Times New Roman" w:eastAsia="方正小标宋简体" w:cs="方正小标宋简体"/>
          <w:sz w:val="72"/>
          <w:szCs w:val="72"/>
          <w:lang w:val="en-US" w:eastAsia="zh-CN"/>
        </w:rPr>
        <w:t>5</w:t>
      </w:r>
      <w:r>
        <w:rPr>
          <w:rFonts w:hint="eastAsia" w:ascii="方正小标宋简体" w:hAnsi="Times New Roman" w:eastAsia="方正小标宋简体" w:cs="方正小标宋简体"/>
          <w:sz w:val="72"/>
          <w:szCs w:val="72"/>
        </w:rPr>
        <w:t>年度</w:t>
      </w:r>
      <w:bookmarkEnd w:id="1"/>
      <w:bookmarkEnd w:id="2"/>
      <w:bookmarkEnd w:id="3"/>
      <w:bookmarkEnd w:id="4"/>
      <w:bookmarkEnd w:id="5"/>
    </w:p>
    <w:p w14:paraId="3D813A84">
      <w:pPr>
        <w:jc w:val="center"/>
        <w:rPr>
          <w:rFonts w:hint="eastAsia" w:ascii="方正小标宋简体" w:hAnsi="Times New Roman" w:eastAsia="方正小标宋简体" w:cs="方正小标宋简体"/>
          <w:sz w:val="72"/>
          <w:szCs w:val="72"/>
        </w:rPr>
      </w:pPr>
      <w:r>
        <w:rPr>
          <w:rFonts w:hint="eastAsia" w:ascii="方正小标宋简体" w:hAnsi="Times New Roman" w:eastAsia="方正小标宋简体" w:cs="方正小标宋简体"/>
          <w:sz w:val="72"/>
          <w:szCs w:val="72"/>
          <w:lang w:val="en-US" w:eastAsia="zh-CN"/>
        </w:rPr>
        <w:t>四川省阿坝州中共汶川县委社会工作部</w:t>
      </w:r>
      <w:bookmarkEnd w:id="6"/>
      <w:bookmarkEnd w:id="7"/>
      <w:bookmarkEnd w:id="8"/>
      <w:bookmarkEnd w:id="9"/>
      <w:bookmarkEnd w:id="10"/>
      <w:bookmarkEnd w:id="11"/>
      <w:r>
        <w:rPr>
          <w:rFonts w:hint="eastAsia" w:ascii="方正小标宋简体" w:hAnsi="Times New Roman" w:eastAsia="方正小标宋简体" w:cs="方正小标宋简体"/>
          <w:sz w:val="72"/>
          <w:szCs w:val="72"/>
        </w:rPr>
        <w:t>部门</w:t>
      </w:r>
    </w:p>
    <w:p w14:paraId="5D9E93E3">
      <w:pPr>
        <w:jc w:val="center"/>
        <w:rPr>
          <w:rFonts w:hint="eastAsia" w:ascii="方正小标宋简体" w:hAnsi="Times New Roman" w:eastAsia="方正小标宋简体" w:cs="方正小标宋简体"/>
          <w:sz w:val="72"/>
          <w:szCs w:val="72"/>
        </w:rPr>
      </w:pPr>
      <w:r>
        <w:rPr>
          <w:rFonts w:hint="eastAsia" w:ascii="方正小标宋简体" w:hAnsi="Times New Roman" w:eastAsia="方正小标宋简体" w:cs="方正小标宋简体"/>
          <w:sz w:val="72"/>
          <w:szCs w:val="72"/>
        </w:rPr>
        <w:t>决算公开</w:t>
      </w:r>
    </w:p>
    <w:p w14:paraId="450E194B">
      <w:pPr>
        <w:jc w:val="center"/>
        <w:rPr>
          <w:rFonts w:hint="eastAsia" w:ascii="方正小标宋简体" w:hAnsi="Times New Roman" w:eastAsia="方正小标宋简体" w:cs="方正小标宋简体"/>
          <w:w w:val="92"/>
          <w:sz w:val="56"/>
          <w:szCs w:val="56"/>
          <w:lang w:bidi="ar-SA"/>
        </w:rPr>
      </w:pPr>
    </w:p>
    <w:p w14:paraId="5CDC2005">
      <w:pPr>
        <w:autoSpaceDE w:val="0"/>
        <w:autoSpaceDN w:val="0"/>
        <w:adjustRightInd w:val="0"/>
        <w:ind w:left="420" w:leftChars="200"/>
        <w:jc w:val="left"/>
        <w:rPr>
          <w:rFonts w:ascii="宋体" w:cs="仿宋_GB2312"/>
          <w:sz w:val="32"/>
          <w:szCs w:val="32"/>
        </w:rPr>
      </w:pPr>
    </w:p>
    <w:p w14:paraId="69587845">
      <w:pPr>
        <w:autoSpaceDE w:val="0"/>
        <w:autoSpaceDN w:val="0"/>
        <w:adjustRightInd w:val="0"/>
        <w:ind w:left="420" w:leftChars="200"/>
        <w:jc w:val="left"/>
        <w:rPr>
          <w:rFonts w:ascii="宋体" w:cs="仿宋_GB2312"/>
          <w:sz w:val="32"/>
          <w:szCs w:val="32"/>
        </w:rPr>
      </w:pPr>
    </w:p>
    <w:p w14:paraId="5C77794E">
      <w:pPr>
        <w:autoSpaceDE w:val="0"/>
        <w:autoSpaceDN w:val="0"/>
        <w:adjustRightInd w:val="0"/>
        <w:ind w:left="420" w:leftChars="200"/>
        <w:jc w:val="left"/>
        <w:rPr>
          <w:rFonts w:ascii="宋体" w:cs="仿宋_GB2312"/>
          <w:sz w:val="32"/>
          <w:szCs w:val="32"/>
        </w:rPr>
      </w:pPr>
    </w:p>
    <w:p w14:paraId="0DE4ED22">
      <w:pPr>
        <w:autoSpaceDE w:val="0"/>
        <w:autoSpaceDN w:val="0"/>
        <w:adjustRightInd w:val="0"/>
        <w:ind w:left="420" w:leftChars="200"/>
        <w:jc w:val="left"/>
        <w:rPr>
          <w:rFonts w:ascii="宋体" w:cs="仿宋_GB2312"/>
          <w:sz w:val="32"/>
          <w:szCs w:val="32"/>
        </w:rPr>
      </w:pPr>
    </w:p>
    <w:p w14:paraId="1453AB6E">
      <w:pPr>
        <w:autoSpaceDE w:val="0"/>
        <w:autoSpaceDN w:val="0"/>
        <w:adjustRightInd w:val="0"/>
        <w:ind w:left="420" w:leftChars="200"/>
        <w:jc w:val="left"/>
        <w:rPr>
          <w:rFonts w:ascii="宋体" w:cs="仿宋_GB2312"/>
          <w:sz w:val="32"/>
          <w:szCs w:val="32"/>
        </w:rPr>
      </w:pPr>
    </w:p>
    <w:p w14:paraId="0A1C6FB3">
      <w:pPr>
        <w:autoSpaceDE w:val="0"/>
        <w:autoSpaceDN w:val="0"/>
        <w:adjustRightInd w:val="0"/>
        <w:ind w:left="420" w:leftChars="200"/>
        <w:jc w:val="left"/>
        <w:rPr>
          <w:rFonts w:ascii="宋体" w:cs="仿宋_GB2312"/>
          <w:sz w:val="32"/>
          <w:szCs w:val="32"/>
        </w:rPr>
      </w:pPr>
    </w:p>
    <w:p w14:paraId="327DBCF1">
      <w:pPr>
        <w:autoSpaceDE w:val="0"/>
        <w:autoSpaceDN w:val="0"/>
        <w:adjustRightInd w:val="0"/>
        <w:ind w:left="420" w:leftChars="200"/>
        <w:jc w:val="left"/>
        <w:rPr>
          <w:rFonts w:ascii="宋体" w:cs="仿宋_GB2312"/>
          <w:sz w:val="32"/>
          <w:szCs w:val="32"/>
        </w:rPr>
      </w:pPr>
    </w:p>
    <w:p w14:paraId="62C5A62B">
      <w:pPr>
        <w:autoSpaceDE w:val="0"/>
        <w:autoSpaceDN w:val="0"/>
        <w:adjustRightInd w:val="0"/>
        <w:jc w:val="left"/>
        <w:rPr>
          <w:rFonts w:ascii="宋体" w:cs="仿宋_GB2312"/>
          <w:sz w:val="32"/>
          <w:szCs w:val="32"/>
        </w:rPr>
      </w:pPr>
    </w:p>
    <w:p w14:paraId="546D2BF2">
      <w:pPr>
        <w:autoSpaceDE w:val="0"/>
        <w:autoSpaceDN w:val="0"/>
        <w:adjustRightInd w:val="0"/>
        <w:ind w:left="420" w:leftChars="200"/>
        <w:jc w:val="left"/>
        <w:rPr>
          <w:rFonts w:ascii="宋体" w:cs="仿宋_GB2312"/>
          <w:sz w:val="32"/>
          <w:szCs w:val="32"/>
        </w:rPr>
      </w:pPr>
    </w:p>
    <w:p w14:paraId="2E46E6E1">
      <w:pPr>
        <w:autoSpaceDE w:val="0"/>
        <w:autoSpaceDN w:val="0"/>
        <w:adjustRightInd w:val="0"/>
        <w:ind w:left="420" w:leftChars="200"/>
        <w:jc w:val="left"/>
        <w:rPr>
          <w:rFonts w:ascii="宋体"/>
          <w:sz w:val="32"/>
          <w:szCs w:val="32"/>
        </w:rPr>
      </w:pPr>
      <w:r>
        <w:rPr>
          <w:rFonts w:hint="eastAsia" w:ascii="宋体" w:cs="仿宋_GB2312"/>
          <w:sz w:val="32"/>
          <w:szCs w:val="32"/>
        </w:rPr>
        <w:t>保密审查情况：已审查，内容审定</w:t>
      </w:r>
    </w:p>
    <w:p w14:paraId="0F799887">
      <w:pPr>
        <w:autoSpaceDE w:val="0"/>
        <w:autoSpaceDN w:val="0"/>
        <w:adjustRightInd w:val="0"/>
        <w:ind w:left="420" w:leftChars="200"/>
        <w:jc w:val="left"/>
        <w:rPr>
          <w:rFonts w:ascii="宋体"/>
          <w:sz w:val="32"/>
          <w:szCs w:val="32"/>
        </w:rPr>
      </w:pPr>
      <w:r>
        <w:rPr>
          <w:rFonts w:hint="eastAsia" w:ascii="宋体" w:cs="仿宋_GB2312"/>
          <w:sz w:val="32"/>
          <w:szCs w:val="32"/>
        </w:rPr>
        <w:t>部门主要负责人审签情况：已审签，同意对外公开</w:t>
      </w:r>
    </w:p>
    <w:p w14:paraId="0BDE45FB">
      <w:pPr>
        <w:pStyle w:val="22"/>
        <w:rPr>
          <w:rFonts w:ascii="微软雅黑" w:eastAsia="微软雅黑" w:cs="微软雅黑"/>
          <w:sz w:val="44"/>
          <w:szCs w:val="44"/>
        </w:rPr>
      </w:pPr>
    </w:p>
    <w:p w14:paraId="315CFE1B">
      <w:pPr>
        <w:widowControl/>
        <w:jc w:val="both"/>
        <w:rPr>
          <w:rFonts w:hint="eastAsia" w:ascii="微软雅黑" w:eastAsia="微软雅黑" w:cs="微软雅黑"/>
          <w:sz w:val="44"/>
          <w:szCs w:val="44"/>
        </w:rPr>
      </w:pPr>
    </w:p>
    <w:p w14:paraId="56852544">
      <w:pPr>
        <w:widowControl/>
        <w:jc w:val="center"/>
        <w:rPr>
          <w:rFonts w:ascii="微软雅黑" w:eastAsia="微软雅黑" w:cs="微软雅黑"/>
          <w:sz w:val="44"/>
          <w:szCs w:val="44"/>
        </w:rPr>
      </w:pPr>
      <w:r>
        <w:rPr>
          <w:rFonts w:hint="eastAsia" w:ascii="微软雅黑" w:eastAsia="微软雅黑" w:cs="微软雅黑"/>
          <w:sz w:val="44"/>
          <w:szCs w:val="44"/>
        </w:rPr>
        <w:t>目录</w:t>
      </w:r>
    </w:p>
    <w:p w14:paraId="7CF51BA0">
      <w:pPr>
        <w:widowControl/>
        <w:jc w:val="center"/>
        <w:rPr>
          <w:rFonts w:ascii="黑体" w:eastAsia="黑体" w:cs="Arial"/>
          <w:sz w:val="28"/>
          <w:szCs w:val="28"/>
        </w:rPr>
      </w:pPr>
    </w:p>
    <w:p w14:paraId="2983B8B8">
      <w:pPr>
        <w:pStyle w:val="12"/>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公开时间：202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w:t>
      </w:r>
      <w:r>
        <w:rPr>
          <w:rFonts w:hint="eastAsia" w:ascii="方正仿宋_GBK" w:hAnsi="方正仿宋_GBK" w:eastAsia="方正仿宋_GBK" w:cs="方正仿宋_GBK"/>
          <w:color w:val="000000"/>
          <w:kern w:val="0"/>
          <w:sz w:val="31"/>
          <w:szCs w:val="31"/>
          <w:lang w:val="en-US" w:eastAsia="zh-CN"/>
        </w:rPr>
        <w:t>10</w:t>
      </w:r>
      <w:r>
        <w:rPr>
          <w:rFonts w:hint="eastAsia" w:ascii="方正仿宋_GBK" w:hAnsi="方正仿宋_GBK" w:eastAsia="方正仿宋_GBK" w:cs="方正仿宋_GBK"/>
          <w:color w:val="000000"/>
          <w:kern w:val="0"/>
          <w:sz w:val="31"/>
          <w:szCs w:val="31"/>
        </w:rPr>
        <w:t>月</w:t>
      </w:r>
      <w:r>
        <w:rPr>
          <w:rFonts w:hint="eastAsia" w:ascii="方正仿宋_GBK" w:hAnsi="方正仿宋_GBK" w:eastAsia="方正仿宋_GBK" w:cs="方正仿宋_GBK"/>
          <w:color w:val="000000"/>
          <w:kern w:val="0"/>
          <w:sz w:val="31"/>
          <w:szCs w:val="31"/>
          <w:lang w:val="en-US" w:eastAsia="zh-CN"/>
        </w:rPr>
        <w:t>9</w:t>
      </w:r>
      <w:r>
        <w:rPr>
          <w:rFonts w:hint="eastAsia" w:ascii="方正仿宋_GBK" w:hAnsi="方正仿宋_GBK" w:eastAsia="方正仿宋_GBK" w:cs="方正仿宋_GBK"/>
          <w:color w:val="000000"/>
          <w:kern w:val="0"/>
          <w:sz w:val="31"/>
          <w:szCs w:val="31"/>
        </w:rPr>
        <w:t>日</w:t>
      </w:r>
    </w:p>
    <w:p w14:paraId="48F68C1A">
      <w:pPr>
        <w:rPr>
          <w:rFonts w:ascii="仿宋_GB2312" w:eastAsia="仿宋_GB2312" w:cs="仿宋_GB2312"/>
        </w:rPr>
      </w:pPr>
    </w:p>
    <w:p w14:paraId="25DC20AF">
      <w:pPr>
        <w:pStyle w:val="12"/>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第一部分 单位概况</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4</w:t>
      </w:r>
    </w:p>
    <w:p w14:paraId="591C7A06">
      <w:pPr>
        <w:pStyle w:val="13"/>
        <w:ind w:left="420"/>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一、主要职责</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5</w:t>
      </w:r>
    </w:p>
    <w:p w14:paraId="429C24B2">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二、机构设置</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6</w:t>
      </w:r>
    </w:p>
    <w:p w14:paraId="1865BE50">
      <w:pPr>
        <w:pStyle w:val="12"/>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第二部分 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年度单位决算情况说明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6</w:t>
      </w:r>
    </w:p>
    <w:p w14:paraId="1B365FCA">
      <w:pPr>
        <w:pStyle w:val="13"/>
        <w:ind w:left="420"/>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一、收入支出决算总体情况说明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6</w:t>
      </w:r>
    </w:p>
    <w:p w14:paraId="2305016A">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二、收入决算情况说明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7</w:t>
      </w:r>
    </w:p>
    <w:p w14:paraId="6F5D8790">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三、支出决算情况说明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7</w:t>
      </w:r>
    </w:p>
    <w:p w14:paraId="11EF5BE1">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四、财政拨款收入支出决算总体情况说明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8</w:t>
      </w:r>
    </w:p>
    <w:p w14:paraId="1FF8B238">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五、一般公共预算财政拨款支出决算情况说明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8</w:t>
      </w:r>
    </w:p>
    <w:p w14:paraId="3CE94517">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六、一般公共预算财政拨款基本支出决算情况说明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10</w:t>
      </w:r>
    </w:p>
    <w:p w14:paraId="238D8350">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七、财政拨款“三公”经费支出决算情况说明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 xml:space="preserve">  11</w:t>
      </w:r>
    </w:p>
    <w:p w14:paraId="20D230F5">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八、政府性基金预算支出决算情况说明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12</w:t>
      </w:r>
    </w:p>
    <w:p w14:paraId="05D235CA">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九、国有资本经营预算支出决算情况说明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12</w:t>
      </w:r>
    </w:p>
    <w:p w14:paraId="4A3B34FE">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十、其他重要事项的情况说明</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12</w:t>
      </w:r>
    </w:p>
    <w:p w14:paraId="537403B2">
      <w:pPr>
        <w:pStyle w:val="12"/>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第三部分 名词解释</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13</w:t>
      </w:r>
    </w:p>
    <w:p w14:paraId="5EF46091">
      <w:pPr>
        <w:pStyle w:val="12"/>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第四部分 附表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24507A5F">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一、收入支出决算总表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3A596852">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二、收入决算表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1D8100A7">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三、支出决算表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4DC2F6E4">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四、财政拨款收入支出决算总表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0A5BC0A2">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五、财政拨款支出决算明细表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5D62B9A7">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六、一般公共预算财政拨款支出决算表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6FE8195F">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七、一般公共预算财政拨款支出决算明细表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7360C3FB">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八、一般公共预算财政拨款基本支出决算明细表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3635F2A9">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九、一般公共预算财政拨款项目支出决算表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2D63BE26">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十、政府性基金预算财政拨款收入支出决算表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23DC0987">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十一、国有资本经营预算财政拨款收入支出决算表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1E2D12C0">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十二、国有资本经营预算财政拨款支出决算表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7EECA899">
      <w:pPr>
        <w:pStyle w:val="13"/>
        <w:adjustRightInd w:val="0"/>
        <w:snapToGrid w:val="0"/>
        <w:spacing w:line="440" w:lineRule="exact"/>
        <w:ind w:left="420"/>
        <w:jc w:val="left"/>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十三、财政拨款“三公”经费支出决算表</w:t>
      </w:r>
      <w:r>
        <w:rPr>
          <w:rFonts w:hint="eastAsia" w:ascii="方正仿宋_GBK" w:hAnsi="方正仿宋_GBK" w:eastAsia="方正仿宋_GBK" w:cs="方正仿宋_GBK"/>
          <w:color w:val="000000"/>
          <w:kern w:val="0"/>
          <w:sz w:val="31"/>
          <w:szCs w:val="31"/>
        </w:rPr>
        <w:tab/>
      </w:r>
      <w:r>
        <w:rPr>
          <w:rFonts w:hint="eastAsia" w:ascii="方正仿宋_GBK" w:hAnsi="方正仿宋_GBK" w:eastAsia="方正仿宋_GBK" w:cs="方正仿宋_GBK"/>
          <w:color w:val="000000"/>
          <w:kern w:val="0"/>
          <w:sz w:val="31"/>
          <w:szCs w:val="31"/>
        </w:rPr>
        <w:t>14</w:t>
      </w:r>
    </w:p>
    <w:p w14:paraId="138D4A9C">
      <w:pPr>
        <w:widowControl/>
        <w:spacing w:line="440" w:lineRule="exact"/>
        <w:jc w:val="left"/>
        <w:rPr>
          <w:rFonts w:ascii="方正仿宋_GBK" w:hAnsi="方正仿宋_GBK" w:eastAsia="方正仿宋_GBK" w:cs="方正仿宋_GBK"/>
          <w:color w:val="000000"/>
          <w:kern w:val="0"/>
          <w:sz w:val="31"/>
          <w:szCs w:val="31"/>
        </w:rPr>
      </w:pPr>
      <w:bookmarkStart w:id="12" w:name="_Toc15377196"/>
      <w:bookmarkStart w:id="13" w:name="_Toc15396599"/>
      <w:r>
        <w:rPr>
          <w:rFonts w:hint="eastAsia" w:ascii="方正仿宋_GBK" w:hAnsi="方正仿宋_GBK" w:eastAsia="方正仿宋_GBK" w:cs="方正仿宋_GBK"/>
          <w:color w:val="000000"/>
          <w:kern w:val="0"/>
          <w:sz w:val="31"/>
          <w:szCs w:val="31"/>
        </w:rPr>
        <w:br w:type="page"/>
      </w:r>
    </w:p>
    <w:p w14:paraId="4CC3435D">
      <w:pPr>
        <w:pStyle w:val="2"/>
        <w:spacing w:before="0" w:after="0" w:line="576" w:lineRule="exact"/>
        <w:jc w:val="center"/>
        <w:rPr>
          <w:rStyle w:val="24"/>
          <w:rFonts w:ascii="微软雅黑" w:eastAsia="微软雅黑" w:cs="微软雅黑"/>
          <w:b w:val="0"/>
          <w:bCs w:val="0"/>
        </w:rPr>
      </w:pPr>
      <w:r>
        <w:rPr>
          <w:rFonts w:hint="eastAsia" w:ascii="微软雅黑" w:eastAsia="微软雅黑" w:cs="微软雅黑"/>
          <w:b w:val="0"/>
        </w:rPr>
        <w:t>第一部分 单位</w:t>
      </w:r>
      <w:r>
        <w:rPr>
          <w:rStyle w:val="24"/>
          <w:rFonts w:hint="eastAsia" w:ascii="微软雅黑" w:eastAsia="微软雅黑" w:cs="微软雅黑"/>
          <w:b w:val="0"/>
          <w:bCs w:val="0"/>
        </w:rPr>
        <w:t>概况</w:t>
      </w:r>
      <w:bookmarkEnd w:id="12"/>
      <w:bookmarkEnd w:id="13"/>
    </w:p>
    <w:p w14:paraId="3ACAAAE3">
      <w:pPr>
        <w:spacing w:line="576" w:lineRule="exact"/>
      </w:pPr>
    </w:p>
    <w:p w14:paraId="7858B17B">
      <w:pPr>
        <w:pStyle w:val="3"/>
        <w:numPr>
          <w:ilvl w:val="0"/>
          <w:numId w:val="1"/>
        </w:numPr>
        <w:spacing w:before="0" w:after="0" w:line="576" w:lineRule="exact"/>
        <w:rPr>
          <w:rFonts w:hint="eastAsia" w:ascii="仿宋_GB2312" w:hAnsi="Calibri" w:eastAsia="仿宋_GB2312" w:cs="仿宋_GB2312"/>
          <w:color w:val="000000"/>
          <w:sz w:val="32"/>
          <w:szCs w:val="32"/>
          <w:lang w:val="en-US" w:eastAsia="zh-CN"/>
        </w:rPr>
      </w:pPr>
      <w:bookmarkStart w:id="14" w:name="_Toc15396600"/>
      <w:bookmarkStart w:id="15" w:name="_Toc15377197"/>
      <w:r>
        <w:rPr>
          <w:rStyle w:val="25"/>
          <w:rFonts w:hint="eastAsia" w:ascii="黑体" w:eastAsia="黑体"/>
          <w:b w:val="0"/>
          <w:bCs w:val="0"/>
        </w:rPr>
        <w:t>主要职责</w:t>
      </w:r>
    </w:p>
    <w:p w14:paraId="6A750102">
      <w:pPr>
        <w:keepNext w:val="0"/>
        <w:keepLines w:val="0"/>
        <w:pageBreakBefore w:val="0"/>
        <w:numPr>
          <w:ilvl w:val="0"/>
          <w:numId w:val="0"/>
        </w:numPr>
        <w:kinsoku/>
        <w:wordWrap/>
        <w:overflowPunct/>
        <w:topLinePunct w:val="0"/>
        <w:autoSpaceDE/>
        <w:autoSpaceDN/>
        <w:bidi w:val="0"/>
        <w:spacing w:line="570" w:lineRule="exact"/>
        <w:ind w:firstLine="643" w:firstLineChars="200"/>
        <w:textAlignment w:val="auto"/>
        <w:rPr>
          <w:rFonts w:hint="eastAsia" w:ascii="仿宋_GB2312" w:hAnsi="楷体" w:eastAsia="仿宋_GB2312"/>
          <w:b/>
          <w:sz w:val="32"/>
          <w:szCs w:val="32"/>
          <w:lang w:val="en-US" w:eastAsia="zh-CN"/>
        </w:rPr>
      </w:pPr>
      <w:r>
        <w:rPr>
          <w:rFonts w:hint="eastAsia" w:ascii="仿宋_GB2312" w:hAnsi="楷体" w:eastAsia="仿宋_GB2312"/>
          <w:b/>
          <w:sz w:val="32"/>
          <w:szCs w:val="32"/>
          <w:lang w:val="en-US" w:eastAsia="zh-CN"/>
        </w:rPr>
        <w:t>1.综合股</w:t>
      </w:r>
    </w:p>
    <w:p w14:paraId="0B5D915F">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default" w:ascii="仿宋_GB2312" w:hAnsi="楷体" w:eastAsia="仿宋_GB2312"/>
          <w:b/>
          <w:sz w:val="32"/>
          <w:szCs w:val="32"/>
          <w:lang w:val="en-US" w:eastAsia="zh-CN"/>
        </w:rPr>
      </w:pPr>
      <w:r>
        <w:rPr>
          <w:rFonts w:hint="eastAsia" w:ascii="仿宋_GB2312" w:hAnsi="Calibri" w:eastAsia="仿宋_GB2312" w:cs="仿宋_GB2312"/>
          <w:color w:val="000000"/>
          <w:sz w:val="32"/>
          <w:szCs w:val="32"/>
        </w:rPr>
        <w:t>负责机关日常运转，承担</w:t>
      </w:r>
      <w:r>
        <w:rPr>
          <w:rFonts w:hint="eastAsia" w:ascii="仿宋_GB2312" w:hAnsi="Calibri" w:eastAsia="仿宋_GB2312" w:cs="仿宋_GB2312"/>
          <w:color w:val="000000"/>
          <w:sz w:val="32"/>
          <w:szCs w:val="32"/>
          <w:lang w:val="en-US" w:eastAsia="zh-CN"/>
        </w:rPr>
        <w:t>综合协调、文电会务、机要保密、信息公开、文书档案、后勤保障等工作。承担部机关及所属单位财务、国有资产管理、内部审计和工会等工作。协调处理信访工作的重大问题、承担人民建议征集有关工作。负责机关绩效管理和其他事项的督查督办。负责有关重要文件起草、重点工作调查研究和规范性文件审查备案工作。承担本部门新闻宣传、节能减排、安全生产、意识形态、综治维稳、扫黑除恶、依法治理、干部人事、机构编制、教育培训、队伍建设、退休干部等工作。</w:t>
      </w:r>
    </w:p>
    <w:p w14:paraId="51E537A2">
      <w:pPr>
        <w:keepNext w:val="0"/>
        <w:keepLines w:val="0"/>
        <w:pageBreakBefore w:val="0"/>
        <w:numPr>
          <w:ilvl w:val="0"/>
          <w:numId w:val="0"/>
        </w:numPr>
        <w:kinsoku/>
        <w:wordWrap/>
        <w:overflowPunct/>
        <w:topLinePunct w:val="0"/>
        <w:autoSpaceDE/>
        <w:autoSpaceDN/>
        <w:bidi w:val="0"/>
        <w:spacing w:line="570" w:lineRule="exact"/>
        <w:ind w:firstLine="643" w:firstLineChars="200"/>
        <w:textAlignment w:val="auto"/>
        <w:rPr>
          <w:rFonts w:hint="eastAsia" w:ascii="仿宋_GB2312" w:hAnsi="楷体" w:eastAsia="仿宋_GB2312"/>
          <w:b/>
          <w:sz w:val="32"/>
          <w:szCs w:val="32"/>
          <w:lang w:val="en-US" w:eastAsia="zh-CN"/>
        </w:rPr>
      </w:pPr>
      <w:r>
        <w:rPr>
          <w:rFonts w:hint="eastAsia" w:ascii="仿宋_GB2312" w:hAnsi="楷体" w:eastAsia="仿宋_GB2312"/>
          <w:b/>
          <w:sz w:val="32"/>
          <w:szCs w:val="32"/>
          <w:lang w:val="en-US" w:eastAsia="zh-CN"/>
        </w:rPr>
        <w:t>2.业务股</w:t>
      </w:r>
    </w:p>
    <w:p w14:paraId="341DB5C9">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Calibri" w:eastAsia="仿宋_GB2312" w:cs="仿宋_GB2312"/>
          <w:color w:val="000000"/>
          <w:sz w:val="32"/>
          <w:szCs w:val="32"/>
          <w:lang w:val="en-US" w:eastAsia="zh-CN"/>
        </w:rPr>
      </w:pPr>
      <w:r>
        <w:rPr>
          <w:rFonts w:hint="eastAsia" w:ascii="仿宋_GB2312" w:hAnsi="Calibri" w:eastAsia="仿宋_GB2312" w:cs="仿宋_GB2312"/>
          <w:color w:val="000000"/>
          <w:sz w:val="32"/>
          <w:szCs w:val="32"/>
          <w:lang w:val="en-US" w:eastAsia="zh-CN"/>
        </w:rPr>
        <w:t>承担贯彻落实和指导实施基层治理和基层政权建设有关政策，指导实施全县党建引领基层治理和基层政权建设。指导健全和落实党建引领基层治理领导体系和工作机制。承担城乡社区治理体系、服务体系和治理能力建设的指导协调和推进工作。承担推动基层民主政治建设有关工作，指导监督基层群众性自治组织规范化建设。</w:t>
      </w:r>
    </w:p>
    <w:p w14:paraId="7B8D4EA0">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Calibri" w:eastAsia="仿宋_GB2312" w:cs="仿宋_GB2312"/>
          <w:color w:val="000000"/>
          <w:sz w:val="32"/>
          <w:szCs w:val="32"/>
          <w:lang w:val="en-US" w:eastAsia="zh-CN"/>
        </w:rPr>
      </w:pPr>
      <w:r>
        <w:rPr>
          <w:rFonts w:hint="eastAsia" w:ascii="仿宋_GB2312" w:hAnsi="Calibri" w:eastAsia="仿宋_GB2312" w:cs="仿宋_GB2312"/>
          <w:color w:val="000000"/>
          <w:sz w:val="32"/>
          <w:szCs w:val="32"/>
          <w:lang w:val="en-US" w:eastAsia="zh-CN"/>
        </w:rPr>
        <w:t>承担指导推动社会工作人才队伍建设、志愿服务人才队伍建设和阵地建设工作，协调推动跨区域有关交流合作。指导开展社会组织工作服务和志愿服务培训，培育志愿精神、志愿文化。组织开展全县性、示范性志愿服务重大活动。</w:t>
      </w:r>
    </w:p>
    <w:p w14:paraId="464440DC">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Calibri" w:eastAsia="仿宋_GB2312" w:cs="仿宋_GB2312"/>
          <w:color w:val="000000"/>
          <w:sz w:val="32"/>
          <w:szCs w:val="32"/>
          <w:lang w:val="en-US" w:eastAsia="zh-CN"/>
        </w:rPr>
      </w:pPr>
      <w:r>
        <w:rPr>
          <w:rFonts w:hint="eastAsia" w:ascii="仿宋_GB2312" w:hAnsi="Calibri" w:eastAsia="仿宋_GB2312" w:cs="仿宋_GB2312"/>
          <w:color w:val="000000"/>
          <w:sz w:val="32"/>
          <w:szCs w:val="32"/>
          <w:lang w:val="en-US" w:eastAsia="zh-CN"/>
        </w:rPr>
        <w:t>调查研究全县行业商会协会、商会深化改革和转型发展中的重大问题，研究提出加强和改进行业协会、商会党建工作的意见建议。指导全县行业协会、商会基层党组织建设、党员队伍建设、思想政治工作、党的群众工作、外事有关工作、群团组织工作、党风廉政建设和党建其他工作。组织对全县行业协会、商会遵守政治纪律和政治规矩、落实党建责任制情况进行监督检查。负责全县行业协会、商会负责人人选的审核。督促全线行业协会、商会的党组织按期换届。</w:t>
      </w:r>
    </w:p>
    <w:p w14:paraId="3AF9484D">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Calibri" w:eastAsia="仿宋_GB2312" w:cs="仿宋_GB2312"/>
          <w:color w:val="000000"/>
          <w:sz w:val="32"/>
          <w:szCs w:val="32"/>
          <w:lang w:val="en-US" w:eastAsia="zh-CN"/>
        </w:rPr>
      </w:pPr>
      <w:r>
        <w:rPr>
          <w:rFonts w:hint="eastAsia" w:ascii="仿宋_GB2312" w:hAnsi="Calibri" w:eastAsia="仿宋_GB2312" w:cs="仿宋_GB2312"/>
          <w:color w:val="000000"/>
          <w:sz w:val="32"/>
          <w:szCs w:val="32"/>
          <w:lang w:val="en-US" w:eastAsia="zh-CN"/>
        </w:rPr>
        <w:t>承担指导、推动全县“两企三新”党建工作、承担相关企业单位、社会组织、就业群体中党员教育、管理、监督和服务的具体指导协调工作。调查研究相关重大问题，提出完善相关领域群众利益协调机制的政策建议。承担指导全县社会组织党建工作。承担对有关部门开展本领域内有关企业单位、社会组织、就业群众党建工作的联系指导工作。</w:t>
      </w:r>
    </w:p>
    <w:p w14:paraId="4F77A756">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Calibri" w:eastAsia="仿宋_GB2312" w:cs="仿宋_GB2312"/>
          <w:color w:val="000000"/>
          <w:kern w:val="2"/>
          <w:sz w:val="32"/>
          <w:szCs w:val="32"/>
          <w:lang w:val="en-US" w:eastAsia="zh-CN" w:bidi="ar-SA"/>
        </w:rPr>
      </w:pPr>
      <w:r>
        <w:rPr>
          <w:rFonts w:hint="eastAsia" w:ascii="仿宋_GB2312" w:hAnsi="Calibri" w:eastAsia="仿宋_GB2312" w:cs="仿宋_GB2312"/>
          <w:color w:val="000000"/>
          <w:kern w:val="2"/>
          <w:sz w:val="32"/>
          <w:szCs w:val="32"/>
          <w:lang w:val="en-US" w:eastAsia="zh-CN" w:bidi="ar-SA"/>
        </w:rPr>
        <w:t>（二）</w:t>
      </w:r>
      <w:r>
        <w:rPr>
          <w:rFonts w:hint="eastAsia" w:ascii="仿宋_GB2312" w:eastAsia="仿宋_GB2312" w:cs="仿宋_GB2312"/>
          <w:color w:val="000000"/>
          <w:kern w:val="2"/>
          <w:sz w:val="32"/>
          <w:szCs w:val="32"/>
          <w:lang w:val="en-US" w:eastAsia="zh-CN" w:bidi="ar-SA"/>
        </w:rPr>
        <w:t>我部2026</w:t>
      </w:r>
      <w:r>
        <w:rPr>
          <w:rFonts w:hint="eastAsia" w:ascii="仿宋_GB2312" w:hAnsi="Calibri" w:eastAsia="仿宋_GB2312" w:cs="仿宋_GB2312"/>
          <w:color w:val="000000"/>
          <w:kern w:val="2"/>
          <w:sz w:val="32"/>
          <w:szCs w:val="32"/>
          <w:lang w:val="en-US" w:eastAsia="zh-CN" w:bidi="ar-SA"/>
        </w:rPr>
        <w:t>年重点工作</w:t>
      </w:r>
      <w:r>
        <w:rPr>
          <w:rFonts w:hint="eastAsia" w:ascii="仿宋_GB2312" w:eastAsia="仿宋_GB2312" w:cs="仿宋_GB2312"/>
          <w:color w:val="000000"/>
          <w:kern w:val="2"/>
          <w:sz w:val="32"/>
          <w:szCs w:val="32"/>
          <w:lang w:val="en-US" w:eastAsia="zh-CN" w:bidi="ar-SA"/>
        </w:rPr>
        <w:t>：</w:t>
      </w:r>
    </w:p>
    <w:p w14:paraId="7071C69E">
      <w:pPr>
        <w:pStyle w:val="22"/>
        <w:ind w:firstLine="640" w:firstLineChars="200"/>
        <w:rPr>
          <w:rFonts w:hint="default"/>
        </w:rPr>
      </w:pPr>
      <w:r>
        <w:rPr>
          <w:rFonts w:hint="eastAsia" w:ascii="仿宋_GB2312" w:eastAsia="仿宋_GB2312" w:cs="仿宋_GB2312"/>
          <w:color w:val="000000"/>
          <w:sz w:val="32"/>
          <w:szCs w:val="32"/>
          <w:lang w:val="en-US" w:eastAsia="zh-CN"/>
        </w:rPr>
        <w:t>2026</w:t>
      </w:r>
      <w:r>
        <w:rPr>
          <w:rFonts w:hint="default" w:ascii="仿宋_GB2312" w:eastAsia="仿宋_GB2312" w:cs="仿宋_GB2312"/>
          <w:color w:val="000000"/>
          <w:sz w:val="32"/>
          <w:szCs w:val="32"/>
          <w:lang w:val="en-US" w:eastAsia="zh-CN"/>
        </w:rPr>
        <w:t>年县委社会工作部将</w:t>
      </w:r>
      <w:r>
        <w:rPr>
          <w:rFonts w:hint="eastAsia" w:ascii="仿宋_GB2312" w:eastAsia="仿宋_GB2312" w:cs="仿宋_GB2312"/>
          <w:color w:val="000000"/>
          <w:sz w:val="32"/>
          <w:szCs w:val="32"/>
          <w:lang w:val="en-US" w:eastAsia="zh-CN"/>
        </w:rPr>
        <w:t>坚持将学习贯彻习近平新时代中国特色社会主义思想作为首要任务，依托“三会一课”、主题党日等载体，全年开展专题学习宣讲不少于12场，推动党的创新理论入脑入心。健全“条块结合、动态摸排”机制，每月更新“两个覆盖”集中攻坚调度表，每季度更新非公企业、社会组织及新就业群体基础台账，年底前完成全县数据总台账校准，确保底数精准。推进党组织“应建尽建”，通过单建、联建、挂靠等方式扩大覆盖，完成每年新建党组织与发展党员计划。深化“党建+业务”融合，引导党组织围绕生产经营、人才培养等找准切入点，开展多元助企活动。完善新就业群体“移动网格员”机制，引导参与基层治理。健全需求响应机制，联动部门开展法治体检、技能培训、健康义诊等服务，优化现有大同社工、阿坝铝厂等示范点功能，拓展服务覆盖面，增强两新群体获得感。扎实开展村（社）干部换届工作，全面掌握村（社）干部表现、群众评价及后备干部培养状况，优化候选人资格审查、规范选举流程、强化监督机制，为基层发展注入新动力。。加强与镇村沟通联系，加大对村社基础设施投入，高效完成补短板项目，改善办公环境，完善阵地服务功能。</w:t>
      </w:r>
      <w:r>
        <w:rPr>
          <w:rFonts w:hint="default" w:ascii="仿宋_GB2312" w:eastAsia="仿宋_GB2312" w:cs="仿宋_GB2312"/>
          <w:color w:val="000000"/>
          <w:sz w:val="32"/>
          <w:szCs w:val="32"/>
          <w:lang w:val="en-US" w:eastAsia="zh-CN"/>
        </w:rPr>
        <w:t>2026年将着力构建系统化志愿服务体系</w:t>
      </w:r>
      <w:r>
        <w:rPr>
          <w:rFonts w:hint="eastAsia" w:ascii="仿宋_GB2312" w:eastAsia="仿宋_GB2312" w:cs="仿宋_GB2312"/>
          <w:color w:val="000000"/>
          <w:sz w:val="32"/>
          <w:szCs w:val="32"/>
          <w:lang w:val="en-US" w:eastAsia="zh-CN"/>
        </w:rPr>
        <w:t>，</w:t>
      </w:r>
      <w:r>
        <w:rPr>
          <w:rFonts w:hint="default" w:ascii="仿宋_GB2312" w:eastAsia="仿宋_GB2312" w:cs="仿宋_GB2312"/>
          <w:color w:val="000000"/>
          <w:sz w:val="32"/>
          <w:szCs w:val="32"/>
          <w:lang w:val="en-US" w:eastAsia="zh-CN"/>
        </w:rPr>
        <w:t>重点制定全县统一的志愿者管理办法，完善保障机制。整合现有资源，打造集注册、招募、管理于一体的县级志愿服务综合信息平台，提升用户体验与参与度。施“社工人才能力提升计划”，加强专业培训与继续教育，重点提升社区工作者持证率，促进社工人才队伍量质齐升。推动建立“社工引领志愿者”的协同服务机制。持续深化人民建议征集闭环建设，健全“全域排查+精准研判+闭环处置”信访机制。深化多部门联动，压实信访责任，重点指导化解信访问题</w:t>
      </w:r>
      <w:r>
        <w:rPr>
          <w:rFonts w:hint="eastAsia" w:ascii="仿宋_GB2312" w:eastAsia="仿宋_GB2312" w:cs="仿宋_GB2312"/>
          <w:color w:val="000000"/>
          <w:sz w:val="32"/>
          <w:szCs w:val="32"/>
          <w:lang w:val="en-US" w:eastAsia="zh-CN"/>
        </w:rPr>
        <w:t xml:space="preserve">。 </w:t>
      </w:r>
    </w:p>
    <w:p w14:paraId="734B6DEC">
      <w:pPr>
        <w:pStyle w:val="3"/>
        <w:numPr>
          <w:ilvl w:val="0"/>
          <w:numId w:val="0"/>
        </w:numPr>
        <w:tabs>
          <w:tab w:val="left" w:pos="0"/>
        </w:tabs>
        <w:spacing w:before="0" w:after="0" w:line="576" w:lineRule="exact"/>
        <w:ind w:leftChars="0" w:firstLine="640" w:firstLineChars="200"/>
        <w:rPr>
          <w:rStyle w:val="25"/>
          <w:rFonts w:hint="default" w:ascii="黑体" w:eastAsia="黑体"/>
          <w:b w:val="0"/>
          <w:bCs w:val="0"/>
        </w:rPr>
      </w:pPr>
      <w:r>
        <w:rPr>
          <w:rStyle w:val="25"/>
          <w:rFonts w:hint="eastAsia" w:ascii="黑体" w:eastAsia="黑体"/>
          <w:b w:val="0"/>
          <w:bCs w:val="0"/>
        </w:rPr>
        <w:t>二、机构设置</w:t>
      </w:r>
    </w:p>
    <w:bookmarkEnd w:id="14"/>
    <w:bookmarkEnd w:id="15"/>
    <w:p w14:paraId="0CF00771">
      <w:pPr>
        <w:keepNext w:val="0"/>
        <w:keepLines w:val="0"/>
        <w:pageBreakBefore w:val="0"/>
        <w:widowControl/>
        <w:kinsoku/>
        <w:wordWrap/>
        <w:overflowPunct/>
        <w:topLinePunct w:val="0"/>
        <w:autoSpaceDE/>
        <w:autoSpaceDN/>
        <w:bidi w:val="0"/>
        <w:spacing w:line="570" w:lineRule="exact"/>
        <w:ind w:left="0" w:leftChars="0" w:firstLine="640" w:firstLineChars="200"/>
        <w:jc w:val="left"/>
        <w:textAlignment w:val="auto"/>
        <w:rPr>
          <w:rFonts w:ascii="方正仿宋_GBK" w:hAnsi="方正仿宋_GBK" w:eastAsia="方正仿宋_GBK" w:cs="方正仿宋_GBK"/>
          <w:color w:val="000000"/>
          <w:kern w:val="0"/>
          <w:sz w:val="31"/>
          <w:szCs w:val="31"/>
        </w:rPr>
      </w:pPr>
      <w:r>
        <w:rPr>
          <w:rFonts w:hint="eastAsia" w:ascii="仿宋_GB2312" w:eastAsia="仿宋_GB2312" w:cs="Times New Roman"/>
          <w:color w:val="000000"/>
          <w:kern w:val="0"/>
          <w:sz w:val="32"/>
          <w:szCs w:val="32"/>
          <w:lang w:val="en-US" w:eastAsia="zh-CN" w:bidi="ar-SA"/>
        </w:rPr>
        <w:t>中共汶川县委社会工作部</w:t>
      </w:r>
      <w:r>
        <w:rPr>
          <w:rFonts w:hint="eastAsia" w:ascii="仿宋_GB2312" w:hAnsi="Calibri" w:eastAsia="仿宋_GB2312" w:cs="Times New Roman"/>
          <w:color w:val="000000"/>
          <w:kern w:val="0"/>
          <w:sz w:val="32"/>
          <w:szCs w:val="32"/>
          <w:lang w:val="en-US" w:eastAsia="zh-CN" w:bidi="ar-SA"/>
        </w:rPr>
        <w:t>下属预算二级单位</w:t>
      </w:r>
      <w:r>
        <w:rPr>
          <w:rFonts w:hint="eastAsia" w:ascii="仿宋_GB2312" w:eastAsia="仿宋_GB2312" w:cs="Times New Roman"/>
          <w:color w:val="000000"/>
          <w:kern w:val="0"/>
          <w:sz w:val="32"/>
          <w:szCs w:val="32"/>
          <w:lang w:val="en-US" w:eastAsia="zh-CN" w:bidi="ar-SA"/>
        </w:rPr>
        <w:t>2</w:t>
      </w:r>
      <w:r>
        <w:rPr>
          <w:rFonts w:hint="eastAsia" w:ascii="仿宋_GB2312" w:hAnsi="Calibri" w:eastAsia="仿宋_GB2312" w:cs="Times New Roman"/>
          <w:color w:val="000000"/>
          <w:kern w:val="0"/>
          <w:sz w:val="32"/>
          <w:szCs w:val="32"/>
          <w:lang w:val="en-US" w:eastAsia="zh-CN" w:bidi="ar-SA"/>
        </w:rPr>
        <w:t>个，</w:t>
      </w:r>
      <w:r>
        <w:rPr>
          <w:rFonts w:hint="eastAsia" w:ascii="方正仿宋_GBK" w:hAnsi="方正仿宋_GBK" w:eastAsia="方正仿宋_GBK" w:cs="方正仿宋_GBK"/>
          <w:color w:val="000000"/>
          <w:kern w:val="0"/>
          <w:sz w:val="31"/>
          <w:szCs w:val="31"/>
          <w:lang w:val="en-US" w:eastAsia="zh-CN"/>
        </w:rPr>
        <w:t>下设综合股及业务股两个股室，</w:t>
      </w:r>
      <w:r>
        <w:rPr>
          <w:rFonts w:hint="eastAsia" w:ascii="仿宋_GB2312" w:hAnsi="Calibri" w:eastAsia="仿宋_GB2312" w:cs="Times New Roman"/>
          <w:color w:val="000000"/>
          <w:kern w:val="0"/>
          <w:sz w:val="32"/>
          <w:szCs w:val="32"/>
          <w:lang w:val="en-US" w:eastAsia="zh-CN" w:bidi="ar-SA"/>
        </w:rPr>
        <w:t>其中行政单位</w:t>
      </w:r>
      <w:r>
        <w:rPr>
          <w:rFonts w:hint="eastAsia" w:ascii="仿宋_GB2312" w:eastAsia="仿宋_GB2312" w:cs="Times New Roman"/>
          <w:color w:val="000000"/>
          <w:kern w:val="0"/>
          <w:sz w:val="32"/>
          <w:szCs w:val="32"/>
          <w:lang w:val="en-US" w:eastAsia="zh-CN" w:bidi="ar-SA"/>
        </w:rPr>
        <w:t>1</w:t>
      </w:r>
      <w:r>
        <w:rPr>
          <w:rFonts w:hint="eastAsia" w:ascii="仿宋_GB2312" w:hAnsi="Calibri" w:eastAsia="仿宋_GB2312" w:cs="Times New Roman"/>
          <w:color w:val="000000"/>
          <w:kern w:val="0"/>
          <w:sz w:val="32"/>
          <w:szCs w:val="32"/>
          <w:lang w:val="en-US" w:eastAsia="zh-CN" w:bidi="ar-SA"/>
        </w:rPr>
        <w:t>个，其他事业单位</w:t>
      </w:r>
      <w:r>
        <w:rPr>
          <w:rFonts w:hint="eastAsia" w:ascii="仿宋_GB2312" w:eastAsia="仿宋_GB2312" w:cs="Times New Roman"/>
          <w:color w:val="000000"/>
          <w:kern w:val="0"/>
          <w:sz w:val="32"/>
          <w:szCs w:val="32"/>
          <w:lang w:val="en-US" w:eastAsia="zh-CN" w:bidi="ar-SA"/>
        </w:rPr>
        <w:t>1；</w:t>
      </w:r>
      <w:r>
        <w:rPr>
          <w:rFonts w:hint="eastAsia" w:ascii="仿宋_GB2312" w:hAnsi="Calibri" w:eastAsia="仿宋_GB2312" w:cs="Times New Roman"/>
          <w:color w:val="000000"/>
          <w:kern w:val="0"/>
          <w:sz w:val="32"/>
          <w:szCs w:val="32"/>
          <w:lang w:val="en-US" w:eastAsia="zh-CN" w:bidi="ar-SA"/>
        </w:rPr>
        <w:t xml:space="preserve">总编制 12 名,其中:行政编制 7 名,，其他事业编制 5 名。在职人员总数 </w:t>
      </w:r>
      <w:r>
        <w:rPr>
          <w:rFonts w:hint="eastAsia" w:ascii="仿宋_GB2312" w:eastAsia="仿宋_GB2312" w:cs="Times New Roman"/>
          <w:color w:val="000000"/>
          <w:kern w:val="0"/>
          <w:sz w:val="32"/>
          <w:szCs w:val="32"/>
          <w:lang w:val="en-US" w:eastAsia="zh-CN" w:bidi="ar-SA"/>
        </w:rPr>
        <w:t>10</w:t>
      </w:r>
      <w:r>
        <w:rPr>
          <w:rFonts w:hint="eastAsia" w:ascii="仿宋_GB2312" w:hAnsi="Calibri" w:eastAsia="仿宋_GB2312" w:cs="Times New Roman"/>
          <w:color w:val="000000"/>
          <w:kern w:val="0"/>
          <w:sz w:val="32"/>
          <w:szCs w:val="32"/>
          <w:lang w:val="en-US" w:eastAsia="zh-CN" w:bidi="ar-SA"/>
        </w:rPr>
        <w:t xml:space="preserve"> 名，其中：行政人员</w:t>
      </w:r>
      <w:r>
        <w:rPr>
          <w:rFonts w:hint="eastAsia" w:ascii="仿宋_GB2312" w:eastAsia="仿宋_GB2312" w:cs="Times New Roman"/>
          <w:color w:val="000000"/>
          <w:kern w:val="0"/>
          <w:sz w:val="32"/>
          <w:szCs w:val="32"/>
          <w:lang w:val="en-US" w:eastAsia="zh-CN" w:bidi="ar-SA"/>
        </w:rPr>
        <w:t>6</w:t>
      </w:r>
      <w:r>
        <w:rPr>
          <w:rFonts w:hint="eastAsia" w:ascii="仿宋_GB2312" w:hAnsi="Calibri" w:eastAsia="仿宋_GB2312" w:cs="Times New Roman"/>
          <w:color w:val="000000"/>
          <w:kern w:val="0"/>
          <w:sz w:val="32"/>
          <w:szCs w:val="32"/>
          <w:lang w:val="en-US" w:eastAsia="zh-CN" w:bidi="ar-SA"/>
        </w:rPr>
        <w:t xml:space="preserve">名，其他事业人员 </w:t>
      </w:r>
      <w:r>
        <w:rPr>
          <w:rFonts w:hint="eastAsia" w:ascii="仿宋_GB2312" w:eastAsia="仿宋_GB2312" w:cs="Times New Roman"/>
          <w:color w:val="000000"/>
          <w:kern w:val="0"/>
          <w:sz w:val="32"/>
          <w:szCs w:val="32"/>
          <w:lang w:val="en-US" w:eastAsia="zh-CN" w:bidi="ar-SA"/>
        </w:rPr>
        <w:t>4</w:t>
      </w:r>
      <w:r>
        <w:rPr>
          <w:rFonts w:hint="eastAsia" w:ascii="仿宋_GB2312" w:hAnsi="Calibri" w:eastAsia="仿宋_GB2312" w:cs="Times New Roman"/>
          <w:color w:val="000000"/>
          <w:kern w:val="0"/>
          <w:sz w:val="32"/>
          <w:szCs w:val="32"/>
          <w:lang w:val="en-US" w:eastAsia="zh-CN" w:bidi="ar-SA"/>
        </w:rPr>
        <w:t xml:space="preserve"> 名。</w:t>
      </w:r>
      <w:r>
        <w:rPr>
          <w:rFonts w:hint="eastAsia" w:ascii="方正仿宋_GBK" w:hAnsi="方正仿宋_GBK" w:eastAsia="方正仿宋_GBK" w:cs="方正仿宋_GBK"/>
          <w:color w:val="000000"/>
          <w:kern w:val="0"/>
          <w:sz w:val="31"/>
          <w:szCs w:val="31"/>
        </w:rPr>
        <w:t>当年人员的变化情况为人员的调进调出。</w:t>
      </w:r>
    </w:p>
    <w:p w14:paraId="1EF3BD6B">
      <w:pPr>
        <w:shd w:val="clear" w:color="auto" w:fill="FFFFFF"/>
        <w:spacing w:line="576" w:lineRule="exact"/>
        <w:rPr>
          <w:rFonts w:hint="eastAsia" w:ascii="方正仿宋_GBK" w:hAnsi="方正仿宋_GBK" w:eastAsia="方正仿宋_GBK" w:cs="方正仿宋_GBK"/>
          <w:color w:val="000000"/>
          <w:kern w:val="0"/>
          <w:sz w:val="31"/>
          <w:szCs w:val="31"/>
          <w:lang w:val="en-US" w:eastAsia="zh-CN"/>
        </w:rPr>
      </w:pPr>
      <w:r>
        <w:rPr>
          <w:rFonts w:hint="eastAsia" w:ascii="方正仿宋_GBK" w:hAnsi="方正仿宋_GBK" w:eastAsia="方正仿宋_GBK" w:cs="方正仿宋_GBK"/>
          <w:color w:val="000000"/>
          <w:kern w:val="0"/>
          <w:sz w:val="31"/>
          <w:szCs w:val="31"/>
          <w:lang w:val="en-US" w:eastAsia="zh-CN"/>
        </w:rPr>
        <w:t xml:space="preserve"> </w:t>
      </w:r>
    </w:p>
    <w:p w14:paraId="052A41CD">
      <w:pPr>
        <w:pStyle w:val="2"/>
        <w:spacing w:before="0" w:after="0" w:line="576" w:lineRule="exact"/>
        <w:jc w:val="center"/>
        <w:rPr>
          <w:rStyle w:val="24"/>
          <w:rFonts w:ascii="微软雅黑" w:eastAsia="微软雅黑" w:cs="微软雅黑"/>
          <w:b w:val="0"/>
          <w:bCs/>
        </w:rPr>
      </w:pPr>
      <w:bookmarkStart w:id="16" w:name="_Toc15377204"/>
      <w:bookmarkStart w:id="17" w:name="_Toc15396602"/>
      <w:r>
        <w:rPr>
          <w:rFonts w:hint="eastAsia" w:ascii="微软雅黑" w:eastAsia="微软雅黑" w:cs="微软雅黑"/>
          <w:b w:val="0"/>
        </w:rPr>
        <w:t>第二部分202</w:t>
      </w:r>
      <w:r>
        <w:rPr>
          <w:rFonts w:hint="eastAsia" w:ascii="微软雅黑" w:eastAsia="微软雅黑" w:cs="微软雅黑"/>
          <w:b w:val="0"/>
          <w:lang w:val="en-US" w:eastAsia="zh-CN"/>
        </w:rPr>
        <w:t>5</w:t>
      </w:r>
      <w:r>
        <w:rPr>
          <w:rFonts w:hint="eastAsia" w:ascii="微软雅黑" w:eastAsia="微软雅黑" w:cs="微软雅黑"/>
          <w:b w:val="0"/>
        </w:rPr>
        <w:t>年度</w:t>
      </w:r>
      <w:r>
        <w:rPr>
          <w:rStyle w:val="24"/>
          <w:rFonts w:hint="eastAsia" w:ascii="微软雅黑" w:eastAsia="微软雅黑" w:cs="微软雅黑"/>
          <w:b w:val="0"/>
          <w:bCs/>
        </w:rPr>
        <w:t>单位决算情况说明</w:t>
      </w:r>
      <w:bookmarkEnd w:id="16"/>
      <w:bookmarkEnd w:id="17"/>
    </w:p>
    <w:p w14:paraId="0B38B20C"/>
    <w:p w14:paraId="0F0C6C31">
      <w:pPr>
        <w:pStyle w:val="30"/>
        <w:numPr>
          <w:ilvl w:val="0"/>
          <w:numId w:val="2"/>
        </w:numPr>
        <w:spacing w:line="576" w:lineRule="exact"/>
        <w:ind w:firstLineChars="0"/>
        <w:outlineLvl w:val="1"/>
        <w:rPr>
          <w:rStyle w:val="25"/>
          <w:rFonts w:ascii="黑体" w:eastAsia="黑体"/>
          <w:b w:val="0"/>
        </w:rPr>
      </w:pPr>
      <w:bookmarkStart w:id="18" w:name="_Toc15396603"/>
      <w:bookmarkStart w:id="19" w:name="_Toc15377205"/>
      <w:r>
        <w:rPr>
          <w:rFonts w:hint="eastAsia" w:ascii="黑体" w:eastAsia="黑体"/>
          <w:sz w:val="32"/>
          <w:szCs w:val="32"/>
        </w:rPr>
        <w:t>收</w:t>
      </w:r>
      <w:r>
        <w:rPr>
          <w:rStyle w:val="25"/>
          <w:rFonts w:hint="eastAsia" w:ascii="黑体" w:eastAsia="黑体"/>
          <w:b w:val="0"/>
        </w:rPr>
        <w:t>入支出决算总体情况说明</w:t>
      </w:r>
      <w:bookmarkEnd w:id="18"/>
      <w:bookmarkEnd w:id="19"/>
    </w:p>
    <w:p w14:paraId="76129D5D">
      <w:pPr>
        <w:spacing w:line="576" w:lineRule="exact"/>
        <w:ind w:firstLine="620" w:firstLineChars="200"/>
        <w:rPr>
          <w:rFonts w:hint="eastAsia" w:eastAsia="方正仿宋_GBK"/>
          <w:lang w:eastAsia="zh-CN"/>
        </w:rPr>
      </w:pP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年度收入总计</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万元，与202</w:t>
      </w:r>
      <w:r>
        <w:rPr>
          <w:rFonts w:hint="eastAsia" w:ascii="方正仿宋_GBK" w:hAnsi="方正仿宋_GBK" w:eastAsia="方正仿宋_GBK" w:cs="方正仿宋_GBK"/>
          <w:color w:val="000000"/>
          <w:kern w:val="0"/>
          <w:sz w:val="31"/>
          <w:szCs w:val="31"/>
          <w:lang w:val="en-US" w:eastAsia="zh-CN"/>
        </w:rPr>
        <w:t>4</w:t>
      </w:r>
      <w:r>
        <w:rPr>
          <w:rFonts w:hint="eastAsia" w:ascii="方正仿宋_GBK" w:hAnsi="方正仿宋_GBK" w:eastAsia="方正仿宋_GBK" w:cs="方正仿宋_GBK"/>
          <w:color w:val="000000"/>
          <w:kern w:val="0"/>
          <w:sz w:val="31"/>
          <w:szCs w:val="31"/>
        </w:rPr>
        <w:t>年相比，收入</w:t>
      </w:r>
      <w:r>
        <w:rPr>
          <w:rFonts w:hint="eastAsia" w:ascii="方正仿宋_GBK" w:hAnsi="方正仿宋_GBK" w:eastAsia="方正仿宋_GBK" w:cs="方正仿宋_GBK"/>
          <w:color w:val="000000"/>
          <w:kern w:val="0"/>
          <w:sz w:val="31"/>
          <w:szCs w:val="31"/>
          <w:lang w:val="en-US" w:eastAsia="zh-CN"/>
        </w:rPr>
        <w:t>增加579.52</w:t>
      </w:r>
      <w:r>
        <w:rPr>
          <w:rFonts w:hint="eastAsia" w:ascii="方正仿宋_GBK" w:hAnsi="方正仿宋_GBK" w:eastAsia="方正仿宋_GBK" w:cs="方正仿宋_GBK"/>
          <w:color w:val="000000"/>
          <w:kern w:val="0"/>
          <w:sz w:val="31"/>
          <w:szCs w:val="31"/>
        </w:rPr>
        <w:t>万元，</w:t>
      </w:r>
      <w:r>
        <w:rPr>
          <w:rFonts w:hint="eastAsia" w:ascii="方正仿宋_GBK" w:hAnsi="方正仿宋_GBK" w:eastAsia="方正仿宋_GBK" w:cs="方正仿宋_GBK"/>
          <w:color w:val="000000"/>
          <w:kern w:val="0"/>
          <w:sz w:val="31"/>
          <w:szCs w:val="31"/>
          <w:lang w:val="en-US" w:eastAsia="zh-CN"/>
        </w:rPr>
        <w:t>上升100</w:t>
      </w: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年度支出总计</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万元，与202</w:t>
      </w:r>
      <w:r>
        <w:rPr>
          <w:rFonts w:hint="eastAsia" w:ascii="方正仿宋_GBK" w:hAnsi="方正仿宋_GBK" w:eastAsia="方正仿宋_GBK" w:cs="方正仿宋_GBK"/>
          <w:color w:val="000000"/>
          <w:kern w:val="0"/>
          <w:sz w:val="31"/>
          <w:szCs w:val="31"/>
          <w:lang w:val="en-US" w:eastAsia="zh-CN"/>
        </w:rPr>
        <w:t>4</w:t>
      </w:r>
      <w:r>
        <w:rPr>
          <w:rFonts w:hint="eastAsia" w:ascii="方正仿宋_GBK" w:hAnsi="方正仿宋_GBK" w:eastAsia="方正仿宋_GBK" w:cs="方正仿宋_GBK"/>
          <w:color w:val="000000"/>
          <w:kern w:val="0"/>
          <w:sz w:val="31"/>
          <w:szCs w:val="31"/>
        </w:rPr>
        <w:t>年相比，支出</w:t>
      </w:r>
      <w:r>
        <w:rPr>
          <w:rFonts w:hint="eastAsia" w:ascii="方正仿宋_GBK" w:hAnsi="方正仿宋_GBK" w:eastAsia="方正仿宋_GBK" w:cs="方正仿宋_GBK"/>
          <w:color w:val="000000"/>
          <w:kern w:val="0"/>
          <w:sz w:val="31"/>
          <w:szCs w:val="31"/>
          <w:lang w:val="en-US" w:eastAsia="zh-CN"/>
        </w:rPr>
        <w:t>增加579.52</w:t>
      </w:r>
      <w:r>
        <w:rPr>
          <w:rFonts w:hint="eastAsia" w:ascii="方正仿宋_GBK" w:hAnsi="方正仿宋_GBK" w:eastAsia="方正仿宋_GBK" w:cs="方正仿宋_GBK"/>
          <w:color w:val="000000"/>
          <w:kern w:val="0"/>
          <w:sz w:val="31"/>
          <w:szCs w:val="31"/>
        </w:rPr>
        <w:t>万元，</w:t>
      </w:r>
      <w:r>
        <w:rPr>
          <w:rFonts w:hint="eastAsia" w:ascii="方正仿宋_GBK" w:hAnsi="方正仿宋_GBK" w:eastAsia="方正仿宋_GBK" w:cs="方正仿宋_GBK"/>
          <w:color w:val="000000"/>
          <w:kern w:val="0"/>
          <w:sz w:val="31"/>
          <w:szCs w:val="31"/>
          <w:lang w:val="en-US" w:eastAsia="zh-CN"/>
        </w:rPr>
        <w:t>上升100</w:t>
      </w:r>
      <w:r>
        <w:rPr>
          <w:rFonts w:hint="eastAsia" w:ascii="方正仿宋_GBK" w:hAnsi="方正仿宋_GBK" w:eastAsia="方正仿宋_GBK" w:cs="方正仿宋_GBK"/>
          <w:color w:val="000000"/>
          <w:kern w:val="0"/>
          <w:sz w:val="31"/>
          <w:szCs w:val="31"/>
        </w:rPr>
        <w:t>%，主要变动原因</w:t>
      </w:r>
      <w:r>
        <w:rPr>
          <w:rFonts w:hint="eastAsia" w:ascii="方正仿宋_GBK" w:hAnsi="方正仿宋_GBK" w:eastAsia="方正仿宋_GBK" w:cs="方正仿宋_GBK"/>
          <w:color w:val="000000"/>
          <w:kern w:val="0"/>
          <w:sz w:val="31"/>
          <w:szCs w:val="31"/>
          <w:lang w:val="en-US" w:eastAsia="zh-CN"/>
        </w:rPr>
        <w:t>为</w:t>
      </w:r>
      <w:r>
        <w:rPr>
          <w:rFonts w:hint="eastAsia" w:ascii="方正仿宋_GBK" w:hAnsi="方正仿宋_GBK" w:eastAsia="方正仿宋_GBK" w:cs="方正仿宋_GBK"/>
          <w:color w:val="000000"/>
          <w:kern w:val="0"/>
          <w:sz w:val="31"/>
          <w:szCs w:val="31"/>
        </w:rPr>
        <w:t>2024年度</w:t>
      </w:r>
      <w:r>
        <w:rPr>
          <w:rFonts w:hint="eastAsia" w:ascii="方正仿宋_GBK" w:hAnsi="方正仿宋_GBK" w:eastAsia="方正仿宋_GBK" w:cs="方正仿宋_GBK"/>
          <w:color w:val="000000"/>
          <w:kern w:val="0"/>
          <w:sz w:val="31"/>
          <w:szCs w:val="31"/>
          <w:lang w:val="en-US" w:eastAsia="zh-CN"/>
        </w:rPr>
        <w:t>我部为新成立单位，2024年无预算，2025年1月纳入预算单位</w:t>
      </w:r>
      <w:r>
        <w:rPr>
          <w:rFonts w:hint="eastAsia" w:ascii="方正仿宋_GBK" w:hAnsi="方正仿宋_GBK" w:eastAsia="方正仿宋_GBK" w:cs="方正仿宋_GBK"/>
          <w:color w:val="000000"/>
          <w:kern w:val="0"/>
          <w:sz w:val="31"/>
          <w:szCs w:val="31"/>
          <w:lang w:eastAsia="zh-CN"/>
        </w:rPr>
        <w:t>。</w:t>
      </w:r>
    </w:p>
    <w:p w14:paraId="17CDC369">
      <w:pPr>
        <w:ind w:firstLine="640" w:firstLineChars="200"/>
        <w:jc w:val="left"/>
        <w:rPr>
          <w:rFonts w:ascii="仿宋_GB2312" w:eastAsia="仿宋_GB2312" w:cs="仿宋_GB2312"/>
          <w:sz w:val="32"/>
          <w:szCs w:val="32"/>
        </w:rPr>
      </w:pPr>
      <w:r>
        <w:rPr>
          <w:rFonts w:hint="eastAsia" w:ascii="楷体" w:hAnsi="楷体" w:eastAsia="楷体" w:cs="Times New Roman"/>
          <w:kern w:val="2"/>
          <w:sz w:val="32"/>
          <w:szCs w:val="32"/>
          <w:lang w:val="en-US" w:eastAsia="zh-CN" w:bidi="ar-SA"/>
        </w:rPr>
        <w:object>
          <v:shape id="_x0000_i1025" o:spt="75" type="#_x0000_t75" style="height:222.75pt;width:342pt;" o:ole="t" filled="f" o:preferrelative="t" stroked="f" coordsize="21600,21600">
            <v:path/>
            <v:fill on="f" focussize="0,0"/>
            <v:stroke on="f"/>
            <v:imagedata r:id="rId8" o:title=""/>
            <o:lock v:ext="edit" aspectratio="t"/>
            <w10:wrap type="none"/>
            <w10:anchorlock/>
          </v:shape>
          <o:OLEObject Type="Embed" ProgID="Excel.Chart.8" ShapeID="_x0000_i1025" DrawAspect="Content" ObjectID="_1468075725" r:id="rId7">
            <o:LockedField>false</o:LockedField>
          </o:OLEObject>
        </w:object>
      </w:r>
    </w:p>
    <w:p w14:paraId="23CD3834">
      <w:pPr>
        <w:spacing w:line="576" w:lineRule="exact"/>
        <w:jc w:val="center"/>
        <w:rPr>
          <w:rFonts w:hint="eastAsia"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（图1：收、支决算总计变动情况图）</w:t>
      </w:r>
    </w:p>
    <w:p w14:paraId="533F165E">
      <w:pPr>
        <w:pStyle w:val="22"/>
        <w:rPr>
          <w:rFonts w:hint="eastAsia"/>
        </w:rPr>
      </w:pPr>
    </w:p>
    <w:p w14:paraId="74E5E5B2">
      <w:pPr>
        <w:pStyle w:val="30"/>
        <w:numPr>
          <w:ilvl w:val="0"/>
          <w:numId w:val="2"/>
        </w:numPr>
        <w:spacing w:line="576" w:lineRule="exact"/>
        <w:ind w:firstLineChars="0"/>
        <w:outlineLvl w:val="1"/>
        <w:rPr>
          <w:rStyle w:val="25"/>
          <w:rFonts w:ascii="黑体" w:eastAsia="黑体"/>
          <w:b w:val="0"/>
        </w:rPr>
      </w:pPr>
      <w:bookmarkStart w:id="20" w:name="_Toc15377206"/>
      <w:bookmarkStart w:id="21" w:name="_Toc15396604"/>
      <w:r>
        <w:rPr>
          <w:rFonts w:hint="eastAsia" w:ascii="黑体" w:eastAsia="黑体"/>
          <w:sz w:val="32"/>
          <w:szCs w:val="32"/>
        </w:rPr>
        <w:t>收</w:t>
      </w:r>
      <w:r>
        <w:rPr>
          <w:rStyle w:val="25"/>
          <w:rFonts w:hint="eastAsia" w:ascii="黑体" w:eastAsia="黑体"/>
          <w:b w:val="0"/>
        </w:rPr>
        <w:t>入决算情况说明</w:t>
      </w:r>
      <w:bookmarkEnd w:id="20"/>
      <w:bookmarkEnd w:id="21"/>
    </w:p>
    <w:p w14:paraId="536EDE3D">
      <w:pPr>
        <w:spacing w:line="576" w:lineRule="exact"/>
        <w:ind w:firstLine="620" w:firstLineChars="200"/>
        <w:rPr>
          <w:rFonts w:cs="仿宋_GB2312"/>
          <w:sz w:val="32"/>
          <w:szCs w:val="32"/>
        </w:rPr>
      </w:pP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年本年收入合计</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万元，其中：一般公共预算财政拨款收入</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占100%；政府性基金预算财政拨款收入0万元，占0%；国有资本经营预算财政拨款收入0万元，占0%；上级补助收入0万元，占0%；事业收入0万元，占0%；经营收入0万元，占0%；附属单位上缴收入0万元，占0%；其他收入0万元，占0%。</w:t>
      </w:r>
    </w:p>
    <w:p w14:paraId="546776CE">
      <w:pPr>
        <w:spacing w:line="576" w:lineRule="exact"/>
        <w:jc w:val="both"/>
        <w:rPr>
          <w:rFonts w:hint="eastAsia" w:ascii="方正仿宋_GBK" w:hAnsi="方正仿宋_GBK" w:eastAsia="方正仿宋_GBK" w:cs="方正仿宋_GBK"/>
          <w:color w:val="000000"/>
          <w:kern w:val="0"/>
          <w:sz w:val="31"/>
          <w:szCs w:val="31"/>
        </w:rPr>
      </w:pPr>
      <w:r>
        <w:rPr>
          <w:rFonts w:ascii="Times New Roman" w:hAnsi="Times New Roman" w:eastAsia="宋体" w:cs="Times New Roman"/>
          <w:kern w:val="2"/>
          <w:sz w:val="21"/>
          <w:szCs w:val="24"/>
          <w:lang w:val="en-US" w:eastAsia="zh-CN" w:bidi="ar-SA"/>
        </w:rPr>
        <w:pict>
          <v:shape id="_x0000_s1028" o:spid="_x0000_s1028" o:spt="75" type="#_x0000_t75" style="position:absolute;left:0pt;margin-left:5.6pt;margin-top:5.2pt;height:222.8pt;width:372.9pt;mso-wrap-distance-bottom:0pt;mso-wrap-distance-left:9pt;mso-wrap-distance-right:9pt;mso-wrap-distance-top:0pt;z-index:251659264;mso-width-relative:page;mso-height-relative:page;" o:ole="t" filled="f" o:preferrelative="t" stroked="f" coordsize="21600,21600">
            <v:path/>
            <v:fill on="f" focussize="0,0"/>
            <v:stroke on="f"/>
            <v:imagedata r:id="rId10" o:title=""/>
            <o:lock v:ext="edit" aspectratio="t"/>
            <w10:wrap type="square"/>
          </v:shape>
          <o:OLEObject Type="Embed" ProgID="Excel.Chart.8" ShapeID="_x0000_s1028" DrawAspect="Content" ObjectID="_1468075726" r:id="rId9">
            <o:LockedField>false</o:LockedField>
          </o:OLEObject>
        </w:pict>
      </w:r>
    </w:p>
    <w:p w14:paraId="24389D1C">
      <w:pPr>
        <w:spacing w:line="576" w:lineRule="exact"/>
        <w:jc w:val="both"/>
        <w:rPr>
          <w:rFonts w:hint="eastAsia" w:ascii="方正仿宋_GBK" w:hAnsi="方正仿宋_GBK" w:eastAsia="方正仿宋_GBK" w:cs="方正仿宋_GBK"/>
          <w:color w:val="000000"/>
          <w:kern w:val="0"/>
          <w:sz w:val="31"/>
          <w:szCs w:val="31"/>
        </w:rPr>
      </w:pPr>
    </w:p>
    <w:p w14:paraId="529A8210">
      <w:pPr>
        <w:pStyle w:val="22"/>
        <w:rPr>
          <w:rFonts w:hint="eastAsia"/>
        </w:rPr>
      </w:pPr>
    </w:p>
    <w:p w14:paraId="5D253E59">
      <w:pPr>
        <w:spacing w:line="576" w:lineRule="exact"/>
        <w:jc w:val="center"/>
        <w:rPr>
          <w:rFonts w:hint="eastAsia" w:ascii="方正仿宋_GBK" w:hAnsi="方正仿宋_GBK" w:eastAsia="方正仿宋_GBK" w:cs="方正仿宋_GBK"/>
          <w:color w:val="000000"/>
          <w:kern w:val="0"/>
          <w:sz w:val="31"/>
          <w:szCs w:val="31"/>
        </w:rPr>
      </w:pPr>
    </w:p>
    <w:p w14:paraId="5BF66A6A">
      <w:pPr>
        <w:spacing w:line="576" w:lineRule="exact"/>
        <w:jc w:val="center"/>
        <w:rPr>
          <w:rFonts w:hint="eastAsia" w:ascii="方正仿宋_GBK" w:hAnsi="方正仿宋_GBK" w:eastAsia="方正仿宋_GBK" w:cs="方正仿宋_GBK"/>
          <w:color w:val="000000"/>
          <w:kern w:val="0"/>
          <w:sz w:val="31"/>
          <w:szCs w:val="31"/>
        </w:rPr>
      </w:pPr>
    </w:p>
    <w:p w14:paraId="79358B15">
      <w:pPr>
        <w:spacing w:line="576" w:lineRule="exact"/>
        <w:jc w:val="center"/>
        <w:rPr>
          <w:rFonts w:hint="eastAsia" w:ascii="方正仿宋_GBK" w:hAnsi="方正仿宋_GBK" w:eastAsia="方正仿宋_GBK" w:cs="方正仿宋_GBK"/>
          <w:color w:val="000000"/>
          <w:kern w:val="0"/>
          <w:sz w:val="31"/>
          <w:szCs w:val="31"/>
        </w:rPr>
      </w:pPr>
    </w:p>
    <w:p w14:paraId="784ECF52">
      <w:pPr>
        <w:spacing w:line="576" w:lineRule="exact"/>
        <w:jc w:val="both"/>
        <w:rPr>
          <w:rFonts w:hint="eastAsia" w:ascii="方正仿宋_GBK" w:hAnsi="方正仿宋_GBK" w:eastAsia="方正仿宋_GBK" w:cs="方正仿宋_GBK"/>
          <w:color w:val="000000"/>
          <w:kern w:val="0"/>
          <w:sz w:val="31"/>
          <w:szCs w:val="31"/>
        </w:rPr>
      </w:pPr>
    </w:p>
    <w:p w14:paraId="1C6843BF">
      <w:pPr>
        <w:spacing w:line="576" w:lineRule="exact"/>
        <w:jc w:val="both"/>
        <w:rPr>
          <w:rFonts w:hint="eastAsia" w:ascii="方正仿宋_GBK" w:hAnsi="方正仿宋_GBK" w:eastAsia="方正仿宋_GBK" w:cs="方正仿宋_GBK"/>
          <w:color w:val="000000"/>
          <w:kern w:val="0"/>
          <w:sz w:val="31"/>
          <w:szCs w:val="31"/>
        </w:rPr>
      </w:pPr>
    </w:p>
    <w:p w14:paraId="096C3A43">
      <w:pPr>
        <w:spacing w:line="576" w:lineRule="exact"/>
        <w:jc w:val="both"/>
        <w:rPr>
          <w:rFonts w:hint="eastAsia" w:ascii="方正仿宋_GBK" w:hAnsi="方正仿宋_GBK" w:eastAsia="方正仿宋_GBK" w:cs="方正仿宋_GBK"/>
          <w:color w:val="000000"/>
          <w:kern w:val="0"/>
          <w:sz w:val="31"/>
          <w:szCs w:val="31"/>
        </w:rPr>
      </w:pPr>
    </w:p>
    <w:p w14:paraId="6D05E6C5">
      <w:pPr>
        <w:spacing w:line="576" w:lineRule="exact"/>
        <w:jc w:val="center"/>
        <w:rPr>
          <w:rFonts w:hint="eastAsia"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（图2：收入决算结构图）</w:t>
      </w:r>
    </w:p>
    <w:p w14:paraId="06C61F4E">
      <w:pPr>
        <w:pStyle w:val="22"/>
        <w:rPr>
          <w:rFonts w:hint="eastAsia"/>
        </w:rPr>
      </w:pPr>
    </w:p>
    <w:p w14:paraId="7F9ABB98">
      <w:pPr>
        <w:pStyle w:val="30"/>
        <w:numPr>
          <w:ilvl w:val="0"/>
          <w:numId w:val="2"/>
        </w:numPr>
        <w:spacing w:line="576" w:lineRule="exact"/>
        <w:ind w:firstLineChars="0"/>
        <w:outlineLvl w:val="1"/>
        <w:rPr>
          <w:rStyle w:val="25"/>
          <w:rFonts w:ascii="黑体" w:eastAsia="黑体"/>
          <w:b w:val="0"/>
        </w:rPr>
      </w:pPr>
      <w:bookmarkStart w:id="22" w:name="_Toc15377207"/>
      <w:bookmarkStart w:id="23" w:name="_Toc15396605"/>
      <w:r>
        <w:rPr>
          <w:rFonts w:hint="eastAsia" w:ascii="黑体" w:eastAsia="黑体"/>
          <w:sz w:val="32"/>
          <w:szCs w:val="32"/>
        </w:rPr>
        <w:t>支</w:t>
      </w:r>
      <w:r>
        <w:rPr>
          <w:rStyle w:val="25"/>
          <w:rFonts w:hint="eastAsia" w:ascii="黑体" w:eastAsia="黑体"/>
          <w:b w:val="0"/>
        </w:rPr>
        <w:t>出决算情况说明</w:t>
      </w:r>
      <w:bookmarkEnd w:id="22"/>
      <w:bookmarkEnd w:id="23"/>
    </w:p>
    <w:p w14:paraId="76E025BD">
      <w:pPr>
        <w:spacing w:line="576" w:lineRule="exact"/>
        <w:ind w:firstLine="620" w:firstLineChars="200"/>
        <w:outlineLvl w:val="1"/>
        <w:rPr>
          <w:rFonts w:ascii="仿宋_GB2312" w:eastAsia="仿宋_GB2312" w:cs="仿宋_GB2312"/>
          <w:sz w:val="32"/>
          <w:szCs w:val="32"/>
        </w:rPr>
      </w:pP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年本年支出合计</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万元，其中：基本支出</w:t>
      </w:r>
      <w:r>
        <w:rPr>
          <w:rFonts w:hint="eastAsia" w:ascii="方正仿宋_GBK" w:hAnsi="方正仿宋_GBK" w:eastAsia="方正仿宋_GBK" w:cs="方正仿宋_GBK"/>
          <w:color w:val="000000"/>
          <w:kern w:val="0"/>
          <w:sz w:val="31"/>
          <w:szCs w:val="31"/>
          <w:lang w:val="en-US" w:eastAsia="zh-CN"/>
        </w:rPr>
        <w:t>565.86</w:t>
      </w:r>
      <w:r>
        <w:rPr>
          <w:rFonts w:hint="eastAsia" w:ascii="方正仿宋_GBK" w:hAnsi="方正仿宋_GBK" w:eastAsia="方正仿宋_GBK" w:cs="方正仿宋_GBK"/>
          <w:color w:val="000000"/>
          <w:kern w:val="0"/>
          <w:sz w:val="31"/>
          <w:szCs w:val="31"/>
        </w:rPr>
        <w:t>万元，占</w:t>
      </w:r>
      <w:r>
        <w:rPr>
          <w:rFonts w:hint="eastAsia" w:ascii="方正仿宋_GBK" w:hAnsi="方正仿宋_GBK" w:eastAsia="方正仿宋_GBK" w:cs="方正仿宋_GBK"/>
          <w:color w:val="000000"/>
          <w:kern w:val="0"/>
          <w:sz w:val="31"/>
          <w:szCs w:val="31"/>
          <w:lang w:val="en-US" w:eastAsia="zh-CN"/>
        </w:rPr>
        <w:t>97.64</w:t>
      </w:r>
      <w:r>
        <w:rPr>
          <w:rFonts w:hint="eastAsia" w:ascii="方正仿宋_GBK" w:hAnsi="方正仿宋_GBK" w:eastAsia="方正仿宋_GBK" w:cs="方正仿宋_GBK"/>
          <w:color w:val="000000"/>
          <w:kern w:val="0"/>
          <w:sz w:val="31"/>
          <w:szCs w:val="31"/>
        </w:rPr>
        <w:t>%；项目支出</w:t>
      </w:r>
      <w:r>
        <w:rPr>
          <w:rFonts w:hint="eastAsia" w:ascii="方正仿宋_GBK" w:hAnsi="方正仿宋_GBK" w:eastAsia="方正仿宋_GBK" w:cs="方正仿宋_GBK"/>
          <w:color w:val="000000"/>
          <w:kern w:val="0"/>
          <w:sz w:val="31"/>
          <w:szCs w:val="31"/>
          <w:lang w:val="en-US" w:eastAsia="zh-CN"/>
        </w:rPr>
        <w:t>13.66</w:t>
      </w:r>
      <w:r>
        <w:rPr>
          <w:rFonts w:hint="eastAsia" w:ascii="方正仿宋_GBK" w:hAnsi="方正仿宋_GBK" w:eastAsia="方正仿宋_GBK" w:cs="方正仿宋_GBK"/>
          <w:color w:val="000000"/>
          <w:kern w:val="0"/>
          <w:sz w:val="31"/>
          <w:szCs w:val="31"/>
        </w:rPr>
        <w:t>万元，占</w:t>
      </w:r>
      <w:r>
        <w:rPr>
          <w:rFonts w:hint="eastAsia" w:ascii="方正仿宋_GBK" w:hAnsi="方正仿宋_GBK" w:eastAsia="方正仿宋_GBK" w:cs="方正仿宋_GBK"/>
          <w:color w:val="000000"/>
          <w:kern w:val="0"/>
          <w:sz w:val="31"/>
          <w:szCs w:val="31"/>
          <w:lang w:val="en-US" w:eastAsia="zh-CN"/>
        </w:rPr>
        <w:t>2.36</w:t>
      </w:r>
      <w:r>
        <w:rPr>
          <w:rFonts w:hint="eastAsia" w:ascii="方正仿宋_GBK" w:hAnsi="方正仿宋_GBK" w:eastAsia="方正仿宋_GBK" w:cs="方正仿宋_GBK"/>
          <w:color w:val="000000"/>
          <w:kern w:val="0"/>
          <w:sz w:val="31"/>
          <w:szCs w:val="31"/>
        </w:rPr>
        <w:t xml:space="preserve">%；上缴上级支出0万元，占0%；经营支出0万元，占0%；对附属单位补助支出0万元，占0%。 </w:t>
      </w:r>
    </w:p>
    <w:p w14:paraId="2A66603D">
      <w:pPr>
        <w:pStyle w:val="5"/>
        <w:spacing w:before="93"/>
        <w:jc w:val="center"/>
        <w:rPr>
          <w:rFonts w:ascii="黑体" w:eastAsia="黑体"/>
          <w:sz w:val="32"/>
          <w:szCs w:val="32"/>
        </w:rPr>
      </w:pPr>
      <w:r>
        <w:rPr>
          <w:rFonts w:ascii="Times New Roman" w:hAnsi="Times New Roman" w:eastAsia="宋体" w:cs="Times New Roman"/>
          <w:kern w:val="2"/>
          <w:sz w:val="21"/>
          <w:szCs w:val="24"/>
          <w:lang w:val="en-US" w:eastAsia="zh-CN" w:bidi="ar-SA"/>
        </w:rPr>
        <w:object>
          <v:shape id="_x0000_i1026" o:spt="75" type="#_x0000_t75" style="height:216.05pt;width:419.7pt;" o:ole="t" filled="f" o:preferrelative="t" stroked="f" coordsize="21600,21600">
            <v:path/>
            <v:fill on="f" focussize="0,0"/>
            <v:stroke on="f"/>
            <v:imagedata r:id="rId12" o:title=""/>
            <o:lock v:ext="edit" aspectratio="t"/>
            <w10:wrap type="none"/>
            <w10:anchorlock/>
          </v:shape>
          <o:OLEObject Type="Embed" ProgID="Excel.Chart.8" ShapeID="_x0000_i1026" DrawAspect="Content" ObjectID="_1468075727" r:id="rId11">
            <o:LockedField>false</o:LockedField>
          </o:OLEObject>
        </w:object>
      </w:r>
      <w:r>
        <w:rPr>
          <w:rFonts w:hint="eastAsia" w:ascii="方正仿宋_GBK" w:hAnsi="方正仿宋_GBK" w:eastAsia="方正仿宋_GBK" w:cs="方正仿宋_GBK"/>
          <w:color w:val="000000"/>
          <w:kern w:val="0"/>
          <w:sz w:val="31"/>
          <w:szCs w:val="31"/>
        </w:rPr>
        <w:t>（图3：支出决算结构图）</w:t>
      </w:r>
      <w:bookmarkStart w:id="24" w:name="_Toc15377208"/>
      <w:bookmarkStart w:id="25" w:name="_Toc15396606"/>
    </w:p>
    <w:p w14:paraId="5D1E862E">
      <w:pPr>
        <w:spacing w:line="576" w:lineRule="exact"/>
        <w:ind w:firstLine="640" w:firstLineChars="200"/>
        <w:outlineLvl w:val="1"/>
        <w:rPr>
          <w:rStyle w:val="25"/>
          <w:rFonts w:ascii="黑体" w:eastAsia="黑体"/>
          <w:b w:val="0"/>
        </w:rPr>
      </w:pPr>
      <w:r>
        <w:rPr>
          <w:rFonts w:hint="eastAsia" w:ascii="黑体" w:eastAsia="黑体"/>
          <w:sz w:val="32"/>
          <w:szCs w:val="32"/>
        </w:rPr>
        <w:t>四、财</w:t>
      </w:r>
      <w:r>
        <w:rPr>
          <w:rStyle w:val="25"/>
          <w:rFonts w:hint="eastAsia" w:ascii="黑体" w:eastAsia="黑体"/>
          <w:b w:val="0"/>
        </w:rPr>
        <w:t>政拨款收入支出决算总体情况说明</w:t>
      </w:r>
      <w:bookmarkEnd w:id="24"/>
      <w:bookmarkEnd w:id="25"/>
    </w:p>
    <w:p w14:paraId="7D052C58">
      <w:pPr>
        <w:spacing w:line="576" w:lineRule="exact"/>
        <w:ind w:firstLine="620" w:firstLineChars="200"/>
        <w:rPr>
          <w:rFonts w:ascii="仿宋_GB2312" w:eastAsia="仿宋_GB2312" w:cs="仿宋_GB2312"/>
          <w:sz w:val="32"/>
          <w:szCs w:val="32"/>
        </w:rPr>
      </w:pP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年财政拨款收入总计</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万元，与202</w:t>
      </w:r>
      <w:r>
        <w:rPr>
          <w:rFonts w:hint="eastAsia" w:ascii="方正仿宋_GBK" w:hAnsi="方正仿宋_GBK" w:eastAsia="方正仿宋_GBK" w:cs="方正仿宋_GBK"/>
          <w:color w:val="000000"/>
          <w:kern w:val="0"/>
          <w:sz w:val="31"/>
          <w:szCs w:val="31"/>
          <w:lang w:val="en-US" w:eastAsia="zh-CN"/>
        </w:rPr>
        <w:t>4</w:t>
      </w:r>
      <w:r>
        <w:rPr>
          <w:rFonts w:hint="eastAsia" w:ascii="方正仿宋_GBK" w:hAnsi="方正仿宋_GBK" w:eastAsia="方正仿宋_GBK" w:cs="方正仿宋_GBK"/>
          <w:color w:val="000000"/>
          <w:kern w:val="0"/>
          <w:sz w:val="31"/>
          <w:szCs w:val="31"/>
        </w:rPr>
        <w:t>年相比，收入</w:t>
      </w:r>
      <w:r>
        <w:rPr>
          <w:rFonts w:hint="eastAsia" w:ascii="方正仿宋_GBK" w:hAnsi="方正仿宋_GBK" w:eastAsia="方正仿宋_GBK" w:cs="方正仿宋_GBK"/>
          <w:color w:val="000000"/>
          <w:kern w:val="0"/>
          <w:sz w:val="31"/>
          <w:szCs w:val="31"/>
          <w:lang w:val="en-US" w:eastAsia="zh-CN"/>
        </w:rPr>
        <w:t>增加579.52</w:t>
      </w:r>
      <w:r>
        <w:rPr>
          <w:rFonts w:hint="eastAsia" w:ascii="方正仿宋_GBK" w:hAnsi="方正仿宋_GBK" w:eastAsia="方正仿宋_GBK" w:cs="方正仿宋_GBK"/>
          <w:color w:val="000000"/>
          <w:kern w:val="0"/>
          <w:sz w:val="31"/>
          <w:szCs w:val="31"/>
        </w:rPr>
        <w:t>万元，</w:t>
      </w:r>
      <w:r>
        <w:rPr>
          <w:rFonts w:hint="eastAsia" w:ascii="方正仿宋_GBK" w:hAnsi="方正仿宋_GBK" w:eastAsia="方正仿宋_GBK" w:cs="方正仿宋_GBK"/>
          <w:color w:val="000000"/>
          <w:kern w:val="0"/>
          <w:sz w:val="31"/>
          <w:szCs w:val="31"/>
          <w:lang w:val="en-US" w:eastAsia="zh-CN"/>
        </w:rPr>
        <w:t>上升100</w:t>
      </w: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年财政拨款支出总计</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万元，与202</w:t>
      </w:r>
      <w:r>
        <w:rPr>
          <w:rFonts w:hint="eastAsia" w:ascii="方正仿宋_GBK" w:hAnsi="方正仿宋_GBK" w:eastAsia="方正仿宋_GBK" w:cs="方正仿宋_GBK"/>
          <w:color w:val="000000"/>
          <w:kern w:val="0"/>
          <w:sz w:val="31"/>
          <w:szCs w:val="31"/>
          <w:lang w:val="en-US" w:eastAsia="zh-CN"/>
        </w:rPr>
        <w:t>4</w:t>
      </w:r>
      <w:r>
        <w:rPr>
          <w:rFonts w:hint="eastAsia" w:ascii="方正仿宋_GBK" w:hAnsi="方正仿宋_GBK" w:eastAsia="方正仿宋_GBK" w:cs="方正仿宋_GBK"/>
          <w:color w:val="000000"/>
          <w:kern w:val="0"/>
          <w:sz w:val="31"/>
          <w:szCs w:val="31"/>
        </w:rPr>
        <w:t>年相比，收入</w:t>
      </w:r>
      <w:r>
        <w:rPr>
          <w:rFonts w:hint="eastAsia" w:ascii="方正仿宋_GBK" w:hAnsi="方正仿宋_GBK" w:eastAsia="方正仿宋_GBK" w:cs="方正仿宋_GBK"/>
          <w:color w:val="000000"/>
          <w:kern w:val="0"/>
          <w:sz w:val="31"/>
          <w:szCs w:val="31"/>
          <w:lang w:val="en-US" w:eastAsia="zh-CN"/>
        </w:rPr>
        <w:t>增加579.52</w:t>
      </w:r>
      <w:r>
        <w:rPr>
          <w:rFonts w:hint="eastAsia" w:ascii="方正仿宋_GBK" w:hAnsi="方正仿宋_GBK" w:eastAsia="方正仿宋_GBK" w:cs="方正仿宋_GBK"/>
          <w:color w:val="000000"/>
          <w:kern w:val="0"/>
          <w:sz w:val="31"/>
          <w:szCs w:val="31"/>
        </w:rPr>
        <w:t>万元，</w:t>
      </w:r>
      <w:r>
        <w:rPr>
          <w:rFonts w:hint="eastAsia" w:ascii="方正仿宋_GBK" w:hAnsi="方正仿宋_GBK" w:eastAsia="方正仿宋_GBK" w:cs="方正仿宋_GBK"/>
          <w:color w:val="000000"/>
          <w:kern w:val="0"/>
          <w:sz w:val="31"/>
          <w:szCs w:val="31"/>
          <w:lang w:val="en-US" w:eastAsia="zh-CN"/>
        </w:rPr>
        <w:t>上升100</w:t>
      </w:r>
      <w:r>
        <w:rPr>
          <w:rFonts w:hint="eastAsia" w:ascii="方正仿宋_GBK" w:hAnsi="方正仿宋_GBK" w:eastAsia="方正仿宋_GBK" w:cs="方正仿宋_GBK"/>
          <w:color w:val="000000"/>
          <w:kern w:val="0"/>
          <w:sz w:val="31"/>
          <w:szCs w:val="31"/>
        </w:rPr>
        <w:t>%。主要变动原因</w:t>
      </w:r>
      <w:r>
        <w:rPr>
          <w:rFonts w:hint="eastAsia" w:ascii="方正仿宋_GBK" w:hAnsi="方正仿宋_GBK" w:eastAsia="方正仿宋_GBK" w:cs="方正仿宋_GBK"/>
          <w:color w:val="000000"/>
          <w:kern w:val="0"/>
          <w:sz w:val="31"/>
          <w:szCs w:val="31"/>
          <w:lang w:val="en-US" w:eastAsia="zh-CN"/>
        </w:rPr>
        <w:t>为</w:t>
      </w:r>
      <w:r>
        <w:rPr>
          <w:rFonts w:hint="eastAsia" w:ascii="方正仿宋_GBK" w:hAnsi="方正仿宋_GBK" w:eastAsia="方正仿宋_GBK" w:cs="方正仿宋_GBK"/>
          <w:color w:val="000000"/>
          <w:kern w:val="0"/>
          <w:sz w:val="31"/>
          <w:szCs w:val="31"/>
        </w:rPr>
        <w:t>2024年度</w:t>
      </w:r>
      <w:r>
        <w:rPr>
          <w:rFonts w:hint="eastAsia" w:ascii="方正仿宋_GBK" w:hAnsi="方正仿宋_GBK" w:eastAsia="方正仿宋_GBK" w:cs="方正仿宋_GBK"/>
          <w:color w:val="000000"/>
          <w:kern w:val="0"/>
          <w:sz w:val="31"/>
          <w:szCs w:val="31"/>
          <w:lang w:val="en-US" w:eastAsia="zh-CN"/>
        </w:rPr>
        <w:t>我部为新成立单位，2024年无预算，2025年1月纳入预算单位</w:t>
      </w:r>
      <w:r>
        <w:rPr>
          <w:rFonts w:hint="eastAsia" w:ascii="方正仿宋_GBK" w:hAnsi="方正仿宋_GBK" w:eastAsia="方正仿宋_GBK" w:cs="方正仿宋_GBK"/>
          <w:color w:val="000000"/>
          <w:kern w:val="0"/>
          <w:sz w:val="31"/>
          <w:szCs w:val="31"/>
          <w:lang w:eastAsia="zh-CN"/>
        </w:rPr>
        <w:t>。</w:t>
      </w:r>
    </w:p>
    <w:p w14:paraId="1F452CD9">
      <w:pPr>
        <w:pStyle w:val="5"/>
        <w:spacing w:before="93"/>
        <w:jc w:val="center"/>
        <w:rPr>
          <w:rFonts w:cs="仿宋_GB2312"/>
          <w:sz w:val="32"/>
          <w:szCs w:val="32"/>
        </w:rPr>
      </w:pPr>
      <w:r>
        <w:rPr>
          <w:rFonts w:hint="eastAsia" w:ascii="Times New Roman" w:hAnsi="Times New Roman" w:eastAsia="宋体" w:cs="Times New Roman"/>
          <w:kern w:val="2"/>
          <w:sz w:val="21"/>
          <w:szCs w:val="24"/>
          <w:lang w:val="en-US" w:eastAsia="zh-CN" w:bidi="ar-SA"/>
        </w:rPr>
        <w:object>
          <v:shape id="_x0000_i1027" o:spt="75" type="#_x0000_t75" style="height:222.75pt;width:371.25pt;" o:ole="t" filled="f" o:preferrelative="t" stroked="f" coordsize="21600,21600">
            <v:path/>
            <v:fill on="f" focussize="0,0"/>
            <v:stroke on="f"/>
            <v:imagedata r:id="rId14" o:title=""/>
            <o:lock v:ext="edit" aspectratio="t"/>
            <w10:wrap type="none"/>
            <w10:anchorlock/>
          </v:shape>
          <o:OLEObject Type="Embed" ProgID="Excel.Chart.8" ShapeID="_x0000_i1027" DrawAspect="Content" ObjectID="_1468075728" r:id="rId13">
            <o:LockedField>false</o:LockedField>
          </o:OLEObject>
        </w:object>
      </w:r>
    </w:p>
    <w:p w14:paraId="631A797F">
      <w:pPr>
        <w:spacing w:line="576" w:lineRule="exact"/>
        <w:ind w:firstLine="620" w:firstLineChars="200"/>
        <w:jc w:val="center"/>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（图4：财政拨款收、支决算总计变动情况）</w:t>
      </w:r>
    </w:p>
    <w:p w14:paraId="4FB10E07">
      <w:pPr>
        <w:spacing w:line="576" w:lineRule="exact"/>
        <w:ind w:firstLine="640" w:firstLineChars="200"/>
        <w:outlineLvl w:val="1"/>
        <w:rPr>
          <w:rStyle w:val="25"/>
          <w:rFonts w:ascii="黑体" w:eastAsia="黑体"/>
          <w:b w:val="0"/>
        </w:rPr>
      </w:pPr>
      <w:bookmarkStart w:id="26" w:name="_Toc15377209"/>
      <w:bookmarkStart w:id="27" w:name="_Toc15396607"/>
      <w:r>
        <w:rPr>
          <w:rFonts w:hint="eastAsia" w:ascii="黑体" w:eastAsia="黑体"/>
          <w:sz w:val="32"/>
          <w:szCs w:val="32"/>
        </w:rPr>
        <w:t>五、</w:t>
      </w:r>
      <w:r>
        <w:rPr>
          <w:rFonts w:hint="eastAsia" w:ascii="黑体" w:eastAsia="黑体"/>
          <w:b/>
          <w:sz w:val="32"/>
          <w:szCs w:val="32"/>
        </w:rPr>
        <w:t>一</w:t>
      </w:r>
      <w:r>
        <w:rPr>
          <w:rStyle w:val="25"/>
          <w:rFonts w:hint="eastAsia" w:ascii="黑体" w:eastAsia="黑体"/>
          <w:b w:val="0"/>
        </w:rPr>
        <w:t>般公共预算财政拨款支出决算情况说明</w:t>
      </w:r>
      <w:bookmarkEnd w:id="26"/>
      <w:bookmarkEnd w:id="27"/>
    </w:p>
    <w:p w14:paraId="576B6F57">
      <w:pPr>
        <w:spacing w:line="576" w:lineRule="exact"/>
        <w:ind w:firstLine="643" w:firstLineChars="200"/>
        <w:outlineLvl w:val="2"/>
        <w:rPr>
          <w:rFonts w:ascii="楷体_GB2312" w:eastAsia="楷体_GB2312" w:cs="楷体_GB2312"/>
          <w:b/>
          <w:sz w:val="32"/>
          <w:szCs w:val="32"/>
        </w:rPr>
      </w:pPr>
      <w:bookmarkStart w:id="28" w:name="_Toc15377210"/>
      <w:r>
        <w:rPr>
          <w:rFonts w:hint="eastAsia" w:ascii="楷体_GB2312" w:eastAsia="楷体_GB2312" w:cs="楷体_GB2312"/>
          <w:b/>
          <w:sz w:val="32"/>
          <w:szCs w:val="32"/>
        </w:rPr>
        <w:t>（一）一般公共预算财政拨款支出决算总体情况</w:t>
      </w:r>
      <w:bookmarkEnd w:id="28"/>
    </w:p>
    <w:p w14:paraId="193CD3BB">
      <w:pPr>
        <w:spacing w:line="576" w:lineRule="exact"/>
        <w:ind w:firstLine="620" w:firstLineChars="200"/>
        <w:rPr>
          <w:rFonts w:hint="eastAsia" w:ascii="方正仿宋_GBK" w:hAnsi="方正仿宋_GBK" w:eastAsia="方正仿宋_GBK" w:cs="方正仿宋_GBK"/>
          <w:color w:val="000000"/>
          <w:kern w:val="0"/>
          <w:sz w:val="31"/>
          <w:szCs w:val="31"/>
          <w:lang w:eastAsia="zh-CN"/>
        </w:rPr>
      </w:pP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年一般公共预算财政拨款支出</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万元，占本年支出合计的100%。与202</w:t>
      </w:r>
      <w:r>
        <w:rPr>
          <w:rFonts w:hint="eastAsia" w:ascii="方正仿宋_GBK" w:hAnsi="方正仿宋_GBK" w:eastAsia="方正仿宋_GBK" w:cs="方正仿宋_GBK"/>
          <w:color w:val="000000"/>
          <w:kern w:val="0"/>
          <w:sz w:val="31"/>
          <w:szCs w:val="31"/>
          <w:lang w:val="en-US" w:eastAsia="zh-CN"/>
        </w:rPr>
        <w:t>4</w:t>
      </w:r>
      <w:r>
        <w:rPr>
          <w:rFonts w:hint="eastAsia" w:ascii="方正仿宋_GBK" w:hAnsi="方正仿宋_GBK" w:eastAsia="方正仿宋_GBK" w:cs="方正仿宋_GBK"/>
          <w:color w:val="000000"/>
          <w:kern w:val="0"/>
          <w:sz w:val="31"/>
          <w:szCs w:val="31"/>
        </w:rPr>
        <w:t>年相比，一般公共预算财政拨款支出</w:t>
      </w:r>
      <w:r>
        <w:rPr>
          <w:rFonts w:hint="eastAsia" w:ascii="方正仿宋_GBK" w:hAnsi="方正仿宋_GBK" w:eastAsia="方正仿宋_GBK" w:cs="方正仿宋_GBK"/>
          <w:color w:val="000000"/>
          <w:kern w:val="0"/>
          <w:sz w:val="31"/>
          <w:szCs w:val="31"/>
          <w:lang w:val="en-US" w:eastAsia="zh-CN"/>
        </w:rPr>
        <w:t>增加579.52</w:t>
      </w:r>
      <w:r>
        <w:rPr>
          <w:rFonts w:hint="eastAsia" w:ascii="方正仿宋_GBK" w:hAnsi="方正仿宋_GBK" w:eastAsia="方正仿宋_GBK" w:cs="方正仿宋_GBK"/>
          <w:color w:val="000000"/>
          <w:kern w:val="0"/>
          <w:sz w:val="31"/>
          <w:szCs w:val="31"/>
        </w:rPr>
        <w:t>万元，</w:t>
      </w:r>
      <w:r>
        <w:rPr>
          <w:rFonts w:hint="eastAsia" w:ascii="方正仿宋_GBK" w:hAnsi="方正仿宋_GBK" w:eastAsia="方正仿宋_GBK" w:cs="方正仿宋_GBK"/>
          <w:color w:val="000000"/>
          <w:kern w:val="0"/>
          <w:sz w:val="31"/>
          <w:szCs w:val="31"/>
          <w:lang w:val="en-US" w:eastAsia="zh-CN"/>
        </w:rPr>
        <w:t>上升100</w:t>
      </w:r>
      <w:r>
        <w:rPr>
          <w:rFonts w:hint="eastAsia" w:ascii="方正仿宋_GBK" w:hAnsi="方正仿宋_GBK" w:eastAsia="方正仿宋_GBK" w:cs="方正仿宋_GBK"/>
          <w:color w:val="000000"/>
          <w:kern w:val="0"/>
          <w:sz w:val="31"/>
          <w:szCs w:val="31"/>
        </w:rPr>
        <w:t>%。主要变动原因</w:t>
      </w:r>
      <w:r>
        <w:rPr>
          <w:rFonts w:hint="eastAsia" w:ascii="方正仿宋_GBK" w:hAnsi="方正仿宋_GBK" w:eastAsia="方正仿宋_GBK" w:cs="方正仿宋_GBK"/>
          <w:color w:val="000000"/>
          <w:kern w:val="0"/>
          <w:sz w:val="31"/>
          <w:szCs w:val="31"/>
          <w:lang w:val="en-US" w:eastAsia="zh-CN"/>
        </w:rPr>
        <w:t>为</w:t>
      </w:r>
      <w:r>
        <w:rPr>
          <w:rFonts w:hint="eastAsia" w:ascii="方正仿宋_GBK" w:hAnsi="方正仿宋_GBK" w:eastAsia="方正仿宋_GBK" w:cs="方正仿宋_GBK"/>
          <w:color w:val="000000"/>
          <w:kern w:val="0"/>
          <w:sz w:val="31"/>
          <w:szCs w:val="31"/>
        </w:rPr>
        <w:t>2024年度</w:t>
      </w:r>
      <w:r>
        <w:rPr>
          <w:rFonts w:hint="eastAsia" w:ascii="方正仿宋_GBK" w:hAnsi="方正仿宋_GBK" w:eastAsia="方正仿宋_GBK" w:cs="方正仿宋_GBK"/>
          <w:color w:val="000000"/>
          <w:kern w:val="0"/>
          <w:sz w:val="31"/>
          <w:szCs w:val="31"/>
          <w:lang w:val="en-US" w:eastAsia="zh-CN"/>
        </w:rPr>
        <w:t>我部为新成立单位，2024年无预算，2025年1月纳入预算单位</w:t>
      </w:r>
      <w:r>
        <w:rPr>
          <w:rFonts w:hint="eastAsia" w:ascii="方正仿宋_GBK" w:hAnsi="方正仿宋_GBK" w:eastAsia="方正仿宋_GBK" w:cs="方正仿宋_GBK"/>
          <w:color w:val="000000"/>
          <w:kern w:val="0"/>
          <w:sz w:val="31"/>
          <w:szCs w:val="31"/>
          <w:lang w:eastAsia="zh-CN"/>
        </w:rPr>
        <w:t>。</w:t>
      </w:r>
    </w:p>
    <w:p w14:paraId="1C68FA61">
      <w:pPr>
        <w:pStyle w:val="22"/>
        <w:jc w:val="center"/>
        <w:rPr>
          <w:rFonts w:hint="eastAsia" w:ascii="Times New Roman" w:hAnsi="Times New Roman" w:eastAsia="仿宋_GB2312" w:cs="Times New Roman"/>
          <w:kern w:val="2"/>
          <w:sz w:val="21"/>
          <w:szCs w:val="24"/>
          <w:lang w:val="en-US" w:eastAsia="zh-CN" w:bidi="ar-SA"/>
        </w:rPr>
      </w:pPr>
      <w:r>
        <w:rPr>
          <w:rFonts w:hint="eastAsia" w:ascii="Times New Roman" w:hAnsi="Times New Roman" w:eastAsia="仿宋_GB2312" w:cs="Times New Roman"/>
          <w:kern w:val="2"/>
          <w:sz w:val="21"/>
          <w:szCs w:val="24"/>
          <w:lang w:val="en-US" w:eastAsia="zh-CN" w:bidi="ar-SA"/>
        </w:rPr>
        <w:object>
          <v:shape id="_x0000_i1028" o:spt="75" type="#_x0000_t75" style="height:222.75pt;width:366.75pt;" o:ole="t" filled="f" o:preferrelative="t" stroked="f" coordsize="21600,21600">
            <v:path/>
            <v:fill on="f" focussize="0,0"/>
            <v:stroke on="f"/>
            <v:imagedata r:id="rId16" o:title=""/>
            <o:lock v:ext="edit" aspectratio="t"/>
            <w10:wrap type="none"/>
            <w10:anchorlock/>
          </v:shape>
          <o:OLEObject Type="Embed" ProgID="Excel.Chart.8" ShapeID="_x0000_i1028" DrawAspect="Content" ObjectID="_1468075729" r:id="rId15">
            <o:LockedField>false</o:LockedField>
          </o:OLEObject>
        </w:object>
      </w:r>
    </w:p>
    <w:p w14:paraId="458A54B6">
      <w:pPr>
        <w:pStyle w:val="22"/>
        <w:jc w:val="center"/>
      </w:pPr>
      <w:r>
        <w:rPr>
          <w:rFonts w:hint="eastAsia" w:ascii="仿宋_GB2312" w:hAnsi="仿宋_GB2312" w:eastAsia="仿宋_GB2312" w:cs="仿宋_GB2312"/>
          <w:sz w:val="32"/>
          <w:szCs w:val="32"/>
        </w:rPr>
        <w:t>（图5：一般公共预算财政拨款支出决算变动情况）</w:t>
      </w:r>
    </w:p>
    <w:p w14:paraId="64C0A009">
      <w:pPr>
        <w:pStyle w:val="22"/>
        <w:jc w:val="center"/>
        <w:rPr>
          <w:rFonts w:hint="eastAsia" w:ascii="Times New Roman" w:hAnsi="Times New Roman" w:eastAsia="仿宋_GB2312" w:cs="Times New Roman"/>
          <w:kern w:val="2"/>
          <w:sz w:val="21"/>
          <w:szCs w:val="24"/>
          <w:lang w:val="en-US" w:eastAsia="zh-CN" w:bidi="ar-SA"/>
        </w:rPr>
      </w:pPr>
    </w:p>
    <w:p w14:paraId="0D1516D4">
      <w:pPr>
        <w:spacing w:line="576" w:lineRule="exact"/>
        <w:ind w:firstLine="643" w:firstLineChars="200"/>
        <w:outlineLvl w:val="2"/>
        <w:rPr>
          <w:rFonts w:ascii="楷体_GB2312" w:eastAsia="楷体_GB2312" w:cs="楷体_GB2312"/>
          <w:b/>
          <w:sz w:val="32"/>
          <w:szCs w:val="32"/>
        </w:rPr>
      </w:pPr>
      <w:bookmarkStart w:id="29" w:name="_Toc15377211"/>
      <w:r>
        <w:rPr>
          <w:rFonts w:hint="eastAsia" w:ascii="楷体_GB2312" w:eastAsia="楷体_GB2312" w:cs="楷体_GB2312"/>
          <w:b/>
          <w:sz w:val="32"/>
          <w:szCs w:val="32"/>
        </w:rPr>
        <w:t>（二）一般公共预算财政拨款支出决算结构情况</w:t>
      </w:r>
      <w:bookmarkEnd w:id="29"/>
    </w:p>
    <w:p w14:paraId="4992B68B">
      <w:pPr>
        <w:spacing w:line="576" w:lineRule="exact"/>
        <w:ind w:firstLine="640"/>
        <w:rPr>
          <w:rFonts w:ascii="仿宋_GB2312" w:eastAsia="仿宋_GB2312" w:cs="仿宋_GB2312"/>
          <w:sz w:val="32"/>
          <w:szCs w:val="32"/>
        </w:rPr>
      </w:pP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年一般公共预算财政拨款支出</w:t>
      </w:r>
      <w:r>
        <w:rPr>
          <w:rFonts w:hint="eastAsia" w:ascii="方正仿宋_GBK" w:hAnsi="方正仿宋_GBK" w:eastAsia="方正仿宋_GBK" w:cs="方正仿宋_GBK"/>
          <w:color w:val="000000"/>
          <w:kern w:val="0"/>
          <w:sz w:val="31"/>
          <w:szCs w:val="31"/>
          <w:lang w:val="en-US" w:eastAsia="zh-CN"/>
        </w:rPr>
        <w:t>579.52</w:t>
      </w:r>
      <w:r>
        <w:rPr>
          <w:rFonts w:hint="eastAsia" w:ascii="方正仿宋_GBK" w:hAnsi="方正仿宋_GBK" w:eastAsia="方正仿宋_GBK" w:cs="方正仿宋_GBK"/>
          <w:color w:val="000000"/>
          <w:kern w:val="0"/>
          <w:sz w:val="31"/>
          <w:szCs w:val="31"/>
        </w:rPr>
        <w:t>万元，主要用于以下方面:</w:t>
      </w:r>
      <w:r>
        <w:rPr>
          <w:rFonts w:hint="eastAsia" w:ascii="方正仿宋_GBK" w:hAnsi="方正仿宋_GBK" w:eastAsia="方正仿宋_GBK" w:cs="方正仿宋_GBK"/>
          <w:color w:val="000000"/>
          <w:kern w:val="0"/>
          <w:sz w:val="31"/>
          <w:szCs w:val="31"/>
          <w:lang w:val="en-US" w:eastAsia="zh-CN"/>
        </w:rPr>
        <w:t>一般公共服务支出533.76元，占92.10%；</w:t>
      </w:r>
      <w:r>
        <w:rPr>
          <w:rFonts w:hint="eastAsia" w:ascii="仿宋_GB2312" w:eastAsia="仿宋_GB2312" w:cs="仿宋_GB2312"/>
          <w:b/>
          <w:sz w:val="32"/>
          <w:szCs w:val="32"/>
        </w:rPr>
        <w:t>社会保障和就业</w:t>
      </w:r>
      <w:r>
        <w:rPr>
          <w:rFonts w:hint="eastAsia" w:ascii="仿宋_GB2312" w:eastAsia="仿宋_GB2312" w:cs="仿宋_GB2312"/>
          <w:b/>
          <w:bCs/>
          <w:sz w:val="32"/>
          <w:szCs w:val="32"/>
        </w:rPr>
        <w:t>支出</w:t>
      </w:r>
      <w:r>
        <w:rPr>
          <w:rFonts w:hint="eastAsia" w:ascii="方正仿宋_GBK" w:hAnsi="方正仿宋_GBK" w:eastAsia="方正仿宋_GBK" w:cs="方正仿宋_GBK"/>
          <w:color w:val="000000"/>
          <w:kern w:val="0"/>
          <w:sz w:val="31"/>
          <w:szCs w:val="31"/>
          <w:lang w:val="en-US" w:eastAsia="zh-CN"/>
        </w:rPr>
        <w:t>25.16</w:t>
      </w:r>
      <w:r>
        <w:rPr>
          <w:rFonts w:hint="eastAsia" w:ascii="方正仿宋_GBK" w:hAnsi="方正仿宋_GBK" w:eastAsia="方正仿宋_GBK" w:cs="方正仿宋_GBK"/>
          <w:color w:val="000000"/>
          <w:kern w:val="0"/>
          <w:sz w:val="31"/>
          <w:szCs w:val="31"/>
        </w:rPr>
        <w:t>万元，占</w:t>
      </w:r>
      <w:r>
        <w:rPr>
          <w:rFonts w:hint="eastAsia" w:ascii="方正仿宋_GBK" w:hAnsi="方正仿宋_GBK" w:eastAsia="方正仿宋_GBK" w:cs="方正仿宋_GBK"/>
          <w:color w:val="000000"/>
          <w:kern w:val="0"/>
          <w:sz w:val="31"/>
          <w:szCs w:val="31"/>
          <w:lang w:val="en-US" w:eastAsia="zh-CN"/>
        </w:rPr>
        <w:t>4.34</w:t>
      </w:r>
      <w:r>
        <w:rPr>
          <w:rFonts w:hint="eastAsia" w:ascii="方正仿宋_GBK" w:hAnsi="方正仿宋_GBK" w:eastAsia="方正仿宋_GBK" w:cs="方正仿宋_GBK"/>
          <w:color w:val="000000"/>
          <w:kern w:val="0"/>
          <w:sz w:val="31"/>
          <w:szCs w:val="31"/>
        </w:rPr>
        <w:t>%；卫生健康支出</w:t>
      </w:r>
      <w:r>
        <w:rPr>
          <w:rFonts w:hint="eastAsia" w:ascii="方正仿宋_GBK" w:hAnsi="方正仿宋_GBK" w:eastAsia="方正仿宋_GBK" w:cs="方正仿宋_GBK"/>
          <w:color w:val="000000"/>
          <w:kern w:val="0"/>
          <w:sz w:val="31"/>
          <w:szCs w:val="31"/>
          <w:lang w:val="en-US" w:eastAsia="zh-CN"/>
        </w:rPr>
        <w:t>7.89</w:t>
      </w:r>
      <w:r>
        <w:rPr>
          <w:rFonts w:hint="eastAsia" w:ascii="方正仿宋_GBK" w:hAnsi="方正仿宋_GBK" w:eastAsia="方正仿宋_GBK" w:cs="方正仿宋_GBK"/>
          <w:color w:val="000000"/>
          <w:kern w:val="0"/>
          <w:sz w:val="31"/>
          <w:szCs w:val="31"/>
        </w:rPr>
        <w:t>万元，占</w:t>
      </w:r>
      <w:r>
        <w:rPr>
          <w:rFonts w:hint="eastAsia" w:ascii="方正仿宋_GBK" w:hAnsi="方正仿宋_GBK" w:eastAsia="方正仿宋_GBK" w:cs="方正仿宋_GBK"/>
          <w:color w:val="000000"/>
          <w:kern w:val="0"/>
          <w:sz w:val="31"/>
          <w:szCs w:val="31"/>
          <w:lang w:val="en-US" w:eastAsia="zh-CN"/>
        </w:rPr>
        <w:t>1.36</w:t>
      </w:r>
      <w:r>
        <w:rPr>
          <w:rFonts w:hint="eastAsia" w:ascii="方正仿宋_GBK" w:hAnsi="方正仿宋_GBK" w:eastAsia="方正仿宋_GBK" w:cs="方正仿宋_GBK"/>
          <w:color w:val="000000"/>
          <w:kern w:val="0"/>
          <w:sz w:val="31"/>
          <w:szCs w:val="31"/>
        </w:rPr>
        <w:t>%；</w:t>
      </w:r>
      <w:r>
        <w:rPr>
          <w:rFonts w:hint="eastAsia" w:ascii="仿宋_GB2312" w:eastAsia="仿宋_GB2312" w:cs="仿宋_GB2312"/>
          <w:b/>
          <w:bCs/>
          <w:sz w:val="32"/>
          <w:szCs w:val="32"/>
        </w:rPr>
        <w:t>住房保障支出</w:t>
      </w:r>
      <w:r>
        <w:rPr>
          <w:rFonts w:hint="eastAsia" w:ascii="仿宋_GB2312" w:eastAsia="仿宋_GB2312" w:cs="仿宋_GB2312"/>
          <w:b/>
          <w:bCs/>
          <w:sz w:val="32"/>
          <w:szCs w:val="32"/>
          <w:lang w:val="en-US" w:eastAsia="zh-CN"/>
        </w:rPr>
        <w:t>12.71</w:t>
      </w:r>
      <w:r>
        <w:rPr>
          <w:rFonts w:hint="eastAsia" w:ascii="方正仿宋_GBK" w:hAnsi="方正仿宋_GBK" w:eastAsia="方正仿宋_GBK" w:cs="方正仿宋_GBK"/>
          <w:color w:val="000000"/>
          <w:kern w:val="0"/>
          <w:sz w:val="31"/>
          <w:szCs w:val="31"/>
        </w:rPr>
        <w:t>万元，占</w:t>
      </w:r>
      <w:r>
        <w:rPr>
          <w:rFonts w:hint="eastAsia" w:ascii="方正仿宋_GBK" w:hAnsi="方正仿宋_GBK" w:eastAsia="方正仿宋_GBK" w:cs="方正仿宋_GBK"/>
          <w:color w:val="000000"/>
          <w:kern w:val="0"/>
          <w:sz w:val="31"/>
          <w:szCs w:val="31"/>
          <w:lang w:val="en-US" w:eastAsia="zh-CN"/>
        </w:rPr>
        <w:t>2.19</w:t>
      </w:r>
      <w:r>
        <w:rPr>
          <w:rFonts w:hint="eastAsia" w:ascii="方正仿宋_GBK" w:hAnsi="方正仿宋_GBK" w:eastAsia="方正仿宋_GBK" w:cs="方正仿宋_GBK"/>
          <w:color w:val="000000"/>
          <w:kern w:val="0"/>
          <w:sz w:val="31"/>
          <w:szCs w:val="31"/>
        </w:rPr>
        <w:t>%。</w:t>
      </w:r>
    </w:p>
    <w:p w14:paraId="4BD5529E">
      <w:pPr>
        <w:pStyle w:val="5"/>
        <w:spacing w:before="93"/>
        <w:jc w:val="center"/>
        <w:rPr>
          <w:rFonts w:cs="仿宋_GB2312"/>
          <w:sz w:val="32"/>
          <w:szCs w:val="32"/>
        </w:rPr>
      </w:pPr>
      <w:r>
        <w:rPr>
          <w:rFonts w:hint="default" w:ascii="宋体" w:hAnsi="宋体" w:eastAsia="宋体" w:cs="Times New Roman"/>
          <w:b/>
          <w:kern w:val="2"/>
          <w:sz w:val="24"/>
          <w:szCs w:val="24"/>
          <w:shd w:val="clear" w:color="auto" w:fill="FFFFFF"/>
          <w:lang w:val="en-US" w:eastAsia="zh-CN" w:bidi="ar-SA"/>
        </w:rPr>
        <w:object>
          <v:shape id="_x0000_i1029" o:spt="75" type="#_x0000_t75" style="height:261pt;width:402.75pt;" o:ole="t" filled="f" o:preferrelative="t" stroked="f" coordsize="21600,21600">
            <v:path/>
            <v:fill on="f" focussize="0,0"/>
            <v:stroke on="f"/>
            <v:imagedata r:id="rId18" o:title=""/>
            <o:lock v:ext="edit" aspectratio="t"/>
            <w10:wrap type="none"/>
            <w10:anchorlock/>
          </v:shape>
          <o:OLEObject Type="Embed" ProgID="Excel.Chart.8" ShapeID="_x0000_i1029" DrawAspect="Content" ObjectID="_1468075730" r:id="rId17">
            <o:LockedField>false</o:LockedField>
          </o:OLEObject>
        </w:object>
      </w:r>
    </w:p>
    <w:p w14:paraId="2D840B47">
      <w:pPr>
        <w:spacing w:line="576" w:lineRule="exact"/>
        <w:ind w:firstLine="310" w:firstLineChars="100"/>
        <w:jc w:val="center"/>
        <w:rPr>
          <w:rFonts w:ascii="仿宋_GB2312" w:eastAsia="仿宋_GB2312" w:cs="仿宋_GB2312"/>
          <w:sz w:val="32"/>
          <w:szCs w:val="32"/>
        </w:rPr>
      </w:pPr>
      <w:r>
        <w:rPr>
          <w:rFonts w:hint="eastAsia" w:ascii="方正仿宋_GBK" w:hAnsi="方正仿宋_GBK" w:eastAsia="方正仿宋_GBK" w:cs="方正仿宋_GBK"/>
          <w:color w:val="000000"/>
          <w:kern w:val="0"/>
          <w:sz w:val="31"/>
          <w:szCs w:val="31"/>
        </w:rPr>
        <w:t>（图</w:t>
      </w:r>
      <w:r>
        <w:rPr>
          <w:rFonts w:hint="eastAsia" w:ascii="方正仿宋_GBK" w:hAnsi="方正仿宋_GBK" w:eastAsia="方正仿宋_GBK" w:cs="方正仿宋_GBK"/>
          <w:color w:val="000000"/>
          <w:kern w:val="0"/>
          <w:sz w:val="31"/>
          <w:szCs w:val="31"/>
          <w:lang w:val="en-US" w:eastAsia="zh-CN"/>
        </w:rPr>
        <w:t>6</w:t>
      </w:r>
      <w:r>
        <w:rPr>
          <w:rFonts w:hint="eastAsia" w:ascii="方正仿宋_GBK" w:hAnsi="方正仿宋_GBK" w:eastAsia="方正仿宋_GBK" w:cs="方正仿宋_GBK"/>
          <w:color w:val="000000"/>
          <w:kern w:val="0"/>
          <w:sz w:val="31"/>
          <w:szCs w:val="31"/>
        </w:rPr>
        <w:t>：一般公共预算财政拨款支出决算结构）</w:t>
      </w:r>
    </w:p>
    <w:p w14:paraId="37276B3D">
      <w:pPr>
        <w:spacing w:line="576" w:lineRule="exact"/>
        <w:ind w:firstLine="643" w:firstLineChars="200"/>
        <w:outlineLvl w:val="2"/>
        <w:rPr>
          <w:rFonts w:ascii="楷体_GB2312" w:eastAsia="楷体_GB2312" w:cs="楷体_GB2312"/>
          <w:b/>
          <w:sz w:val="32"/>
          <w:szCs w:val="32"/>
        </w:rPr>
      </w:pPr>
      <w:bookmarkStart w:id="30" w:name="_Toc15377212"/>
      <w:r>
        <w:rPr>
          <w:rFonts w:hint="eastAsia" w:ascii="楷体_GB2312" w:eastAsia="楷体_GB2312" w:cs="楷体_GB2312"/>
          <w:b/>
          <w:sz w:val="32"/>
          <w:szCs w:val="32"/>
        </w:rPr>
        <w:t>（三）一般公共预算财政拨款支出决算具体情况</w:t>
      </w:r>
      <w:bookmarkEnd w:id="30"/>
    </w:p>
    <w:p w14:paraId="768C691B">
      <w:pPr>
        <w:spacing w:line="576" w:lineRule="exact"/>
        <w:ind w:firstLine="643" w:firstLineChars="200"/>
        <w:outlineLvl w:val="2"/>
        <w:rPr>
          <w:rFonts w:ascii="仿宋_GB2312" w:eastAsia="仿宋_GB2312" w:cs="仿宋_GB2312"/>
          <w:b/>
          <w:sz w:val="32"/>
          <w:szCs w:val="32"/>
        </w:rPr>
      </w:pPr>
      <w:bookmarkStart w:id="31" w:name="_Toc15377444"/>
      <w:bookmarkStart w:id="32" w:name="_Toc15378460"/>
      <w:bookmarkStart w:id="33" w:name="_Toc15377213"/>
      <w:r>
        <w:rPr>
          <w:rFonts w:hint="eastAsia" w:ascii="仿宋_GB2312" w:eastAsia="仿宋_GB2312" w:cs="仿宋_GB2312"/>
          <w:b/>
          <w:sz w:val="32"/>
          <w:szCs w:val="32"/>
        </w:rPr>
        <w:t>202</w:t>
      </w:r>
      <w:r>
        <w:rPr>
          <w:rFonts w:hint="eastAsia" w:ascii="仿宋_GB2312" w:eastAsia="仿宋_GB2312" w:cs="仿宋_GB2312"/>
          <w:b/>
          <w:sz w:val="32"/>
          <w:szCs w:val="32"/>
          <w:lang w:val="en-US" w:eastAsia="zh-CN"/>
        </w:rPr>
        <w:t>5</w:t>
      </w:r>
      <w:r>
        <w:rPr>
          <w:rFonts w:hint="eastAsia" w:ascii="仿宋_GB2312" w:eastAsia="仿宋_GB2312" w:cs="仿宋_GB2312"/>
          <w:b/>
          <w:sz w:val="32"/>
          <w:szCs w:val="32"/>
        </w:rPr>
        <w:t>年一般公共预算支出决算数为</w:t>
      </w:r>
      <w:r>
        <w:rPr>
          <w:rFonts w:hint="eastAsia" w:ascii="仿宋_GB2312" w:eastAsia="仿宋_GB2312" w:cs="仿宋_GB2312"/>
          <w:b/>
          <w:sz w:val="32"/>
          <w:szCs w:val="32"/>
          <w:lang w:val="en-US" w:eastAsia="zh-CN"/>
        </w:rPr>
        <w:t>565.86</w:t>
      </w:r>
      <w:r>
        <w:rPr>
          <w:rFonts w:hint="eastAsia" w:ascii="仿宋_GB2312" w:eastAsia="仿宋_GB2312" w:cs="仿宋_GB2312"/>
          <w:b/>
          <w:sz w:val="32"/>
          <w:szCs w:val="32"/>
        </w:rPr>
        <w:t>万元</w:t>
      </w:r>
      <w:r>
        <w:rPr>
          <w:rStyle w:val="20"/>
          <w:rFonts w:hint="eastAsia" w:ascii="仿宋_GB2312" w:eastAsia="仿宋_GB2312" w:cs="仿宋_GB2312"/>
          <w:bCs/>
          <w:sz w:val="32"/>
          <w:szCs w:val="32"/>
        </w:rPr>
        <w:t>完成预算100%。其中：</w:t>
      </w:r>
      <w:bookmarkEnd w:id="31"/>
      <w:bookmarkEnd w:id="32"/>
      <w:bookmarkEnd w:id="33"/>
    </w:p>
    <w:p w14:paraId="51368646">
      <w:pPr>
        <w:numPr>
          <w:ilvl w:val="0"/>
          <w:numId w:val="0"/>
        </w:numPr>
        <w:spacing w:line="576" w:lineRule="exact"/>
        <w:ind w:firstLine="643" w:firstLineChars="200"/>
        <w:rPr>
          <w:rFonts w:hint="eastAsia" w:ascii="方正仿宋_GBK" w:hAnsi="方正仿宋_GBK" w:eastAsia="方正仿宋_GBK" w:cs="方正仿宋_GBK"/>
          <w:color w:val="000000"/>
          <w:kern w:val="0"/>
          <w:sz w:val="31"/>
          <w:szCs w:val="31"/>
        </w:rPr>
      </w:pPr>
      <w:r>
        <w:rPr>
          <w:rStyle w:val="20"/>
          <w:rFonts w:hint="eastAsia" w:ascii="仿宋_GB2312" w:eastAsia="仿宋_GB2312" w:cs="仿宋_GB2312"/>
          <w:bCs/>
          <w:sz w:val="32"/>
          <w:szCs w:val="32"/>
          <w:lang w:val="en-US" w:eastAsia="zh-CN"/>
        </w:rPr>
        <w:t>1.一般公共服务</w:t>
      </w:r>
      <w:r>
        <w:rPr>
          <w:rStyle w:val="20"/>
          <w:rFonts w:hint="eastAsia" w:ascii="仿宋_GB2312" w:eastAsia="仿宋_GB2312" w:cs="仿宋_GB2312"/>
          <w:bCs/>
          <w:sz w:val="32"/>
          <w:szCs w:val="32"/>
        </w:rPr>
        <w:t>支出（类）</w:t>
      </w:r>
      <w:r>
        <w:rPr>
          <w:rStyle w:val="20"/>
          <w:rFonts w:hint="eastAsia" w:ascii="仿宋_GB2312" w:eastAsia="仿宋_GB2312" w:cs="仿宋_GB2312"/>
          <w:bCs/>
          <w:sz w:val="32"/>
          <w:szCs w:val="32"/>
          <w:lang w:val="en-US" w:eastAsia="zh-CN"/>
        </w:rPr>
        <w:t>社会工作事务</w:t>
      </w:r>
      <w:r>
        <w:rPr>
          <w:rStyle w:val="20"/>
          <w:rFonts w:hint="eastAsia" w:ascii="仿宋_GB2312" w:eastAsia="仿宋_GB2312" w:cs="仿宋_GB2312"/>
          <w:bCs/>
          <w:sz w:val="32"/>
          <w:szCs w:val="32"/>
        </w:rPr>
        <w:t>（款）</w:t>
      </w:r>
      <w:r>
        <w:rPr>
          <w:rStyle w:val="20"/>
          <w:rFonts w:hint="eastAsia" w:ascii="仿宋_GB2312" w:eastAsia="仿宋_GB2312" w:cs="仿宋_GB2312"/>
          <w:bCs/>
          <w:sz w:val="32"/>
          <w:szCs w:val="32"/>
          <w:lang w:val="en-US" w:eastAsia="zh-CN"/>
        </w:rPr>
        <w:t>行政</w:t>
      </w:r>
      <w:r>
        <w:rPr>
          <w:rStyle w:val="20"/>
          <w:rFonts w:hint="eastAsia" w:ascii="仿宋_GB2312" w:eastAsia="仿宋_GB2312" w:cs="仿宋_GB2312"/>
          <w:bCs/>
          <w:sz w:val="32"/>
          <w:szCs w:val="32"/>
        </w:rPr>
        <w:t>运行(项）：</w:t>
      </w:r>
      <w:r>
        <w:rPr>
          <w:rFonts w:hint="eastAsia" w:ascii="方正仿宋_GBK" w:hAnsi="方正仿宋_GBK" w:eastAsia="方正仿宋_GBK" w:cs="方正仿宋_GBK"/>
          <w:color w:val="000000"/>
          <w:kern w:val="0"/>
          <w:sz w:val="31"/>
          <w:szCs w:val="31"/>
        </w:rPr>
        <w:t>支出决算为</w:t>
      </w:r>
      <w:r>
        <w:rPr>
          <w:rFonts w:hint="eastAsia" w:ascii="方正仿宋_GBK" w:hAnsi="方正仿宋_GBK" w:eastAsia="方正仿宋_GBK" w:cs="方正仿宋_GBK"/>
          <w:color w:val="000000"/>
          <w:kern w:val="0"/>
          <w:sz w:val="31"/>
          <w:szCs w:val="31"/>
          <w:lang w:val="en-US" w:eastAsia="zh-CN"/>
        </w:rPr>
        <w:t>477.07万元</w:t>
      </w:r>
      <w:r>
        <w:rPr>
          <w:rFonts w:hint="eastAsia" w:ascii="方正仿宋_GBK" w:hAnsi="方正仿宋_GBK" w:eastAsia="方正仿宋_GBK" w:cs="方正仿宋_GBK"/>
          <w:color w:val="000000"/>
          <w:kern w:val="0"/>
          <w:sz w:val="31"/>
          <w:szCs w:val="31"/>
        </w:rPr>
        <w:t>,完成预算100%，决算数与预算数持平。</w:t>
      </w:r>
    </w:p>
    <w:p w14:paraId="5EAE8A5C">
      <w:pPr>
        <w:numPr>
          <w:ilvl w:val="0"/>
          <w:numId w:val="0"/>
        </w:numPr>
        <w:spacing w:line="576"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lang w:val="en-US" w:eastAsia="zh-CN"/>
        </w:rPr>
        <w:t>2.</w:t>
      </w:r>
      <w:r>
        <w:rPr>
          <w:rStyle w:val="20"/>
          <w:rFonts w:hint="eastAsia" w:ascii="仿宋_GB2312" w:eastAsia="仿宋_GB2312" w:cs="仿宋_GB2312"/>
          <w:bCs/>
          <w:sz w:val="32"/>
          <w:szCs w:val="32"/>
          <w:lang w:val="en-US" w:eastAsia="zh-CN"/>
        </w:rPr>
        <w:t>一般公共服务</w:t>
      </w:r>
      <w:r>
        <w:rPr>
          <w:rStyle w:val="20"/>
          <w:rFonts w:hint="eastAsia" w:ascii="仿宋_GB2312" w:eastAsia="仿宋_GB2312" w:cs="仿宋_GB2312"/>
          <w:bCs/>
          <w:sz w:val="32"/>
          <w:szCs w:val="32"/>
        </w:rPr>
        <w:t>支出（类）</w:t>
      </w:r>
      <w:r>
        <w:rPr>
          <w:rStyle w:val="20"/>
          <w:rFonts w:hint="eastAsia" w:ascii="仿宋_GB2312" w:eastAsia="仿宋_GB2312" w:cs="仿宋_GB2312"/>
          <w:bCs/>
          <w:sz w:val="32"/>
          <w:szCs w:val="32"/>
          <w:lang w:val="en-US" w:eastAsia="zh-CN"/>
        </w:rPr>
        <w:t>社会工作事务</w:t>
      </w:r>
      <w:r>
        <w:rPr>
          <w:rStyle w:val="20"/>
          <w:rFonts w:hint="eastAsia" w:ascii="仿宋_GB2312" w:eastAsia="仿宋_GB2312" w:cs="仿宋_GB2312"/>
          <w:bCs/>
          <w:sz w:val="32"/>
          <w:szCs w:val="32"/>
        </w:rPr>
        <w:t>（款）</w:t>
      </w:r>
      <w:r>
        <w:rPr>
          <w:rStyle w:val="20"/>
          <w:rFonts w:hint="eastAsia" w:ascii="仿宋_GB2312" w:eastAsia="仿宋_GB2312" w:cs="仿宋_GB2312"/>
          <w:bCs/>
          <w:sz w:val="32"/>
          <w:szCs w:val="32"/>
          <w:lang w:val="en-US" w:eastAsia="zh-CN"/>
        </w:rPr>
        <w:t>事业运行</w:t>
      </w:r>
      <w:r>
        <w:rPr>
          <w:rStyle w:val="20"/>
          <w:rFonts w:hint="eastAsia" w:ascii="仿宋_GB2312" w:eastAsia="仿宋_GB2312" w:cs="仿宋_GB2312"/>
          <w:bCs/>
          <w:sz w:val="32"/>
          <w:szCs w:val="32"/>
        </w:rPr>
        <w:t>(项）：</w:t>
      </w:r>
      <w:r>
        <w:rPr>
          <w:rFonts w:hint="eastAsia" w:ascii="方正仿宋_GBK" w:hAnsi="方正仿宋_GBK" w:eastAsia="方正仿宋_GBK" w:cs="方正仿宋_GBK"/>
          <w:color w:val="000000"/>
          <w:kern w:val="0"/>
          <w:sz w:val="31"/>
          <w:szCs w:val="31"/>
        </w:rPr>
        <w:t>支出决算为</w:t>
      </w:r>
      <w:r>
        <w:rPr>
          <w:rFonts w:hint="eastAsia" w:ascii="方正仿宋_GBK" w:hAnsi="方正仿宋_GBK" w:eastAsia="方正仿宋_GBK" w:cs="方正仿宋_GBK"/>
          <w:color w:val="000000"/>
          <w:kern w:val="0"/>
          <w:sz w:val="31"/>
          <w:szCs w:val="31"/>
          <w:lang w:val="en-US" w:eastAsia="zh-CN"/>
        </w:rPr>
        <w:t>43.03万元</w:t>
      </w:r>
      <w:r>
        <w:rPr>
          <w:rFonts w:hint="eastAsia" w:ascii="方正仿宋_GBK" w:hAnsi="方正仿宋_GBK" w:eastAsia="方正仿宋_GBK" w:cs="方正仿宋_GBK"/>
          <w:color w:val="000000"/>
          <w:kern w:val="0"/>
          <w:sz w:val="31"/>
          <w:szCs w:val="31"/>
        </w:rPr>
        <w:t>,完成预算100%，决算数与预算数持平。</w:t>
      </w:r>
    </w:p>
    <w:p w14:paraId="4EA57AB1">
      <w:pPr>
        <w:spacing w:line="576" w:lineRule="exact"/>
        <w:ind w:firstLine="643" w:firstLineChars="200"/>
        <w:rPr>
          <w:rFonts w:ascii="方正仿宋_GBK" w:hAnsi="方正仿宋_GBK" w:eastAsia="方正仿宋_GBK" w:cs="方正仿宋_GBK"/>
          <w:color w:val="000000"/>
          <w:kern w:val="0"/>
          <w:sz w:val="31"/>
          <w:szCs w:val="31"/>
        </w:rPr>
      </w:pPr>
      <w:r>
        <w:rPr>
          <w:rStyle w:val="20"/>
          <w:rFonts w:hint="eastAsia" w:ascii="仿宋_GB2312" w:eastAsia="仿宋_GB2312" w:cs="仿宋_GB2312"/>
          <w:bCs/>
          <w:sz w:val="32"/>
          <w:szCs w:val="32"/>
          <w:lang w:val="en-US" w:eastAsia="zh-CN"/>
        </w:rPr>
        <w:t>3.</w:t>
      </w:r>
      <w:r>
        <w:rPr>
          <w:rStyle w:val="20"/>
          <w:rFonts w:hint="eastAsia" w:ascii="仿宋_GB2312" w:eastAsia="仿宋_GB2312" w:cs="仿宋_GB2312"/>
          <w:bCs/>
          <w:sz w:val="32"/>
          <w:szCs w:val="32"/>
        </w:rPr>
        <w:t>社会保障和就业支出（类）行政事业单位养老支出（款）机关事业单位基本养老保险缴费支出（项）:</w:t>
      </w:r>
      <w:r>
        <w:rPr>
          <w:rFonts w:hint="eastAsia" w:ascii="方正仿宋_GBK" w:hAnsi="方正仿宋_GBK" w:eastAsia="方正仿宋_GBK" w:cs="方正仿宋_GBK"/>
          <w:color w:val="000000"/>
          <w:kern w:val="0"/>
          <w:sz w:val="31"/>
          <w:szCs w:val="31"/>
        </w:rPr>
        <w:t>支出决算为</w:t>
      </w:r>
      <w:r>
        <w:rPr>
          <w:rFonts w:hint="eastAsia" w:ascii="方正仿宋_GBK" w:hAnsi="方正仿宋_GBK" w:eastAsia="方正仿宋_GBK" w:cs="方正仿宋_GBK"/>
          <w:color w:val="000000"/>
          <w:kern w:val="0"/>
          <w:sz w:val="31"/>
          <w:szCs w:val="31"/>
          <w:lang w:val="en-US" w:eastAsia="zh-CN"/>
        </w:rPr>
        <w:t>16.77</w:t>
      </w:r>
      <w:r>
        <w:rPr>
          <w:rFonts w:hint="eastAsia" w:ascii="方正仿宋_GBK" w:hAnsi="方正仿宋_GBK" w:eastAsia="方正仿宋_GBK" w:cs="方正仿宋_GBK"/>
          <w:color w:val="000000"/>
          <w:kern w:val="0"/>
          <w:sz w:val="31"/>
          <w:szCs w:val="31"/>
        </w:rPr>
        <w:t>万元,完成预算100%，决算数与预算数持平。</w:t>
      </w:r>
    </w:p>
    <w:p w14:paraId="2010FA2F">
      <w:pPr>
        <w:spacing w:line="576" w:lineRule="exact"/>
        <w:ind w:firstLine="643" w:firstLineChars="200"/>
        <w:rPr>
          <w:rFonts w:ascii="方正仿宋_GBK" w:hAnsi="方正仿宋_GBK" w:eastAsia="方正仿宋_GBK" w:cs="方正仿宋_GBK"/>
          <w:color w:val="000000"/>
          <w:kern w:val="0"/>
          <w:sz w:val="31"/>
          <w:szCs w:val="31"/>
        </w:rPr>
      </w:pPr>
      <w:r>
        <w:rPr>
          <w:rStyle w:val="20"/>
          <w:rFonts w:hint="eastAsia" w:ascii="仿宋_GB2312" w:eastAsia="仿宋_GB2312" w:cs="仿宋_GB2312"/>
          <w:bCs/>
          <w:sz w:val="32"/>
          <w:szCs w:val="32"/>
          <w:lang w:val="en-US" w:eastAsia="zh-CN"/>
        </w:rPr>
        <w:t>4</w:t>
      </w:r>
      <w:r>
        <w:rPr>
          <w:rStyle w:val="20"/>
          <w:rFonts w:hint="eastAsia" w:ascii="仿宋_GB2312" w:eastAsia="仿宋_GB2312" w:cs="仿宋_GB2312"/>
          <w:bCs/>
          <w:sz w:val="32"/>
          <w:szCs w:val="32"/>
        </w:rPr>
        <w:t>、社会保障和就业支出（类）行政事业单位养老支出（款）机关事业单位职业年金缴费支出(项）</w:t>
      </w:r>
      <w:r>
        <w:rPr>
          <w:rStyle w:val="20"/>
          <w:rFonts w:hint="eastAsia" w:ascii="仿宋_GB2312" w:eastAsia="仿宋_GB2312" w:cs="仿宋_GB2312"/>
          <w:b w:val="0"/>
          <w:bCs/>
          <w:sz w:val="32"/>
          <w:szCs w:val="32"/>
        </w:rPr>
        <w:t>：</w:t>
      </w:r>
      <w:r>
        <w:rPr>
          <w:rFonts w:hint="eastAsia" w:ascii="方正仿宋_GBK" w:hAnsi="方正仿宋_GBK" w:eastAsia="方正仿宋_GBK" w:cs="方正仿宋_GBK"/>
          <w:color w:val="000000"/>
          <w:kern w:val="0"/>
          <w:sz w:val="31"/>
          <w:szCs w:val="31"/>
        </w:rPr>
        <w:t>支出决算为</w:t>
      </w:r>
      <w:r>
        <w:rPr>
          <w:rFonts w:hint="eastAsia" w:ascii="方正仿宋_GBK" w:hAnsi="方正仿宋_GBK" w:eastAsia="方正仿宋_GBK" w:cs="方正仿宋_GBK"/>
          <w:color w:val="000000"/>
          <w:kern w:val="0"/>
          <w:sz w:val="31"/>
          <w:szCs w:val="31"/>
          <w:lang w:val="en-US" w:eastAsia="zh-CN"/>
        </w:rPr>
        <w:t>8.39</w:t>
      </w:r>
      <w:r>
        <w:rPr>
          <w:rFonts w:hint="eastAsia" w:ascii="方正仿宋_GBK" w:hAnsi="方正仿宋_GBK" w:eastAsia="方正仿宋_GBK" w:cs="方正仿宋_GBK"/>
          <w:color w:val="000000"/>
          <w:kern w:val="0"/>
          <w:sz w:val="31"/>
          <w:szCs w:val="31"/>
        </w:rPr>
        <w:t>万元，完成预算100%，决算数与预算数持平。</w:t>
      </w:r>
    </w:p>
    <w:p w14:paraId="1F94A2E2">
      <w:pPr>
        <w:spacing w:line="576" w:lineRule="exact"/>
        <w:ind w:firstLine="643" w:firstLineChars="200"/>
        <w:rPr>
          <w:rStyle w:val="20"/>
          <w:rFonts w:ascii="仿宋_GB2312" w:eastAsia="仿宋_GB2312" w:cs="仿宋_GB2312"/>
          <w:b w:val="0"/>
          <w:bCs/>
          <w:sz w:val="32"/>
          <w:szCs w:val="32"/>
        </w:rPr>
      </w:pPr>
      <w:r>
        <w:rPr>
          <w:rFonts w:hint="eastAsia" w:ascii="仿宋_GB2312" w:eastAsia="仿宋_GB2312" w:cs="仿宋_GB2312"/>
          <w:b/>
          <w:bCs/>
          <w:sz w:val="32"/>
          <w:szCs w:val="32"/>
          <w:lang w:val="en-US" w:eastAsia="zh-CN"/>
        </w:rPr>
        <w:t>5</w:t>
      </w:r>
      <w:r>
        <w:rPr>
          <w:rFonts w:hint="eastAsia" w:ascii="仿宋_GB2312" w:eastAsia="仿宋_GB2312" w:cs="仿宋_GB2312"/>
          <w:b/>
          <w:bCs/>
          <w:sz w:val="32"/>
          <w:szCs w:val="32"/>
        </w:rPr>
        <w:t>.卫生健康支出</w:t>
      </w:r>
      <w:r>
        <w:rPr>
          <w:rStyle w:val="20"/>
          <w:rFonts w:hint="eastAsia" w:ascii="仿宋_GB2312" w:eastAsia="仿宋_GB2312" w:cs="仿宋_GB2312"/>
          <w:bCs/>
          <w:sz w:val="32"/>
          <w:szCs w:val="32"/>
        </w:rPr>
        <w:t>（类）行政事业单位医疗（款）事业单位医疗（项）：</w:t>
      </w:r>
      <w:r>
        <w:rPr>
          <w:rFonts w:hint="eastAsia" w:ascii="方正仿宋_GBK" w:hAnsi="方正仿宋_GBK" w:eastAsia="方正仿宋_GBK" w:cs="方正仿宋_GBK"/>
          <w:color w:val="000000"/>
          <w:kern w:val="0"/>
          <w:sz w:val="31"/>
          <w:szCs w:val="31"/>
        </w:rPr>
        <w:t>支出决算为</w:t>
      </w:r>
      <w:r>
        <w:rPr>
          <w:rFonts w:hint="eastAsia" w:ascii="方正仿宋_GBK" w:hAnsi="方正仿宋_GBK" w:eastAsia="方正仿宋_GBK" w:cs="方正仿宋_GBK"/>
          <w:color w:val="000000"/>
          <w:kern w:val="0"/>
          <w:sz w:val="31"/>
          <w:szCs w:val="31"/>
          <w:lang w:val="en-US" w:eastAsia="zh-CN"/>
        </w:rPr>
        <w:t>7.89</w:t>
      </w:r>
      <w:r>
        <w:rPr>
          <w:rFonts w:hint="eastAsia" w:ascii="方正仿宋_GBK" w:hAnsi="方正仿宋_GBK" w:eastAsia="方正仿宋_GBK" w:cs="方正仿宋_GBK"/>
          <w:color w:val="000000"/>
          <w:kern w:val="0"/>
          <w:sz w:val="31"/>
          <w:szCs w:val="31"/>
        </w:rPr>
        <w:t>万元，完成预算100%，决算数与预算数持平。</w:t>
      </w:r>
    </w:p>
    <w:p w14:paraId="7213F914">
      <w:pPr>
        <w:ind w:firstLine="643" w:firstLineChars="200"/>
        <w:rPr>
          <w:rFonts w:hint="eastAsia" w:ascii="方正仿宋_GBK" w:hAnsi="方正仿宋_GBK" w:eastAsia="方正仿宋_GBK" w:cs="方正仿宋_GBK"/>
          <w:color w:val="000000"/>
          <w:kern w:val="0"/>
          <w:sz w:val="31"/>
          <w:szCs w:val="31"/>
        </w:rPr>
      </w:pPr>
      <w:r>
        <w:rPr>
          <w:rFonts w:hint="eastAsia" w:ascii="仿宋_GB2312" w:eastAsia="仿宋_GB2312" w:cs="仿宋_GB2312"/>
          <w:b/>
          <w:bCs/>
          <w:sz w:val="32"/>
          <w:szCs w:val="32"/>
          <w:lang w:val="en-US" w:eastAsia="zh-CN"/>
        </w:rPr>
        <w:t>6</w:t>
      </w:r>
      <w:r>
        <w:rPr>
          <w:rFonts w:hint="eastAsia" w:ascii="仿宋_GB2312" w:eastAsia="仿宋_GB2312" w:cs="仿宋_GB2312"/>
          <w:b/>
          <w:bCs/>
          <w:sz w:val="32"/>
          <w:szCs w:val="32"/>
        </w:rPr>
        <w:t>.卫生健康支出</w:t>
      </w:r>
      <w:r>
        <w:rPr>
          <w:rStyle w:val="20"/>
          <w:rFonts w:hint="eastAsia" w:ascii="仿宋_GB2312" w:eastAsia="仿宋_GB2312" w:cs="仿宋_GB2312"/>
          <w:bCs/>
          <w:sz w:val="32"/>
          <w:szCs w:val="32"/>
        </w:rPr>
        <w:t>（类）行政事业单位医疗（款）其他行政事业单位医疗支出（项）：</w:t>
      </w:r>
      <w:r>
        <w:rPr>
          <w:rFonts w:hint="eastAsia" w:ascii="方正仿宋_GBK" w:hAnsi="方正仿宋_GBK" w:eastAsia="方正仿宋_GBK" w:cs="方正仿宋_GBK"/>
          <w:color w:val="000000"/>
          <w:kern w:val="0"/>
          <w:sz w:val="31"/>
          <w:szCs w:val="31"/>
        </w:rPr>
        <w:t>支出决算为</w:t>
      </w:r>
      <w:r>
        <w:rPr>
          <w:rFonts w:hint="eastAsia" w:ascii="方正仿宋_GBK" w:hAnsi="方正仿宋_GBK" w:eastAsia="方正仿宋_GBK" w:cs="方正仿宋_GBK"/>
          <w:color w:val="000000"/>
          <w:kern w:val="0"/>
          <w:sz w:val="31"/>
          <w:szCs w:val="31"/>
          <w:lang w:val="en-US" w:eastAsia="zh-CN"/>
        </w:rPr>
        <w:t>4.04</w:t>
      </w:r>
      <w:r>
        <w:rPr>
          <w:rFonts w:hint="eastAsia" w:ascii="方正仿宋_GBK" w:hAnsi="方正仿宋_GBK" w:eastAsia="方正仿宋_GBK" w:cs="方正仿宋_GBK"/>
          <w:color w:val="000000"/>
          <w:kern w:val="0"/>
          <w:sz w:val="31"/>
          <w:szCs w:val="31"/>
        </w:rPr>
        <w:t>万元，完成预算100%，决算数与预算数持平。</w:t>
      </w:r>
    </w:p>
    <w:p w14:paraId="4EB9C8DA">
      <w:pPr>
        <w:spacing w:line="576" w:lineRule="exact"/>
        <w:ind w:firstLine="643" w:firstLineChars="200"/>
        <w:rPr>
          <w:rStyle w:val="20"/>
          <w:rFonts w:hint="eastAsia" w:ascii="仿宋_GB2312" w:eastAsia="仿宋_GB2312" w:cs="仿宋_GB2312"/>
          <w:b w:val="0"/>
          <w:bCs/>
          <w:sz w:val="32"/>
          <w:szCs w:val="32"/>
        </w:rPr>
      </w:pPr>
      <w:r>
        <w:rPr>
          <w:rFonts w:hint="eastAsia" w:ascii="仿宋_GB2312" w:eastAsia="仿宋_GB2312" w:cs="仿宋_GB2312"/>
          <w:b/>
          <w:bCs/>
          <w:sz w:val="32"/>
          <w:szCs w:val="32"/>
          <w:lang w:val="en-US" w:eastAsia="zh-CN"/>
        </w:rPr>
        <w:t>7.</w:t>
      </w:r>
      <w:r>
        <w:rPr>
          <w:rFonts w:hint="eastAsia" w:ascii="仿宋_GB2312" w:eastAsia="仿宋_GB2312" w:cs="仿宋_GB2312"/>
          <w:b/>
          <w:bCs/>
          <w:sz w:val="32"/>
          <w:szCs w:val="32"/>
        </w:rPr>
        <w:t>卫生健康</w:t>
      </w:r>
      <w:r>
        <w:rPr>
          <w:rFonts w:hint="eastAsia" w:ascii="仿宋_GB2312" w:eastAsia="仿宋_GB2312"/>
          <w:b/>
          <w:bCs/>
          <w:sz w:val="32"/>
          <w:szCs w:val="32"/>
        </w:rPr>
        <w:t>支出</w:t>
      </w:r>
      <w:r>
        <w:rPr>
          <w:rStyle w:val="20"/>
          <w:rFonts w:hint="eastAsia" w:ascii="仿宋_GB2312" w:eastAsia="仿宋_GB2312" w:cs="仿宋_GB2312"/>
          <w:bCs/>
          <w:sz w:val="32"/>
          <w:szCs w:val="32"/>
        </w:rPr>
        <w:t>（类）行政事业单位医疗（款）</w:t>
      </w:r>
      <w:r>
        <w:rPr>
          <w:rFonts w:hint="eastAsia" w:ascii="仿宋_GB2312" w:eastAsia="仿宋_GB2312" w:cs="仿宋_GB2312"/>
          <w:b/>
          <w:bCs/>
          <w:sz w:val="32"/>
          <w:szCs w:val="32"/>
        </w:rPr>
        <w:t>公务员医疗补助（项）</w:t>
      </w:r>
      <w:r>
        <w:rPr>
          <w:rStyle w:val="20"/>
          <w:rFonts w:hint="eastAsia" w:ascii="仿宋_GB2312" w:eastAsia="仿宋_GB2312" w:cs="仿宋_GB2312"/>
          <w:b w:val="0"/>
          <w:bCs/>
          <w:sz w:val="32"/>
          <w:szCs w:val="32"/>
        </w:rPr>
        <w:t>支出决算为</w:t>
      </w:r>
      <w:r>
        <w:rPr>
          <w:rStyle w:val="20"/>
          <w:rFonts w:hint="eastAsia" w:ascii="仿宋_GB2312" w:eastAsia="仿宋_GB2312" w:cs="仿宋_GB2312"/>
          <w:b w:val="0"/>
          <w:bCs/>
          <w:sz w:val="32"/>
          <w:szCs w:val="32"/>
          <w:lang w:val="en-US" w:eastAsia="zh-CN"/>
        </w:rPr>
        <w:t>0.78</w:t>
      </w:r>
      <w:r>
        <w:rPr>
          <w:rStyle w:val="20"/>
          <w:rFonts w:hint="eastAsia" w:ascii="仿宋_GB2312" w:eastAsia="仿宋_GB2312" w:cs="仿宋_GB2312"/>
          <w:b w:val="0"/>
          <w:bCs/>
          <w:sz w:val="32"/>
          <w:szCs w:val="32"/>
        </w:rPr>
        <w:t>万元，完成预算100%，决算数与预算数持平。</w:t>
      </w:r>
    </w:p>
    <w:p w14:paraId="2723ABF4">
      <w:pPr>
        <w:ind w:firstLine="643" w:firstLineChars="200"/>
        <w:rPr>
          <w:rFonts w:hint="eastAsia" w:ascii="方正仿宋_GBK" w:hAnsi="方正仿宋_GBK" w:eastAsia="方正仿宋_GBK" w:cs="方正仿宋_GBK"/>
          <w:color w:val="000000"/>
          <w:kern w:val="0"/>
          <w:sz w:val="31"/>
          <w:szCs w:val="31"/>
        </w:rPr>
      </w:pPr>
      <w:r>
        <w:rPr>
          <w:rFonts w:hint="eastAsia" w:ascii="仿宋_GB2312" w:eastAsia="仿宋_GB2312" w:cs="仿宋_GB2312"/>
          <w:b/>
          <w:bCs/>
          <w:sz w:val="32"/>
          <w:szCs w:val="32"/>
          <w:lang w:val="en-US" w:eastAsia="zh-CN"/>
        </w:rPr>
        <w:t>8.</w:t>
      </w:r>
      <w:r>
        <w:rPr>
          <w:rFonts w:hint="eastAsia" w:ascii="仿宋_GB2312" w:eastAsia="仿宋_GB2312" w:cs="仿宋_GB2312"/>
          <w:b/>
          <w:bCs/>
          <w:sz w:val="32"/>
          <w:szCs w:val="32"/>
        </w:rPr>
        <w:t>卫生健康支出</w:t>
      </w:r>
      <w:r>
        <w:rPr>
          <w:rStyle w:val="20"/>
          <w:rFonts w:hint="eastAsia" w:ascii="仿宋_GB2312" w:eastAsia="仿宋_GB2312" w:cs="仿宋_GB2312"/>
          <w:bCs/>
          <w:sz w:val="32"/>
          <w:szCs w:val="32"/>
        </w:rPr>
        <w:t>（类）</w:t>
      </w:r>
      <w:r>
        <w:rPr>
          <w:rStyle w:val="20"/>
          <w:rFonts w:hint="eastAsia" w:ascii="仿宋_GB2312" w:eastAsia="仿宋_GB2312" w:cs="仿宋_GB2312"/>
          <w:bCs/>
          <w:sz w:val="32"/>
          <w:szCs w:val="32"/>
          <w:lang w:val="en-US" w:eastAsia="zh-CN"/>
        </w:rPr>
        <w:t>其他</w:t>
      </w:r>
      <w:r>
        <w:rPr>
          <w:rStyle w:val="20"/>
          <w:rFonts w:hint="eastAsia" w:ascii="仿宋_GB2312" w:eastAsia="仿宋_GB2312" w:cs="仿宋_GB2312"/>
          <w:bCs/>
          <w:sz w:val="32"/>
          <w:szCs w:val="32"/>
        </w:rPr>
        <w:t>行政事业单位医疗（款）其他行政事业单位医疗支出（项）：</w:t>
      </w:r>
      <w:r>
        <w:rPr>
          <w:rFonts w:hint="eastAsia" w:ascii="方正仿宋_GBK" w:hAnsi="方正仿宋_GBK" w:eastAsia="方正仿宋_GBK" w:cs="方正仿宋_GBK"/>
          <w:color w:val="000000"/>
          <w:kern w:val="0"/>
          <w:sz w:val="31"/>
          <w:szCs w:val="31"/>
        </w:rPr>
        <w:t>支出决算为</w:t>
      </w:r>
      <w:r>
        <w:rPr>
          <w:rFonts w:hint="eastAsia" w:ascii="方正仿宋_GBK" w:hAnsi="方正仿宋_GBK" w:eastAsia="方正仿宋_GBK" w:cs="方正仿宋_GBK"/>
          <w:color w:val="000000"/>
          <w:kern w:val="0"/>
          <w:sz w:val="31"/>
          <w:szCs w:val="31"/>
          <w:lang w:val="en-US" w:eastAsia="zh-CN"/>
        </w:rPr>
        <w:t>0.62</w:t>
      </w:r>
      <w:r>
        <w:rPr>
          <w:rFonts w:hint="eastAsia" w:ascii="方正仿宋_GBK" w:hAnsi="方正仿宋_GBK" w:eastAsia="方正仿宋_GBK" w:cs="方正仿宋_GBK"/>
          <w:color w:val="000000"/>
          <w:kern w:val="0"/>
          <w:sz w:val="31"/>
          <w:szCs w:val="31"/>
        </w:rPr>
        <w:t>万元，完成预算100%，决算数与预算数持平。</w:t>
      </w:r>
    </w:p>
    <w:p w14:paraId="73763AC1">
      <w:pPr>
        <w:spacing w:line="576" w:lineRule="exact"/>
        <w:ind w:firstLine="640" w:firstLineChars="200"/>
        <w:rPr>
          <w:rStyle w:val="20"/>
          <w:rFonts w:hint="eastAsia" w:ascii="仿宋_GB2312" w:eastAsia="仿宋_GB2312" w:cs="仿宋_GB2312"/>
          <w:b w:val="0"/>
          <w:bCs/>
          <w:sz w:val="32"/>
          <w:szCs w:val="32"/>
        </w:rPr>
      </w:pPr>
    </w:p>
    <w:p w14:paraId="23BB8064">
      <w:pPr>
        <w:ind w:firstLine="643" w:firstLineChars="200"/>
        <w:rPr>
          <w:rFonts w:ascii="方正仿宋_GBK" w:hAnsi="方正仿宋_GBK" w:eastAsia="方正仿宋_GBK" w:cs="方正仿宋_GBK"/>
          <w:color w:val="000000"/>
          <w:kern w:val="0"/>
          <w:sz w:val="31"/>
          <w:szCs w:val="31"/>
        </w:rPr>
      </w:pPr>
      <w:r>
        <w:rPr>
          <w:rStyle w:val="20"/>
          <w:rFonts w:hint="eastAsia" w:ascii="仿宋_GB2312" w:eastAsia="仿宋_GB2312" w:cs="仿宋_GB2312"/>
          <w:bCs/>
          <w:sz w:val="32"/>
          <w:szCs w:val="32"/>
          <w:lang w:val="en-US" w:eastAsia="zh-CN"/>
        </w:rPr>
        <w:t>9</w:t>
      </w:r>
      <w:r>
        <w:rPr>
          <w:rStyle w:val="20"/>
          <w:rFonts w:hint="eastAsia" w:ascii="仿宋_GB2312" w:eastAsia="仿宋_GB2312" w:cs="仿宋_GB2312"/>
          <w:bCs/>
          <w:sz w:val="32"/>
          <w:szCs w:val="32"/>
        </w:rPr>
        <w:t>.住房保障支出（类）住房改革支出（款）住房公积金(项）：</w:t>
      </w:r>
      <w:r>
        <w:rPr>
          <w:rFonts w:hint="eastAsia" w:ascii="方正仿宋_GBK" w:hAnsi="方正仿宋_GBK" w:eastAsia="方正仿宋_GBK" w:cs="方正仿宋_GBK"/>
          <w:color w:val="000000"/>
          <w:kern w:val="0"/>
          <w:sz w:val="31"/>
          <w:szCs w:val="31"/>
        </w:rPr>
        <w:t>支出决算为</w:t>
      </w:r>
      <w:r>
        <w:rPr>
          <w:rFonts w:hint="eastAsia" w:ascii="方正仿宋_GBK" w:hAnsi="方正仿宋_GBK" w:eastAsia="方正仿宋_GBK" w:cs="方正仿宋_GBK"/>
          <w:color w:val="000000"/>
          <w:kern w:val="0"/>
          <w:sz w:val="31"/>
          <w:szCs w:val="31"/>
          <w:lang w:val="en-US" w:eastAsia="zh-CN"/>
        </w:rPr>
        <w:t>12.71万元</w:t>
      </w:r>
      <w:r>
        <w:rPr>
          <w:rFonts w:hint="eastAsia" w:ascii="方正仿宋_GBK" w:hAnsi="方正仿宋_GBK" w:eastAsia="方正仿宋_GBK" w:cs="方正仿宋_GBK"/>
          <w:color w:val="000000"/>
          <w:kern w:val="0"/>
          <w:sz w:val="31"/>
          <w:szCs w:val="31"/>
        </w:rPr>
        <w:t>，完成预算100%，决算数与预算数持平。</w:t>
      </w:r>
    </w:p>
    <w:p w14:paraId="19804B50">
      <w:pPr>
        <w:tabs>
          <w:tab w:val="right" w:pos="8306"/>
        </w:tabs>
        <w:spacing w:line="576" w:lineRule="exact"/>
        <w:ind w:firstLine="640" w:firstLineChars="200"/>
        <w:outlineLvl w:val="1"/>
        <w:rPr>
          <w:rStyle w:val="25"/>
        </w:rPr>
      </w:pPr>
      <w:bookmarkStart w:id="34" w:name="_Toc15396608"/>
      <w:bookmarkStart w:id="35" w:name="_Toc15377214"/>
      <w:r>
        <w:rPr>
          <w:rFonts w:hint="eastAsia" w:ascii="黑体" w:eastAsia="黑体"/>
          <w:sz w:val="32"/>
          <w:szCs w:val="32"/>
        </w:rPr>
        <w:t>六</w:t>
      </w:r>
      <w:r>
        <w:rPr>
          <w:rFonts w:hint="eastAsia" w:ascii="黑体" w:eastAsia="黑体"/>
          <w:b/>
          <w:sz w:val="32"/>
          <w:szCs w:val="32"/>
        </w:rPr>
        <w:t>、一</w:t>
      </w:r>
      <w:r>
        <w:rPr>
          <w:rStyle w:val="25"/>
          <w:rFonts w:hint="eastAsia" w:ascii="黑体" w:eastAsia="黑体"/>
          <w:b w:val="0"/>
        </w:rPr>
        <w:t>般公共预算财政拨款基本支出决算情况说明</w:t>
      </w:r>
      <w:bookmarkEnd w:id="34"/>
      <w:bookmarkEnd w:id="35"/>
      <w:r>
        <w:rPr>
          <w:rStyle w:val="25"/>
          <w:rFonts w:ascii="黑体" w:eastAsia="黑体"/>
          <w:b w:val="0"/>
        </w:rPr>
        <w:tab/>
      </w:r>
    </w:p>
    <w:p w14:paraId="45103491">
      <w:pPr>
        <w:spacing w:line="576" w:lineRule="exact"/>
        <w:ind w:firstLine="645"/>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20</w:t>
      </w:r>
      <w:r>
        <w:rPr>
          <w:rFonts w:hint="eastAsia" w:ascii="方正仿宋_GBK" w:hAnsi="方正仿宋_GBK" w:eastAsia="方正仿宋_GBK" w:cs="方正仿宋_GBK"/>
          <w:color w:val="000000"/>
          <w:kern w:val="0"/>
          <w:sz w:val="31"/>
          <w:szCs w:val="31"/>
          <w:lang w:val="en-US" w:eastAsia="zh-CN"/>
        </w:rPr>
        <w:t>25</w:t>
      </w:r>
      <w:r>
        <w:rPr>
          <w:rFonts w:hint="eastAsia" w:ascii="方正仿宋_GBK" w:hAnsi="方正仿宋_GBK" w:eastAsia="方正仿宋_GBK" w:cs="方正仿宋_GBK"/>
          <w:color w:val="000000"/>
          <w:kern w:val="0"/>
          <w:sz w:val="31"/>
          <w:szCs w:val="31"/>
        </w:rPr>
        <w:t>年一般公共预算财政拨款基本支出</w:t>
      </w:r>
      <w:r>
        <w:rPr>
          <w:rFonts w:hint="eastAsia" w:ascii="方正仿宋_GBK" w:hAnsi="方正仿宋_GBK" w:eastAsia="方正仿宋_GBK" w:cs="方正仿宋_GBK"/>
          <w:color w:val="000000"/>
          <w:kern w:val="0"/>
          <w:sz w:val="31"/>
          <w:szCs w:val="31"/>
          <w:lang w:val="en-US" w:eastAsia="zh-CN"/>
        </w:rPr>
        <w:t>565.86</w:t>
      </w:r>
      <w:r>
        <w:rPr>
          <w:rFonts w:hint="eastAsia" w:ascii="方正仿宋_GBK" w:hAnsi="方正仿宋_GBK" w:eastAsia="方正仿宋_GBK" w:cs="方正仿宋_GBK"/>
          <w:color w:val="000000"/>
          <w:kern w:val="0"/>
          <w:sz w:val="31"/>
          <w:szCs w:val="31"/>
        </w:rPr>
        <w:t>万元，其中：</w:t>
      </w:r>
    </w:p>
    <w:p w14:paraId="70E3A6EA">
      <w:pPr>
        <w:spacing w:line="576" w:lineRule="exact"/>
        <w:ind w:firstLine="620" w:firstLineChars="200"/>
        <w:rPr>
          <w:rFonts w:hint="default" w:ascii="仿宋_GB2312" w:eastAsia="方正仿宋_GBK" w:cs="仿宋_GB2312"/>
          <w:b/>
          <w:sz w:val="32"/>
          <w:szCs w:val="32"/>
          <w:lang w:val="en-US" w:eastAsia="zh-CN"/>
        </w:rPr>
      </w:pPr>
      <w:r>
        <w:rPr>
          <w:rFonts w:hint="eastAsia" w:ascii="方正仿宋_GBK" w:hAnsi="方正仿宋_GBK" w:eastAsia="方正仿宋_GBK" w:cs="方正仿宋_GBK"/>
          <w:color w:val="000000"/>
          <w:kern w:val="0"/>
          <w:sz w:val="31"/>
          <w:szCs w:val="31"/>
          <w:lang w:val="en-US" w:eastAsia="zh-CN"/>
        </w:rPr>
        <w:t>人员经费支出合计397.72万元，主要包括：基本工资、津贴补贴、奖金、机关事业单位基本养老保险缴费、职业年金缴费、职工基本医疗保险缴费、公务员医疗补助缴费、其他社会保障缴费、住房公积金、其他对个人和</w:t>
      </w:r>
      <w:r>
        <w:rPr>
          <w:rFonts w:hint="eastAsia" w:ascii="仿宋" w:eastAsia="仿宋"/>
          <w:sz w:val="32"/>
          <w:szCs w:val="32"/>
        </w:rPr>
        <w:t>家庭的补助支出等</w:t>
      </w:r>
      <w:r>
        <w:rPr>
          <w:rFonts w:hint="eastAsia" w:ascii="方正仿宋_GBK" w:hAnsi="方正仿宋_GBK" w:eastAsia="方正仿宋_GBK" w:cs="方正仿宋_GBK"/>
          <w:color w:val="000000"/>
          <w:kern w:val="0"/>
          <w:sz w:val="31"/>
          <w:szCs w:val="31"/>
        </w:rPr>
        <w:t>。</w:t>
      </w:r>
      <w:r>
        <w:rPr>
          <w:rFonts w:hint="eastAsia" w:ascii="方正仿宋_GBK" w:hAnsi="方正仿宋_GBK" w:eastAsia="方正仿宋_GBK" w:cs="方正仿宋_GBK"/>
          <w:color w:val="000000"/>
          <w:kern w:val="0"/>
          <w:sz w:val="31"/>
          <w:szCs w:val="31"/>
        </w:rPr>
        <w:br w:type="textWrapping"/>
      </w:r>
      <w:r>
        <w:rPr>
          <w:rFonts w:hint="eastAsia" w:ascii="仿宋_GB2312" w:eastAsia="仿宋_GB2312" w:cs="仿宋_GB2312"/>
          <w:sz w:val="32"/>
          <w:szCs w:val="32"/>
        </w:rPr>
        <w:t>　　</w:t>
      </w:r>
      <w:r>
        <w:rPr>
          <w:rFonts w:hint="eastAsia" w:ascii="方正仿宋_GBK" w:hAnsi="方正仿宋_GBK" w:eastAsia="方正仿宋_GBK" w:cs="方正仿宋_GBK"/>
          <w:color w:val="000000"/>
          <w:kern w:val="0"/>
          <w:sz w:val="31"/>
          <w:szCs w:val="31"/>
        </w:rPr>
        <w:t>公用经费支出合计</w:t>
      </w:r>
      <w:r>
        <w:rPr>
          <w:rFonts w:hint="eastAsia" w:ascii="方正仿宋_GBK" w:hAnsi="方正仿宋_GBK" w:eastAsia="方正仿宋_GBK" w:cs="方正仿宋_GBK"/>
          <w:color w:val="000000"/>
          <w:kern w:val="0"/>
          <w:sz w:val="31"/>
          <w:szCs w:val="31"/>
          <w:lang w:val="en-US" w:eastAsia="zh-CN"/>
        </w:rPr>
        <w:t>168.14万</w:t>
      </w:r>
      <w:r>
        <w:rPr>
          <w:rFonts w:hint="eastAsia" w:ascii="方正仿宋_GBK" w:hAnsi="方正仿宋_GBK" w:eastAsia="方正仿宋_GBK" w:cs="方正仿宋_GBK"/>
          <w:color w:val="000000"/>
          <w:kern w:val="0"/>
          <w:sz w:val="31"/>
          <w:szCs w:val="31"/>
        </w:rPr>
        <w:t>元，主要包括：办公费</w:t>
      </w:r>
      <w:r>
        <w:rPr>
          <w:rFonts w:hint="eastAsia" w:ascii="方正仿宋_GBK" w:hAnsi="方正仿宋_GBK" w:eastAsia="方正仿宋_GBK" w:cs="方正仿宋_GBK"/>
          <w:color w:val="000000"/>
          <w:kern w:val="0"/>
          <w:sz w:val="31"/>
          <w:szCs w:val="31"/>
          <w:lang w:val="en-US" w:eastAsia="zh-CN"/>
        </w:rPr>
        <w:t>、电费、邮电费、</w:t>
      </w:r>
      <w:r>
        <w:rPr>
          <w:rFonts w:hint="eastAsia" w:ascii="方正仿宋_GBK" w:hAnsi="方正仿宋_GBK" w:eastAsia="方正仿宋_GBK" w:cs="方正仿宋_GBK"/>
          <w:color w:val="000000"/>
          <w:kern w:val="0"/>
          <w:sz w:val="31"/>
          <w:szCs w:val="31"/>
        </w:rPr>
        <w:t>差旅费、</w:t>
      </w:r>
      <w:r>
        <w:rPr>
          <w:rFonts w:hint="eastAsia" w:ascii="方正仿宋_GBK" w:hAnsi="方正仿宋_GBK" w:eastAsia="方正仿宋_GBK" w:cs="方正仿宋_GBK"/>
          <w:color w:val="000000"/>
          <w:kern w:val="0"/>
          <w:sz w:val="31"/>
          <w:szCs w:val="31"/>
          <w:lang w:val="en-US" w:eastAsia="zh-CN"/>
        </w:rPr>
        <w:t>会议</w:t>
      </w:r>
      <w:r>
        <w:rPr>
          <w:rFonts w:hint="eastAsia" w:ascii="方正仿宋_GBK" w:hAnsi="方正仿宋_GBK" w:eastAsia="方正仿宋_GBK" w:cs="方正仿宋_GBK"/>
          <w:color w:val="000000"/>
          <w:kern w:val="0"/>
          <w:sz w:val="31"/>
          <w:szCs w:val="31"/>
        </w:rPr>
        <w:t>费、</w:t>
      </w:r>
      <w:r>
        <w:rPr>
          <w:rFonts w:hint="eastAsia" w:ascii="方正仿宋_GBK" w:hAnsi="方正仿宋_GBK" w:eastAsia="方正仿宋_GBK" w:cs="方正仿宋_GBK"/>
          <w:color w:val="000000"/>
          <w:kern w:val="0"/>
          <w:sz w:val="31"/>
          <w:szCs w:val="31"/>
          <w:lang w:val="en-US" w:eastAsia="zh-CN"/>
        </w:rPr>
        <w:t>培训费、公务接待费、劳务费、福利费</w:t>
      </w:r>
      <w:r>
        <w:rPr>
          <w:rFonts w:hint="eastAsia" w:ascii="方正仿宋_GBK" w:hAnsi="方正仿宋_GBK" w:eastAsia="方正仿宋_GBK" w:cs="方正仿宋_GBK"/>
          <w:color w:val="000000"/>
          <w:kern w:val="0"/>
          <w:sz w:val="31"/>
          <w:szCs w:val="31"/>
        </w:rPr>
        <w:t>、</w:t>
      </w:r>
      <w:r>
        <w:rPr>
          <w:rFonts w:hint="eastAsia" w:ascii="方正仿宋_GBK" w:hAnsi="方正仿宋_GBK" w:eastAsia="方正仿宋_GBK" w:cs="方正仿宋_GBK"/>
          <w:color w:val="000000"/>
          <w:kern w:val="0"/>
          <w:sz w:val="31"/>
          <w:szCs w:val="31"/>
          <w:lang w:val="en-US" w:eastAsia="zh-CN"/>
        </w:rPr>
        <w:t>公务用车运行维护费、其他交通费、</w:t>
      </w:r>
      <w:r>
        <w:rPr>
          <w:rFonts w:hint="eastAsia" w:ascii="仿宋_GB2312" w:eastAsia="仿宋_GB2312" w:cs="仿宋_GB2312"/>
          <w:sz w:val="32"/>
          <w:szCs w:val="32"/>
        </w:rPr>
        <w:t>其他商品和服务支出</w:t>
      </w:r>
      <w:r>
        <w:rPr>
          <w:rFonts w:hint="eastAsia" w:ascii="仿宋_GB2312" w:eastAsia="仿宋_GB2312" w:cs="仿宋_GB2312"/>
          <w:sz w:val="32"/>
          <w:szCs w:val="32"/>
          <w:lang w:eastAsia="zh-CN"/>
        </w:rPr>
        <w:t>、</w:t>
      </w:r>
      <w:r>
        <w:rPr>
          <w:rFonts w:hint="eastAsia" w:ascii="方正仿宋_GBK" w:hAnsi="方正仿宋_GBK" w:eastAsia="方正仿宋_GBK" w:cs="方正仿宋_GBK"/>
          <w:color w:val="000000"/>
          <w:kern w:val="0"/>
          <w:sz w:val="31"/>
          <w:szCs w:val="31"/>
          <w:lang w:val="en-US" w:eastAsia="zh-CN"/>
        </w:rPr>
        <w:t>生活补助、办公设备购置、公务用车购置费、</w:t>
      </w:r>
      <w:r>
        <w:rPr>
          <w:rFonts w:hint="eastAsia" w:ascii="仿宋_GB2312" w:eastAsia="仿宋_GB2312" w:cs="仿宋_GB2312"/>
          <w:sz w:val="32"/>
          <w:szCs w:val="32"/>
        </w:rPr>
        <w:t>其他资本性支出</w:t>
      </w:r>
      <w:r>
        <w:rPr>
          <w:rFonts w:hint="eastAsia" w:ascii="方正仿宋_GBK" w:hAnsi="方正仿宋_GBK" w:eastAsia="方正仿宋_GBK" w:cs="方正仿宋_GBK"/>
          <w:color w:val="000000"/>
          <w:kern w:val="0"/>
          <w:sz w:val="31"/>
          <w:szCs w:val="31"/>
          <w:lang w:val="en-US" w:eastAsia="zh-CN"/>
        </w:rPr>
        <w:t>等。</w:t>
      </w:r>
    </w:p>
    <w:p w14:paraId="32745BD3">
      <w:pPr>
        <w:spacing w:line="576" w:lineRule="exact"/>
        <w:ind w:firstLine="640"/>
        <w:outlineLvl w:val="1"/>
        <w:rPr>
          <w:rStyle w:val="25"/>
          <w:rFonts w:ascii="黑体" w:eastAsia="黑体"/>
          <w:b w:val="0"/>
        </w:rPr>
      </w:pPr>
      <w:bookmarkStart w:id="36" w:name="_Toc15396609"/>
      <w:bookmarkStart w:id="37" w:name="_Toc15377215"/>
      <w:r>
        <w:rPr>
          <w:rFonts w:hint="eastAsia" w:ascii="黑体" w:eastAsia="黑体"/>
          <w:sz w:val="32"/>
          <w:szCs w:val="32"/>
        </w:rPr>
        <w:t>七、</w:t>
      </w:r>
      <w:r>
        <w:rPr>
          <w:rStyle w:val="25"/>
          <w:rFonts w:hint="eastAsia" w:ascii="黑体" w:eastAsia="黑体"/>
          <w:b w:val="0"/>
        </w:rPr>
        <w:t>财政拨款</w:t>
      </w:r>
      <w:r>
        <w:rPr>
          <w:rStyle w:val="25"/>
          <w:rFonts w:hint="eastAsia" w:ascii="黑体" w:eastAsia="黑体"/>
        </w:rPr>
        <w:t>“</w:t>
      </w:r>
      <w:r>
        <w:rPr>
          <w:rStyle w:val="25"/>
          <w:rFonts w:hint="eastAsia" w:ascii="黑体" w:eastAsia="黑体"/>
          <w:b w:val="0"/>
        </w:rPr>
        <w:t>三公”经费支出决算情况说明</w:t>
      </w:r>
      <w:bookmarkEnd w:id="36"/>
      <w:bookmarkEnd w:id="37"/>
    </w:p>
    <w:p w14:paraId="294F9DB3">
      <w:pPr>
        <w:spacing w:line="576" w:lineRule="exact"/>
        <w:ind w:firstLine="640"/>
        <w:outlineLvl w:val="2"/>
        <w:rPr>
          <w:rFonts w:ascii="楷体_GB2312" w:eastAsia="楷体_GB2312" w:cs="楷体_GB2312"/>
          <w:b/>
          <w:sz w:val="32"/>
          <w:szCs w:val="32"/>
        </w:rPr>
      </w:pPr>
      <w:bookmarkStart w:id="38" w:name="_Toc15377216"/>
      <w:r>
        <w:rPr>
          <w:rFonts w:hint="eastAsia" w:ascii="楷体_GB2312" w:eastAsia="楷体_GB2312" w:cs="楷体_GB2312"/>
          <w:b/>
          <w:sz w:val="32"/>
          <w:szCs w:val="32"/>
        </w:rPr>
        <w:t>（一）“三公”经费财政拨款支出决算总体情况说明</w:t>
      </w:r>
      <w:bookmarkEnd w:id="38"/>
    </w:p>
    <w:p w14:paraId="1D7F4BEC">
      <w:pPr>
        <w:spacing w:line="600" w:lineRule="exact"/>
        <w:ind w:firstLine="640"/>
        <w:rPr>
          <w:rFonts w:ascii="方正仿宋_GBK" w:hAnsi="方正仿宋_GBK" w:eastAsia="方正仿宋_GBK" w:cs="方正仿宋_GBK"/>
          <w:b/>
          <w:bCs/>
          <w:color w:val="000000"/>
          <w:kern w:val="0"/>
          <w:sz w:val="31"/>
          <w:szCs w:val="31"/>
        </w:rPr>
      </w:pPr>
      <w:bookmarkStart w:id="39" w:name="_Toc15377217"/>
      <w:r>
        <w:rPr>
          <w:rFonts w:ascii="仿宋" w:eastAsia="仿宋"/>
          <w:sz w:val="32"/>
          <w:szCs w:val="32"/>
        </w:rPr>
        <w:t>202</w:t>
      </w:r>
      <w:r>
        <w:rPr>
          <w:rFonts w:hint="eastAsia" w:ascii="仿宋" w:eastAsia="仿宋"/>
          <w:sz w:val="32"/>
          <w:szCs w:val="32"/>
          <w:lang w:val="en-US" w:eastAsia="zh-CN"/>
        </w:rPr>
        <w:t>5</w:t>
      </w:r>
      <w:r>
        <w:rPr>
          <w:rFonts w:hint="eastAsia" w:ascii="仿宋" w:eastAsia="仿宋"/>
          <w:sz w:val="32"/>
          <w:szCs w:val="32"/>
        </w:rPr>
        <w:t>年“三公”经费财政拨款支出决算为</w:t>
      </w:r>
      <w:r>
        <w:rPr>
          <w:rFonts w:hint="eastAsia" w:ascii="仿宋" w:eastAsia="仿宋"/>
          <w:sz w:val="32"/>
          <w:szCs w:val="32"/>
          <w:lang w:val="en-US" w:eastAsia="zh-CN"/>
        </w:rPr>
        <w:t>23.56</w:t>
      </w:r>
      <w:r>
        <w:rPr>
          <w:rFonts w:hint="eastAsia" w:ascii="仿宋" w:eastAsia="仿宋"/>
          <w:sz w:val="32"/>
          <w:szCs w:val="32"/>
        </w:rPr>
        <w:t>万元，完成预算</w:t>
      </w:r>
      <w:r>
        <w:rPr>
          <w:rFonts w:ascii="仿宋" w:eastAsia="仿宋"/>
          <w:sz w:val="32"/>
          <w:szCs w:val="32"/>
        </w:rPr>
        <w:t>100%</w:t>
      </w:r>
      <w:r>
        <w:rPr>
          <w:rFonts w:hint="eastAsia" w:ascii="仿宋" w:eastAsia="仿宋"/>
          <w:sz w:val="32"/>
          <w:szCs w:val="32"/>
        </w:rPr>
        <w:t>，</w:t>
      </w:r>
      <w:r>
        <w:rPr>
          <w:rFonts w:hint="eastAsia" w:ascii="方正仿宋_GBK" w:hAnsi="方正仿宋_GBK" w:eastAsia="方正仿宋_GBK" w:cs="方正仿宋_GBK"/>
          <w:color w:val="000000"/>
          <w:kern w:val="0"/>
          <w:sz w:val="31"/>
          <w:szCs w:val="31"/>
        </w:rPr>
        <w:t>与上年度相比</w:t>
      </w:r>
      <w:r>
        <w:rPr>
          <w:rFonts w:hint="eastAsia" w:ascii="方正仿宋_GBK" w:hAnsi="方正仿宋_GBK" w:eastAsia="方正仿宋_GBK" w:cs="方正仿宋_GBK"/>
          <w:color w:val="000000"/>
          <w:kern w:val="0"/>
          <w:sz w:val="31"/>
          <w:szCs w:val="31"/>
          <w:lang w:val="en-US" w:eastAsia="zh-CN"/>
        </w:rPr>
        <w:t>增加23.56万元</w:t>
      </w:r>
      <w:r>
        <w:rPr>
          <w:rFonts w:hint="eastAsia" w:ascii="仿宋" w:eastAsia="仿宋"/>
          <w:sz w:val="32"/>
          <w:szCs w:val="32"/>
        </w:rPr>
        <w:t>。与预算数</w:t>
      </w:r>
      <w:r>
        <w:rPr>
          <w:rFonts w:hint="eastAsia" w:ascii="仿宋" w:eastAsia="仿宋"/>
          <w:sz w:val="32"/>
          <w:szCs w:val="32"/>
          <w:lang w:val="en-US" w:eastAsia="zh-CN"/>
        </w:rPr>
        <w:t>对比</w:t>
      </w:r>
      <w:r>
        <w:rPr>
          <w:rFonts w:hint="eastAsia" w:ascii="仿宋" w:eastAsia="仿宋"/>
          <w:sz w:val="32"/>
          <w:szCs w:val="32"/>
        </w:rPr>
        <w:t>的</w:t>
      </w:r>
      <w:r>
        <w:rPr>
          <w:rFonts w:hint="eastAsia" w:ascii="仿宋_GB2312" w:eastAsia="仿宋_GB2312" w:cs="仿宋_GB2312"/>
          <w:sz w:val="32"/>
          <w:szCs w:val="32"/>
        </w:rPr>
        <w:t>主要原因为</w:t>
      </w:r>
      <w:r>
        <w:rPr>
          <w:rFonts w:hint="eastAsia" w:ascii="方正仿宋_GBK" w:hAnsi="方正仿宋_GBK" w:eastAsia="方正仿宋_GBK" w:cs="方正仿宋_GBK"/>
          <w:color w:val="000000"/>
          <w:kern w:val="0"/>
          <w:sz w:val="31"/>
          <w:szCs w:val="31"/>
        </w:rPr>
        <w:t>2024年度</w:t>
      </w:r>
      <w:r>
        <w:rPr>
          <w:rFonts w:hint="eastAsia" w:ascii="方正仿宋_GBK" w:hAnsi="方正仿宋_GBK" w:eastAsia="方正仿宋_GBK" w:cs="方正仿宋_GBK"/>
          <w:color w:val="000000"/>
          <w:kern w:val="0"/>
          <w:sz w:val="31"/>
          <w:szCs w:val="31"/>
          <w:lang w:val="en-US" w:eastAsia="zh-CN"/>
        </w:rPr>
        <w:t>我部为新成立单位，2024年无预算，2025年1月纳入预算单位，与预算数持平。</w:t>
      </w:r>
    </w:p>
    <w:p w14:paraId="32D3270D">
      <w:pPr>
        <w:spacing w:line="600" w:lineRule="exact"/>
        <w:ind w:firstLine="640"/>
        <w:rPr>
          <w:rFonts w:ascii="仿宋_GB2312" w:eastAsia="仿宋_GB2312" w:cs="仿宋_GB2312"/>
          <w:b/>
          <w:sz w:val="32"/>
          <w:szCs w:val="32"/>
        </w:rPr>
      </w:pPr>
      <w:r>
        <w:rPr>
          <w:rFonts w:hint="eastAsia" w:ascii="楷体_GB2312" w:eastAsia="楷体_GB2312" w:cs="楷体_GB2312"/>
          <w:b/>
          <w:sz w:val="32"/>
          <w:szCs w:val="32"/>
        </w:rPr>
        <w:t>（二）“三公”经费财政拨款支出决算具体情况说明</w:t>
      </w:r>
      <w:bookmarkEnd w:id="39"/>
    </w:p>
    <w:p w14:paraId="614677C7">
      <w:pPr>
        <w:spacing w:line="600" w:lineRule="exact"/>
        <w:ind w:firstLine="640"/>
        <w:rPr>
          <w:rFonts w:hint="eastAsia" w:ascii="仿宋" w:eastAsia="仿宋"/>
          <w:sz w:val="32"/>
          <w:szCs w:val="32"/>
        </w:rPr>
      </w:pPr>
      <w:r>
        <w:rPr>
          <w:rFonts w:ascii="仿宋" w:eastAsia="仿宋"/>
          <w:sz w:val="32"/>
          <w:szCs w:val="32"/>
        </w:rPr>
        <w:t>202</w:t>
      </w:r>
      <w:r>
        <w:rPr>
          <w:rFonts w:hint="eastAsia" w:ascii="仿宋" w:eastAsia="仿宋"/>
          <w:sz w:val="32"/>
          <w:szCs w:val="32"/>
          <w:lang w:val="en-US" w:eastAsia="zh-CN"/>
        </w:rPr>
        <w:t>5</w:t>
      </w:r>
      <w:r>
        <w:rPr>
          <w:rFonts w:hint="eastAsia" w:ascii="仿宋" w:eastAsia="仿宋"/>
          <w:sz w:val="32"/>
          <w:szCs w:val="32"/>
        </w:rPr>
        <w:t>年“三公”经费财政拨款支出决算中，因公出国（境）费支出决算</w:t>
      </w:r>
      <w:r>
        <w:rPr>
          <w:rFonts w:hint="eastAsia" w:ascii="仿宋" w:eastAsia="仿宋"/>
          <w:sz w:val="32"/>
          <w:szCs w:val="32"/>
          <w:lang w:val="en-US" w:eastAsia="zh-CN"/>
        </w:rPr>
        <w:t>0</w:t>
      </w:r>
      <w:r>
        <w:rPr>
          <w:rFonts w:hint="eastAsia" w:ascii="仿宋" w:eastAsia="仿宋"/>
          <w:sz w:val="32"/>
          <w:szCs w:val="32"/>
        </w:rPr>
        <w:t>万元，</w:t>
      </w:r>
      <w:r>
        <w:rPr>
          <w:rFonts w:hint="eastAsia" w:ascii="仿宋" w:eastAsia="仿宋"/>
          <w:sz w:val="32"/>
          <w:szCs w:val="32"/>
          <w:lang w:val="en-US" w:eastAsia="zh-CN"/>
        </w:rPr>
        <w:t>占</w:t>
      </w:r>
      <w:r>
        <w:rPr>
          <w:rFonts w:ascii="仿宋" w:eastAsia="仿宋"/>
          <w:sz w:val="32"/>
          <w:szCs w:val="32"/>
        </w:rPr>
        <w:t>0%</w:t>
      </w:r>
      <w:r>
        <w:rPr>
          <w:rFonts w:hint="eastAsia" w:ascii="仿宋" w:eastAsia="仿宋"/>
          <w:sz w:val="32"/>
          <w:szCs w:val="32"/>
        </w:rPr>
        <w:t>；公务用车购置及运行维护费支出决算</w:t>
      </w:r>
      <w:r>
        <w:rPr>
          <w:rFonts w:hint="eastAsia" w:ascii="仿宋" w:eastAsia="仿宋"/>
          <w:sz w:val="32"/>
          <w:szCs w:val="32"/>
          <w:lang w:val="en-US" w:eastAsia="zh-CN"/>
        </w:rPr>
        <w:t>23.31</w:t>
      </w:r>
      <w:r>
        <w:rPr>
          <w:rFonts w:hint="eastAsia" w:ascii="仿宋" w:eastAsia="仿宋"/>
          <w:sz w:val="32"/>
          <w:szCs w:val="32"/>
        </w:rPr>
        <w:t>万元，占</w:t>
      </w:r>
      <w:r>
        <w:rPr>
          <w:rFonts w:hint="eastAsia" w:ascii="仿宋" w:eastAsia="仿宋"/>
          <w:sz w:val="32"/>
          <w:szCs w:val="32"/>
          <w:lang w:val="en-US" w:eastAsia="zh-CN"/>
        </w:rPr>
        <w:t>100</w:t>
      </w:r>
      <w:r>
        <w:rPr>
          <w:rFonts w:ascii="仿宋" w:eastAsia="仿宋"/>
          <w:sz w:val="32"/>
          <w:szCs w:val="32"/>
        </w:rPr>
        <w:t>%</w:t>
      </w:r>
      <w:r>
        <w:rPr>
          <w:rFonts w:hint="eastAsia" w:ascii="仿宋" w:eastAsia="仿宋"/>
          <w:sz w:val="32"/>
          <w:szCs w:val="32"/>
        </w:rPr>
        <w:t>；公务接待费支出决算</w:t>
      </w:r>
      <w:r>
        <w:rPr>
          <w:rFonts w:hint="eastAsia" w:ascii="仿宋" w:eastAsia="仿宋"/>
          <w:sz w:val="32"/>
          <w:szCs w:val="32"/>
          <w:lang w:val="en-US" w:eastAsia="zh-CN"/>
        </w:rPr>
        <w:t>0.25</w:t>
      </w:r>
      <w:r>
        <w:rPr>
          <w:rFonts w:hint="eastAsia" w:ascii="仿宋" w:eastAsia="仿宋"/>
          <w:sz w:val="32"/>
          <w:szCs w:val="32"/>
        </w:rPr>
        <w:t>万元，</w:t>
      </w:r>
      <w:r>
        <w:rPr>
          <w:rFonts w:hint="eastAsia" w:ascii="仿宋" w:eastAsia="仿宋"/>
          <w:sz w:val="32"/>
          <w:szCs w:val="32"/>
          <w:lang w:val="en-US" w:eastAsia="zh-CN"/>
        </w:rPr>
        <w:t>占10</w:t>
      </w:r>
      <w:r>
        <w:rPr>
          <w:rFonts w:ascii="仿宋" w:eastAsia="仿宋"/>
          <w:sz w:val="32"/>
          <w:szCs w:val="32"/>
        </w:rPr>
        <w:t>0%</w:t>
      </w:r>
      <w:r>
        <w:rPr>
          <w:rFonts w:hint="eastAsia" w:ascii="仿宋" w:eastAsia="仿宋"/>
          <w:sz w:val="32"/>
          <w:szCs w:val="32"/>
        </w:rPr>
        <w:t>。具体情况如下：</w:t>
      </w:r>
    </w:p>
    <w:p w14:paraId="0895D37B">
      <w:pPr>
        <w:pStyle w:val="22"/>
        <w:jc w:val="center"/>
        <w:rPr>
          <w:rFonts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object>
          <v:shape id="_x0000_i1030" o:spt="75" type="#_x0000_t75" style="height:171.05pt;width:390.55pt;" o:ole="t" filled="f" o:preferrelative="t" stroked="f" coordsize="21600,21600">
            <v:path/>
            <v:fill on="f" focussize="0,0"/>
            <v:stroke on="f"/>
            <v:imagedata r:id="rId20" o:title=""/>
            <o:lock v:ext="edit" aspectratio="t"/>
            <w10:wrap type="none"/>
            <w10:anchorlock/>
          </v:shape>
          <o:OLEObject Type="Embed" ProgID="Excel.Chart.8" ShapeID="_x0000_i1030" DrawAspect="Content" ObjectID="_1468075731" r:id="rId19">
            <o:LockedField>false</o:LockedField>
          </o:OLEObject>
        </w:object>
      </w:r>
    </w:p>
    <w:p w14:paraId="66F56903">
      <w:pPr>
        <w:wordWrap/>
        <w:snapToGrid/>
        <w:spacing w:beforeAutospacing="0" w:afterAutospacing="0" w:line="576" w:lineRule="exact"/>
        <w:ind w:firstLine="64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（图7：“三公”经费财政拨款支出结构）</w:t>
      </w:r>
    </w:p>
    <w:p w14:paraId="60E91BB5">
      <w:pPr>
        <w:pStyle w:val="22"/>
        <w:rPr>
          <w:rFonts w:hint="eastAsia" w:ascii="Times New Roman" w:hAnsi="Times New Roman" w:eastAsia="宋体" w:cs="Times New Roman"/>
          <w:kern w:val="2"/>
          <w:sz w:val="21"/>
          <w:szCs w:val="24"/>
          <w:lang w:val="en-US" w:eastAsia="zh-CN" w:bidi="ar-SA"/>
        </w:rPr>
      </w:pPr>
    </w:p>
    <w:p w14:paraId="1A61510B">
      <w:pPr>
        <w:spacing w:line="600" w:lineRule="exact"/>
        <w:ind w:firstLine="640"/>
        <w:rPr>
          <w:rFonts w:hint="default" w:ascii="方正仿宋_GBK" w:hAnsi="方正仿宋_GBK" w:eastAsia="仿宋_GB2312" w:cs="方正仿宋_GBK"/>
          <w:color w:val="000000"/>
          <w:kern w:val="0"/>
          <w:sz w:val="31"/>
          <w:szCs w:val="31"/>
          <w:lang w:val="en-US" w:eastAsia="zh-CN"/>
        </w:rPr>
      </w:pPr>
      <w:r>
        <w:rPr>
          <w:rFonts w:hint="eastAsia" w:ascii="仿宋_GB2312" w:eastAsia="仿宋_GB2312" w:cs="仿宋_GB2312"/>
          <w:b/>
          <w:sz w:val="32"/>
          <w:szCs w:val="32"/>
        </w:rPr>
        <w:t>1.因公出国（境）经费支出</w:t>
      </w:r>
      <w:r>
        <w:rPr>
          <w:rFonts w:hint="eastAsia" w:ascii="方正仿宋_GBK" w:hAnsi="方正仿宋_GBK" w:eastAsia="方正仿宋_GBK" w:cs="方正仿宋_GBK"/>
          <w:color w:val="000000"/>
          <w:kern w:val="0"/>
          <w:sz w:val="31"/>
          <w:szCs w:val="31"/>
        </w:rPr>
        <w:t>0万元，完成预算0%。全年安排因公出国（境）团组0次，出国（境）0人,与上年度相比无变化</w:t>
      </w:r>
      <w:r>
        <w:rPr>
          <w:rFonts w:hint="eastAsia" w:ascii="仿宋_GB2312" w:eastAsia="仿宋_GB2312" w:cs="仿宋_GB2312"/>
          <w:sz w:val="32"/>
          <w:szCs w:val="32"/>
        </w:rPr>
        <w:t>，主要原因为2024年</w:t>
      </w:r>
      <w:r>
        <w:rPr>
          <w:rFonts w:hint="eastAsia" w:ascii="仿宋_GB2312" w:eastAsia="仿宋_GB2312" w:cs="仿宋_GB2312"/>
          <w:sz w:val="32"/>
          <w:szCs w:val="32"/>
          <w:lang w:val="en-US" w:eastAsia="zh-CN"/>
        </w:rPr>
        <w:t>无</w:t>
      </w:r>
      <w:r>
        <w:rPr>
          <w:rFonts w:hint="eastAsia" w:ascii="仿宋_GB2312" w:eastAsia="仿宋_GB2312" w:cs="仿宋_GB2312"/>
          <w:sz w:val="32"/>
          <w:szCs w:val="32"/>
        </w:rPr>
        <w:t>该笔资金</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无变化。</w:t>
      </w:r>
    </w:p>
    <w:p w14:paraId="30B86CE6">
      <w:pPr>
        <w:spacing w:line="600" w:lineRule="exact"/>
        <w:ind w:firstLine="643" w:firstLineChars="200"/>
        <w:rPr>
          <w:rFonts w:ascii="方正仿宋_GBK" w:hAnsi="方正仿宋_GBK" w:eastAsia="方正仿宋_GBK" w:cs="方正仿宋_GBK"/>
          <w:color w:val="000000"/>
          <w:kern w:val="0"/>
          <w:sz w:val="31"/>
          <w:szCs w:val="31"/>
        </w:rPr>
      </w:pPr>
      <w:r>
        <w:rPr>
          <w:rFonts w:hint="eastAsia" w:ascii="仿宋_GB2312" w:eastAsia="仿宋_GB2312" w:cs="仿宋_GB2312"/>
          <w:b/>
          <w:sz w:val="32"/>
          <w:szCs w:val="32"/>
        </w:rPr>
        <w:t>2.公务用车购置及运行维护费支出</w:t>
      </w:r>
      <w:r>
        <w:rPr>
          <w:rFonts w:hint="eastAsia" w:ascii="方正仿宋_GBK" w:hAnsi="方正仿宋_GBK" w:eastAsia="方正仿宋_GBK" w:cs="方正仿宋_GBK"/>
          <w:color w:val="000000"/>
          <w:kern w:val="0"/>
          <w:sz w:val="31"/>
          <w:szCs w:val="31"/>
          <w:lang w:val="en-US" w:eastAsia="zh-CN"/>
        </w:rPr>
        <w:t>23.31</w:t>
      </w:r>
      <w:r>
        <w:rPr>
          <w:rFonts w:hint="eastAsia" w:ascii="方正仿宋_GBK" w:hAnsi="方正仿宋_GBK" w:eastAsia="方正仿宋_GBK" w:cs="方正仿宋_GBK"/>
          <w:color w:val="000000"/>
          <w:kern w:val="0"/>
          <w:sz w:val="31"/>
          <w:szCs w:val="31"/>
        </w:rPr>
        <w:t>万元,完成预算</w:t>
      </w:r>
      <w:r>
        <w:rPr>
          <w:rFonts w:hint="eastAsia" w:ascii="方正仿宋_GBK" w:hAnsi="方正仿宋_GBK" w:eastAsia="方正仿宋_GBK" w:cs="方正仿宋_GBK"/>
          <w:color w:val="000000"/>
          <w:kern w:val="0"/>
          <w:sz w:val="31"/>
          <w:szCs w:val="31"/>
          <w:lang w:val="en-US" w:eastAsia="zh-CN"/>
        </w:rPr>
        <w:t>10</w:t>
      </w:r>
      <w:r>
        <w:rPr>
          <w:rFonts w:hint="eastAsia" w:ascii="方正仿宋_GBK" w:hAnsi="方正仿宋_GBK" w:eastAsia="方正仿宋_GBK" w:cs="方正仿宋_GBK"/>
          <w:color w:val="000000"/>
          <w:kern w:val="0"/>
          <w:sz w:val="31"/>
          <w:szCs w:val="31"/>
        </w:rPr>
        <w:t>0%。</w:t>
      </w: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方正仿宋_GBK" w:hAnsi="方正仿宋_GBK" w:eastAsia="方正仿宋_GBK" w:cs="方正仿宋_GBK"/>
          <w:color w:val="000000"/>
          <w:kern w:val="0"/>
          <w:sz w:val="31"/>
          <w:szCs w:val="31"/>
          <w:lang w:val="en-US" w:eastAsia="zh-CN"/>
        </w:rPr>
        <w:t>22.78万元</w:t>
      </w:r>
      <w:r>
        <w:rPr>
          <w:rFonts w:hint="eastAsia" w:ascii="仿宋_GB2312" w:eastAsia="仿宋_GB2312"/>
          <w:b/>
          <w:sz w:val="32"/>
          <w:szCs w:val="32"/>
          <w:lang w:eastAsia="zh-CN"/>
        </w:rPr>
        <w:t>、</w:t>
      </w:r>
      <w:r>
        <w:rPr>
          <w:rFonts w:hint="eastAsia" w:ascii="仿宋_GB2312" w:eastAsia="仿宋_GB2312"/>
          <w:b/>
          <w:sz w:val="32"/>
          <w:szCs w:val="32"/>
          <w:lang w:val="en-US" w:eastAsia="zh-CN"/>
        </w:rPr>
        <w:t>公务用车运行维护费</w:t>
      </w:r>
      <w:r>
        <w:rPr>
          <w:rFonts w:hint="eastAsia" w:ascii="方正仿宋_GBK" w:hAnsi="方正仿宋_GBK" w:eastAsia="方正仿宋_GBK" w:cs="方正仿宋_GBK"/>
          <w:color w:val="000000"/>
          <w:kern w:val="0"/>
          <w:sz w:val="31"/>
          <w:szCs w:val="31"/>
          <w:lang w:val="en-US" w:eastAsia="zh-CN"/>
        </w:rPr>
        <w:t>0.53万元，全</w:t>
      </w:r>
      <w:r>
        <w:rPr>
          <w:rFonts w:hint="eastAsia" w:ascii="仿宋_GB2312" w:eastAsia="仿宋_GB2312"/>
          <w:sz w:val="32"/>
          <w:szCs w:val="32"/>
        </w:rPr>
        <w:t>年按规定更新购置公务用车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ascii="仿宋_GB2312" w:eastAsia="仿宋_GB2312"/>
          <w:sz w:val="32"/>
          <w:szCs w:val="32"/>
        </w:rPr>
        <w:t>0</w:t>
      </w:r>
      <w:r>
        <w:rPr>
          <w:rFonts w:hint="eastAsia" w:ascii="仿宋_GB2312" w:eastAsia="仿宋_GB2312"/>
          <w:sz w:val="32"/>
          <w:szCs w:val="32"/>
        </w:rPr>
        <w:t>万元，越野车</w:t>
      </w:r>
      <w:r>
        <w:rPr>
          <w:rFonts w:hint="eastAsia" w:ascii="仿宋_GB2312" w:eastAsia="仿宋_GB2312"/>
          <w:sz w:val="32"/>
          <w:szCs w:val="32"/>
          <w:lang w:val="en-US" w:eastAsia="zh-CN"/>
        </w:rPr>
        <w:t>1</w:t>
      </w:r>
      <w:r>
        <w:rPr>
          <w:rFonts w:hint="eastAsia" w:ascii="仿宋_GB2312" w:eastAsia="仿宋_GB2312"/>
          <w:sz w:val="32"/>
          <w:szCs w:val="32"/>
        </w:rPr>
        <w:t>辆、金额</w:t>
      </w:r>
      <w:r>
        <w:rPr>
          <w:rFonts w:hint="eastAsia" w:ascii="仿宋_GB2312" w:eastAsia="仿宋_GB2312"/>
          <w:sz w:val="32"/>
          <w:szCs w:val="32"/>
          <w:lang w:val="en-US" w:eastAsia="zh-CN"/>
        </w:rPr>
        <w:t>22.78</w:t>
      </w:r>
      <w:r>
        <w:rPr>
          <w:rFonts w:hint="eastAsia" w:ascii="仿宋_GB2312" w:eastAsia="仿宋_GB2312"/>
          <w:sz w:val="32"/>
          <w:szCs w:val="32"/>
        </w:rPr>
        <w:t>万元，载客汽车</w:t>
      </w:r>
      <w:r>
        <w:rPr>
          <w:rFonts w:ascii="仿宋_GB2312" w:eastAsia="仿宋_GB2312"/>
          <w:sz w:val="32"/>
          <w:szCs w:val="32"/>
        </w:rPr>
        <w:t>0</w:t>
      </w:r>
      <w:r>
        <w:rPr>
          <w:rFonts w:hint="eastAsia" w:ascii="仿宋_GB2312" w:eastAsia="仿宋_GB2312"/>
          <w:sz w:val="32"/>
          <w:szCs w:val="32"/>
        </w:rPr>
        <w:t>辆、金额</w:t>
      </w:r>
      <w:r>
        <w:rPr>
          <w:rFonts w:ascii="仿宋_GB2312" w:eastAsia="仿宋_GB2312"/>
          <w:sz w:val="32"/>
          <w:szCs w:val="32"/>
        </w:rPr>
        <w:t>0</w:t>
      </w:r>
      <w:r>
        <w:rPr>
          <w:rFonts w:hint="eastAsia" w:ascii="仿宋_GB2312" w:eastAsia="仿宋_GB2312"/>
          <w:sz w:val="32"/>
          <w:szCs w:val="32"/>
        </w:rPr>
        <w:t>万元。截至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hint="eastAsia" w:ascii="仿宋_GB2312" w:eastAsia="仿宋_GB2312"/>
          <w:sz w:val="32"/>
          <w:szCs w:val="32"/>
          <w:lang w:val="en-US" w:eastAsia="zh-CN"/>
        </w:rPr>
        <w:t>31日</w:t>
      </w:r>
      <w:r>
        <w:rPr>
          <w:rFonts w:hint="eastAsia" w:ascii="仿宋_GB2312" w:eastAsia="仿宋_GB2312"/>
          <w:sz w:val="32"/>
          <w:szCs w:val="32"/>
        </w:rPr>
        <w:t>，单位共有公务用车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ascii="仿宋_GB2312" w:eastAsia="仿宋_GB2312"/>
          <w:sz w:val="32"/>
          <w:szCs w:val="32"/>
        </w:rPr>
        <w:t>0</w:t>
      </w:r>
      <w:r>
        <w:rPr>
          <w:rFonts w:hint="eastAsia" w:ascii="仿宋_GB2312" w:eastAsia="仿宋_GB2312"/>
          <w:sz w:val="32"/>
          <w:szCs w:val="32"/>
        </w:rPr>
        <w:t>辆、越野车</w:t>
      </w:r>
      <w:r>
        <w:rPr>
          <w:rFonts w:hint="eastAsia" w:ascii="仿宋_GB2312" w:eastAsia="仿宋_GB2312"/>
          <w:sz w:val="32"/>
          <w:szCs w:val="32"/>
          <w:lang w:val="en-US" w:eastAsia="zh-CN"/>
        </w:rPr>
        <w:t>1</w:t>
      </w:r>
      <w:r>
        <w:rPr>
          <w:rFonts w:hint="eastAsia" w:ascii="仿宋_GB2312" w:eastAsia="仿宋_GB2312"/>
          <w:sz w:val="32"/>
          <w:szCs w:val="32"/>
        </w:rPr>
        <w:t>辆、载客汽车</w:t>
      </w:r>
      <w:r>
        <w:rPr>
          <w:rFonts w:ascii="仿宋_GB2312" w:eastAsia="仿宋_GB2312"/>
          <w:sz w:val="32"/>
          <w:szCs w:val="32"/>
        </w:rPr>
        <w:t>0</w:t>
      </w:r>
      <w:r>
        <w:rPr>
          <w:rFonts w:hint="eastAsia" w:ascii="仿宋_GB2312" w:eastAsia="仿宋_GB2312"/>
          <w:sz w:val="32"/>
          <w:szCs w:val="32"/>
        </w:rPr>
        <w:t>辆</w:t>
      </w:r>
      <w:r>
        <w:rPr>
          <w:rFonts w:ascii="仿宋_GB2312" w:eastAsia="仿宋_GB2312"/>
          <w:sz w:val="32"/>
          <w:szCs w:val="32"/>
        </w:rPr>
        <w:t>、消防车0</w:t>
      </w:r>
      <w:r>
        <w:rPr>
          <w:rFonts w:hint="eastAsia" w:ascii="仿宋_GB2312" w:eastAsia="仿宋_GB2312"/>
          <w:sz w:val="32"/>
          <w:szCs w:val="32"/>
        </w:rPr>
        <w:t>辆。</w:t>
      </w:r>
    </w:p>
    <w:p w14:paraId="0077CC7F">
      <w:pPr>
        <w:spacing w:line="600" w:lineRule="exact"/>
        <w:ind w:firstLine="640"/>
        <w:rPr>
          <w:rFonts w:hint="eastAsia" w:ascii="方正仿宋_GBK" w:hAnsi="方正仿宋_GBK" w:eastAsia="方正仿宋_GBK" w:cs="方正仿宋_GBK"/>
          <w:color w:val="000000"/>
          <w:kern w:val="0"/>
          <w:sz w:val="31"/>
          <w:szCs w:val="31"/>
          <w:lang w:eastAsia="zh-CN"/>
        </w:rPr>
      </w:pPr>
      <w:bookmarkStart w:id="40" w:name="_Toc15396610"/>
      <w:bookmarkStart w:id="41" w:name="_Toc15377218"/>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b/>
          <w:sz w:val="32"/>
          <w:szCs w:val="32"/>
          <w:lang w:val="en-US" w:eastAsia="zh-CN"/>
        </w:rPr>
        <w:t>0.25</w:t>
      </w:r>
      <w:r>
        <w:rPr>
          <w:rFonts w:hint="eastAsia" w:ascii="方正仿宋_GBK" w:hAnsi="方正仿宋_GBK" w:eastAsia="方正仿宋_GBK" w:cs="方正仿宋_GBK"/>
          <w:color w:val="000000"/>
          <w:kern w:val="0"/>
          <w:sz w:val="31"/>
          <w:szCs w:val="31"/>
        </w:rPr>
        <w:t>万元，</w:t>
      </w:r>
      <w:r>
        <w:rPr>
          <w:rStyle w:val="20"/>
          <w:rFonts w:hint="eastAsia" w:ascii="仿宋" w:eastAsia="仿宋"/>
          <w:b w:val="0"/>
          <w:bCs/>
          <w:sz w:val="32"/>
          <w:szCs w:val="32"/>
        </w:rPr>
        <w:t>完成预算</w:t>
      </w:r>
      <w:r>
        <w:rPr>
          <w:rStyle w:val="20"/>
          <w:rFonts w:hint="eastAsia" w:ascii="仿宋" w:eastAsia="仿宋"/>
          <w:b w:val="0"/>
          <w:bCs/>
          <w:sz w:val="32"/>
          <w:szCs w:val="32"/>
          <w:lang w:val="en-US" w:eastAsia="zh-CN"/>
        </w:rPr>
        <w:t>0</w:t>
      </w:r>
      <w:r>
        <w:rPr>
          <w:rStyle w:val="20"/>
          <w:rFonts w:ascii="仿宋" w:eastAsia="仿宋"/>
          <w:b w:val="0"/>
          <w:bCs/>
          <w:sz w:val="32"/>
          <w:szCs w:val="32"/>
        </w:rPr>
        <w:t>%</w:t>
      </w:r>
      <w:r>
        <w:rPr>
          <w:rStyle w:val="20"/>
          <w:rFonts w:hint="eastAsia" w:ascii="仿宋" w:eastAsia="仿宋"/>
          <w:b w:val="0"/>
          <w:bCs/>
          <w:sz w:val="32"/>
          <w:szCs w:val="32"/>
        </w:rPr>
        <w:t>。</w:t>
      </w:r>
      <w:r>
        <w:rPr>
          <w:rFonts w:hint="eastAsia" w:ascii="仿宋_GB2312" w:eastAsia="仿宋_GB2312"/>
          <w:sz w:val="32"/>
          <w:szCs w:val="32"/>
        </w:rPr>
        <w:t>公务接待费</w:t>
      </w:r>
      <w:r>
        <w:rPr>
          <w:rFonts w:hint="eastAsia" w:ascii="方正仿宋_GBK" w:hAnsi="方正仿宋_GBK" w:eastAsia="方正仿宋_GBK" w:cs="方正仿宋_GBK"/>
          <w:color w:val="000000"/>
          <w:kern w:val="0"/>
          <w:sz w:val="31"/>
          <w:szCs w:val="31"/>
        </w:rPr>
        <w:t>与上年度相比</w:t>
      </w:r>
      <w:r>
        <w:rPr>
          <w:rFonts w:hint="eastAsia" w:ascii="方正仿宋_GBK" w:hAnsi="方正仿宋_GBK" w:eastAsia="方正仿宋_GBK" w:cs="方正仿宋_GBK"/>
          <w:color w:val="000000"/>
          <w:kern w:val="0"/>
          <w:sz w:val="31"/>
          <w:szCs w:val="31"/>
          <w:lang w:val="en-US" w:eastAsia="zh-CN"/>
        </w:rPr>
        <w:t>增加0.25万元</w:t>
      </w:r>
      <w:r>
        <w:rPr>
          <w:rFonts w:hint="eastAsia" w:ascii="仿宋" w:eastAsia="仿宋"/>
          <w:sz w:val="32"/>
          <w:szCs w:val="32"/>
        </w:rPr>
        <w:t>。与预算数</w:t>
      </w:r>
      <w:r>
        <w:rPr>
          <w:rFonts w:hint="eastAsia" w:ascii="仿宋" w:eastAsia="仿宋"/>
          <w:sz w:val="32"/>
          <w:szCs w:val="32"/>
          <w:lang w:val="en-US" w:eastAsia="zh-CN"/>
        </w:rPr>
        <w:t>对比</w:t>
      </w:r>
      <w:r>
        <w:rPr>
          <w:rFonts w:hint="eastAsia" w:ascii="仿宋" w:eastAsia="仿宋"/>
          <w:sz w:val="32"/>
          <w:szCs w:val="32"/>
        </w:rPr>
        <w:t>的</w:t>
      </w:r>
      <w:r>
        <w:rPr>
          <w:rFonts w:hint="eastAsia" w:ascii="仿宋_GB2312" w:eastAsia="仿宋_GB2312" w:cs="仿宋_GB2312"/>
          <w:sz w:val="32"/>
          <w:szCs w:val="32"/>
        </w:rPr>
        <w:t>主要原因为</w:t>
      </w:r>
      <w:r>
        <w:rPr>
          <w:rFonts w:hint="eastAsia" w:ascii="方正仿宋_GBK" w:hAnsi="方正仿宋_GBK" w:eastAsia="方正仿宋_GBK" w:cs="方正仿宋_GBK"/>
          <w:color w:val="000000"/>
          <w:kern w:val="0"/>
          <w:sz w:val="31"/>
          <w:szCs w:val="31"/>
        </w:rPr>
        <w:t>2024年度</w:t>
      </w:r>
      <w:r>
        <w:rPr>
          <w:rFonts w:hint="eastAsia" w:ascii="方正仿宋_GBK" w:hAnsi="方正仿宋_GBK" w:eastAsia="方正仿宋_GBK" w:cs="方正仿宋_GBK"/>
          <w:color w:val="000000"/>
          <w:kern w:val="0"/>
          <w:sz w:val="31"/>
          <w:szCs w:val="31"/>
          <w:lang w:val="en-US" w:eastAsia="zh-CN"/>
        </w:rPr>
        <w:t>我部为新成立单位，2024年无预算，2025年1月纳入预算单位</w:t>
      </w:r>
      <w:r>
        <w:rPr>
          <w:rFonts w:hint="eastAsia" w:ascii="方正仿宋_GBK" w:hAnsi="方正仿宋_GBK" w:eastAsia="方正仿宋_GBK" w:cs="方正仿宋_GBK"/>
          <w:color w:val="000000"/>
          <w:kern w:val="0"/>
          <w:sz w:val="31"/>
          <w:szCs w:val="31"/>
          <w:lang w:eastAsia="zh-CN"/>
        </w:rPr>
        <w:t>。</w:t>
      </w:r>
    </w:p>
    <w:p w14:paraId="0AA883F4">
      <w:pPr>
        <w:spacing w:line="600" w:lineRule="exact"/>
        <w:ind w:firstLine="640"/>
        <w:rPr>
          <w:rFonts w:hint="eastAsia" w:ascii="仿宋_GB2312" w:eastAsia="仿宋_GB2312"/>
          <w:sz w:val="32"/>
          <w:szCs w:val="32"/>
          <w:lang w:val="en-US" w:eastAsia="zh-CN"/>
        </w:rPr>
      </w:pPr>
      <w:r>
        <w:rPr>
          <w:rFonts w:hint="eastAsia" w:ascii="仿宋" w:eastAsia="仿宋"/>
          <w:b/>
          <w:sz w:val="32"/>
          <w:szCs w:val="32"/>
        </w:rPr>
        <w:t>国内公务接待支出</w:t>
      </w:r>
      <w:r>
        <w:rPr>
          <w:rFonts w:ascii="仿宋" w:eastAsia="仿宋"/>
          <w:sz w:val="32"/>
          <w:szCs w:val="32"/>
        </w:rPr>
        <w:t>0</w:t>
      </w:r>
      <w:r>
        <w:rPr>
          <w:rFonts w:hint="eastAsia" w:ascii="仿宋_GB2312" w:eastAsia="仿宋_GB2312"/>
          <w:sz w:val="32"/>
          <w:szCs w:val="32"/>
        </w:rPr>
        <w:t>万元。主要用于</w:t>
      </w:r>
      <w:r>
        <w:rPr>
          <w:rFonts w:hint="eastAsia" w:ascii="仿宋_GB2312" w:eastAsia="仿宋_GB2312"/>
          <w:sz w:val="32"/>
          <w:szCs w:val="32"/>
          <w:lang w:val="en-US" w:eastAsia="zh-CN"/>
        </w:rPr>
        <w:t>未开展</w:t>
      </w:r>
      <w:r>
        <w:rPr>
          <w:rFonts w:hint="eastAsia" w:ascii="仿宋" w:eastAsia="仿宋"/>
          <w:sz w:val="32"/>
          <w:szCs w:val="32"/>
        </w:rPr>
        <w:t>执行公务</w:t>
      </w:r>
      <w:r>
        <w:rPr>
          <w:rFonts w:hint="eastAsia" w:ascii="仿宋" w:eastAsia="仿宋"/>
          <w:sz w:val="32"/>
          <w:szCs w:val="32"/>
          <w:lang w:val="en-US" w:eastAsia="zh-CN"/>
        </w:rPr>
        <w:t>支出</w:t>
      </w:r>
      <w:r>
        <w:rPr>
          <w:rFonts w:hint="eastAsia" w:ascii="仿宋_GB2312" w:eastAsia="仿宋_GB2312"/>
          <w:sz w:val="32"/>
          <w:szCs w:val="32"/>
        </w:rPr>
        <w:t>。国内接待0批次，0人次，共计支出0万元，具体内容无。</w:t>
      </w:r>
      <w:r>
        <w:rPr>
          <w:rFonts w:hint="eastAsia" w:ascii="仿宋_GB2312" w:eastAsia="仿宋_GB2312"/>
          <w:sz w:val="32"/>
          <w:szCs w:val="32"/>
          <w:lang w:val="en-US" w:eastAsia="zh-CN"/>
        </w:rPr>
        <w:t xml:space="preserve"> </w:t>
      </w:r>
    </w:p>
    <w:p w14:paraId="33EC6C92">
      <w:pPr>
        <w:spacing w:line="600" w:lineRule="exact"/>
        <w:ind w:firstLine="640"/>
        <w:rPr>
          <w:rFonts w:hint="eastAsia" w:ascii="仿宋_GB2312" w:eastAsia="仿宋_GB2312"/>
          <w:sz w:val="32"/>
          <w:szCs w:val="32"/>
        </w:rPr>
      </w:pPr>
      <w:r>
        <w:rPr>
          <w:rFonts w:hint="eastAsia" w:ascii="仿宋" w:eastAsia="仿宋"/>
          <w:b/>
          <w:sz w:val="32"/>
          <w:szCs w:val="32"/>
        </w:rPr>
        <w:t>外事接待支出</w:t>
      </w:r>
      <w:r>
        <w:rPr>
          <w:rFonts w:ascii="仿宋" w:eastAsia="仿宋"/>
          <w:sz w:val="32"/>
          <w:szCs w:val="32"/>
        </w:rPr>
        <w:t>0</w:t>
      </w:r>
      <w:r>
        <w:rPr>
          <w:rFonts w:hint="eastAsia" w:ascii="仿宋_GB2312" w:eastAsia="仿宋_GB2312"/>
          <w:sz w:val="32"/>
          <w:szCs w:val="32"/>
        </w:rPr>
        <w:t>万元。主要用于</w:t>
      </w:r>
      <w:r>
        <w:rPr>
          <w:rFonts w:hint="eastAsia" w:ascii="仿宋_GB2312" w:eastAsia="仿宋_GB2312"/>
          <w:sz w:val="32"/>
          <w:szCs w:val="32"/>
          <w:lang w:val="en-US" w:eastAsia="zh-CN"/>
        </w:rPr>
        <w:t>无外事</w:t>
      </w:r>
      <w:r>
        <w:rPr>
          <w:rFonts w:hint="eastAsia" w:ascii="仿宋_GB2312" w:eastAsia="仿宋_GB2312"/>
          <w:sz w:val="32"/>
          <w:szCs w:val="32"/>
        </w:rPr>
        <w:t>接待</w:t>
      </w:r>
      <w:r>
        <w:rPr>
          <w:rFonts w:hint="eastAsia" w:ascii="仿宋_GB2312" w:eastAsia="仿宋_GB2312"/>
          <w:sz w:val="32"/>
          <w:szCs w:val="32"/>
          <w:lang w:val="en-US" w:eastAsia="zh-CN"/>
        </w:rPr>
        <w:t>支出</w:t>
      </w:r>
      <w:r>
        <w:rPr>
          <w:rFonts w:hint="eastAsia" w:ascii="仿宋_GB2312" w:eastAsia="仿宋_GB2312"/>
          <w:sz w:val="32"/>
          <w:szCs w:val="32"/>
        </w:rPr>
        <w:t>。外事接待0批次，0人次，共计支出0万元。</w:t>
      </w:r>
    </w:p>
    <w:p w14:paraId="47589294">
      <w:pPr>
        <w:spacing w:line="600" w:lineRule="exact"/>
        <w:ind w:firstLine="640"/>
        <w:rPr>
          <w:rStyle w:val="20"/>
          <w:rFonts w:ascii="仿宋_GB2312" w:eastAsia="仿宋_GB2312" w:cs="仿宋_GB2312"/>
          <w:b w:val="0"/>
          <w:bCs/>
          <w:sz w:val="32"/>
          <w:szCs w:val="32"/>
        </w:rPr>
      </w:pPr>
      <w:r>
        <w:rPr>
          <w:rFonts w:hint="eastAsia" w:ascii="黑体" w:eastAsia="黑体"/>
          <w:sz w:val="32"/>
          <w:szCs w:val="32"/>
        </w:rPr>
        <w:t>八、</w:t>
      </w:r>
      <w:r>
        <w:rPr>
          <w:rStyle w:val="25"/>
          <w:rFonts w:hint="eastAsia" w:ascii="黑体" w:eastAsia="黑体"/>
          <w:b w:val="0"/>
        </w:rPr>
        <w:t>政府性基金预算支出决算情况说明</w:t>
      </w:r>
      <w:bookmarkEnd w:id="40"/>
      <w:bookmarkEnd w:id="41"/>
    </w:p>
    <w:p w14:paraId="010C6B3D">
      <w:pPr>
        <w:spacing w:line="576" w:lineRule="exact"/>
        <w:ind w:firstLine="640"/>
        <w:rPr>
          <w:rFonts w:ascii="仿宋_GB2312" w:eastAsia="仿宋_GB2312"/>
          <w:sz w:val="32"/>
          <w:szCs w:val="32"/>
        </w:rPr>
      </w:pP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年政府性基金预算财政拨款支出0万元</w:t>
      </w:r>
      <w:r>
        <w:rPr>
          <w:rFonts w:hint="eastAsia" w:ascii="仿宋_GB2312" w:eastAsia="仿宋_GB2312"/>
          <w:sz w:val="32"/>
          <w:szCs w:val="32"/>
        </w:rPr>
        <w:t>。</w:t>
      </w:r>
      <w:r>
        <w:rPr>
          <w:rFonts w:hint="eastAsia" w:ascii="方正仿宋_GBK" w:hAnsi="方正仿宋_GBK" w:eastAsia="方正仿宋_GBK" w:cs="方正仿宋_GBK"/>
          <w:color w:val="000000"/>
          <w:kern w:val="0"/>
          <w:sz w:val="31"/>
          <w:szCs w:val="31"/>
          <w:lang w:val="en-US" w:eastAsia="zh-CN"/>
        </w:rPr>
        <w:t>与上年对比无变化</w:t>
      </w:r>
    </w:p>
    <w:p w14:paraId="5B124A66">
      <w:pPr>
        <w:numPr>
          <w:ilvl w:val="0"/>
          <w:numId w:val="3"/>
        </w:numPr>
        <w:spacing w:line="576" w:lineRule="exact"/>
        <w:ind w:firstLine="640"/>
        <w:outlineLvl w:val="1"/>
        <w:rPr>
          <w:rStyle w:val="25"/>
          <w:rFonts w:ascii="黑体" w:eastAsia="黑体"/>
          <w:b w:val="0"/>
        </w:rPr>
      </w:pPr>
      <w:bookmarkStart w:id="42" w:name="_Toc15377219"/>
      <w:bookmarkStart w:id="43" w:name="_Toc15396611"/>
      <w:r>
        <w:rPr>
          <w:rStyle w:val="25"/>
          <w:rFonts w:hint="eastAsia" w:ascii="黑体" w:eastAsia="黑体"/>
          <w:b w:val="0"/>
        </w:rPr>
        <w:t>国有资本经营预算支出决算情况说明</w:t>
      </w:r>
      <w:bookmarkEnd w:id="42"/>
      <w:bookmarkEnd w:id="43"/>
    </w:p>
    <w:p w14:paraId="735939E0">
      <w:pPr>
        <w:spacing w:line="576" w:lineRule="exact"/>
        <w:ind w:firstLine="640"/>
        <w:rPr>
          <w:rFonts w:ascii="方正仿宋_GBK" w:hAnsi="方正仿宋_GBK" w:eastAsia="方正仿宋_GBK" w:cs="方正仿宋_GBK"/>
          <w:color w:val="000000"/>
          <w:kern w:val="0"/>
          <w:sz w:val="31"/>
          <w:szCs w:val="31"/>
        </w:rPr>
      </w:pP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5</w:t>
      </w:r>
      <w:r>
        <w:rPr>
          <w:rFonts w:hint="eastAsia" w:ascii="方正仿宋_GBK" w:hAnsi="方正仿宋_GBK" w:eastAsia="方正仿宋_GBK" w:cs="方正仿宋_GBK"/>
          <w:color w:val="000000"/>
          <w:kern w:val="0"/>
          <w:sz w:val="31"/>
          <w:szCs w:val="31"/>
        </w:rPr>
        <w:t>年国有资本经营预算财政拨款支出0万元。</w:t>
      </w:r>
      <w:r>
        <w:rPr>
          <w:rFonts w:hint="eastAsia" w:ascii="方正仿宋_GBK" w:hAnsi="方正仿宋_GBK" w:eastAsia="方正仿宋_GBK" w:cs="方正仿宋_GBK"/>
          <w:color w:val="000000"/>
          <w:kern w:val="0"/>
          <w:sz w:val="31"/>
          <w:szCs w:val="31"/>
          <w:lang w:val="en-US" w:eastAsia="zh-CN"/>
        </w:rPr>
        <w:t>与上年对比无变化</w:t>
      </w:r>
    </w:p>
    <w:p w14:paraId="0DF6B048">
      <w:pPr>
        <w:numPr>
          <w:ilvl w:val="0"/>
          <w:numId w:val="3"/>
        </w:numPr>
        <w:spacing w:line="576" w:lineRule="exact"/>
        <w:ind w:firstLine="640"/>
        <w:outlineLvl w:val="1"/>
        <w:rPr>
          <w:rStyle w:val="25"/>
          <w:rFonts w:ascii="黑体" w:eastAsia="黑体"/>
          <w:b w:val="0"/>
        </w:rPr>
      </w:pPr>
      <w:bookmarkStart w:id="44" w:name="_Toc15377221"/>
      <w:bookmarkStart w:id="45" w:name="_Toc15396612"/>
      <w:r>
        <w:rPr>
          <w:rStyle w:val="25"/>
          <w:rFonts w:hint="eastAsia" w:ascii="黑体" w:eastAsia="黑体"/>
          <w:b w:val="0"/>
        </w:rPr>
        <w:t>其他重要事项的情况说明</w:t>
      </w:r>
      <w:bookmarkEnd w:id="44"/>
      <w:bookmarkEnd w:id="45"/>
    </w:p>
    <w:p w14:paraId="51ADAC8C">
      <w:pPr>
        <w:spacing w:line="576" w:lineRule="exact"/>
        <w:ind w:firstLine="643" w:firstLineChars="200"/>
        <w:outlineLvl w:val="2"/>
        <w:rPr>
          <w:rFonts w:ascii="楷体_GB2312" w:eastAsia="楷体_GB2312" w:cs="楷体_GB2312"/>
          <w:sz w:val="32"/>
          <w:szCs w:val="32"/>
        </w:rPr>
      </w:pPr>
      <w:bookmarkStart w:id="46" w:name="_Toc15377222"/>
      <w:r>
        <w:rPr>
          <w:rFonts w:hint="eastAsia" w:ascii="楷体_GB2312" w:eastAsia="楷体_GB2312" w:cs="楷体_GB2312"/>
          <w:b/>
          <w:sz w:val="32"/>
          <w:szCs w:val="32"/>
        </w:rPr>
        <w:t>（一）机关运行经费支出情况</w:t>
      </w:r>
      <w:bookmarkEnd w:id="46"/>
    </w:p>
    <w:p w14:paraId="13078DEA">
      <w:pPr>
        <w:spacing w:line="600" w:lineRule="exact"/>
        <w:ind w:firstLine="640"/>
        <w:rPr>
          <w:rFonts w:ascii="方正仿宋_GBK" w:hAnsi="方正仿宋_GBK" w:eastAsia="方正仿宋_GBK" w:cs="方正仿宋_GBK"/>
          <w:color w:val="000000"/>
          <w:kern w:val="0"/>
          <w:sz w:val="31"/>
          <w:szCs w:val="31"/>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中共汶川县委社会工作部</w:t>
      </w:r>
      <w:r>
        <w:rPr>
          <w:rFonts w:hint="eastAsia" w:ascii="仿宋_GB2312" w:eastAsia="仿宋_GB2312" w:cs="仿宋_GB2312"/>
          <w:sz w:val="32"/>
          <w:szCs w:val="32"/>
        </w:rPr>
        <w:t>机关运行经费支出</w:t>
      </w:r>
      <w:r>
        <w:rPr>
          <w:rFonts w:hint="eastAsia" w:ascii="仿宋_GB2312" w:eastAsia="仿宋_GB2312" w:cs="仿宋_GB2312"/>
          <w:sz w:val="32"/>
          <w:szCs w:val="32"/>
          <w:lang w:val="en-US" w:eastAsia="zh-CN"/>
        </w:rPr>
        <w:t>164.14</w:t>
      </w:r>
      <w:r>
        <w:rPr>
          <w:rFonts w:hint="eastAsia" w:ascii="仿宋_GB2312" w:eastAsia="仿宋_GB2312" w:cs="仿宋_GB2312"/>
          <w:sz w:val="32"/>
          <w:szCs w:val="32"/>
        </w:rPr>
        <w:t>万元，比202</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增加164.14</w:t>
      </w:r>
      <w:r>
        <w:rPr>
          <w:rFonts w:hint="eastAsia" w:ascii="仿宋_GB2312" w:eastAsia="仿宋_GB2312" w:cs="仿宋_GB2312"/>
          <w:sz w:val="32"/>
          <w:szCs w:val="32"/>
        </w:rPr>
        <w:t>万元，</w:t>
      </w:r>
      <w:r>
        <w:rPr>
          <w:rFonts w:hint="eastAsia" w:ascii="仿宋_GB2312" w:eastAsia="仿宋_GB2312"/>
          <w:color w:val="000000"/>
          <w:sz w:val="32"/>
          <w:szCs w:val="32"/>
          <w:lang w:val="en-US" w:eastAsia="zh-CN"/>
        </w:rPr>
        <w:t>上升</w:t>
      </w:r>
      <w:r>
        <w:rPr>
          <w:rFonts w:hint="eastAsia" w:ascii="仿宋_GB2312" w:eastAsia="仿宋_GB2312" w:cs="仿宋_GB2312"/>
          <w:sz w:val="32"/>
          <w:szCs w:val="32"/>
          <w:lang w:val="en-US" w:eastAsia="zh-CN"/>
        </w:rPr>
        <w:t>100</w:t>
      </w:r>
      <w:r>
        <w:rPr>
          <w:rFonts w:hint="eastAsia" w:ascii="仿宋_GB2312" w:eastAsia="仿宋_GB2312" w:cs="仿宋_GB2312"/>
          <w:sz w:val="32"/>
          <w:szCs w:val="32"/>
        </w:rPr>
        <w:t>%。主要原因</w:t>
      </w:r>
      <w:r>
        <w:rPr>
          <w:rFonts w:hint="eastAsia" w:ascii="方正仿宋_GBK" w:hAnsi="方正仿宋_GBK" w:eastAsia="方正仿宋_GBK" w:cs="方正仿宋_GBK"/>
          <w:color w:val="000000"/>
          <w:kern w:val="0"/>
          <w:sz w:val="31"/>
          <w:szCs w:val="31"/>
        </w:rPr>
        <w:t>202</w:t>
      </w:r>
      <w:r>
        <w:rPr>
          <w:rFonts w:hint="eastAsia" w:ascii="方正仿宋_GBK" w:hAnsi="方正仿宋_GBK" w:eastAsia="方正仿宋_GBK" w:cs="方正仿宋_GBK"/>
          <w:color w:val="000000"/>
          <w:kern w:val="0"/>
          <w:sz w:val="31"/>
          <w:szCs w:val="31"/>
          <w:lang w:val="en-US" w:eastAsia="zh-CN"/>
        </w:rPr>
        <w:t>4</w:t>
      </w:r>
      <w:r>
        <w:rPr>
          <w:rFonts w:hint="eastAsia" w:ascii="方正仿宋_GBK" w:hAnsi="方正仿宋_GBK" w:eastAsia="方正仿宋_GBK" w:cs="方正仿宋_GBK"/>
          <w:color w:val="000000"/>
          <w:kern w:val="0"/>
          <w:sz w:val="31"/>
          <w:szCs w:val="31"/>
        </w:rPr>
        <w:t>年</w:t>
      </w:r>
      <w:r>
        <w:rPr>
          <w:rFonts w:hint="eastAsia" w:ascii="方正仿宋_GBK" w:hAnsi="方正仿宋_GBK" w:eastAsia="方正仿宋_GBK" w:cs="方正仿宋_GBK"/>
          <w:color w:val="000000"/>
          <w:kern w:val="0"/>
          <w:sz w:val="31"/>
          <w:szCs w:val="31"/>
          <w:lang w:val="en-US" w:eastAsia="zh-CN"/>
        </w:rPr>
        <w:t>无</w:t>
      </w:r>
      <w:r>
        <w:rPr>
          <w:rFonts w:hint="eastAsia" w:ascii="方正仿宋_GBK" w:hAnsi="方正仿宋_GBK" w:eastAsia="方正仿宋_GBK" w:cs="方正仿宋_GBK"/>
          <w:color w:val="000000"/>
          <w:kern w:val="0"/>
          <w:sz w:val="31"/>
          <w:szCs w:val="31"/>
        </w:rPr>
        <w:t>决算数，主要原因是2024年度</w:t>
      </w:r>
      <w:r>
        <w:rPr>
          <w:rFonts w:hint="eastAsia" w:ascii="方正仿宋_GBK" w:hAnsi="方正仿宋_GBK" w:eastAsia="方正仿宋_GBK" w:cs="方正仿宋_GBK"/>
          <w:color w:val="000000"/>
          <w:kern w:val="0"/>
          <w:sz w:val="31"/>
          <w:szCs w:val="31"/>
          <w:lang w:val="en-US" w:eastAsia="zh-CN"/>
        </w:rPr>
        <w:t>我部为新成立单位，2024年无预算，2025年1月纳入预算单位</w:t>
      </w:r>
      <w:r>
        <w:rPr>
          <w:rFonts w:hint="eastAsia" w:ascii="方正仿宋_GBK" w:hAnsi="方正仿宋_GBK" w:eastAsia="方正仿宋_GBK" w:cs="方正仿宋_GBK"/>
          <w:color w:val="000000"/>
          <w:kern w:val="0"/>
          <w:sz w:val="31"/>
          <w:szCs w:val="31"/>
          <w:lang w:eastAsia="zh-CN"/>
        </w:rPr>
        <w:t>。</w:t>
      </w:r>
    </w:p>
    <w:p w14:paraId="2E54BC30">
      <w:pPr>
        <w:autoSpaceDE w:val="0"/>
        <w:autoSpaceDN w:val="0"/>
        <w:adjustRightInd w:val="0"/>
        <w:spacing w:line="576" w:lineRule="exact"/>
        <w:ind w:firstLine="643" w:firstLineChars="200"/>
        <w:outlineLvl w:val="2"/>
        <w:rPr>
          <w:rFonts w:ascii="楷体_GB2312" w:eastAsia="楷体_GB2312" w:cs="楷体_GB2312"/>
          <w:b/>
          <w:sz w:val="32"/>
          <w:szCs w:val="32"/>
        </w:rPr>
      </w:pPr>
      <w:bookmarkStart w:id="47" w:name="_Toc15377223"/>
      <w:r>
        <w:rPr>
          <w:rFonts w:hint="eastAsia" w:ascii="楷体_GB2312" w:eastAsia="楷体_GB2312" w:cs="楷体_GB2312"/>
          <w:b/>
          <w:sz w:val="32"/>
          <w:szCs w:val="32"/>
        </w:rPr>
        <w:t>（二）政府采购支出情况</w:t>
      </w:r>
      <w:bookmarkEnd w:id="47"/>
    </w:p>
    <w:p w14:paraId="4C19EC3B">
      <w:pPr>
        <w:spacing w:line="600" w:lineRule="exact"/>
        <w:ind w:firstLine="640" w:firstLineChars="200"/>
        <w:rPr>
          <w:rFonts w:ascii="仿宋_GB2312" w:eastAsia="仿宋_GB2312" w:cs="仿宋_GB2312"/>
          <w:sz w:val="32"/>
          <w:szCs w:val="32"/>
        </w:rPr>
      </w:pPr>
      <w:r>
        <w:rPr>
          <w:rFonts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cs="仿宋_GB2312"/>
          <w:sz w:val="32"/>
          <w:szCs w:val="32"/>
          <w:lang w:val="en-US" w:eastAsia="zh-CN"/>
        </w:rPr>
        <w:t>中共汶川县委社会工作部</w:t>
      </w:r>
      <w:r>
        <w:rPr>
          <w:rFonts w:hint="eastAsia" w:ascii="仿宋_GB2312" w:eastAsia="仿宋_GB2312"/>
          <w:sz w:val="32"/>
          <w:szCs w:val="32"/>
        </w:rPr>
        <w:t>政府采购支出总额</w:t>
      </w:r>
      <w:r>
        <w:rPr>
          <w:rFonts w:hint="eastAsia" w:ascii="仿宋_GB2312" w:eastAsia="仿宋_GB2312"/>
          <w:sz w:val="32"/>
          <w:szCs w:val="32"/>
          <w:lang w:val="en-US" w:eastAsia="zh-CN"/>
        </w:rPr>
        <w:t>9.58</w:t>
      </w:r>
      <w:r>
        <w:rPr>
          <w:rFonts w:hint="eastAsia" w:ascii="仿宋_GB2312" w:eastAsia="仿宋_GB2312"/>
          <w:sz w:val="32"/>
          <w:szCs w:val="32"/>
        </w:rPr>
        <w:t>万元，其中：政府采购货物支出</w:t>
      </w:r>
      <w:r>
        <w:rPr>
          <w:rFonts w:hint="eastAsia" w:ascii="仿宋_GB2312" w:eastAsia="仿宋_GB2312"/>
          <w:sz w:val="32"/>
          <w:szCs w:val="32"/>
          <w:lang w:val="en-US" w:eastAsia="zh-CN"/>
        </w:rPr>
        <w:t>9.58</w:t>
      </w:r>
      <w:r>
        <w:rPr>
          <w:rFonts w:hint="eastAsia" w:ascii="仿宋_GB2312" w:eastAsia="仿宋_GB2312"/>
          <w:sz w:val="32"/>
          <w:szCs w:val="32"/>
        </w:rPr>
        <w:t>万元、政府采购工程支出0万元、政府采购服务支出0万元。授予中小企业合同金额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8.49</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88.62</w:t>
      </w:r>
      <w:r>
        <w:rPr>
          <w:rFonts w:ascii="仿宋_GB2312" w:eastAsia="仿宋_GB2312"/>
          <w:sz w:val="32"/>
          <w:szCs w:val="32"/>
        </w:rPr>
        <w:t>%</w:t>
      </w:r>
      <w:r>
        <w:rPr>
          <w:rFonts w:hint="eastAsia" w:ascii="仿宋_GB2312" w:eastAsia="仿宋_GB2312"/>
          <w:sz w:val="32"/>
          <w:szCs w:val="32"/>
        </w:rPr>
        <w:t>。</w:t>
      </w:r>
    </w:p>
    <w:p w14:paraId="6C5161F3">
      <w:pPr>
        <w:autoSpaceDE w:val="0"/>
        <w:autoSpaceDN w:val="0"/>
        <w:adjustRightInd w:val="0"/>
        <w:spacing w:line="576" w:lineRule="exact"/>
        <w:ind w:firstLine="643" w:firstLineChars="200"/>
        <w:outlineLvl w:val="2"/>
        <w:rPr>
          <w:rFonts w:ascii="楷体_GB2312" w:eastAsia="楷体_GB2312" w:cs="楷体_GB2312"/>
          <w:b/>
          <w:sz w:val="32"/>
          <w:szCs w:val="32"/>
        </w:rPr>
      </w:pPr>
      <w:bookmarkStart w:id="48" w:name="_Toc15377224"/>
      <w:r>
        <w:rPr>
          <w:rFonts w:hint="eastAsia" w:ascii="楷体_GB2312" w:eastAsia="楷体_GB2312" w:cs="楷体_GB2312"/>
          <w:b/>
          <w:sz w:val="32"/>
          <w:szCs w:val="32"/>
        </w:rPr>
        <w:t>（三）国有资产占有使用情况</w:t>
      </w:r>
      <w:bookmarkEnd w:id="48"/>
    </w:p>
    <w:p w14:paraId="4D7E10F6">
      <w:pPr>
        <w:spacing w:line="600" w:lineRule="exact"/>
        <w:ind w:firstLine="640"/>
        <w:rPr>
          <w:rFonts w:ascii="方正仿宋_GBK" w:hAnsi="方正仿宋_GBK" w:eastAsia="方正仿宋_GBK" w:cs="方正仿宋_GBK"/>
          <w:color w:val="000000"/>
          <w:kern w:val="0"/>
          <w:sz w:val="31"/>
          <w:szCs w:val="31"/>
        </w:rPr>
      </w:pPr>
      <w:r>
        <w:rPr>
          <w:rFonts w:hint="eastAsia" w:ascii="仿宋_GB2312" w:eastAsia="仿宋_GB2312"/>
          <w:sz w:val="32"/>
          <w:szCs w:val="32"/>
        </w:rPr>
        <w:t>截至</w:t>
      </w:r>
      <w:r>
        <w:rPr>
          <w:rFonts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val="en-US" w:eastAsia="zh-CN"/>
        </w:rPr>
        <w:t>中共汶川县委社会工作部</w:t>
      </w:r>
      <w:r>
        <w:rPr>
          <w:rFonts w:hint="eastAsia" w:ascii="仿宋_GB2312" w:eastAsia="仿宋_GB2312"/>
          <w:sz w:val="32"/>
          <w:szCs w:val="32"/>
        </w:rPr>
        <w:t>共有车辆</w:t>
      </w:r>
      <w:r>
        <w:rPr>
          <w:rFonts w:hint="eastAsia" w:ascii="仿宋_GB2312" w:eastAsia="仿宋_GB2312"/>
          <w:sz w:val="32"/>
          <w:szCs w:val="32"/>
          <w:lang w:val="en-US" w:eastAsia="zh-CN"/>
        </w:rPr>
        <w:t>1</w:t>
      </w:r>
      <w:r>
        <w:rPr>
          <w:rFonts w:hint="eastAsia" w:ascii="仿宋_GB2312" w:eastAsia="仿宋_GB2312"/>
          <w:sz w:val="32"/>
          <w:szCs w:val="32"/>
        </w:rPr>
        <w:t>辆，其中：主要领导干部用车0辆、机要通信用车0辆、应急保障用车0辆、其他用车</w:t>
      </w:r>
      <w:r>
        <w:rPr>
          <w:rFonts w:hint="eastAsia" w:ascii="仿宋_GB2312" w:eastAsia="仿宋_GB2312"/>
          <w:sz w:val="32"/>
          <w:szCs w:val="32"/>
          <w:lang w:val="en-US" w:eastAsia="zh-CN"/>
        </w:rPr>
        <w:t>1</w:t>
      </w:r>
      <w:r>
        <w:rPr>
          <w:rFonts w:hint="eastAsia" w:ascii="仿宋_GB2312" w:eastAsia="仿宋_GB2312"/>
          <w:sz w:val="32"/>
          <w:szCs w:val="32"/>
        </w:rPr>
        <w:t>辆。单价</w:t>
      </w:r>
      <w:r>
        <w:rPr>
          <w:rFonts w:ascii="仿宋_GB2312" w:eastAsia="仿宋_GB2312"/>
          <w:sz w:val="32"/>
          <w:szCs w:val="32"/>
        </w:rPr>
        <w:t>100</w:t>
      </w:r>
      <w:r>
        <w:rPr>
          <w:rFonts w:hint="eastAsia" w:ascii="仿宋_GB2312" w:eastAsia="仿宋_GB2312"/>
          <w:sz w:val="32"/>
          <w:szCs w:val="32"/>
        </w:rPr>
        <w:t>万元以上专用设备0台（套）。</w:t>
      </w:r>
    </w:p>
    <w:p w14:paraId="518739F6">
      <w:pPr>
        <w:autoSpaceDE w:val="0"/>
        <w:autoSpaceDN w:val="0"/>
        <w:adjustRightInd w:val="0"/>
        <w:spacing w:line="576" w:lineRule="exact"/>
        <w:ind w:firstLine="643" w:firstLineChars="200"/>
        <w:outlineLvl w:val="2"/>
        <w:rPr>
          <w:rFonts w:ascii="楷体_GB2312" w:eastAsia="楷体_GB2312" w:cs="楷体_GB2312"/>
          <w:b/>
          <w:sz w:val="32"/>
          <w:szCs w:val="32"/>
        </w:rPr>
      </w:pPr>
      <w:r>
        <w:rPr>
          <w:rFonts w:hint="eastAsia" w:ascii="楷体_GB2312" w:eastAsia="楷体_GB2312" w:cs="楷体_GB2312"/>
          <w:b/>
          <w:sz w:val="32"/>
          <w:szCs w:val="32"/>
        </w:rPr>
        <w:t>（四）预算绩效管理情况</w:t>
      </w:r>
    </w:p>
    <w:p w14:paraId="2EBA682A">
      <w:pPr>
        <w:widowControl w:val="0"/>
        <w:spacing w:before="93" w:beforeLines="30"/>
        <w:ind w:firstLine="640" w:firstLineChars="200"/>
        <w:jc w:val="both"/>
        <w:rPr>
          <w:rFonts w:hint="eastAsia" w:ascii="仿宋" w:hAnsi="仿宋" w:eastAsia="仿宋" w:cs="Times New Roman"/>
          <w:kern w:val="2"/>
          <w:sz w:val="32"/>
          <w:szCs w:val="32"/>
          <w:lang w:val="en-US" w:eastAsia="zh-CN" w:bidi="ar-SA"/>
        </w:rPr>
      </w:pPr>
      <w:bookmarkStart w:id="49" w:name="_Toc15377226"/>
      <w:bookmarkStart w:id="50" w:name="_Toc15396618"/>
      <w:r>
        <w:rPr>
          <w:rFonts w:hint="eastAsia" w:ascii="仿宋" w:hAnsi="仿宋" w:eastAsia="仿宋" w:cs="Times New Roman"/>
          <w:kern w:val="2"/>
          <w:sz w:val="32"/>
          <w:szCs w:val="32"/>
          <w:lang w:val="en-US" w:eastAsia="zh-CN" w:bidi="ar-SA"/>
        </w:rPr>
        <w:t>2025年我单位整体支出579.52万元，支出与目标申报一致。根据预算绩效管理要求，我单位对2025年部门整体支出进行了自评及评分。</w:t>
      </w:r>
    </w:p>
    <w:p w14:paraId="1B31D402">
      <w:pPr>
        <w:widowControl w:val="0"/>
        <w:spacing w:before="93" w:beforeLines="30"/>
        <w:ind w:firstLine="640" w:firstLineChars="200"/>
        <w:jc w:val="both"/>
        <w:rPr>
          <w:rFonts w:ascii="仿宋_GB2312" w:hAnsi="Times New Roman" w:eastAsia="仿宋" w:cs="仿宋_GB2312"/>
          <w:kern w:val="0"/>
          <w:sz w:val="32"/>
          <w:szCs w:val="32"/>
          <w:lang w:val="en-US" w:eastAsia="zh-CN" w:bidi="ar-SA"/>
        </w:rPr>
      </w:pPr>
      <w:r>
        <w:rPr>
          <w:rFonts w:hint="eastAsia" w:ascii="仿宋" w:hAnsi="Times New Roman" w:eastAsia="仿宋" w:cs="Times New Roman"/>
          <w:kern w:val="2"/>
          <w:sz w:val="32"/>
          <w:szCs w:val="32"/>
          <w:lang w:val="en-US" w:eastAsia="zh-CN" w:bidi="ar-SA"/>
        </w:rPr>
        <w:t>2025年我部门完成4个项目，项目支出共计</w:t>
      </w:r>
      <w:r>
        <w:rPr>
          <w:rFonts w:hint="eastAsia" w:ascii="仿宋" w:hAnsi="Times New Roman" w:eastAsia="仿宋" w:cs="Times New Roman"/>
          <w:bCs/>
          <w:kern w:val="0"/>
          <w:sz w:val="32"/>
          <w:szCs w:val="32"/>
          <w:lang w:val="en-US" w:eastAsia="zh-CN" w:bidi="ar-SA"/>
        </w:rPr>
        <w:t>356.15</w:t>
      </w:r>
      <w:r>
        <w:rPr>
          <w:rFonts w:hint="eastAsia" w:ascii="仿宋" w:hAnsi="Times New Roman" w:eastAsia="仿宋" w:cs="Times New Roman"/>
          <w:kern w:val="2"/>
          <w:sz w:val="32"/>
          <w:szCs w:val="32"/>
          <w:lang w:val="en-US" w:eastAsia="zh-CN" w:bidi="ar-SA"/>
        </w:rPr>
        <w:t>万元，项目支出与申报目标一致，根据绩效管理要求，2025年度预算编制阶段，组织对</w:t>
      </w:r>
      <w:r>
        <w:rPr>
          <w:rFonts w:hint="eastAsia" w:ascii="仿宋" w:hAnsi="Times New Roman" w:eastAsia="仿宋" w:cs="Times New Roman"/>
          <w:bCs/>
          <w:kern w:val="0"/>
          <w:sz w:val="32"/>
          <w:szCs w:val="32"/>
          <w:lang w:val="en-US" w:eastAsia="zh-CN" w:bidi="ar-SA"/>
        </w:rPr>
        <w:t>4</w:t>
      </w:r>
      <w:r>
        <w:rPr>
          <w:rFonts w:hint="eastAsia" w:ascii="仿宋" w:hAnsi="Times New Roman" w:eastAsia="仿宋" w:cs="Times New Roman"/>
          <w:kern w:val="2"/>
          <w:sz w:val="32"/>
          <w:szCs w:val="32"/>
          <w:lang w:val="en-US" w:eastAsia="zh-CN" w:bidi="ar-SA"/>
        </w:rPr>
        <w:t>个项目开展了预算事前绩效评估，对</w:t>
      </w:r>
      <w:r>
        <w:rPr>
          <w:rFonts w:hint="eastAsia" w:ascii="仿宋" w:hAnsi="Times New Roman" w:eastAsia="仿宋" w:cs="Times New Roman"/>
          <w:bCs/>
          <w:kern w:val="0"/>
          <w:sz w:val="32"/>
          <w:szCs w:val="32"/>
          <w:lang w:val="en-US" w:eastAsia="zh-CN" w:bidi="ar-SA"/>
        </w:rPr>
        <w:t>4</w:t>
      </w:r>
      <w:r>
        <w:rPr>
          <w:rFonts w:hint="eastAsia" w:ascii="仿宋" w:hAnsi="Times New Roman" w:eastAsia="仿宋" w:cs="Times New Roman"/>
          <w:kern w:val="2"/>
          <w:sz w:val="32"/>
          <w:szCs w:val="32"/>
          <w:lang w:val="en-US" w:eastAsia="zh-CN" w:bidi="ar-SA"/>
        </w:rPr>
        <w:t>个项目编制了绩效目标，预算执行过程中，选取4个项目开展了绩效监控，组织对</w:t>
      </w:r>
      <w:r>
        <w:rPr>
          <w:rFonts w:hint="eastAsia" w:ascii="仿宋" w:hAnsi="Times New Roman" w:eastAsia="仿宋" w:cs="Times New Roman"/>
          <w:bCs/>
          <w:kern w:val="0"/>
          <w:sz w:val="32"/>
          <w:szCs w:val="32"/>
          <w:lang w:val="en-US" w:eastAsia="zh-CN" w:bidi="ar-SA"/>
        </w:rPr>
        <w:t>4</w:t>
      </w:r>
      <w:r>
        <w:rPr>
          <w:rFonts w:hint="eastAsia" w:ascii="仿宋" w:hAnsi="Times New Roman" w:eastAsia="仿宋" w:cs="Times New Roman"/>
          <w:kern w:val="2"/>
          <w:sz w:val="32"/>
          <w:szCs w:val="32"/>
          <w:lang w:val="en-US" w:eastAsia="zh-CN" w:bidi="ar-SA"/>
        </w:rPr>
        <w:t>个项目开展绩效自评，其中</w:t>
      </w:r>
      <w:r>
        <w:rPr>
          <w:rFonts w:hint="eastAsia" w:ascii="仿宋" w:eastAsia="仿宋" w:cs="Times New Roman"/>
          <w:kern w:val="2"/>
          <w:sz w:val="32"/>
          <w:szCs w:val="32"/>
          <w:lang w:val="en-US" w:eastAsia="zh-CN" w:bidi="ar-SA"/>
        </w:rPr>
        <w:t>4</w:t>
      </w:r>
      <w:r>
        <w:rPr>
          <w:rFonts w:hint="eastAsia" w:ascii="仿宋" w:hAnsi="Times New Roman" w:eastAsia="仿宋" w:cs="Times New Roman"/>
          <w:kern w:val="2"/>
          <w:sz w:val="32"/>
          <w:szCs w:val="32"/>
          <w:lang w:val="en-US" w:eastAsia="zh-CN" w:bidi="ar-SA"/>
        </w:rPr>
        <w:t>个项目绩效报告及自评表详见第四部分附件。</w:t>
      </w:r>
    </w:p>
    <w:p w14:paraId="4811317C">
      <w:pPr>
        <w:pStyle w:val="15"/>
        <w:shd w:val="clear" w:color="auto" w:fill="FFFFFF"/>
        <w:spacing w:line="560" w:lineRule="exact"/>
        <w:jc w:val="center"/>
        <w:rPr>
          <w:rFonts w:ascii="仿宋" w:hAnsi="仿宋" w:eastAsia="仿宋"/>
          <w:bCs/>
          <w:sz w:val="32"/>
          <w:szCs w:val="32"/>
        </w:rPr>
      </w:pPr>
      <w:r>
        <w:rPr>
          <w:rStyle w:val="20"/>
          <w:rFonts w:hint="eastAsia" w:ascii="黑体" w:hAnsi="黑体" w:eastAsia="黑体"/>
          <w:sz w:val="44"/>
          <w:szCs w:val="44"/>
        </w:rPr>
        <w:t>第三部分 名词解释</w:t>
      </w:r>
    </w:p>
    <w:p w14:paraId="42A920C5">
      <w:pPr>
        <w:pStyle w:val="15"/>
        <w:shd w:val="clear" w:color="auto" w:fill="FFFFFF"/>
        <w:spacing w:before="0" w:beforeAutospacing="0" w:after="0" w:afterAutospacing="0" w:line="576" w:lineRule="exact"/>
        <w:ind w:firstLine="640" w:firstLineChars="200"/>
        <w:rPr>
          <w:rFonts w:hint="eastAsia" w:ascii="仿宋" w:hAnsi="仿宋" w:eastAsia="仿宋"/>
          <w:sz w:val="32"/>
          <w:szCs w:val="32"/>
        </w:rPr>
      </w:pPr>
      <w:r>
        <w:rPr>
          <w:rFonts w:hint="eastAsia" w:ascii="仿宋" w:hAnsi="仿宋" w:eastAsia="仿宋"/>
          <w:sz w:val="32"/>
          <w:szCs w:val="32"/>
        </w:rPr>
        <w:t>1.财政拨款收入：指单位从同级财政部门取得的财政预算资金。</w:t>
      </w:r>
    </w:p>
    <w:p w14:paraId="723D22B0">
      <w:pPr>
        <w:pStyle w:val="15"/>
        <w:shd w:val="clear" w:color="auto" w:fill="FFFFFF"/>
        <w:spacing w:before="0" w:beforeAutospacing="0" w:after="0" w:afterAutospacing="0" w:line="576"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2.一般公共服务</w:t>
      </w:r>
      <w:r>
        <w:rPr>
          <w:rFonts w:hint="eastAsia" w:ascii="仿宋" w:hAnsi="仿宋" w:eastAsia="仿宋"/>
          <w:sz w:val="32"/>
          <w:szCs w:val="32"/>
        </w:rPr>
        <w:t>支出（类）</w:t>
      </w:r>
      <w:r>
        <w:rPr>
          <w:rFonts w:hint="eastAsia" w:ascii="仿宋" w:hAnsi="仿宋" w:eastAsia="仿宋"/>
          <w:sz w:val="32"/>
          <w:szCs w:val="32"/>
          <w:lang w:val="en-US" w:eastAsia="zh-CN"/>
        </w:rPr>
        <w:t>社会工作事务</w:t>
      </w:r>
      <w:r>
        <w:rPr>
          <w:rFonts w:hint="eastAsia" w:ascii="仿宋" w:hAnsi="仿宋" w:eastAsia="仿宋"/>
          <w:sz w:val="32"/>
          <w:szCs w:val="32"/>
        </w:rPr>
        <w:t>（款）</w:t>
      </w:r>
      <w:r>
        <w:rPr>
          <w:rFonts w:hint="eastAsia" w:ascii="仿宋" w:hAnsi="仿宋" w:eastAsia="仿宋"/>
          <w:sz w:val="32"/>
          <w:szCs w:val="32"/>
          <w:lang w:val="en-US" w:eastAsia="zh-CN"/>
        </w:rPr>
        <w:t>行政</w:t>
      </w:r>
      <w:r>
        <w:rPr>
          <w:rFonts w:hint="eastAsia" w:ascii="仿宋" w:hAnsi="仿宋" w:eastAsia="仿宋"/>
          <w:sz w:val="32"/>
          <w:szCs w:val="32"/>
        </w:rPr>
        <w:t>运行(项）反映上述项目以外的</w:t>
      </w:r>
      <w:r>
        <w:rPr>
          <w:rFonts w:hint="eastAsia" w:ascii="仿宋" w:hAnsi="仿宋" w:eastAsia="仿宋"/>
          <w:sz w:val="32"/>
          <w:szCs w:val="32"/>
          <w:lang w:val="en-US" w:eastAsia="zh-CN"/>
        </w:rPr>
        <w:t>社会工作</w:t>
      </w:r>
      <w:r>
        <w:rPr>
          <w:rFonts w:hint="eastAsia" w:ascii="仿宋" w:hAnsi="仿宋" w:eastAsia="仿宋"/>
          <w:sz w:val="32"/>
          <w:szCs w:val="32"/>
        </w:rPr>
        <w:t>事务支出。</w:t>
      </w:r>
    </w:p>
    <w:p w14:paraId="40A3A576">
      <w:pPr>
        <w:pStyle w:val="15"/>
        <w:shd w:val="clear" w:color="auto" w:fill="FFFFFF"/>
        <w:spacing w:before="0" w:beforeAutospacing="0" w:after="0" w:afterAutospacing="0" w:line="576"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3.一般公共服务</w:t>
      </w:r>
      <w:r>
        <w:rPr>
          <w:rFonts w:hint="eastAsia" w:ascii="仿宋" w:hAnsi="仿宋" w:eastAsia="仿宋"/>
          <w:sz w:val="32"/>
          <w:szCs w:val="32"/>
        </w:rPr>
        <w:t>支出（类）</w:t>
      </w:r>
      <w:r>
        <w:rPr>
          <w:rFonts w:hint="eastAsia" w:ascii="仿宋" w:hAnsi="仿宋" w:eastAsia="仿宋"/>
          <w:sz w:val="32"/>
          <w:szCs w:val="32"/>
          <w:lang w:val="en-US" w:eastAsia="zh-CN"/>
        </w:rPr>
        <w:t>社会工作事务</w:t>
      </w:r>
      <w:r>
        <w:rPr>
          <w:rFonts w:hint="eastAsia" w:ascii="仿宋" w:hAnsi="仿宋" w:eastAsia="仿宋"/>
          <w:sz w:val="32"/>
          <w:szCs w:val="32"/>
        </w:rPr>
        <w:t>（款）</w:t>
      </w:r>
      <w:r>
        <w:rPr>
          <w:rFonts w:hint="eastAsia" w:ascii="仿宋" w:hAnsi="仿宋" w:eastAsia="仿宋"/>
          <w:sz w:val="32"/>
          <w:szCs w:val="32"/>
          <w:lang w:val="en-US" w:eastAsia="zh-CN"/>
        </w:rPr>
        <w:t>其他社会工作事务支出</w:t>
      </w:r>
      <w:r>
        <w:rPr>
          <w:rFonts w:hint="eastAsia" w:ascii="仿宋" w:hAnsi="仿宋" w:eastAsia="仿宋"/>
          <w:sz w:val="32"/>
          <w:szCs w:val="32"/>
        </w:rPr>
        <w:t>(项）反映上述项目以外的其他</w:t>
      </w:r>
      <w:r>
        <w:rPr>
          <w:rFonts w:hint="eastAsia" w:ascii="仿宋" w:hAnsi="仿宋" w:eastAsia="仿宋"/>
          <w:sz w:val="32"/>
          <w:szCs w:val="32"/>
          <w:lang w:val="en-US" w:eastAsia="zh-CN"/>
        </w:rPr>
        <w:t>社会工作</w:t>
      </w:r>
      <w:r>
        <w:rPr>
          <w:rFonts w:hint="eastAsia" w:ascii="仿宋" w:hAnsi="仿宋" w:eastAsia="仿宋"/>
          <w:sz w:val="32"/>
          <w:szCs w:val="32"/>
        </w:rPr>
        <w:t>事务支出。</w:t>
      </w:r>
    </w:p>
    <w:p w14:paraId="0139A269">
      <w:pPr>
        <w:pStyle w:val="15"/>
        <w:shd w:val="clear" w:color="auto" w:fill="FFFFFF"/>
        <w:spacing w:before="0" w:beforeAutospacing="0" w:after="0" w:afterAutospacing="0" w:line="576" w:lineRule="exact"/>
        <w:ind w:firstLine="640" w:firstLineChars="200"/>
        <w:rPr>
          <w:rFonts w:ascii="仿宋" w:hAnsi="仿宋" w:eastAsia="仿宋" w:cs="仿宋_GB2312"/>
          <w:sz w:val="32"/>
          <w:szCs w:val="32"/>
        </w:rPr>
      </w:pPr>
      <w:r>
        <w:rPr>
          <w:rFonts w:hint="eastAsia" w:ascii="仿宋" w:hAnsi="仿宋" w:eastAsia="仿宋"/>
          <w:sz w:val="32"/>
          <w:szCs w:val="32"/>
          <w:lang w:val="en-US" w:eastAsia="zh-CN"/>
        </w:rPr>
        <w:t>4</w:t>
      </w:r>
      <w:r>
        <w:rPr>
          <w:rFonts w:hint="eastAsia" w:ascii="仿宋" w:hAnsi="仿宋" w:eastAsia="仿宋"/>
          <w:sz w:val="32"/>
          <w:szCs w:val="32"/>
        </w:rPr>
        <w:t>.社会保障和就业支出（类</w:t>
      </w:r>
      <w:r>
        <w:rPr>
          <w:rFonts w:hint="eastAsia" w:ascii="仿宋" w:hAnsi="仿宋" w:eastAsia="仿宋" w:cs="仿宋_GB2312"/>
          <w:sz w:val="32"/>
          <w:szCs w:val="32"/>
        </w:rPr>
        <w:t>）行政事业单位养老支出（款）:机关事业单位基本养老保险单位缴费支出（项）反映机关事业单位实施养老保险制度由单位缴纳的基本养老保险费支出。</w:t>
      </w:r>
    </w:p>
    <w:p w14:paraId="7CCE3977">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5</w:t>
      </w:r>
      <w:r>
        <w:rPr>
          <w:rFonts w:hint="eastAsia" w:ascii="仿宋" w:hAnsi="仿宋" w:eastAsia="仿宋" w:cs="仿宋_GB2312"/>
          <w:sz w:val="32"/>
          <w:szCs w:val="32"/>
        </w:rPr>
        <w:t>.社会保障和就业支出（类）行政事业单位养老支出05（款）机关事业单位职业年金缴费支出（项）反映机关事业单位实施养老保险制度由单位实际缴纳的职业年金支出。</w:t>
      </w:r>
    </w:p>
    <w:p w14:paraId="35DA16EE">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6</w:t>
      </w:r>
      <w:r>
        <w:rPr>
          <w:rFonts w:hint="eastAsia" w:ascii="仿宋" w:hAnsi="仿宋" w:eastAsia="仿宋" w:cs="仿宋_GB2312"/>
          <w:sz w:val="32"/>
          <w:szCs w:val="32"/>
        </w:rPr>
        <w:t>.社会保障和就业支出（类）行政事业单位养老支出（款）临时救助（项），反映用于城乡生活困难居民的临时救助支出。</w:t>
      </w:r>
    </w:p>
    <w:p w14:paraId="7C06F3B6">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7</w:t>
      </w:r>
      <w:r>
        <w:rPr>
          <w:rFonts w:hint="eastAsia" w:ascii="仿宋" w:hAnsi="仿宋" w:eastAsia="仿宋" w:cs="仿宋_GB2312"/>
          <w:sz w:val="32"/>
          <w:szCs w:val="32"/>
        </w:rPr>
        <w:t>.卫生健康支出（类）行政事业单位医疗（款）:行政事业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658C7C03">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8</w:t>
      </w:r>
      <w:r>
        <w:rPr>
          <w:rFonts w:hint="eastAsia" w:ascii="仿宋" w:hAnsi="仿宋" w:eastAsia="仿宋" w:cs="仿宋_GB2312"/>
          <w:sz w:val="32"/>
          <w:szCs w:val="32"/>
        </w:rPr>
        <w:t>.卫生健康支出（类）行政事业单位医疗（款）公务员医疗补助（项），反映财政部门安排的公务员医疗补助经费。</w:t>
      </w:r>
    </w:p>
    <w:p w14:paraId="1F8F73F8">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9</w:t>
      </w:r>
      <w:r>
        <w:rPr>
          <w:rFonts w:hint="eastAsia" w:ascii="仿宋" w:hAnsi="仿宋" w:eastAsia="仿宋" w:cs="仿宋_GB2312"/>
          <w:sz w:val="32"/>
          <w:szCs w:val="32"/>
        </w:rPr>
        <w:t>.卫生健康支出（类）行政事业单位医疗（款）事业单位医疗（项），反映财政部门安排的事业单位基本医疗保险缴费经费，未参加医疗保险的事业单位的公费医疗经费，按国家规定享受离休人员待遇的医疗经费；</w:t>
      </w:r>
    </w:p>
    <w:p w14:paraId="0D5810C5">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10</w:t>
      </w:r>
      <w:r>
        <w:rPr>
          <w:rFonts w:hint="eastAsia" w:ascii="仿宋" w:hAnsi="仿宋" w:eastAsia="仿宋" w:cs="仿宋_GB2312"/>
          <w:sz w:val="32"/>
          <w:szCs w:val="32"/>
        </w:rPr>
        <w:t>.住房保障支出（类）住房改革支出（款）住房公积金（项），反映行政事业单位按人力资源和社会保障部、财政部规定的基本工资和津贴补贴以及规定比例为职工缴纳的住房公积金；</w:t>
      </w:r>
    </w:p>
    <w:p w14:paraId="7CF9E5B2">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11</w:t>
      </w:r>
      <w:r>
        <w:rPr>
          <w:rFonts w:hint="eastAsia" w:ascii="仿宋" w:hAnsi="仿宋" w:eastAsia="仿宋" w:cs="仿宋_GB2312"/>
          <w:sz w:val="32"/>
          <w:szCs w:val="32"/>
        </w:rPr>
        <w:t>.基本支出：指为保障机构正常运转、完成日常工作任务而发生的人员支出和公用支出。</w:t>
      </w:r>
    </w:p>
    <w:p w14:paraId="7B1F6405">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12</w:t>
      </w:r>
      <w:r>
        <w:rPr>
          <w:rFonts w:hint="eastAsia" w:ascii="仿宋" w:hAnsi="仿宋" w:eastAsia="仿宋" w:cs="仿宋_GB2312"/>
          <w:sz w:val="32"/>
          <w:szCs w:val="32"/>
        </w:rPr>
        <w:t xml:space="preserve">.项目支出：指在基本支出之外为完成特定行政任务和事业发展目标所发生的支出。 </w:t>
      </w:r>
    </w:p>
    <w:p w14:paraId="2CF05D9F">
      <w:pPr>
        <w:pStyle w:val="29"/>
        <w:spacing w:line="576" w:lineRule="exact"/>
        <w:ind w:firstLine="640" w:firstLineChars="200"/>
        <w:rPr>
          <w:rFonts w:hAnsi="仿宋" w:cs="仿宋_GB2312"/>
          <w:sz w:val="32"/>
          <w:szCs w:val="32"/>
        </w:rPr>
      </w:pPr>
      <w:r>
        <w:rPr>
          <w:rFonts w:hint="eastAsia" w:hAnsi="仿宋" w:cs="仿宋_GB2312"/>
          <w:sz w:val="32"/>
          <w:szCs w:val="32"/>
          <w:lang w:val="en-US" w:eastAsia="zh-CN"/>
        </w:rPr>
        <w:t>13</w:t>
      </w:r>
      <w:r>
        <w:rPr>
          <w:rFonts w:hint="eastAsia" w:hAnsi="仿宋"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AC92D4A">
      <w:pPr>
        <w:pStyle w:val="29"/>
        <w:spacing w:line="576" w:lineRule="exact"/>
        <w:ind w:firstLine="640" w:firstLineChars="200"/>
        <w:rPr>
          <w:rFonts w:hAnsi="仿宋"/>
          <w:sz w:val="32"/>
          <w:szCs w:val="32"/>
        </w:rPr>
      </w:pPr>
      <w:r>
        <w:rPr>
          <w:rFonts w:hint="eastAsia" w:hAnsi="仿宋" w:cs="仿宋_GB2312"/>
          <w:sz w:val="32"/>
          <w:szCs w:val="32"/>
          <w:lang w:val="en-US" w:eastAsia="zh-CN"/>
        </w:rPr>
        <w:t>14</w:t>
      </w:r>
      <w:r>
        <w:rPr>
          <w:rFonts w:hint="eastAsia" w:hAnsi="仿宋"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C49AFC2">
      <w:pPr>
        <w:spacing w:line="576" w:lineRule="exact"/>
        <w:outlineLvl w:val="0"/>
        <w:rPr>
          <w:rFonts w:ascii="方正小标宋简体" w:eastAsia="方正小标宋简体" w:cs="方正小标宋简体"/>
          <w:sz w:val="44"/>
          <w:szCs w:val="44"/>
        </w:rPr>
      </w:pPr>
      <w:r>
        <w:rPr>
          <w:rFonts w:hint="eastAsia"/>
        </w:rPr>
        <w:t> </w:t>
      </w:r>
    </w:p>
    <w:p w14:paraId="5A814CB5">
      <w:pPr>
        <w:spacing w:line="576" w:lineRule="exact"/>
        <w:ind w:firstLine="620" w:firstLineChars="200"/>
        <w:rPr>
          <w:rFonts w:ascii="方正仿宋_GBK" w:hAnsi="方正仿宋_GBK" w:eastAsia="方正仿宋_GBK" w:cs="方正仿宋_GBK"/>
          <w:color w:val="000000"/>
          <w:kern w:val="0"/>
          <w:sz w:val="31"/>
          <w:szCs w:val="31"/>
        </w:rPr>
      </w:pPr>
    </w:p>
    <w:p w14:paraId="0F2C6132">
      <w:pPr>
        <w:pStyle w:val="22"/>
        <w:rPr>
          <w:rFonts w:ascii="方正仿宋_GBK" w:hAnsi="方正仿宋_GBK" w:eastAsia="方正仿宋_GBK" w:cs="方正仿宋_GBK"/>
          <w:color w:val="000000"/>
          <w:kern w:val="0"/>
          <w:sz w:val="31"/>
          <w:szCs w:val="31"/>
        </w:rPr>
      </w:pPr>
    </w:p>
    <w:p w14:paraId="7DA41883">
      <w:pPr>
        <w:pStyle w:val="22"/>
        <w:rPr>
          <w:rFonts w:ascii="方正仿宋_GBK" w:hAnsi="方正仿宋_GBK" w:eastAsia="方正仿宋_GBK" w:cs="方正仿宋_GBK"/>
          <w:color w:val="000000"/>
          <w:kern w:val="0"/>
          <w:sz w:val="31"/>
          <w:szCs w:val="31"/>
        </w:rPr>
      </w:pPr>
    </w:p>
    <w:p w14:paraId="5D2D7165">
      <w:pPr>
        <w:pStyle w:val="22"/>
        <w:rPr>
          <w:rFonts w:ascii="方正仿宋_GBK" w:hAnsi="方正仿宋_GBK" w:eastAsia="方正仿宋_GBK" w:cs="方正仿宋_GBK"/>
          <w:color w:val="000000"/>
          <w:kern w:val="0"/>
          <w:sz w:val="31"/>
          <w:szCs w:val="31"/>
        </w:rPr>
      </w:pPr>
    </w:p>
    <w:p w14:paraId="5038AF18">
      <w:pPr>
        <w:pStyle w:val="22"/>
        <w:rPr>
          <w:rFonts w:ascii="方正仿宋_GBK" w:hAnsi="方正仿宋_GBK" w:eastAsia="方正仿宋_GBK" w:cs="方正仿宋_GBK"/>
          <w:color w:val="000000"/>
          <w:kern w:val="0"/>
          <w:sz w:val="31"/>
          <w:szCs w:val="31"/>
        </w:rPr>
      </w:pPr>
    </w:p>
    <w:p w14:paraId="1A1CD816">
      <w:pPr>
        <w:pStyle w:val="22"/>
        <w:rPr>
          <w:rFonts w:ascii="方正仿宋_GBK" w:hAnsi="方正仿宋_GBK" w:eastAsia="方正仿宋_GBK" w:cs="方正仿宋_GBK"/>
          <w:color w:val="000000"/>
          <w:kern w:val="0"/>
          <w:sz w:val="31"/>
          <w:szCs w:val="31"/>
        </w:rPr>
      </w:pPr>
    </w:p>
    <w:p w14:paraId="67FAA215">
      <w:pPr>
        <w:pStyle w:val="22"/>
        <w:rPr>
          <w:rFonts w:ascii="方正仿宋_GBK" w:hAnsi="方正仿宋_GBK" w:eastAsia="方正仿宋_GBK" w:cs="方正仿宋_GBK"/>
          <w:color w:val="000000"/>
          <w:kern w:val="0"/>
          <w:sz w:val="31"/>
          <w:szCs w:val="31"/>
        </w:rPr>
      </w:pPr>
    </w:p>
    <w:p w14:paraId="6E8CA0BA">
      <w:pPr>
        <w:pStyle w:val="22"/>
        <w:rPr>
          <w:rFonts w:ascii="方正仿宋_GBK" w:hAnsi="方正仿宋_GBK" w:eastAsia="方正仿宋_GBK" w:cs="方正仿宋_GBK"/>
          <w:color w:val="000000"/>
          <w:kern w:val="0"/>
          <w:sz w:val="31"/>
          <w:szCs w:val="31"/>
        </w:rPr>
      </w:pPr>
    </w:p>
    <w:p w14:paraId="6342C551">
      <w:pPr>
        <w:pStyle w:val="22"/>
        <w:rPr>
          <w:rFonts w:ascii="方正仿宋_GBK" w:hAnsi="方正仿宋_GBK" w:eastAsia="方正仿宋_GBK" w:cs="方正仿宋_GBK"/>
          <w:color w:val="000000"/>
          <w:kern w:val="0"/>
          <w:sz w:val="31"/>
          <w:szCs w:val="31"/>
        </w:rPr>
      </w:pPr>
    </w:p>
    <w:p w14:paraId="259FF224">
      <w:pPr>
        <w:pStyle w:val="22"/>
        <w:rPr>
          <w:rFonts w:ascii="方正仿宋_GBK" w:hAnsi="方正仿宋_GBK" w:eastAsia="方正仿宋_GBK" w:cs="方正仿宋_GBK"/>
          <w:color w:val="000000"/>
          <w:kern w:val="0"/>
          <w:sz w:val="31"/>
          <w:szCs w:val="31"/>
        </w:rPr>
      </w:pPr>
    </w:p>
    <w:p w14:paraId="127A86E6">
      <w:pPr>
        <w:pStyle w:val="22"/>
        <w:rPr>
          <w:rFonts w:ascii="方正仿宋_GBK" w:hAnsi="方正仿宋_GBK" w:eastAsia="方正仿宋_GBK" w:cs="方正仿宋_GBK"/>
          <w:color w:val="000000"/>
          <w:kern w:val="0"/>
          <w:sz w:val="31"/>
          <w:szCs w:val="31"/>
        </w:rPr>
      </w:pPr>
    </w:p>
    <w:p w14:paraId="1955E5F5">
      <w:pPr>
        <w:spacing w:line="600" w:lineRule="exact"/>
        <w:jc w:val="center"/>
        <w:outlineLvl w:val="0"/>
        <w:rPr>
          <w:rStyle w:val="33"/>
          <w:rFonts w:ascii="黑体" w:eastAsia="黑体"/>
          <w:b w:val="0"/>
        </w:rPr>
      </w:pPr>
      <w:bookmarkStart w:id="51" w:name="_Toc15396614"/>
      <w:r>
        <w:rPr>
          <w:rFonts w:hint="eastAsia" w:ascii="黑体" w:eastAsia="黑体"/>
          <w:sz w:val="44"/>
          <w:szCs w:val="44"/>
        </w:rPr>
        <w:t>第</w:t>
      </w:r>
      <w:r>
        <w:rPr>
          <w:rStyle w:val="33"/>
          <w:rFonts w:hint="eastAsia" w:ascii="黑体" w:eastAsia="黑体"/>
          <w:b w:val="0"/>
        </w:rPr>
        <w:t>四部分 附件</w:t>
      </w:r>
      <w:bookmarkEnd w:id="51"/>
    </w:p>
    <w:p w14:paraId="762D134E">
      <w:pPr>
        <w:pStyle w:val="15"/>
        <w:shd w:val="clear" w:color="auto" w:fill="FFFFFF"/>
        <w:spacing w:line="560" w:lineRule="exact"/>
        <w:ind w:left="960" w:hanging="960" w:hangingChars="300"/>
        <w:rPr>
          <w:rFonts w:ascii="仿宋_GB2312" w:eastAsia="仿宋_GB2312" w:cs="仿宋_GB2312"/>
          <w:sz w:val="32"/>
          <w:szCs w:val="32"/>
        </w:rPr>
      </w:pPr>
    </w:p>
    <w:p w14:paraId="6922465E">
      <w:pPr>
        <w:spacing w:line="578" w:lineRule="exact"/>
        <w:contextualSpacing/>
        <w:rPr>
          <w:rFonts w:eastAsia="黑体"/>
          <w:szCs w:val="32"/>
          <w:lang w:val="zh-CN"/>
        </w:rPr>
      </w:pPr>
      <w:r>
        <w:rPr>
          <w:rFonts w:hint="eastAsia" w:ascii="黑体" w:eastAsia="黑体"/>
          <w:sz w:val="32"/>
          <w:szCs w:val="32"/>
        </w:rPr>
        <w:t>附件1:</w:t>
      </w:r>
    </w:p>
    <w:p w14:paraId="70136602">
      <w:pPr>
        <w:keepNext w:val="0"/>
        <w:keepLines w:val="0"/>
        <w:pageBreakBefore w:val="0"/>
        <w:widowControl/>
        <w:kinsoku/>
        <w:wordWrap/>
        <w:overflowPunct/>
        <w:topLinePunct w:val="0"/>
        <w:autoSpaceDE/>
        <w:autoSpaceDN/>
        <w:bidi w:val="0"/>
        <w:spacing w:line="578" w:lineRule="exact"/>
        <w:contextualSpacing/>
        <w:jc w:val="center"/>
        <w:textAlignment w:val="auto"/>
        <w:outlineLvl w:val="0"/>
        <w:rPr>
          <w:rFonts w:hint="default" w:ascii="方正小标宋简体" w:hAnsi="方正小标宋简体" w:eastAsia="方正小标宋简体" w:cs="方正小标宋简体"/>
          <w:b w:val="0"/>
          <w:bCs/>
          <w:sz w:val="44"/>
          <w:szCs w:val="44"/>
          <w:highlight w:val="none"/>
          <w:shd w:val="clear" w:color="auto" w:fill="FFFFFF"/>
          <w:lang w:val="en-US" w:eastAsia="zh-CN"/>
        </w:rPr>
      </w:pPr>
      <w:r>
        <w:rPr>
          <w:rFonts w:hint="eastAsia" w:ascii="方正小标宋简体" w:hAnsi="方正小标宋简体" w:eastAsia="方正小标宋简体" w:cs="方正小标宋简体"/>
          <w:b w:val="0"/>
          <w:bCs/>
          <w:sz w:val="44"/>
          <w:szCs w:val="44"/>
          <w:highlight w:val="none"/>
          <w:shd w:val="clear" w:color="auto" w:fill="FFFFFF"/>
          <w:lang w:val="en-US" w:eastAsia="zh-CN"/>
        </w:rPr>
        <w:t>中共汶川县委社会工作部</w:t>
      </w:r>
    </w:p>
    <w:p w14:paraId="38199CCB">
      <w:pPr>
        <w:keepNext w:val="0"/>
        <w:keepLines w:val="0"/>
        <w:pageBreakBefore w:val="0"/>
        <w:widowControl/>
        <w:kinsoku/>
        <w:wordWrap/>
        <w:overflowPunct/>
        <w:topLinePunct w:val="0"/>
        <w:autoSpaceDE/>
        <w:autoSpaceDN/>
        <w:bidi w:val="0"/>
        <w:spacing w:line="578" w:lineRule="exact"/>
        <w:contextualSpacing/>
        <w:jc w:val="center"/>
        <w:textAlignment w:val="auto"/>
        <w:outlineLvl w:val="0"/>
        <w:rPr>
          <w:rFonts w:hint="eastAsia" w:ascii="方正小标宋简体" w:hAnsi="方正小标宋简体" w:eastAsia="方正小标宋简体" w:cs="方正小标宋简体"/>
          <w:color w:val="000000"/>
          <w:kern w:val="0"/>
          <w:sz w:val="44"/>
          <w:szCs w:val="44"/>
          <w:highlight w:val="none"/>
          <w:shd w:val="clear" w:color="auto" w:fill="FFFFFF"/>
        </w:rPr>
      </w:pPr>
      <w:r>
        <w:rPr>
          <w:rFonts w:hint="eastAsia" w:ascii="方正小标宋简体" w:hAnsi="方正小标宋简体" w:eastAsia="方正小标宋简体" w:cs="方正小标宋简体"/>
          <w:b w:val="0"/>
          <w:bCs/>
          <w:sz w:val="44"/>
          <w:szCs w:val="44"/>
          <w:highlight w:val="none"/>
          <w:shd w:val="clear" w:color="auto" w:fill="FFFFFF"/>
          <w:lang w:val="en-US" w:eastAsia="zh-CN"/>
        </w:rPr>
        <w:t>2025年</w:t>
      </w:r>
      <w:r>
        <w:rPr>
          <w:rFonts w:hint="eastAsia" w:ascii="方正小标宋简体" w:hAnsi="方正小标宋简体" w:eastAsia="方正小标宋简体" w:cs="方正小标宋简体"/>
          <w:b w:val="0"/>
          <w:bCs/>
          <w:sz w:val="44"/>
          <w:szCs w:val="44"/>
          <w:highlight w:val="none"/>
          <w:shd w:val="clear" w:color="auto" w:fill="FFFFFF"/>
          <w:lang w:eastAsia="zh-CN"/>
        </w:rPr>
        <w:t>预算绩效</w:t>
      </w:r>
      <w:r>
        <w:rPr>
          <w:rFonts w:hint="eastAsia" w:ascii="方正小标宋简体" w:hAnsi="方正小标宋简体" w:eastAsia="方正小标宋简体" w:cs="方正小标宋简体"/>
          <w:b w:val="0"/>
          <w:bCs/>
          <w:sz w:val="44"/>
          <w:szCs w:val="44"/>
          <w:highlight w:val="none"/>
          <w:shd w:val="clear" w:color="auto" w:fill="FFFFFF"/>
          <w:lang w:val="en-US" w:eastAsia="zh-CN"/>
        </w:rPr>
        <w:t>自</w:t>
      </w:r>
      <w:r>
        <w:rPr>
          <w:rFonts w:hint="eastAsia" w:ascii="方正小标宋简体" w:hAnsi="方正小标宋简体" w:eastAsia="方正小标宋简体" w:cs="方正小标宋简体"/>
          <w:b w:val="0"/>
          <w:bCs/>
          <w:sz w:val="44"/>
          <w:szCs w:val="44"/>
          <w:highlight w:val="none"/>
          <w:shd w:val="clear" w:color="auto" w:fill="FFFFFF"/>
          <w:lang w:eastAsia="zh-CN"/>
        </w:rPr>
        <w:t>评报告</w:t>
      </w:r>
    </w:p>
    <w:p w14:paraId="0FCE492A">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445AEC81">
      <w:pPr>
        <w:widowControl/>
        <w:adjustRightInd w:val="0"/>
        <w:snapToGrid w:val="0"/>
        <w:spacing w:line="578" w:lineRule="exact"/>
        <w:ind w:firstLine="640" w:firstLineChars="200"/>
        <w:contextualSpacing/>
        <w:jc w:val="left"/>
        <w:outlineLvl w:val="0"/>
        <w:rPr>
          <w:rFonts w:hint="eastAsia" w:ascii="Times New Roman" w:hAnsi="Times New Roman" w:eastAsia="黑体" w:cs="Times New Roman"/>
          <w:color w:val="000000"/>
          <w:kern w:val="0"/>
          <w:sz w:val="32"/>
          <w:szCs w:val="32"/>
          <w:shd w:val="clear" w:color="auto" w:fill="FFFFFF"/>
          <w:lang w:val="zh-CN"/>
        </w:rPr>
      </w:pPr>
      <w:r>
        <w:rPr>
          <w:rFonts w:hint="eastAsia" w:ascii="Times New Roman" w:hAnsi="Times New Roman" w:eastAsia="黑体" w:cs="Times New Roman"/>
          <w:color w:val="000000"/>
          <w:kern w:val="0"/>
          <w:sz w:val="32"/>
          <w:szCs w:val="32"/>
          <w:shd w:val="clear" w:color="auto" w:fill="FFFFFF"/>
          <w:lang w:val="zh-CN"/>
        </w:rPr>
        <w:t>一、部门（单位）基本情况</w:t>
      </w:r>
    </w:p>
    <w:p w14:paraId="0F103004">
      <w:pPr>
        <w:widowControl/>
        <w:adjustRightInd w:val="0"/>
        <w:snapToGrid w:val="0"/>
        <w:spacing w:line="578" w:lineRule="exact"/>
        <w:ind w:firstLine="422" w:firstLineChars="200"/>
        <w:contextualSpacing/>
        <w:jc w:val="left"/>
        <w:rPr>
          <w:rFonts w:hint="eastAsia" w:ascii="Times New Roman" w:hAnsi="Times New Roman" w:eastAsia="楷体_GB2312" w:cs="Times New Roman"/>
          <w:b/>
          <w:bCs/>
          <w:color w:val="000000"/>
          <w:kern w:val="0"/>
          <w:sz w:val="32"/>
          <w:szCs w:val="32"/>
          <w:shd w:val="clear" w:color="auto" w:fill="FFFFFF"/>
          <w:lang w:val="zh-CN"/>
        </w:rPr>
      </w:pPr>
      <w:r>
        <w:rPr>
          <w:rFonts w:eastAsia="楷体_GB2312"/>
          <w:b/>
          <w:bCs/>
          <w:color w:val="000000"/>
          <w:kern w:val="0"/>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zh-CN"/>
        </w:rPr>
        <w:t>一）机构组成。</w:t>
      </w:r>
    </w:p>
    <w:p w14:paraId="3405E76A">
      <w:pPr>
        <w:widowControl/>
        <w:adjustRightInd w:val="0"/>
        <w:snapToGrid w:val="0"/>
        <w:spacing w:line="578" w:lineRule="exact"/>
        <w:ind w:firstLine="640" w:firstLineChars="200"/>
        <w:contextualSpacing/>
        <w:jc w:val="left"/>
        <w:rPr>
          <w:rFonts w:hint="eastAsia" w:ascii="仿宋_GB2312" w:hAnsi="Calibri" w:eastAsia="仿宋_GB2312" w:cs="Times New Roman"/>
          <w:color w:val="000000"/>
          <w:kern w:val="0"/>
          <w:sz w:val="32"/>
          <w:szCs w:val="32"/>
          <w:lang w:val="en-US" w:eastAsia="zh-CN" w:bidi="ar-SA"/>
        </w:rPr>
      </w:pPr>
      <w:r>
        <w:rPr>
          <w:rFonts w:hint="eastAsia" w:ascii="仿宋_GB2312" w:hAnsi="Times New Roman" w:eastAsia="仿宋_GB2312" w:cs="Times New Roman"/>
          <w:color w:val="000000"/>
          <w:kern w:val="0"/>
          <w:sz w:val="32"/>
          <w:szCs w:val="32"/>
          <w:lang w:val="en-US" w:eastAsia="zh-CN" w:bidi="ar-SA"/>
        </w:rPr>
        <w:t>中共汶</w:t>
      </w:r>
      <w:r>
        <w:rPr>
          <w:rFonts w:hint="eastAsia" w:ascii="仿宋_GB2312" w:eastAsia="仿宋_GB2312" w:cs="Times New Roman"/>
          <w:color w:val="000000"/>
          <w:kern w:val="0"/>
          <w:sz w:val="32"/>
          <w:szCs w:val="32"/>
          <w:lang w:val="en-US" w:eastAsia="zh-CN" w:bidi="ar-SA"/>
        </w:rPr>
        <w:t>川县委社会工作部</w:t>
      </w:r>
      <w:r>
        <w:rPr>
          <w:rFonts w:hint="eastAsia" w:ascii="仿宋_GB2312" w:hAnsi="Calibri" w:eastAsia="仿宋_GB2312" w:cs="Times New Roman"/>
          <w:color w:val="000000"/>
          <w:kern w:val="0"/>
          <w:sz w:val="32"/>
          <w:szCs w:val="32"/>
          <w:lang w:val="en-US" w:eastAsia="zh-CN" w:bidi="ar-SA"/>
        </w:rPr>
        <w:t>下属预算二级单位</w:t>
      </w:r>
      <w:r>
        <w:rPr>
          <w:rFonts w:hint="eastAsia" w:ascii="仿宋_GB2312" w:eastAsia="仿宋_GB2312" w:cs="Times New Roman"/>
          <w:color w:val="000000"/>
          <w:kern w:val="0"/>
          <w:sz w:val="32"/>
          <w:szCs w:val="32"/>
          <w:lang w:val="en-US" w:eastAsia="zh-CN" w:bidi="ar-SA"/>
        </w:rPr>
        <w:t>2</w:t>
      </w:r>
      <w:r>
        <w:rPr>
          <w:rFonts w:hint="eastAsia" w:ascii="仿宋_GB2312" w:hAnsi="Calibri" w:eastAsia="仿宋_GB2312" w:cs="Times New Roman"/>
          <w:color w:val="000000"/>
          <w:kern w:val="0"/>
          <w:sz w:val="32"/>
          <w:szCs w:val="32"/>
          <w:lang w:val="en-US" w:eastAsia="zh-CN" w:bidi="ar-SA"/>
        </w:rPr>
        <w:t>个，其中行政单位</w:t>
      </w:r>
      <w:r>
        <w:rPr>
          <w:rFonts w:hint="eastAsia" w:ascii="仿宋_GB2312" w:eastAsia="仿宋_GB2312" w:cs="Times New Roman"/>
          <w:color w:val="000000"/>
          <w:kern w:val="0"/>
          <w:sz w:val="32"/>
          <w:szCs w:val="32"/>
          <w:lang w:val="en-US" w:eastAsia="zh-CN" w:bidi="ar-SA"/>
        </w:rPr>
        <w:t>1</w:t>
      </w:r>
      <w:r>
        <w:rPr>
          <w:rFonts w:hint="eastAsia" w:ascii="仿宋_GB2312" w:hAnsi="Calibri" w:eastAsia="仿宋_GB2312" w:cs="Times New Roman"/>
          <w:color w:val="000000"/>
          <w:kern w:val="0"/>
          <w:sz w:val="32"/>
          <w:szCs w:val="32"/>
          <w:lang w:val="en-US" w:eastAsia="zh-CN" w:bidi="ar-SA"/>
        </w:rPr>
        <w:t>个，其他事业单位</w:t>
      </w:r>
      <w:r>
        <w:rPr>
          <w:rFonts w:hint="eastAsia" w:ascii="仿宋_GB2312" w:eastAsia="仿宋_GB2312" w:cs="Times New Roman"/>
          <w:color w:val="000000"/>
          <w:kern w:val="0"/>
          <w:sz w:val="32"/>
          <w:szCs w:val="32"/>
          <w:lang w:val="en-US" w:eastAsia="zh-CN" w:bidi="ar-SA"/>
        </w:rPr>
        <w:t>1</w:t>
      </w:r>
      <w:r>
        <w:rPr>
          <w:rFonts w:hint="eastAsia" w:ascii="仿宋_GB2312" w:cs="Times New Roman"/>
          <w:color w:val="000000"/>
          <w:kern w:val="0"/>
          <w:sz w:val="32"/>
          <w:szCs w:val="32"/>
          <w:lang w:val="en-US" w:eastAsia="zh-CN" w:bidi="ar-SA"/>
        </w:rPr>
        <w:t>个。</w:t>
      </w:r>
    </w:p>
    <w:p w14:paraId="33516E1A">
      <w:pPr>
        <w:widowControl/>
        <w:adjustRightInd w:val="0"/>
        <w:snapToGrid w:val="0"/>
        <w:spacing w:line="578" w:lineRule="exact"/>
        <w:ind w:firstLine="643" w:firstLineChars="200"/>
        <w:contextualSpacing/>
        <w:jc w:val="left"/>
        <w:rPr>
          <w:rFonts w:hint="eastAsia"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（二）机构职能。</w:t>
      </w:r>
    </w:p>
    <w:p w14:paraId="7EF42FB4">
      <w:pPr>
        <w:keepNext w:val="0"/>
        <w:keepLines w:val="0"/>
        <w:pageBreakBefore w:val="0"/>
        <w:numPr>
          <w:ilvl w:val="0"/>
          <w:numId w:val="0"/>
        </w:numPr>
        <w:kinsoku/>
        <w:wordWrap/>
        <w:overflowPunct/>
        <w:topLinePunct w:val="0"/>
        <w:autoSpaceDE/>
        <w:autoSpaceDN/>
        <w:bidi w:val="0"/>
        <w:spacing w:line="570" w:lineRule="exact"/>
        <w:ind w:firstLine="640" w:firstLineChars="200"/>
        <w:textAlignment w:val="auto"/>
        <w:rPr>
          <w:rFonts w:hint="eastAsia" w:ascii="仿宋_GB2312" w:cs="Times New Roman"/>
          <w:color w:val="000000"/>
          <w:kern w:val="0"/>
          <w:sz w:val="32"/>
          <w:szCs w:val="32"/>
          <w:lang w:val="en-US" w:eastAsia="zh-CN" w:bidi="ar-SA"/>
        </w:rPr>
      </w:pPr>
      <w:r>
        <w:rPr>
          <w:rFonts w:hint="eastAsia" w:ascii="仿宋_GB2312" w:eastAsia="仿宋_GB2312" w:cs="Times New Roman"/>
          <w:color w:val="000000"/>
          <w:kern w:val="0"/>
          <w:sz w:val="32"/>
          <w:szCs w:val="32"/>
          <w:lang w:val="en-US" w:eastAsia="zh-CN" w:bidi="ar-SA"/>
        </w:rPr>
        <w:t>中共汶川县委社会工作部</w:t>
      </w:r>
      <w:r>
        <w:rPr>
          <w:rFonts w:hint="eastAsia" w:ascii="仿宋_GB2312" w:cs="Times New Roman"/>
          <w:color w:val="000000"/>
          <w:kern w:val="0"/>
          <w:sz w:val="32"/>
          <w:szCs w:val="32"/>
          <w:lang w:val="en-US" w:eastAsia="zh-CN" w:bidi="ar-SA"/>
        </w:rPr>
        <w:t>下设两个股室。</w:t>
      </w:r>
    </w:p>
    <w:p w14:paraId="2492008E">
      <w:pPr>
        <w:keepNext w:val="0"/>
        <w:keepLines w:val="0"/>
        <w:pageBreakBefore w:val="0"/>
        <w:numPr>
          <w:ilvl w:val="0"/>
          <w:numId w:val="0"/>
        </w:numPr>
        <w:kinsoku/>
        <w:wordWrap/>
        <w:overflowPunct/>
        <w:topLinePunct w:val="0"/>
        <w:autoSpaceDE/>
        <w:autoSpaceDN/>
        <w:bidi w:val="0"/>
        <w:spacing w:line="570" w:lineRule="exact"/>
        <w:ind w:firstLine="643" w:firstLineChars="200"/>
        <w:textAlignment w:val="auto"/>
        <w:rPr>
          <w:rFonts w:hint="default" w:ascii="仿宋_GB2312" w:hAnsi="楷体" w:eastAsia="仿宋_GB2312"/>
          <w:b/>
          <w:sz w:val="32"/>
          <w:szCs w:val="32"/>
          <w:lang w:val="en-US" w:eastAsia="zh-CN"/>
        </w:rPr>
      </w:pPr>
      <w:r>
        <w:rPr>
          <w:rFonts w:hint="eastAsia" w:ascii="仿宋_GB2312" w:hAnsi="楷体" w:eastAsia="仿宋_GB2312"/>
          <w:b/>
          <w:sz w:val="32"/>
          <w:szCs w:val="32"/>
          <w:lang w:val="en-US" w:eastAsia="zh-CN"/>
        </w:rPr>
        <w:t>1.综合股</w:t>
      </w:r>
      <w:r>
        <w:rPr>
          <w:rFonts w:hint="eastAsia" w:ascii="仿宋_GB2312" w:hAnsi="楷体"/>
          <w:b/>
          <w:sz w:val="32"/>
          <w:szCs w:val="32"/>
          <w:lang w:val="en-US" w:eastAsia="zh-CN"/>
        </w:rPr>
        <w:t>。</w:t>
      </w:r>
      <w:r>
        <w:rPr>
          <w:rFonts w:hint="eastAsia" w:ascii="仿宋_GB2312" w:eastAsia="仿宋_GB2312" w:cs="仿宋_GB2312"/>
          <w:color w:val="000000"/>
          <w:sz w:val="32"/>
          <w:szCs w:val="32"/>
        </w:rPr>
        <w:t>负责机关日常运转，承担</w:t>
      </w:r>
      <w:r>
        <w:rPr>
          <w:rFonts w:hint="eastAsia" w:ascii="仿宋_GB2312" w:eastAsia="仿宋_GB2312" w:cs="仿宋_GB2312"/>
          <w:color w:val="000000"/>
          <w:sz w:val="32"/>
          <w:szCs w:val="32"/>
          <w:lang w:val="en-US" w:eastAsia="zh-CN"/>
        </w:rPr>
        <w:t>综合协调、文电会务、机要保密、信息公开、文书档案、后勤保障等工作。承担部机关及所属单位财务、国有资产管理、内部审计和工会等工作。协调处理信访工作的重大问题、承担人民建议征集有关工作。负责机关绩效管理和其他事项的督查督办。负责有关重要文件起草、重点工作调查研究和规范性文件审查备案工作。承担本部门新闻宣传、节能减排、安全生产、意识形态、综治维稳、扫黑除恶、依法治理、干部人事、机构编制、教育培训、队伍建设、退休干部等工作。</w:t>
      </w:r>
    </w:p>
    <w:p w14:paraId="1F7216BC">
      <w:pPr>
        <w:keepNext w:val="0"/>
        <w:keepLines w:val="0"/>
        <w:pageBreakBefore w:val="0"/>
        <w:numPr>
          <w:ilvl w:val="0"/>
          <w:numId w:val="0"/>
        </w:numPr>
        <w:kinsoku/>
        <w:wordWrap/>
        <w:overflowPunct/>
        <w:topLinePunct w:val="0"/>
        <w:autoSpaceDE/>
        <w:autoSpaceDN/>
        <w:bidi w:val="0"/>
        <w:spacing w:line="570" w:lineRule="exact"/>
        <w:ind w:firstLine="643" w:firstLineChars="200"/>
        <w:textAlignment w:val="auto"/>
        <w:rPr>
          <w:rFonts w:hint="eastAsia" w:ascii="仿宋_GB2312" w:eastAsia="仿宋_GB2312" w:cs="仿宋_GB2312"/>
          <w:color w:val="000000"/>
          <w:sz w:val="32"/>
          <w:szCs w:val="32"/>
          <w:lang w:val="en-US" w:eastAsia="zh-CN"/>
        </w:rPr>
      </w:pPr>
      <w:r>
        <w:rPr>
          <w:rFonts w:hint="eastAsia" w:ascii="仿宋_GB2312" w:hAnsi="楷体" w:eastAsia="仿宋_GB2312"/>
          <w:b/>
          <w:sz w:val="32"/>
          <w:szCs w:val="32"/>
          <w:lang w:val="en-US" w:eastAsia="zh-CN"/>
        </w:rPr>
        <w:t>2.业务股</w:t>
      </w:r>
      <w:r>
        <w:rPr>
          <w:rFonts w:hint="eastAsia" w:ascii="仿宋_GB2312" w:hAnsi="楷体"/>
          <w:b/>
          <w:sz w:val="32"/>
          <w:szCs w:val="32"/>
          <w:lang w:val="en-US" w:eastAsia="zh-CN"/>
        </w:rPr>
        <w:t>。</w:t>
      </w:r>
      <w:r>
        <w:rPr>
          <w:rFonts w:hint="eastAsia" w:ascii="仿宋_GB2312" w:eastAsia="仿宋_GB2312" w:cs="仿宋_GB2312"/>
          <w:color w:val="000000"/>
          <w:sz w:val="32"/>
          <w:szCs w:val="32"/>
          <w:lang w:val="en-US" w:eastAsia="zh-CN"/>
        </w:rPr>
        <w:t>承担贯彻落实和指导实施基层治理和基层政权建设有关政策，指导实施全县党建引领基层治理和基层政权建设。指导健全和落实党建引领基层治理领导体系和工作机制。承担城乡社区治理体系、服务体系和治理能力建设的指导协调和推进工作。承担推动基层民主政治建设有关工作，指导监督基层群众性自治组织规范化建设。</w:t>
      </w:r>
    </w:p>
    <w:p w14:paraId="29BCA90E">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承担指导推动社会工作人才队伍建设、志愿服务人才队伍建设和阵地建设工作，协调推动跨区域有关交流合作。指导开展社会组织工作服务和志愿服务培训，培育志愿精神、志愿文化。组织开展全县性、示范性志愿服务重大活动。</w:t>
      </w:r>
    </w:p>
    <w:p w14:paraId="2E670462">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调查研究全县行业商会协会、商会深化改革和转型发展中的重大问题，研究提出加强和改进行业协会、商会党建工作的意见建议。指导全县行业协会、商会基层党组织建设、党员队伍建设、思想政治工作、党的群众工作、外事有关工作、群团组织工作、党风廉政建设和党建其他工作。组织对全县行业协会、商会遵守政治纪律和政治规矩、落实党建责任制情况进行监督检查。负责全县行业协会、商会负责人人选的审核。督促全线行业协会、商会的党组织按期换届。</w:t>
      </w:r>
    </w:p>
    <w:p w14:paraId="0A1DF31E">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eastAsia="楷体_GB2312"/>
          <w:b/>
          <w:bCs/>
          <w:color w:val="000000"/>
          <w:kern w:val="0"/>
          <w:szCs w:val="32"/>
          <w:shd w:val="clear" w:color="auto" w:fill="FFFFFF"/>
          <w:lang w:val="zh-CN"/>
        </w:rPr>
      </w:pPr>
      <w:r>
        <w:rPr>
          <w:rFonts w:hint="eastAsia" w:ascii="仿宋_GB2312" w:eastAsia="仿宋_GB2312" w:cs="仿宋_GB2312"/>
          <w:color w:val="000000"/>
          <w:sz w:val="32"/>
          <w:szCs w:val="32"/>
          <w:lang w:val="en-US" w:eastAsia="zh-CN"/>
        </w:rPr>
        <w:t>承担指导、推动全县“两企三新”党建工作、承担相关企业单位、社会组织、就业群体中党员教育、管理、监督和服务的具体指导协调工作。调查研究相关重大问题，提出完善相关领域群众利益协调机制的政策建议。承担指导全县社会组织党建工作。承担对有关部门开展本领域内有关企业单位、社会组织、就业群众党建工作的联系指导工作。</w:t>
      </w:r>
    </w:p>
    <w:p w14:paraId="348136DA">
      <w:pPr>
        <w:widowControl/>
        <w:numPr>
          <w:ilvl w:val="0"/>
          <w:numId w:val="4"/>
        </w:numPr>
        <w:adjustRightInd w:val="0"/>
        <w:snapToGrid w:val="0"/>
        <w:spacing w:line="578" w:lineRule="exact"/>
        <w:ind w:firstLine="643" w:firstLineChars="200"/>
        <w:contextualSpacing/>
        <w:jc w:val="left"/>
        <w:rPr>
          <w:rFonts w:hint="eastAsia"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人员概况。</w:t>
      </w:r>
    </w:p>
    <w:p w14:paraId="3B2510A6">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截至2025年末，中共汶川县委社会工作部及下属单位总编制 12 名,其中:行政编制 7 名，其他事业编制 5 名。在职人员总数 10 名，其中：行政人员6名，其他事业人员 4 名。</w:t>
      </w:r>
    </w:p>
    <w:p w14:paraId="27211CF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lang w:bidi="ar-SA"/>
        </w:rPr>
      </w:pPr>
      <w:r>
        <w:rPr>
          <w:rFonts w:hint="default" w:ascii="Times New Roman" w:hAnsi="Times New Roman" w:eastAsia="黑体" w:cs="Times New Roman"/>
          <w:color w:val="000000"/>
          <w:kern w:val="0"/>
          <w:sz w:val="32"/>
          <w:szCs w:val="32"/>
          <w:highlight w:val="none"/>
          <w:shd w:val="clear" w:color="auto" w:fill="FFFFFF"/>
          <w:lang w:bidi="ar-SA"/>
        </w:rPr>
        <w:t>二、</w:t>
      </w:r>
      <w:r>
        <w:rPr>
          <w:rFonts w:hint="default" w:ascii="Times New Roman" w:hAnsi="Times New Roman" w:eastAsia="黑体" w:cs="Times New Roman"/>
          <w:color w:val="000000"/>
          <w:kern w:val="0"/>
          <w:sz w:val="32"/>
          <w:szCs w:val="32"/>
          <w:highlight w:val="none"/>
          <w:shd w:val="clear" w:color="auto" w:fill="FFFFFF"/>
          <w:lang w:eastAsia="zh-CN" w:bidi="ar-SA"/>
        </w:rPr>
        <w:t>部门</w:t>
      </w:r>
      <w:r>
        <w:rPr>
          <w:rFonts w:hint="default" w:ascii="Times New Roman" w:hAnsi="Times New Roman" w:eastAsia="黑体" w:cs="Times New Roman"/>
          <w:color w:val="000000"/>
          <w:kern w:val="0"/>
          <w:sz w:val="32"/>
          <w:szCs w:val="32"/>
          <w:highlight w:val="none"/>
          <w:shd w:val="clear" w:color="auto" w:fill="FFFFFF"/>
          <w:lang w:bidi="ar-SA"/>
        </w:rPr>
        <w:t>资金收支情况</w:t>
      </w:r>
    </w:p>
    <w:p w14:paraId="0D72816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w:t>
      </w:r>
      <w:r>
        <w:rPr>
          <w:rFonts w:hint="eastAsia" w:ascii="Times New Roman" w:hAnsi="Times New Roman" w:eastAsia="楷体_GB2312" w:cs="Times New Roman"/>
          <w:b/>
          <w:bCs/>
          <w:color w:val="000000"/>
          <w:kern w:val="0"/>
          <w:sz w:val="32"/>
          <w:szCs w:val="32"/>
          <w:highlight w:val="none"/>
          <w:shd w:val="clear" w:color="auto" w:fill="FFFFFF"/>
          <w:lang w:val="zh-CN" w:eastAsia="zh-CN" w:bidi="ar-SA"/>
        </w:rPr>
        <w:t>收入情况</w:t>
      </w: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w:t>
      </w:r>
    </w:p>
    <w:p w14:paraId="56D31FC1">
      <w:pPr>
        <w:spacing w:line="576" w:lineRule="exact"/>
        <w:ind w:firstLine="640" w:firstLineChars="200"/>
        <w:rPr>
          <w:rFonts w:hint="eastAsia" w:ascii="仿宋_GB2312" w:hAnsi="Times New Roman" w:eastAsia="仿宋_GB2312" w:cs="Times New Roman"/>
          <w:sz w:val="32"/>
          <w:szCs w:val="32"/>
          <w:lang w:val="en-US" w:eastAsia="zh-CN" w:bidi="ar-SA"/>
        </w:rPr>
      </w:pPr>
      <w:r>
        <w:rPr>
          <w:rFonts w:hint="eastAsia" w:ascii="仿宋_GB2312" w:hAnsi="Times New Roman" w:eastAsia="仿宋_GB2312" w:cs="Times New Roman"/>
          <w:sz w:val="32"/>
          <w:szCs w:val="32"/>
          <w:lang w:val="en-US" w:eastAsia="zh-CN" w:bidi="ar-SA"/>
        </w:rPr>
        <w:t>中共汶川县委社会工作部2025年年初收入总预算为535.14万元，其中中共汶川县委社会工作部本级年初预算为485.44万元，汶川县社会服务中心年初预算为49.71万元，2025年收入调整预算数为579.52万元，其中：一般公共预算财政拨款收入579.52万元，占比%，政府性基金预算财政拨款收入0万元，占比02%，</w:t>
      </w:r>
      <w:r>
        <w:rPr>
          <w:rFonts w:hint="eastAsia" w:ascii="仿宋_GB2312" w:hAnsi="Times New Roman" w:eastAsia="仿宋_GB2312" w:cs="Times New Roman"/>
          <w:sz w:val="32"/>
          <w:szCs w:val="32"/>
          <w:lang w:val="zh-CN" w:eastAsia="zh-CN" w:bidi="ar-SA"/>
        </w:rPr>
        <w:t>其他收入为</w:t>
      </w:r>
      <w:r>
        <w:rPr>
          <w:rFonts w:hint="eastAsia" w:ascii="仿宋_GB2312" w:hAnsi="Times New Roman" w:eastAsia="仿宋_GB2312" w:cs="Times New Roman"/>
          <w:sz w:val="32"/>
          <w:szCs w:val="32"/>
          <w:lang w:val="en-US" w:eastAsia="zh-CN" w:bidi="ar-SA"/>
        </w:rPr>
        <w:t>0万元，</w:t>
      </w:r>
      <w:r>
        <w:rPr>
          <w:rFonts w:hint="eastAsia" w:ascii="仿宋_GB2312" w:hAnsi="Times New Roman" w:eastAsia="仿宋_GB2312" w:cs="Times New Roman"/>
          <w:sz w:val="32"/>
          <w:szCs w:val="32"/>
          <w:lang w:val="zh-CN" w:eastAsia="zh-CN" w:bidi="ar-SA"/>
        </w:rPr>
        <w:t>占比</w:t>
      </w:r>
      <w:r>
        <w:rPr>
          <w:rFonts w:hint="eastAsia" w:ascii="仿宋_GB2312" w:hAnsi="Times New Roman" w:eastAsia="仿宋_GB2312" w:cs="Times New Roman"/>
          <w:sz w:val="32"/>
          <w:szCs w:val="32"/>
          <w:lang w:val="en-US" w:eastAsia="zh-CN" w:bidi="ar-SA"/>
        </w:rPr>
        <w:t>0</w:t>
      </w:r>
      <w:r>
        <w:rPr>
          <w:rFonts w:hint="eastAsia" w:ascii="仿宋_GB2312" w:hAnsi="Times New Roman" w:eastAsia="仿宋_GB2312" w:cs="Times New Roman"/>
          <w:sz w:val="32"/>
          <w:szCs w:val="32"/>
          <w:lang w:val="zh-CN" w:eastAsia="zh-CN" w:bidi="ar-SA"/>
        </w:rPr>
        <w:t>%</w:t>
      </w:r>
      <w:r>
        <w:rPr>
          <w:rFonts w:hint="eastAsia" w:ascii="仿宋_GB2312" w:hAnsi="Times New Roman" w:eastAsia="仿宋_GB2312" w:cs="Times New Roman"/>
          <w:sz w:val="32"/>
          <w:szCs w:val="32"/>
          <w:lang w:val="en-US" w:eastAsia="zh-CN" w:bidi="ar-SA"/>
        </w:rPr>
        <w:t>。</w:t>
      </w:r>
    </w:p>
    <w:p w14:paraId="310A5761">
      <w:pPr>
        <w:widowControl/>
        <w:numPr>
          <w:ilvl w:val="0"/>
          <w:numId w:val="5"/>
        </w:numPr>
        <w:adjustRightInd w:val="0"/>
        <w:snapToGrid w:val="0"/>
        <w:spacing w:line="600" w:lineRule="exact"/>
        <w:ind w:left="0" w:firstLine="643" w:firstLineChars="200"/>
        <w:contextualSpacing/>
        <w:jc w:val="both"/>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eastAsia" w:ascii="Times New Roman" w:hAnsi="Times New Roman" w:eastAsia="楷体_GB2312" w:cs="Times New Roman"/>
          <w:b/>
          <w:bCs/>
          <w:color w:val="000000"/>
          <w:kern w:val="0"/>
          <w:sz w:val="32"/>
          <w:szCs w:val="32"/>
          <w:highlight w:val="none"/>
          <w:shd w:val="clear" w:color="auto" w:fill="FFFFFF"/>
          <w:lang w:val="zh-CN" w:eastAsia="zh-CN" w:bidi="ar-SA"/>
        </w:rPr>
        <w:t>支出情况</w:t>
      </w: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w:t>
      </w:r>
    </w:p>
    <w:p w14:paraId="0DE567C1">
      <w:pPr>
        <w:spacing w:line="576" w:lineRule="exact"/>
        <w:ind w:firstLine="640" w:firstLineChars="200"/>
        <w:rPr>
          <w:rFonts w:hint="eastAsia" w:ascii="仿宋_GB2312" w:hAnsi="Times New Roman" w:eastAsia="仿宋_GB2312" w:cs="Times New Roman"/>
          <w:color w:val="000000"/>
          <w:sz w:val="32"/>
          <w:szCs w:val="32"/>
          <w:lang w:val="zh-CN" w:eastAsia="zh-CN" w:bidi="ar-SA"/>
        </w:rPr>
      </w:pPr>
      <w:r>
        <w:rPr>
          <w:rFonts w:hint="eastAsia" w:ascii="仿宋_GB2312" w:hAnsi="Times New Roman" w:eastAsia="仿宋_GB2312" w:cs="Times New Roman"/>
          <w:sz w:val="32"/>
          <w:szCs w:val="32"/>
          <w:lang w:val="en-US" w:eastAsia="zh-CN" w:bidi="ar-SA"/>
        </w:rPr>
        <w:t>中共汶川县委社会工作部</w:t>
      </w:r>
      <w:r>
        <w:rPr>
          <w:rFonts w:hint="eastAsia" w:ascii="仿宋_GB2312" w:hAnsi="Times New Roman" w:eastAsia="仿宋_GB2312" w:cs="Times New Roman"/>
          <w:color w:val="000000"/>
          <w:sz w:val="32"/>
          <w:szCs w:val="32"/>
          <w:lang w:val="en-US" w:eastAsia="zh-CN" w:bidi="ar-SA"/>
        </w:rPr>
        <w:t>2025</w:t>
      </w:r>
      <w:r>
        <w:rPr>
          <w:rFonts w:hint="eastAsia" w:ascii="仿宋_GB2312" w:hAnsi="Times New Roman" w:eastAsia="仿宋_GB2312" w:cs="Times New Roman"/>
          <w:color w:val="000000"/>
          <w:sz w:val="32"/>
          <w:szCs w:val="32"/>
          <w:lang w:val="zh-CN" w:eastAsia="zh-CN" w:bidi="ar-SA"/>
        </w:rPr>
        <w:t>支出决算总计</w:t>
      </w:r>
      <w:r>
        <w:rPr>
          <w:rFonts w:hint="eastAsia" w:ascii="仿宋_GB2312" w:hAnsi="Times New Roman" w:eastAsia="仿宋_GB2312" w:cs="Times New Roman"/>
          <w:color w:val="000000"/>
          <w:sz w:val="32"/>
          <w:szCs w:val="32"/>
          <w:lang w:val="en-US" w:eastAsia="zh-CN" w:bidi="ar-SA"/>
        </w:rPr>
        <w:t>579.52万元</w:t>
      </w:r>
      <w:r>
        <w:rPr>
          <w:rFonts w:hint="eastAsia" w:ascii="仿宋" w:hAnsi="Times New Roman" w:eastAsia="仿宋" w:cs="仿宋_GB2312"/>
          <w:color w:val="000000"/>
          <w:sz w:val="32"/>
          <w:szCs w:val="32"/>
          <w:lang w:eastAsia="zh-CN" w:bidi="ar-SA"/>
        </w:rPr>
        <w:t>（</w:t>
      </w:r>
      <w:r>
        <w:rPr>
          <w:rFonts w:hint="eastAsia" w:ascii="仿宋" w:hAnsi="Times New Roman" w:eastAsia="仿宋" w:cs="仿宋_GB2312"/>
          <w:color w:val="000000"/>
          <w:sz w:val="32"/>
          <w:szCs w:val="32"/>
          <w:lang w:val="en-US" w:eastAsia="zh-CN" w:bidi="ar-SA"/>
        </w:rPr>
        <w:t>其中：</w:t>
      </w:r>
      <w:r>
        <w:rPr>
          <w:rFonts w:hint="eastAsia" w:ascii="仿宋_GB2312" w:hAnsi="Times New Roman" w:eastAsia="仿宋_GB2312" w:cs="Times New Roman"/>
          <w:sz w:val="32"/>
          <w:szCs w:val="32"/>
          <w:lang w:val="en-US" w:eastAsia="zh-CN" w:bidi="ar-SA"/>
        </w:rPr>
        <w:t>中共汶川县委社会工作部</w:t>
      </w:r>
      <w:r>
        <w:rPr>
          <w:rFonts w:hint="eastAsia" w:ascii="仿宋" w:hAnsi="Times New Roman" w:eastAsia="仿宋" w:cs="仿宋_GB2312"/>
          <w:color w:val="000000"/>
          <w:sz w:val="32"/>
          <w:szCs w:val="32"/>
          <w:lang w:val="en-US" w:eastAsia="zh-CN" w:bidi="ar-SA"/>
        </w:rPr>
        <w:t>本级支出518.47万元，汶川县社会工作服务中心支出61.05万元</w:t>
      </w:r>
      <w:r>
        <w:rPr>
          <w:rFonts w:hint="eastAsia" w:ascii="仿宋" w:hAnsi="Times New Roman" w:eastAsia="仿宋" w:cs="仿宋_GB2312"/>
          <w:color w:val="000000"/>
          <w:sz w:val="32"/>
          <w:szCs w:val="32"/>
          <w:lang w:eastAsia="zh-CN" w:bidi="ar-SA"/>
        </w:rPr>
        <w:t>）</w:t>
      </w:r>
      <w:r>
        <w:rPr>
          <w:rFonts w:hint="eastAsia" w:ascii="仿宋_GB2312" w:hAnsi="Times New Roman" w:eastAsia="仿宋_GB2312" w:cs="Times New Roman"/>
          <w:color w:val="000000"/>
          <w:sz w:val="32"/>
          <w:szCs w:val="32"/>
          <w:lang w:val="en-US" w:eastAsia="zh-CN" w:bidi="ar-SA"/>
        </w:rPr>
        <w:t>，</w:t>
      </w:r>
      <w:r>
        <w:rPr>
          <w:rFonts w:hint="eastAsia" w:ascii="仿宋_GB2312" w:hAnsi="Times New Roman" w:eastAsia="仿宋_GB2312" w:cs="Times New Roman"/>
          <w:color w:val="000000"/>
          <w:sz w:val="32"/>
          <w:szCs w:val="32"/>
          <w:lang w:val="zh-CN" w:eastAsia="zh-CN" w:bidi="ar-SA"/>
        </w:rPr>
        <w:t>其中：</w:t>
      </w:r>
      <w:r>
        <w:rPr>
          <w:rFonts w:hint="eastAsia" w:ascii="仿宋_GB2312" w:hAnsi="Times New Roman" w:eastAsia="仿宋_GB2312" w:cs="Times New Roman"/>
          <w:color w:val="000000"/>
          <w:sz w:val="32"/>
          <w:szCs w:val="32"/>
          <w:lang w:val="en-US" w:eastAsia="zh-CN" w:bidi="ar-SA"/>
        </w:rPr>
        <w:t>一般公共预算财政拨款支出579.52万元，占比100%，政府性基金预算财政拨款支出0</w:t>
      </w:r>
      <w:r>
        <w:rPr>
          <w:rFonts w:hint="eastAsia" w:ascii="仿宋_GB2312" w:hAnsi="Times New Roman" w:eastAsia="仿宋_GB2312" w:cs="Times New Roman"/>
          <w:color w:val="000000"/>
          <w:sz w:val="32"/>
          <w:szCs w:val="32"/>
          <w:lang w:val="zh-CN" w:eastAsia="zh-CN" w:bidi="ar-SA"/>
        </w:rPr>
        <w:t>万元，占比</w:t>
      </w:r>
      <w:r>
        <w:rPr>
          <w:rFonts w:hint="eastAsia" w:ascii="仿宋_GB2312" w:hAnsi="Times New Roman" w:eastAsia="仿宋_GB2312" w:cs="Times New Roman"/>
          <w:color w:val="000000"/>
          <w:sz w:val="32"/>
          <w:szCs w:val="32"/>
          <w:lang w:val="en-US" w:eastAsia="zh-CN" w:bidi="ar-SA"/>
        </w:rPr>
        <w:t>0</w:t>
      </w:r>
      <w:r>
        <w:rPr>
          <w:rFonts w:hint="eastAsia" w:ascii="仿宋_GB2312" w:hAnsi="Times New Roman" w:eastAsia="仿宋_GB2312" w:cs="Times New Roman"/>
          <w:color w:val="000000"/>
          <w:sz w:val="32"/>
          <w:szCs w:val="32"/>
          <w:lang w:val="zh-CN" w:eastAsia="zh-CN" w:bidi="ar-SA"/>
        </w:rPr>
        <w:t>%</w:t>
      </w:r>
      <w:r>
        <w:rPr>
          <w:rFonts w:hint="eastAsia" w:ascii="仿宋_GB2312" w:hAnsi="Times New Roman" w:eastAsia="仿宋_GB2312" w:cs="Times New Roman"/>
          <w:color w:val="000000"/>
          <w:sz w:val="32"/>
          <w:szCs w:val="32"/>
          <w:lang w:val="en-US" w:eastAsia="zh-CN" w:bidi="ar-SA"/>
        </w:rPr>
        <w:t>。</w:t>
      </w:r>
    </w:p>
    <w:p w14:paraId="7BE402B6">
      <w:pPr>
        <w:keepNext w:val="0"/>
        <w:keepLines w:val="0"/>
        <w:pageBreakBefore w:val="0"/>
        <w:numPr>
          <w:ilvl w:val="0"/>
          <w:numId w:val="0"/>
        </w:numPr>
        <w:kinsoku/>
        <w:wordWrap/>
        <w:overflowPunct/>
        <w:topLinePunct w:val="0"/>
        <w:autoSpaceDE/>
        <w:autoSpaceDN/>
        <w:bidi w:val="0"/>
        <w:spacing w:line="570" w:lineRule="exact"/>
        <w:ind w:left="0" w:leftChars="0" w:firstLine="643" w:firstLineChars="200"/>
        <w:textAlignment w:val="auto"/>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（三）结余分配和结转结余情况。</w:t>
      </w:r>
    </w:p>
    <w:p w14:paraId="551D800A">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Times New Roman" w:eastAsia="仿宋_GB2312" w:cs="仿宋_GB2312"/>
          <w:color w:val="000000"/>
          <w:sz w:val="32"/>
          <w:szCs w:val="32"/>
          <w:lang w:val="zh-CN" w:eastAsia="zh-CN"/>
        </w:rPr>
      </w:pPr>
      <w:r>
        <w:rPr>
          <w:rFonts w:hint="eastAsia" w:ascii="仿宋_GB2312" w:hAnsi="Times New Roman" w:eastAsia="仿宋_GB2312" w:cs="仿宋_GB2312"/>
          <w:color w:val="000000"/>
          <w:sz w:val="32"/>
          <w:szCs w:val="32"/>
          <w:lang w:val="en-US" w:eastAsia="zh-CN"/>
        </w:rPr>
        <w:t>中共汶川县委社会工作部2025年无结转结余。</w:t>
      </w:r>
    </w:p>
    <w:p w14:paraId="45E3D285">
      <w:pPr>
        <w:widowControl/>
        <w:adjustRightInd w:val="0"/>
        <w:snapToGrid w:val="0"/>
        <w:spacing w:line="578" w:lineRule="exact"/>
        <w:ind w:firstLine="640" w:firstLineChars="200"/>
        <w:contextualSpacing/>
        <w:jc w:val="left"/>
        <w:outlineLvl w:val="0"/>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三、部门预算绩效分析</w:t>
      </w:r>
    </w:p>
    <w:p w14:paraId="59A4BC0D">
      <w:pPr>
        <w:keepNext w:val="0"/>
        <w:keepLines w:val="0"/>
        <w:pageBreakBefore w:val="0"/>
        <w:numPr>
          <w:ilvl w:val="0"/>
          <w:numId w:val="0"/>
        </w:numPr>
        <w:kinsoku/>
        <w:wordWrap/>
        <w:overflowPunct/>
        <w:topLinePunct w:val="0"/>
        <w:autoSpaceDE/>
        <w:autoSpaceDN/>
        <w:bidi w:val="0"/>
        <w:spacing w:line="570" w:lineRule="exact"/>
        <w:ind w:left="0" w:leftChars="0" w:firstLine="643" w:firstLineChars="200"/>
        <w:textAlignment w:val="auto"/>
        <w:rPr>
          <w:rFonts w:hint="eastAsia" w:ascii="仿宋_GB2312" w:hAnsi="Times New Roman" w:eastAsia="仿宋_GB2312" w:cs="仿宋_GB2312"/>
          <w:color w:val="000000"/>
          <w:sz w:val="32"/>
          <w:szCs w:val="32"/>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（一）部门预算总体绩效分析。</w:t>
      </w:r>
      <w:r>
        <w:rPr>
          <w:rFonts w:hint="eastAsia" w:ascii="仿宋_GB2312" w:hAnsi="Times New Roman" w:eastAsia="仿宋_GB2312" w:cs="仿宋_GB2312"/>
          <w:color w:val="000000"/>
          <w:sz w:val="32"/>
          <w:szCs w:val="32"/>
          <w:lang w:val="zh-CN" w:eastAsia="zh-CN"/>
        </w:rPr>
        <w:t>根据部门预算绩效评价指标体系“总体绩效”涉及二、三级指标进行逐项绩效分析并评分，依次包括履职效能、预算管理、财务管理、资产管理、采购管理等情况。</w:t>
      </w:r>
    </w:p>
    <w:p w14:paraId="1F4888D4">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Times New Roman" w:eastAsia="仿宋_GB2312" w:cs="仿宋_GB2312"/>
          <w:color w:val="000000"/>
          <w:sz w:val="32"/>
          <w:szCs w:val="32"/>
          <w:lang w:val="en-US" w:eastAsia="zh-CN"/>
        </w:rPr>
      </w:pPr>
      <w:r>
        <w:rPr>
          <w:rFonts w:hint="eastAsia" w:ascii="仿宋_GB2312" w:hAnsi="Times New Roman" w:eastAsia="仿宋_GB2312" w:cs="仿宋_GB2312"/>
          <w:color w:val="000000"/>
          <w:sz w:val="32"/>
          <w:szCs w:val="32"/>
          <w:lang w:val="en-US" w:eastAsia="zh-CN"/>
        </w:rPr>
        <w:t>1.</w:t>
      </w:r>
      <w:r>
        <w:rPr>
          <w:rFonts w:hint="eastAsia" w:ascii="仿宋_GB2312" w:hAnsi="Times New Roman" w:eastAsia="仿宋_GB2312" w:cs="仿宋_GB2312"/>
          <w:color w:val="000000"/>
          <w:sz w:val="32"/>
          <w:szCs w:val="32"/>
          <w:lang w:val="zh-CN" w:eastAsia="zh-CN"/>
        </w:rPr>
        <w:t>履职效能。</w:t>
      </w:r>
      <w:r>
        <w:rPr>
          <w:rFonts w:hint="eastAsia" w:ascii="仿宋_GB2312" w:hAnsi="Times New Roman" w:eastAsia="仿宋_GB2312" w:cs="仿宋_GB2312"/>
          <w:color w:val="000000"/>
          <w:sz w:val="32"/>
          <w:szCs w:val="32"/>
          <w:lang w:val="en-US" w:eastAsia="zh-CN"/>
        </w:rPr>
        <w:t>我部</w:t>
      </w:r>
      <w:r>
        <w:rPr>
          <w:rFonts w:hint="eastAsia" w:ascii="仿宋_GB2312" w:hAnsi="Times New Roman" w:eastAsia="仿宋_GB2312" w:cs="仿宋_GB2312"/>
          <w:color w:val="000000"/>
          <w:sz w:val="32"/>
          <w:szCs w:val="32"/>
          <w:lang w:val="zh-CN" w:eastAsia="zh-CN"/>
        </w:rPr>
        <w:t>紧扣“党建引领基层治理、凝聚服务群众、统筹信访工作”核心职责，圆满完成年度各项任务：扎实推进党建引领基层政权建设，健全“横向到边、纵向到底”的协调网络，有效推动基层治理效能提升；规范开展人民信访与建议征集工作，及时回应群众诉求，维护社会和谐稳定；加强社会工作人才队伍建设与志愿服务统筹，提升专业服务能力；严格落实“民为本”工作导向，确保各项社会工作规范运转。财务方面，严格执行预算管理、收支两条线和“一支笔审批”制度，坚决杜绝小金库，厉行节约控制运行成本，以科学管理提升服务质量与群众满意度。综上，根据评分标准，该项指标自评得分 1</w:t>
      </w:r>
      <w:r>
        <w:rPr>
          <w:rFonts w:hint="eastAsia" w:ascii="仿宋_GB2312" w:hAnsi="Times New Roman" w:eastAsia="仿宋_GB2312" w:cs="仿宋_GB2312"/>
          <w:color w:val="000000"/>
          <w:sz w:val="32"/>
          <w:szCs w:val="32"/>
          <w:lang w:val="en-US" w:eastAsia="zh-CN"/>
        </w:rPr>
        <w:t>5</w:t>
      </w:r>
      <w:r>
        <w:rPr>
          <w:rFonts w:hint="eastAsia" w:ascii="仿宋_GB2312" w:hAnsi="Times New Roman" w:eastAsia="仿宋_GB2312" w:cs="仿宋_GB2312"/>
          <w:color w:val="000000"/>
          <w:sz w:val="32"/>
          <w:szCs w:val="32"/>
          <w:lang w:val="zh-CN" w:eastAsia="zh-CN"/>
        </w:rPr>
        <w:t>分。</w:t>
      </w:r>
      <w:r>
        <w:rPr>
          <w:rFonts w:hint="eastAsia" w:ascii="仿宋_GB2312" w:hAnsi="Times New Roman" w:eastAsia="仿宋_GB2312" w:cs="仿宋_GB2312"/>
          <w:color w:val="000000"/>
          <w:sz w:val="32"/>
          <w:szCs w:val="32"/>
          <w:lang w:val="en-US" w:eastAsia="zh-CN"/>
        </w:rPr>
        <w:t xml:space="preserve">    </w:t>
      </w:r>
    </w:p>
    <w:p w14:paraId="6271EAAE">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Times New Roman" w:eastAsia="仿宋_GB2312" w:cs="仿宋_GB2312"/>
          <w:color w:val="000000"/>
          <w:sz w:val="32"/>
          <w:szCs w:val="32"/>
          <w:lang w:val="zh-CN" w:eastAsia="zh-CN"/>
        </w:rPr>
      </w:pPr>
      <w:r>
        <w:rPr>
          <w:rFonts w:hint="eastAsia" w:ascii="仿宋_GB2312" w:hAnsi="Times New Roman" w:eastAsia="仿宋_GB2312" w:cs="仿宋_GB2312"/>
          <w:color w:val="000000"/>
          <w:sz w:val="32"/>
          <w:szCs w:val="32"/>
          <w:lang w:val="zh-CN" w:eastAsia="zh-CN"/>
        </w:rPr>
        <w:t>2.预算管理。</w:t>
      </w:r>
      <w:r>
        <w:rPr>
          <w:rFonts w:hint="eastAsia" w:ascii="仿宋_GB2312" w:hAnsi="Times New Roman" w:eastAsia="仿宋_GB2312" w:cs="仿宋_GB2312"/>
          <w:color w:val="000000"/>
          <w:sz w:val="32"/>
          <w:szCs w:val="32"/>
          <w:lang w:val="en-US" w:eastAsia="zh-CN"/>
        </w:rPr>
        <w:t>我部</w:t>
      </w:r>
      <w:r>
        <w:rPr>
          <w:rFonts w:hint="eastAsia" w:ascii="仿宋_GB2312" w:hAnsi="Times New Roman" w:eastAsia="仿宋_GB2312" w:cs="仿宋_GB2312"/>
          <w:color w:val="000000"/>
          <w:sz w:val="32"/>
          <w:szCs w:val="32"/>
          <w:lang w:val="zh-CN" w:eastAsia="zh-CN"/>
        </w:rPr>
        <w:t xml:space="preserve">严格按照上级要求及社会工作服务项目特点编制预算，预算项目紧扣党建引领基层治理、信访服务、社工人才培养、志愿服务等核心业务，预算要素齐全，预算序时进度符合支付进度要求，年终非财政拨款收入结转结余 </w:t>
      </w:r>
      <w:r>
        <w:rPr>
          <w:rFonts w:hint="eastAsia" w:ascii="仿宋_GB2312" w:hAnsi="Times New Roman" w:eastAsia="仿宋_GB2312" w:cs="仿宋_GB2312"/>
          <w:color w:val="000000"/>
          <w:sz w:val="32"/>
          <w:szCs w:val="32"/>
          <w:lang w:val="en-US" w:eastAsia="zh-CN"/>
        </w:rPr>
        <w:t>0</w:t>
      </w:r>
      <w:r>
        <w:rPr>
          <w:rFonts w:hint="eastAsia" w:ascii="仿宋_GB2312" w:hAnsi="Times New Roman" w:eastAsia="仿宋_GB2312" w:cs="仿宋_GB2312"/>
          <w:color w:val="000000"/>
          <w:sz w:val="32"/>
          <w:szCs w:val="32"/>
          <w:lang w:val="zh-CN" w:eastAsia="zh-CN"/>
        </w:rPr>
        <w:t>万元。预算数与预算执行数存在差异，主要因部分社会工作专项任务（如基层治理项目）由主管部门在预算年度中根据实际工作需要下达。综上，根据评分标准，该项指标自评得分 1</w:t>
      </w:r>
      <w:r>
        <w:rPr>
          <w:rFonts w:hint="eastAsia" w:ascii="仿宋_GB2312" w:hAnsi="Times New Roman" w:eastAsia="仿宋_GB2312" w:cs="仿宋_GB2312"/>
          <w:color w:val="000000"/>
          <w:sz w:val="32"/>
          <w:szCs w:val="32"/>
          <w:lang w:val="en-US" w:eastAsia="zh-CN"/>
        </w:rPr>
        <w:t>7</w:t>
      </w:r>
      <w:r>
        <w:rPr>
          <w:rFonts w:hint="eastAsia" w:ascii="仿宋_GB2312" w:hAnsi="Times New Roman" w:eastAsia="仿宋_GB2312" w:cs="仿宋_GB2312"/>
          <w:color w:val="000000"/>
          <w:sz w:val="32"/>
          <w:szCs w:val="32"/>
          <w:lang w:val="zh-CN" w:eastAsia="zh-CN"/>
        </w:rPr>
        <w:t>分。</w:t>
      </w:r>
    </w:p>
    <w:p w14:paraId="7685EAF0">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Times New Roman" w:eastAsia="仿宋_GB2312" w:cs="仿宋_GB2312"/>
          <w:color w:val="000000"/>
          <w:sz w:val="32"/>
          <w:szCs w:val="32"/>
          <w:lang w:val="zh-CN" w:eastAsia="zh-CN"/>
        </w:rPr>
      </w:pPr>
      <w:r>
        <w:rPr>
          <w:rFonts w:hint="eastAsia" w:ascii="仿宋_GB2312" w:hAnsi="Times New Roman" w:eastAsia="仿宋_GB2312" w:cs="仿宋_GB2312"/>
          <w:color w:val="000000"/>
          <w:sz w:val="32"/>
          <w:szCs w:val="32"/>
          <w:lang w:val="zh-CN" w:eastAsia="zh-CN"/>
        </w:rPr>
        <w:t>3.财务管理。</w:t>
      </w:r>
      <w:r>
        <w:rPr>
          <w:rFonts w:hint="eastAsia" w:ascii="仿宋_GB2312" w:hAnsi="Times New Roman" w:eastAsia="仿宋_GB2312" w:cs="仿宋_GB2312"/>
          <w:color w:val="000000"/>
          <w:sz w:val="32"/>
          <w:szCs w:val="32"/>
          <w:lang w:val="en-US" w:eastAsia="zh-CN"/>
        </w:rPr>
        <w:t>我部</w:t>
      </w:r>
      <w:r>
        <w:rPr>
          <w:rFonts w:hint="eastAsia" w:ascii="仿宋_GB2312" w:hAnsi="Times New Roman" w:eastAsia="仿宋_GB2312" w:cs="仿宋_GB2312"/>
          <w:color w:val="000000"/>
          <w:sz w:val="32"/>
          <w:szCs w:val="32"/>
          <w:lang w:val="zh-CN" w:eastAsia="zh-CN"/>
        </w:rPr>
        <w:t xml:space="preserve">建立了财务管理制度，会计核算严格执行行政事业单位会计制度，规范设立会计、出纳岗位，做到岗位分离、权责明晰。各项资金支出严格遵循资金管理要求，主动接受财政部门、县国库支付中心及本单位干部职工监督，重点防范超范围、超标准支出，虚列支出，截留、挤占、挪用社会工作专项资金等情形，确保资金全部用于基层治理、群众服务、社工培训等核心业务。综上，根据评分标准，该项指标自评得分 </w:t>
      </w:r>
      <w:r>
        <w:rPr>
          <w:rFonts w:hint="eastAsia" w:ascii="仿宋_GB2312" w:hAnsi="Times New Roman" w:eastAsia="仿宋_GB2312" w:cs="仿宋_GB2312"/>
          <w:color w:val="000000"/>
          <w:sz w:val="32"/>
          <w:szCs w:val="32"/>
          <w:lang w:val="en-US" w:eastAsia="zh-CN"/>
        </w:rPr>
        <w:t>9</w:t>
      </w:r>
      <w:r>
        <w:rPr>
          <w:rFonts w:hint="eastAsia" w:ascii="仿宋_GB2312" w:hAnsi="Times New Roman" w:eastAsia="仿宋_GB2312" w:cs="仿宋_GB2312"/>
          <w:color w:val="000000"/>
          <w:sz w:val="32"/>
          <w:szCs w:val="32"/>
          <w:lang w:val="zh-CN" w:eastAsia="zh-CN"/>
        </w:rPr>
        <w:t>分。</w:t>
      </w:r>
    </w:p>
    <w:p w14:paraId="7D215154">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Times New Roman" w:eastAsia="仿宋_GB2312" w:cs="仿宋_GB2312"/>
          <w:color w:val="000000"/>
          <w:sz w:val="32"/>
          <w:szCs w:val="32"/>
          <w:lang w:val="zh-CN" w:eastAsia="zh-CN"/>
        </w:rPr>
      </w:pPr>
      <w:r>
        <w:rPr>
          <w:rFonts w:hint="eastAsia" w:ascii="仿宋_GB2312" w:hAnsi="Times New Roman" w:eastAsia="仿宋_GB2312" w:cs="仿宋_GB2312"/>
          <w:color w:val="000000"/>
          <w:sz w:val="32"/>
          <w:szCs w:val="32"/>
          <w:lang w:val="zh-CN" w:eastAsia="zh-CN"/>
        </w:rPr>
        <w:t>4.资产管理。</w:t>
      </w:r>
      <w:r>
        <w:rPr>
          <w:rFonts w:hint="eastAsia" w:ascii="仿宋_GB2312" w:hAnsi="Times New Roman" w:eastAsia="仿宋_GB2312" w:cs="仿宋_GB2312"/>
          <w:color w:val="000000"/>
          <w:sz w:val="32"/>
          <w:szCs w:val="32"/>
          <w:lang w:val="en-US" w:eastAsia="zh-CN"/>
        </w:rPr>
        <w:t>我部</w:t>
      </w:r>
      <w:r>
        <w:rPr>
          <w:rFonts w:hint="eastAsia" w:ascii="仿宋_GB2312" w:hAnsi="Times New Roman" w:eastAsia="仿宋_GB2312" w:cs="仿宋_GB2312"/>
          <w:color w:val="000000"/>
          <w:sz w:val="32"/>
          <w:szCs w:val="32"/>
          <w:lang w:val="zh-CN" w:eastAsia="zh-CN"/>
        </w:rPr>
        <w:t xml:space="preserve">严格按照《阿坝州州直行政事业单位国有资产管理办法》等规定，结合实际开展资产管理工作。对固定资产实行“统一领导，分类管理，层层负责，责任到人，合理调配，管用结合，物尽其用”的三级管理模式：第一级设在资产管理部门，第二级为各归口业务部门，第三级为资产具体管理或使用人。对单位价值限额标准以上并在使用过程中基本保持原有物质形态的资产（如设备、培训器材、办公设施等）进行备查登记管理，本年结合资产实际折旧、购置、处置等情况及时办理增减手续，确保固定资产在基层治理服务、社工培训等工作中应用尽用，利用率良好。综上，根据评分标准，该项指标自评得分 </w:t>
      </w:r>
      <w:r>
        <w:rPr>
          <w:rFonts w:hint="eastAsia" w:ascii="仿宋_GB2312" w:hAnsi="Times New Roman" w:eastAsia="仿宋_GB2312" w:cs="仿宋_GB2312"/>
          <w:color w:val="000000"/>
          <w:sz w:val="32"/>
          <w:szCs w:val="32"/>
          <w:lang w:val="en-US" w:eastAsia="zh-CN"/>
        </w:rPr>
        <w:t>8</w:t>
      </w:r>
      <w:r>
        <w:rPr>
          <w:rFonts w:hint="eastAsia" w:ascii="仿宋_GB2312" w:hAnsi="Times New Roman" w:eastAsia="仿宋_GB2312" w:cs="仿宋_GB2312"/>
          <w:color w:val="000000"/>
          <w:sz w:val="32"/>
          <w:szCs w:val="32"/>
          <w:lang w:val="zh-CN" w:eastAsia="zh-CN"/>
        </w:rPr>
        <w:t>分。</w:t>
      </w:r>
    </w:p>
    <w:p w14:paraId="64D3D7D5">
      <w:pPr>
        <w:keepNext w:val="0"/>
        <w:keepLines w:val="0"/>
        <w:pageBreakBefore w:val="0"/>
        <w:numPr>
          <w:ilvl w:val="0"/>
          <w:numId w:val="0"/>
        </w:numPr>
        <w:kinsoku/>
        <w:wordWrap/>
        <w:overflowPunct/>
        <w:topLinePunct w:val="0"/>
        <w:autoSpaceDE/>
        <w:autoSpaceDN/>
        <w:bidi w:val="0"/>
        <w:spacing w:line="570" w:lineRule="exact"/>
        <w:ind w:left="0" w:leftChars="0" w:firstLine="640" w:firstLineChars="200"/>
        <w:textAlignment w:val="auto"/>
        <w:rPr>
          <w:rFonts w:hint="eastAsia" w:ascii="仿宋_GB2312" w:hAnsi="Times New Roman" w:eastAsia="仿宋_GB2312" w:cs="仿宋_GB2312"/>
          <w:color w:val="000000"/>
          <w:sz w:val="32"/>
          <w:szCs w:val="32"/>
          <w:lang w:val="zh-CN" w:eastAsia="zh-CN"/>
        </w:rPr>
      </w:pPr>
      <w:r>
        <w:rPr>
          <w:rFonts w:hint="eastAsia" w:ascii="仿宋_GB2312" w:hAnsi="Times New Roman" w:eastAsia="仿宋_GB2312" w:cs="仿宋_GB2312"/>
          <w:color w:val="000000"/>
          <w:sz w:val="32"/>
          <w:szCs w:val="32"/>
          <w:lang w:val="zh-CN" w:eastAsia="zh-CN"/>
        </w:rPr>
        <w:t>5.采购管理。</w:t>
      </w:r>
      <w:r>
        <w:rPr>
          <w:rFonts w:hint="eastAsia" w:ascii="仿宋_GB2312" w:hAnsi="Times New Roman" w:eastAsia="仿宋_GB2312" w:cs="仿宋_GB2312"/>
          <w:color w:val="000000"/>
          <w:sz w:val="32"/>
          <w:szCs w:val="32"/>
          <w:lang w:val="en-US" w:eastAsia="zh-CN"/>
        </w:rPr>
        <w:t>我部</w:t>
      </w:r>
      <w:r>
        <w:rPr>
          <w:rFonts w:hint="eastAsia" w:ascii="仿宋_GB2312" w:hAnsi="Times New Roman" w:eastAsia="仿宋_GB2312" w:cs="仿宋_GB2312"/>
          <w:color w:val="000000"/>
          <w:sz w:val="32"/>
          <w:szCs w:val="32"/>
          <w:lang w:val="zh-CN" w:eastAsia="zh-CN"/>
        </w:rPr>
        <w:t>结合单位实际进行采购项目预算编制，对采购项目进行政府采购预算管理，坚持“预算控制、规范执行、归口办理、”的原则，坚持预算控制，以上级部门下达的预算控制数为基础，各采购事项做到在预算额度内执行。政府采购参照《政府采购法》及其实施条例、《四川省政府集中采购目录及标准（2020年版）》（川财规〔2020〕11 号）等文件，各需求部门负责采购需求制定，分管领导、分管财务领导、</w:t>
      </w:r>
      <w:r>
        <w:rPr>
          <w:rFonts w:hint="eastAsia" w:ascii="仿宋_GB2312" w:hAnsi="Times New Roman" w:eastAsia="仿宋_GB2312" w:cs="仿宋_GB2312"/>
          <w:color w:val="000000"/>
          <w:sz w:val="32"/>
          <w:szCs w:val="32"/>
          <w:lang w:val="en-US" w:eastAsia="zh-CN"/>
        </w:rPr>
        <w:t>部长</w:t>
      </w:r>
      <w:r>
        <w:rPr>
          <w:rFonts w:hint="eastAsia" w:ascii="仿宋_GB2312" w:hAnsi="Times New Roman" w:eastAsia="仿宋_GB2312" w:cs="仿宋_GB2312"/>
          <w:color w:val="000000"/>
          <w:sz w:val="32"/>
          <w:szCs w:val="32"/>
          <w:lang w:val="zh-CN" w:eastAsia="zh-CN"/>
        </w:rPr>
        <w:t>负责审核确认。202</w:t>
      </w:r>
      <w:r>
        <w:rPr>
          <w:rFonts w:hint="eastAsia" w:ascii="仿宋_GB2312" w:hAnsi="Times New Roman" w:eastAsia="仿宋_GB2312" w:cs="仿宋_GB2312"/>
          <w:color w:val="000000"/>
          <w:sz w:val="32"/>
          <w:szCs w:val="32"/>
          <w:lang w:val="en-US" w:eastAsia="zh-CN"/>
        </w:rPr>
        <w:t>5</w:t>
      </w:r>
      <w:r>
        <w:rPr>
          <w:rFonts w:hint="eastAsia" w:ascii="仿宋_GB2312" w:hAnsi="Times New Roman" w:eastAsia="仿宋_GB2312" w:cs="仿宋_GB2312"/>
          <w:color w:val="000000"/>
          <w:sz w:val="32"/>
          <w:szCs w:val="32"/>
          <w:lang w:val="zh-CN" w:eastAsia="zh-CN"/>
        </w:rPr>
        <w:t>年我单位所有政府采购均来自于小微企业。无违反政府采购相关规定。综上，根据评分标准，该项指标自评得分</w:t>
      </w:r>
      <w:r>
        <w:rPr>
          <w:rFonts w:hint="eastAsia" w:ascii="仿宋_GB2312" w:hAnsi="Times New Roman" w:eastAsia="仿宋_GB2312" w:cs="仿宋_GB2312"/>
          <w:color w:val="000000"/>
          <w:sz w:val="32"/>
          <w:szCs w:val="32"/>
          <w:lang w:val="en-US" w:eastAsia="zh-CN"/>
        </w:rPr>
        <w:t>6</w:t>
      </w:r>
      <w:r>
        <w:rPr>
          <w:rFonts w:hint="eastAsia" w:ascii="仿宋_GB2312" w:hAnsi="Times New Roman" w:eastAsia="仿宋_GB2312" w:cs="仿宋_GB2312"/>
          <w:color w:val="000000"/>
          <w:sz w:val="32"/>
          <w:szCs w:val="32"/>
          <w:lang w:val="zh-CN" w:eastAsia="zh-CN"/>
        </w:rPr>
        <w:t>分。</w:t>
      </w:r>
    </w:p>
    <w:p w14:paraId="3934866C">
      <w:pPr>
        <w:spacing w:line="576" w:lineRule="exact"/>
        <w:ind w:firstLine="643" w:firstLineChars="200"/>
        <w:rPr>
          <w:rFonts w:hint="default" w:ascii="Times New Roman" w:hAnsi="Times New Roman" w:eastAsia="楷体_GB2312" w:cs="Times New Roman"/>
          <w:b/>
          <w:bCs/>
          <w:color w:val="000000"/>
          <w:kern w:val="0"/>
          <w:sz w:val="32"/>
          <w:szCs w:val="32"/>
          <w:shd w:val="clear" w:color="auto" w:fill="FFFFFF"/>
          <w:lang w:val="en-US" w:eastAsia="zh-CN"/>
        </w:rPr>
      </w:pPr>
      <w:r>
        <w:rPr>
          <w:rFonts w:hint="default" w:ascii="Times New Roman" w:hAnsi="Times New Roman" w:eastAsia="楷体_GB2312" w:cs="Times New Roman"/>
          <w:b/>
          <w:bCs/>
          <w:color w:val="000000"/>
          <w:kern w:val="0"/>
          <w:sz w:val="32"/>
          <w:szCs w:val="32"/>
          <w:shd w:val="clear" w:color="auto" w:fill="FFFFFF"/>
          <w:lang w:val="zh-CN"/>
        </w:rPr>
        <w:t>（二）部门预算项目绩效分析</w:t>
      </w:r>
    </w:p>
    <w:p w14:paraId="6B7693B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default" w:ascii="仿宋_GB2312" w:hAnsi="仿宋" w:eastAsia="仿宋_GB2312" w:cs="Times New Roman"/>
          <w:color w:val="000000" w:themeColor="text1"/>
          <w:sz w:val="32"/>
          <w:szCs w:val="32"/>
          <w:lang w:val="zh-CN" w:eastAsia="zh-CN"/>
          <w14:textFill>
            <w14:solidFill>
              <w14:schemeClr w14:val="tx1"/>
            </w14:solidFill>
          </w14:textFill>
        </w:rPr>
      </w:pPr>
      <w:r>
        <w:rPr>
          <w:rFonts w:hint="default" w:ascii="仿宋_GB2312" w:hAnsi="仿宋" w:eastAsia="仿宋_GB2312"/>
          <w:color w:val="000000" w:themeColor="text1"/>
          <w:sz w:val="32"/>
          <w:szCs w:val="32"/>
          <w:lang w:val="en-US" w:eastAsia="zh-CN"/>
          <w14:textFill>
            <w14:solidFill>
              <w14:schemeClr w14:val="tx1"/>
            </w14:solidFill>
          </w14:textFill>
        </w:rPr>
        <w:t>常年项目绩效分析。</w:t>
      </w:r>
      <w:r>
        <w:rPr>
          <w:rFonts w:hint="default" w:ascii="仿宋_GB2312" w:hAnsi="仿宋" w:eastAsia="仿宋_GB2312"/>
          <w:color w:val="000000" w:themeColor="text1"/>
          <w:sz w:val="32"/>
          <w:szCs w:val="32"/>
          <w:lang w:val="zh-CN" w:eastAsia="zh-CN"/>
          <w14:textFill>
            <w14:solidFill>
              <w14:schemeClr w14:val="tx1"/>
            </w14:solidFill>
          </w14:textFill>
        </w:rPr>
        <w:t>该类项目总数</w:t>
      </w:r>
      <w:r>
        <w:rPr>
          <w:rFonts w:hint="eastAsia" w:ascii="仿宋_GB2312" w:hAnsi="仿宋"/>
          <w:color w:val="000000" w:themeColor="text1"/>
          <w:sz w:val="32"/>
          <w:szCs w:val="32"/>
          <w:lang w:val="en-US" w:eastAsia="zh-CN"/>
          <w14:textFill>
            <w14:solidFill>
              <w14:schemeClr w14:val="tx1"/>
            </w14:solidFill>
          </w14:textFill>
        </w:rPr>
        <w:t>4</w:t>
      </w:r>
      <w:r>
        <w:rPr>
          <w:rFonts w:hint="default" w:ascii="仿宋_GB2312" w:hAnsi="仿宋" w:eastAsia="仿宋_GB2312"/>
          <w:color w:val="000000" w:themeColor="text1"/>
          <w:sz w:val="32"/>
          <w:szCs w:val="32"/>
          <w:lang w:val="zh-CN" w:eastAsia="zh-CN"/>
          <w14:textFill>
            <w14:solidFill>
              <w14:schemeClr w14:val="tx1"/>
            </w14:solidFill>
          </w14:textFill>
        </w:rPr>
        <w:t>个，</w:t>
      </w:r>
      <w:r>
        <w:rPr>
          <w:rFonts w:hint="eastAsia" w:ascii="仿宋_GB2312" w:hAnsi="仿宋" w:eastAsia="仿宋_GB2312"/>
          <w:color w:val="000000" w:themeColor="text1"/>
          <w:sz w:val="32"/>
          <w:szCs w:val="32"/>
          <w:lang w:val="zh-CN" w:eastAsia="zh-CN"/>
          <w14:textFill>
            <w14:solidFill>
              <w14:schemeClr w14:val="tx1"/>
            </w14:solidFill>
          </w14:textFill>
        </w:rPr>
        <w:t>包括</w:t>
      </w:r>
      <w:r>
        <w:rPr>
          <w:rFonts w:hint="eastAsia" w:ascii="仿宋_GB2312" w:hAnsi="仿宋" w:eastAsia="仿宋_GB2312"/>
          <w:color w:val="000000" w:themeColor="text1"/>
          <w:sz w:val="32"/>
          <w:szCs w:val="32"/>
          <w:lang w:val="en-US" w:eastAsia="zh-CN"/>
          <w14:textFill>
            <w14:solidFill>
              <w14:schemeClr w14:val="tx1"/>
            </w14:solidFill>
          </w14:textFill>
        </w:rPr>
        <w:t>重点工作经费、离任村干部补贴、开办经费、公务用车购置费资金</w:t>
      </w:r>
      <w:r>
        <w:rPr>
          <w:rFonts w:hint="eastAsia" w:ascii="仿宋_GB2312" w:hAnsi="仿宋" w:eastAsia="仿宋_GB2312"/>
          <w:color w:val="000000" w:themeColor="text1"/>
          <w:sz w:val="32"/>
          <w:szCs w:val="32"/>
          <w:lang w:val="zh-CN" w:eastAsia="zh-CN"/>
          <w14:textFill>
            <w14:solidFill>
              <w14:schemeClr w14:val="tx1"/>
            </w14:solidFill>
          </w14:textFill>
        </w:rPr>
        <w:t>，</w:t>
      </w:r>
      <w:r>
        <w:rPr>
          <w:rFonts w:hint="default" w:ascii="仿宋_GB2312" w:hAnsi="仿宋" w:eastAsia="仿宋_GB2312"/>
          <w:color w:val="000000" w:themeColor="text1"/>
          <w:sz w:val="32"/>
          <w:szCs w:val="32"/>
          <w:lang w:val="zh-CN" w:eastAsia="zh-CN"/>
          <w14:textFill>
            <w14:solidFill>
              <w14:schemeClr w14:val="tx1"/>
            </w14:solidFill>
          </w14:textFill>
        </w:rPr>
        <w:t>涉</w:t>
      </w:r>
      <w:r>
        <w:rPr>
          <w:rFonts w:hint="default" w:ascii="仿宋_GB2312" w:hAnsi="仿宋" w:eastAsia="仿宋_GB2312"/>
          <w:color w:val="auto"/>
          <w:sz w:val="32"/>
          <w:szCs w:val="32"/>
          <w:lang w:val="zh-CN" w:eastAsia="zh-CN"/>
        </w:rPr>
        <w:t>及预算总金额</w:t>
      </w:r>
      <w:r>
        <w:rPr>
          <w:rFonts w:hint="eastAsia" w:ascii="仿宋_GB2312" w:hAnsi="仿宋"/>
          <w:color w:val="auto"/>
          <w:sz w:val="32"/>
          <w:szCs w:val="32"/>
          <w:lang w:val="en-US" w:eastAsia="zh-CN"/>
        </w:rPr>
        <w:t>356.15</w:t>
      </w:r>
      <w:r>
        <w:rPr>
          <w:rFonts w:hint="default" w:ascii="仿宋_GB2312" w:hAnsi="仿宋" w:eastAsia="仿宋_GB2312"/>
          <w:color w:val="auto"/>
          <w:sz w:val="32"/>
          <w:szCs w:val="32"/>
          <w:lang w:val="zh-CN" w:eastAsia="zh-CN"/>
        </w:rPr>
        <w:t>万元，1</w:t>
      </w:r>
      <w:r>
        <w:rPr>
          <w:rFonts w:hint="eastAsia" w:ascii="仿宋_GB2312" w:hAnsi="仿宋" w:eastAsia="仿宋_GB2312"/>
          <w:color w:val="auto"/>
          <w:sz w:val="32"/>
          <w:szCs w:val="32"/>
          <w:lang w:val="zh-CN" w:eastAsia="zh-CN"/>
        </w:rPr>
        <w:t>—</w:t>
      </w:r>
      <w:r>
        <w:rPr>
          <w:rFonts w:hint="default" w:ascii="仿宋_GB2312" w:hAnsi="仿宋" w:eastAsia="仿宋_GB2312"/>
          <w:color w:val="auto"/>
          <w:sz w:val="32"/>
          <w:szCs w:val="32"/>
          <w:lang w:val="zh-CN" w:eastAsia="zh-CN"/>
        </w:rPr>
        <w:t>1</w:t>
      </w:r>
      <w:r>
        <w:rPr>
          <w:rFonts w:hint="default" w:ascii="仿宋_GB2312" w:hAnsi="仿宋" w:eastAsia="仿宋_GB2312"/>
          <w:color w:val="auto"/>
          <w:sz w:val="32"/>
          <w:szCs w:val="32"/>
          <w:lang w:val="en-US" w:eastAsia="zh-CN"/>
        </w:rPr>
        <w:t>2</w:t>
      </w:r>
      <w:r>
        <w:rPr>
          <w:rFonts w:hint="default" w:ascii="仿宋_GB2312" w:hAnsi="仿宋" w:eastAsia="仿宋_GB2312"/>
          <w:color w:val="auto"/>
          <w:sz w:val="32"/>
          <w:szCs w:val="32"/>
          <w:lang w:val="zh-CN" w:eastAsia="zh-CN"/>
        </w:rPr>
        <w:t>月预算执行总体进度为</w:t>
      </w:r>
      <w:r>
        <w:rPr>
          <w:rFonts w:hint="eastAsia" w:ascii="仿宋_GB2312" w:hAnsi="仿宋" w:eastAsia="仿宋_GB2312"/>
          <w:color w:val="auto"/>
          <w:sz w:val="32"/>
          <w:szCs w:val="32"/>
          <w:lang w:val="en-US" w:eastAsia="zh-CN"/>
        </w:rPr>
        <w:t>100</w:t>
      </w:r>
      <w:r>
        <w:rPr>
          <w:rFonts w:hint="default" w:ascii="仿宋_GB2312" w:hAnsi="仿宋" w:eastAsia="仿宋_GB2312"/>
          <w:color w:val="auto"/>
          <w:sz w:val="32"/>
          <w:szCs w:val="32"/>
          <w:lang w:val="zh-CN" w:eastAsia="zh-CN"/>
        </w:rPr>
        <w:t>%，其</w:t>
      </w:r>
      <w:r>
        <w:rPr>
          <w:rFonts w:hint="default" w:ascii="仿宋_GB2312" w:hAnsi="仿宋" w:eastAsia="仿宋_GB2312" w:cs="Times New Roman"/>
          <w:color w:val="000000" w:themeColor="text1"/>
          <w:sz w:val="32"/>
          <w:szCs w:val="32"/>
          <w:lang w:val="zh-CN" w:eastAsia="zh-CN"/>
          <w14:textFill>
            <w14:solidFill>
              <w14:schemeClr w14:val="tx1"/>
            </w14:solidFill>
          </w14:textFill>
        </w:rPr>
        <w:t>中：预算结余率大于</w:t>
      </w:r>
      <w:r>
        <w:rPr>
          <w:rFonts w:hint="default" w:ascii="仿宋_GB2312" w:hAnsi="仿宋" w:eastAsia="仿宋_GB2312" w:cs="Times New Roman"/>
          <w:color w:val="000000" w:themeColor="text1"/>
          <w:sz w:val="32"/>
          <w:szCs w:val="32"/>
          <w:lang w:val="en-US" w:eastAsia="zh-CN"/>
          <w14:textFill>
            <w14:solidFill>
              <w14:schemeClr w14:val="tx1"/>
            </w14:solidFill>
          </w14:textFill>
        </w:rPr>
        <w:t>10%</w:t>
      </w:r>
      <w:r>
        <w:rPr>
          <w:rFonts w:hint="default" w:ascii="仿宋_GB2312" w:hAnsi="仿宋" w:eastAsia="仿宋_GB2312" w:cs="Times New Roman"/>
          <w:color w:val="000000" w:themeColor="text1"/>
          <w:sz w:val="32"/>
          <w:szCs w:val="32"/>
          <w:lang w:val="zh-CN" w:eastAsia="zh-CN"/>
          <w14:textFill>
            <w14:solidFill>
              <w14:schemeClr w14:val="tx1"/>
            </w14:solidFill>
          </w14:textFill>
        </w:rPr>
        <w:t>的项目共计</w:t>
      </w:r>
      <w:r>
        <w:rPr>
          <w:rFonts w:hint="eastAsia" w:ascii="仿宋_GB2312" w:hAnsi="仿宋" w:eastAsia="仿宋_GB2312" w:cs="Times New Roman"/>
          <w:color w:val="000000" w:themeColor="text1"/>
          <w:sz w:val="32"/>
          <w:szCs w:val="32"/>
          <w:lang w:val="en-US" w:eastAsia="zh-CN"/>
          <w14:textFill>
            <w14:solidFill>
              <w14:schemeClr w14:val="tx1"/>
            </w14:solidFill>
          </w14:textFill>
        </w:rPr>
        <w:t>0</w:t>
      </w:r>
      <w:r>
        <w:rPr>
          <w:rFonts w:hint="default" w:ascii="仿宋_GB2312" w:hAnsi="仿宋" w:eastAsia="仿宋_GB2312" w:cs="Times New Roman"/>
          <w:color w:val="000000" w:themeColor="text1"/>
          <w:sz w:val="32"/>
          <w:szCs w:val="32"/>
          <w:lang w:val="zh-CN" w:eastAsia="zh-CN"/>
          <w14:textFill>
            <w14:solidFill>
              <w14:schemeClr w14:val="tx1"/>
            </w14:solidFill>
          </w14:textFill>
        </w:rPr>
        <w:t>个。</w:t>
      </w:r>
    </w:p>
    <w:p w14:paraId="7F956CD2">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default" w:ascii="仿宋_GB2312" w:hAnsi="仿宋" w:eastAsia="仿宋_GB2312" w:cs="Times New Roman"/>
          <w:color w:val="auto"/>
          <w:sz w:val="32"/>
          <w:szCs w:val="32"/>
          <w:lang w:val="zh-CN" w:eastAsia="zh-CN"/>
        </w:rPr>
      </w:pPr>
      <w:r>
        <w:rPr>
          <w:rFonts w:hint="eastAsia" w:ascii="仿宋_GB2312" w:hAnsi="仿宋" w:eastAsia="仿宋_GB2312" w:cs="Times New Roman"/>
          <w:color w:val="000000" w:themeColor="text1"/>
          <w:sz w:val="32"/>
          <w:szCs w:val="32"/>
          <w:lang w:val="en-US" w:eastAsia="zh-CN"/>
          <w14:textFill>
            <w14:solidFill>
              <w14:schemeClr w14:val="tx1"/>
            </w14:solidFill>
          </w14:textFill>
        </w:rPr>
        <w:t>阶段（一次性）项目绩效分析。</w:t>
      </w:r>
      <w:r>
        <w:rPr>
          <w:rFonts w:hint="eastAsia" w:ascii="仿宋_GB2312" w:hAnsi="仿宋" w:eastAsia="仿宋_GB2312" w:cs="Times New Roman"/>
          <w:color w:val="000000" w:themeColor="text1"/>
          <w:sz w:val="32"/>
          <w:szCs w:val="32"/>
          <w:lang w:val="zh-CN" w:eastAsia="zh-CN"/>
          <w14:textFill>
            <w14:solidFill>
              <w14:schemeClr w14:val="tx1"/>
            </w14:solidFill>
          </w14:textFill>
        </w:rPr>
        <w:t>该类项目总数</w:t>
      </w:r>
      <w:r>
        <w:rPr>
          <w:rFonts w:hint="eastAsia" w:ascii="仿宋_GB2312" w:hAnsi="仿宋" w:eastAsia="仿宋_GB2312" w:cs="Times New Roman"/>
          <w:color w:val="000000" w:themeColor="text1"/>
          <w:sz w:val="32"/>
          <w:szCs w:val="32"/>
          <w:lang w:val="en-US" w:eastAsia="zh-CN"/>
          <w14:textFill>
            <w14:solidFill>
              <w14:schemeClr w14:val="tx1"/>
            </w14:solidFill>
          </w14:textFill>
        </w:rPr>
        <w:t>0</w:t>
      </w:r>
      <w:r>
        <w:rPr>
          <w:rFonts w:hint="eastAsia" w:ascii="仿宋_GB2312" w:hAnsi="仿宋" w:eastAsia="仿宋_GB2312" w:cs="Times New Roman"/>
          <w:color w:val="000000" w:themeColor="text1"/>
          <w:sz w:val="32"/>
          <w:szCs w:val="32"/>
          <w:lang w:val="zh-CN" w:eastAsia="zh-CN"/>
          <w14:textFill>
            <w14:solidFill>
              <w14:schemeClr w14:val="tx1"/>
            </w14:solidFill>
          </w14:textFill>
        </w:rPr>
        <w:t>个，涉及预算总金额</w:t>
      </w:r>
      <w:r>
        <w:rPr>
          <w:rFonts w:hint="eastAsia" w:ascii="仿宋_GB2312" w:hAnsi="仿宋" w:eastAsia="仿宋_GB2312" w:cs="Times New Roman"/>
          <w:color w:val="000000" w:themeColor="text1"/>
          <w:sz w:val="32"/>
          <w:szCs w:val="32"/>
          <w:lang w:val="en-US" w:eastAsia="zh-CN"/>
          <w14:textFill>
            <w14:solidFill>
              <w14:schemeClr w14:val="tx1"/>
            </w14:solidFill>
          </w14:textFill>
        </w:rPr>
        <w:t>0</w:t>
      </w:r>
      <w:r>
        <w:rPr>
          <w:rFonts w:hint="eastAsia" w:ascii="仿宋_GB2312" w:hAnsi="仿宋" w:eastAsia="仿宋_GB2312" w:cs="Times New Roman"/>
          <w:color w:val="000000" w:themeColor="text1"/>
          <w:sz w:val="32"/>
          <w:szCs w:val="32"/>
          <w:lang w:val="zh-CN" w:eastAsia="zh-CN"/>
          <w14:textFill>
            <w14:solidFill>
              <w14:schemeClr w14:val="tx1"/>
            </w14:solidFill>
          </w14:textFill>
        </w:rPr>
        <w:t>万元，1—1</w:t>
      </w:r>
      <w:r>
        <w:rPr>
          <w:rFonts w:hint="eastAsia" w:ascii="仿宋_GB2312" w:hAnsi="仿宋" w:eastAsia="仿宋_GB2312" w:cs="Times New Roman"/>
          <w:color w:val="000000" w:themeColor="text1"/>
          <w:sz w:val="32"/>
          <w:szCs w:val="32"/>
          <w:lang w:val="en-US" w:eastAsia="zh-CN"/>
          <w14:textFill>
            <w14:solidFill>
              <w14:schemeClr w14:val="tx1"/>
            </w14:solidFill>
          </w14:textFill>
        </w:rPr>
        <w:t>2</w:t>
      </w:r>
      <w:r>
        <w:rPr>
          <w:rFonts w:hint="eastAsia" w:ascii="仿宋_GB2312" w:hAnsi="仿宋" w:eastAsia="仿宋_GB2312" w:cs="Times New Roman"/>
          <w:color w:val="000000" w:themeColor="text1"/>
          <w:sz w:val="32"/>
          <w:szCs w:val="32"/>
          <w:lang w:val="zh-CN" w:eastAsia="zh-CN"/>
          <w14:textFill>
            <w14:solidFill>
              <w14:schemeClr w14:val="tx1"/>
            </w14:solidFill>
          </w14:textFill>
        </w:rPr>
        <w:t>月预算执行总体进度为</w:t>
      </w:r>
      <w:r>
        <w:rPr>
          <w:rFonts w:hint="eastAsia" w:ascii="仿宋_GB2312" w:hAnsi="仿宋" w:eastAsia="仿宋_GB2312" w:cs="Times New Roman"/>
          <w:color w:val="000000" w:themeColor="text1"/>
          <w:sz w:val="32"/>
          <w:szCs w:val="32"/>
          <w:lang w:val="en-US" w:eastAsia="zh-CN"/>
          <w14:textFill>
            <w14:solidFill>
              <w14:schemeClr w14:val="tx1"/>
            </w14:solidFill>
          </w14:textFill>
        </w:rPr>
        <w:t>0</w:t>
      </w:r>
      <w:r>
        <w:rPr>
          <w:rFonts w:hint="eastAsia" w:ascii="仿宋_GB2312" w:hAnsi="仿宋" w:eastAsia="仿宋_GB2312" w:cs="Times New Roman"/>
          <w:color w:val="000000" w:themeColor="text1"/>
          <w:sz w:val="32"/>
          <w:szCs w:val="32"/>
          <w:lang w:val="zh-CN" w:eastAsia="zh-CN"/>
          <w14:textFill>
            <w14:solidFill>
              <w14:schemeClr w14:val="tx1"/>
            </w14:solidFill>
          </w14:textFill>
        </w:rPr>
        <w:t>%，其中：</w:t>
      </w:r>
      <w:r>
        <w:rPr>
          <w:rFonts w:hint="eastAsia" w:ascii="仿宋_GB2312" w:hAnsi="仿宋" w:eastAsia="仿宋_GB2312" w:cs="Times New Roman"/>
          <w:color w:val="auto"/>
          <w:sz w:val="32"/>
          <w:szCs w:val="32"/>
          <w:lang w:val="zh-CN" w:eastAsia="zh-CN"/>
        </w:rPr>
        <w:t>预算结余率大于</w:t>
      </w:r>
      <w:r>
        <w:rPr>
          <w:rFonts w:hint="eastAsia" w:ascii="仿宋_GB2312" w:hAnsi="仿宋" w:eastAsia="仿宋_GB2312" w:cs="Times New Roman"/>
          <w:color w:val="auto"/>
          <w:sz w:val="32"/>
          <w:szCs w:val="32"/>
          <w:lang w:val="en-US" w:eastAsia="zh-CN"/>
        </w:rPr>
        <w:t>10%</w:t>
      </w:r>
      <w:r>
        <w:rPr>
          <w:rFonts w:hint="eastAsia" w:ascii="仿宋_GB2312" w:hAnsi="仿宋" w:eastAsia="仿宋_GB2312" w:cs="Times New Roman"/>
          <w:color w:val="auto"/>
          <w:sz w:val="32"/>
          <w:szCs w:val="32"/>
          <w:lang w:val="zh-CN" w:eastAsia="zh-CN"/>
        </w:rPr>
        <w:t>的项目共计</w:t>
      </w:r>
      <w:r>
        <w:rPr>
          <w:rFonts w:hint="eastAsia" w:ascii="仿宋_GB2312" w:hAnsi="仿宋" w:eastAsia="仿宋_GB2312" w:cs="Times New Roman"/>
          <w:color w:val="auto"/>
          <w:sz w:val="32"/>
          <w:szCs w:val="32"/>
          <w:lang w:val="en-US" w:eastAsia="zh-CN"/>
        </w:rPr>
        <w:t>0</w:t>
      </w:r>
      <w:r>
        <w:rPr>
          <w:rFonts w:hint="eastAsia" w:ascii="仿宋_GB2312" w:hAnsi="仿宋" w:eastAsia="仿宋_GB2312" w:cs="Times New Roman"/>
          <w:color w:val="auto"/>
          <w:sz w:val="32"/>
          <w:szCs w:val="32"/>
          <w:lang w:val="zh-CN" w:eastAsia="zh-CN"/>
        </w:rPr>
        <w:t>个。</w:t>
      </w:r>
    </w:p>
    <w:p w14:paraId="1C96BC50">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 w:eastAsia="仿宋_GB2312" w:cs="Times New Roman"/>
          <w:color w:val="auto"/>
          <w:sz w:val="32"/>
          <w:szCs w:val="32"/>
          <w:lang w:val="zh-CN" w:eastAsia="zh-CN"/>
        </w:rPr>
      </w:pPr>
      <w:r>
        <w:rPr>
          <w:rFonts w:hint="eastAsia" w:ascii="仿宋_GB2312" w:hAnsi="仿宋" w:eastAsia="仿宋_GB2312" w:cs="Times New Roman"/>
          <w:color w:val="auto"/>
          <w:sz w:val="32"/>
          <w:szCs w:val="32"/>
          <w:lang w:val="en-US" w:eastAsia="zh-CN"/>
        </w:rPr>
        <w:t>1.</w:t>
      </w:r>
      <w:r>
        <w:rPr>
          <w:rFonts w:hint="eastAsia" w:ascii="仿宋_GB2312" w:hAnsi="仿宋" w:eastAsia="仿宋_GB2312" w:cs="Times New Roman"/>
          <w:color w:val="auto"/>
          <w:sz w:val="32"/>
          <w:szCs w:val="32"/>
          <w:lang w:val="zh-CN" w:eastAsia="zh-CN"/>
        </w:rPr>
        <w:t>项目决策（</w:t>
      </w:r>
      <w:r>
        <w:rPr>
          <w:rFonts w:hint="eastAsia" w:ascii="仿宋_GB2312" w:hAnsi="仿宋" w:eastAsia="仿宋_GB2312" w:cs="Times New Roman"/>
          <w:color w:val="auto"/>
          <w:sz w:val="32"/>
          <w:szCs w:val="32"/>
          <w:lang w:val="en-US" w:eastAsia="zh-CN"/>
        </w:rPr>
        <w:t>12分</w:t>
      </w:r>
      <w:r>
        <w:rPr>
          <w:rFonts w:hint="eastAsia" w:ascii="仿宋_GB2312" w:hAnsi="仿宋" w:eastAsia="仿宋_GB2312" w:cs="Times New Roman"/>
          <w:color w:val="auto"/>
          <w:sz w:val="32"/>
          <w:szCs w:val="32"/>
          <w:lang w:val="zh-CN" w:eastAsia="zh-CN"/>
        </w:rPr>
        <w:t>）我部项目资金严格按照</w:t>
      </w:r>
      <w:r>
        <w:rPr>
          <w:rFonts w:hint="eastAsia" w:ascii="仿宋_GB2312" w:hAnsi="仿宋" w:eastAsia="仿宋_GB2312" w:cs="Times New Roman"/>
          <w:color w:val="auto"/>
          <w:sz w:val="32"/>
          <w:szCs w:val="32"/>
          <w:lang w:val="en-US" w:eastAsia="zh-CN"/>
        </w:rPr>
        <w:t>项目方案及具体发放</w:t>
      </w:r>
      <w:r>
        <w:rPr>
          <w:rFonts w:hint="eastAsia" w:ascii="仿宋_GB2312" w:hAnsi="仿宋" w:eastAsia="仿宋_GB2312" w:cs="Times New Roman"/>
          <w:color w:val="auto"/>
          <w:sz w:val="32"/>
          <w:szCs w:val="32"/>
          <w:lang w:val="zh-CN" w:eastAsia="zh-CN"/>
        </w:rPr>
        <w:t>标准编制预算，</w:t>
      </w:r>
      <w:r>
        <w:rPr>
          <w:rFonts w:hint="eastAsia" w:ascii="仿宋_GB2312" w:hAnsi="仿宋" w:eastAsia="仿宋_GB2312" w:cs="Times New Roman"/>
          <w:color w:val="auto"/>
          <w:sz w:val="32"/>
          <w:szCs w:val="32"/>
          <w:lang w:val="en-US" w:eastAsia="zh-CN"/>
        </w:rPr>
        <w:t>所有项目均有股室牵头</w:t>
      </w:r>
      <w:r>
        <w:rPr>
          <w:rFonts w:hint="eastAsia" w:ascii="仿宋_GB2312" w:hAnsi="仿宋" w:eastAsia="仿宋_GB2312" w:cs="Times New Roman"/>
          <w:color w:val="auto"/>
          <w:sz w:val="32"/>
          <w:szCs w:val="32"/>
          <w:lang w:val="zh-CN" w:eastAsia="zh-CN"/>
        </w:rPr>
        <w:t>提出申请，我部审核，报上级主管部门批准实施。综上，根据评分标准，该项指标自评得分</w:t>
      </w:r>
      <w:r>
        <w:rPr>
          <w:rFonts w:hint="eastAsia" w:ascii="仿宋_GB2312" w:hAnsi="仿宋" w:eastAsia="仿宋_GB2312" w:cs="Times New Roman"/>
          <w:color w:val="auto"/>
          <w:sz w:val="32"/>
          <w:szCs w:val="32"/>
          <w:lang w:val="en-US" w:eastAsia="zh-CN"/>
        </w:rPr>
        <w:t>12</w:t>
      </w:r>
      <w:r>
        <w:rPr>
          <w:rFonts w:hint="eastAsia" w:ascii="仿宋_GB2312" w:hAnsi="仿宋" w:eastAsia="仿宋_GB2312" w:cs="Times New Roman"/>
          <w:color w:val="auto"/>
          <w:sz w:val="32"/>
          <w:szCs w:val="32"/>
          <w:lang w:val="zh-CN" w:eastAsia="zh-CN"/>
        </w:rPr>
        <w:t>分。</w:t>
      </w:r>
    </w:p>
    <w:p w14:paraId="73A362D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 w:eastAsia="仿宋_GB2312" w:cs="Times New Roman"/>
          <w:color w:val="auto"/>
          <w:sz w:val="32"/>
          <w:szCs w:val="32"/>
          <w:lang w:val="zh-CN" w:eastAsia="zh-CN"/>
        </w:rPr>
      </w:pPr>
      <w:r>
        <w:rPr>
          <w:rFonts w:hint="eastAsia" w:ascii="仿宋_GB2312" w:hAnsi="仿宋" w:eastAsia="仿宋_GB2312" w:cs="Times New Roman"/>
          <w:color w:val="auto"/>
          <w:sz w:val="32"/>
          <w:szCs w:val="32"/>
          <w:lang w:val="en-US" w:eastAsia="zh-CN"/>
        </w:rPr>
        <w:t>2.项目执行</w:t>
      </w:r>
      <w:r>
        <w:rPr>
          <w:rFonts w:hint="eastAsia" w:ascii="仿宋_GB2312" w:hAnsi="仿宋" w:eastAsia="仿宋_GB2312" w:cs="Times New Roman"/>
          <w:color w:val="auto"/>
          <w:sz w:val="32"/>
          <w:szCs w:val="32"/>
          <w:lang w:val="zh-CN" w:eastAsia="zh-CN"/>
        </w:rPr>
        <w:t>（12分）</w:t>
      </w:r>
      <w:r>
        <w:rPr>
          <w:rFonts w:hint="eastAsia" w:ascii="仿宋_GB2312" w:hAnsi="仿宋" w:eastAsia="仿宋_GB2312" w:cs="Times New Roman"/>
          <w:color w:val="auto"/>
          <w:sz w:val="32"/>
          <w:szCs w:val="32"/>
          <w:lang w:val="en-US" w:eastAsia="zh-CN"/>
        </w:rPr>
        <w:t>我部</w:t>
      </w:r>
      <w:r>
        <w:rPr>
          <w:rFonts w:hint="eastAsia" w:ascii="仿宋_GB2312" w:hAnsi="仿宋" w:eastAsia="仿宋_GB2312" w:cs="Times New Roman"/>
          <w:color w:val="auto"/>
          <w:sz w:val="32"/>
          <w:szCs w:val="32"/>
          <w:lang w:val="zh-CN" w:eastAsia="zh-CN"/>
        </w:rPr>
        <w:t>预算项目按照序时进度支付，大部分项目符合支付进度要求。</w:t>
      </w:r>
      <w:r>
        <w:rPr>
          <w:rFonts w:hint="eastAsia" w:ascii="仿宋_GB2312" w:hAnsi="仿宋" w:eastAsia="仿宋_GB2312" w:cs="Times New Roman"/>
          <w:color w:val="auto"/>
          <w:sz w:val="32"/>
          <w:szCs w:val="32"/>
          <w:lang w:val="en-US" w:eastAsia="zh-CN"/>
        </w:rPr>
        <w:t>年度中旬，财务室按照财政局要求，做好预算项目绩效运行监控分析。财务室根据项目执行情况据实填报。对于进度落后的项</w:t>
      </w:r>
      <w:r>
        <w:rPr>
          <w:rFonts w:hint="eastAsia" w:ascii="仿宋_GB2312" w:hAnsi="仿宋" w:eastAsia="仿宋_GB2312" w:cs="Times New Roman"/>
          <w:color w:val="000000" w:themeColor="text1"/>
          <w:sz w:val="32"/>
          <w:szCs w:val="32"/>
          <w:lang w:val="en-US" w:eastAsia="zh-CN"/>
          <w14:textFill>
            <w14:solidFill>
              <w14:schemeClr w14:val="tx1"/>
            </w14:solidFill>
          </w14:textFill>
        </w:rPr>
        <w:t>目写明原因，经分管领导</w:t>
      </w:r>
      <w:r>
        <w:rPr>
          <w:rFonts w:hint="eastAsia" w:ascii="仿宋_GB2312" w:hAnsi="仿宋" w:eastAsia="仿宋_GB2312" w:cs="Times New Roman"/>
          <w:color w:val="auto"/>
          <w:sz w:val="32"/>
          <w:szCs w:val="32"/>
          <w:lang w:val="en-US" w:eastAsia="zh-CN"/>
        </w:rPr>
        <w:t>审核后，通过预算一体化系统上报财政局审批。</w:t>
      </w:r>
      <w:r>
        <w:rPr>
          <w:rFonts w:hint="eastAsia" w:ascii="仿宋_GB2312" w:hAnsi="仿宋" w:eastAsia="仿宋_GB2312" w:cs="Times New Roman"/>
          <w:color w:val="auto"/>
          <w:sz w:val="32"/>
          <w:szCs w:val="32"/>
          <w:lang w:val="zh-CN" w:eastAsia="zh-CN"/>
        </w:rPr>
        <w:t>综上，根据评分标准，该项指标自评得分</w:t>
      </w:r>
      <w:r>
        <w:rPr>
          <w:rFonts w:hint="eastAsia" w:ascii="仿宋_GB2312" w:hAnsi="仿宋" w:eastAsia="仿宋_GB2312" w:cs="Times New Roman"/>
          <w:color w:val="auto"/>
          <w:sz w:val="32"/>
          <w:szCs w:val="32"/>
          <w:lang w:val="en-US" w:eastAsia="zh-CN"/>
        </w:rPr>
        <w:t>12</w:t>
      </w:r>
      <w:r>
        <w:rPr>
          <w:rFonts w:hint="eastAsia" w:ascii="仿宋_GB2312" w:hAnsi="仿宋" w:eastAsia="仿宋_GB2312" w:cs="Times New Roman"/>
          <w:color w:val="auto"/>
          <w:sz w:val="32"/>
          <w:szCs w:val="32"/>
          <w:lang w:val="zh-CN" w:eastAsia="zh-CN"/>
        </w:rPr>
        <w:t>分。</w:t>
      </w:r>
    </w:p>
    <w:p w14:paraId="7E250BB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 w:eastAsia="仿宋_GB2312" w:cs="Times New Roman"/>
          <w:color w:val="auto"/>
          <w:sz w:val="32"/>
          <w:szCs w:val="32"/>
          <w:lang w:val="zh-CN" w:eastAsia="zh-CN"/>
        </w:rPr>
      </w:pPr>
      <w:r>
        <w:rPr>
          <w:rFonts w:hint="eastAsia" w:ascii="仿宋_GB2312" w:hAnsi="仿宋" w:eastAsia="仿宋_GB2312" w:cs="Times New Roman"/>
          <w:color w:val="auto"/>
          <w:sz w:val="32"/>
          <w:szCs w:val="32"/>
          <w:lang w:val="en-US" w:eastAsia="zh-CN"/>
        </w:rPr>
        <w:t>3.</w:t>
      </w:r>
      <w:r>
        <w:rPr>
          <w:rFonts w:hint="eastAsia" w:ascii="仿宋_GB2312" w:hAnsi="仿宋" w:eastAsia="仿宋_GB2312" w:cs="Times New Roman"/>
          <w:color w:val="auto"/>
          <w:sz w:val="32"/>
          <w:szCs w:val="32"/>
          <w:lang w:val="zh-CN" w:eastAsia="zh-CN"/>
        </w:rPr>
        <w:t>目标实现（11分）通过项目的实施，保障了我部的正常运转</w:t>
      </w:r>
      <w:r>
        <w:rPr>
          <w:rFonts w:hint="eastAsia" w:ascii="仿宋_GB2312" w:hAnsi="仿宋" w:eastAsia="仿宋_GB2312" w:cs="Times New Roman"/>
          <w:color w:val="auto"/>
          <w:sz w:val="32"/>
          <w:szCs w:val="32"/>
          <w:lang w:val="en-US" w:eastAsia="zh-CN"/>
        </w:rPr>
        <w:t>及</w:t>
      </w:r>
      <w:r>
        <w:rPr>
          <w:rFonts w:hint="eastAsia" w:ascii="仿宋_GB2312" w:hAnsi="仿宋" w:eastAsia="仿宋_GB2312" w:cs="Times New Roman"/>
          <w:color w:val="auto"/>
          <w:sz w:val="32"/>
          <w:szCs w:val="32"/>
          <w:lang w:val="zh-CN" w:eastAsia="zh-CN"/>
        </w:rPr>
        <w:t>发展。综上，根据评分标准，该项指标自评得分1</w:t>
      </w:r>
      <w:r>
        <w:rPr>
          <w:rFonts w:hint="eastAsia" w:ascii="仿宋_GB2312" w:hAnsi="仿宋" w:eastAsia="仿宋_GB2312" w:cs="Times New Roman"/>
          <w:color w:val="auto"/>
          <w:sz w:val="32"/>
          <w:szCs w:val="32"/>
          <w:lang w:val="en-US" w:eastAsia="zh-CN"/>
        </w:rPr>
        <w:t>1</w:t>
      </w:r>
      <w:r>
        <w:rPr>
          <w:rFonts w:hint="eastAsia" w:ascii="仿宋_GB2312" w:hAnsi="仿宋" w:eastAsia="仿宋_GB2312" w:cs="Times New Roman"/>
          <w:color w:val="auto"/>
          <w:sz w:val="32"/>
          <w:szCs w:val="32"/>
          <w:lang w:val="zh-CN" w:eastAsia="zh-CN"/>
        </w:rPr>
        <w:t>分。</w:t>
      </w:r>
    </w:p>
    <w:p w14:paraId="09AFF8C4">
      <w:pPr>
        <w:spacing w:line="576" w:lineRule="exact"/>
        <w:ind w:firstLine="643" w:firstLineChars="200"/>
        <w:rPr>
          <w:rFonts w:hint="eastAsia"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（三）</w:t>
      </w:r>
      <w:r>
        <w:rPr>
          <w:rFonts w:hint="eastAsia" w:ascii="Times New Roman" w:hAnsi="Times New Roman" w:eastAsia="楷体_GB2312" w:cs="Times New Roman"/>
          <w:b/>
          <w:bCs/>
          <w:color w:val="000000"/>
          <w:kern w:val="0"/>
          <w:sz w:val="32"/>
          <w:szCs w:val="32"/>
          <w:shd w:val="clear" w:color="auto" w:fill="FFFFFF"/>
          <w:lang w:val="zh-CN" w:eastAsia="zh-CN"/>
        </w:rPr>
        <w:t>重点领域</w:t>
      </w:r>
      <w:r>
        <w:rPr>
          <w:rFonts w:hint="eastAsia" w:ascii="Times New Roman" w:hAnsi="Times New Roman" w:eastAsia="楷体_GB2312" w:cs="Times New Roman"/>
          <w:b/>
          <w:bCs/>
          <w:color w:val="000000"/>
          <w:kern w:val="0"/>
          <w:sz w:val="32"/>
          <w:szCs w:val="32"/>
          <w:shd w:val="clear" w:color="auto" w:fill="FFFFFF"/>
          <w:lang w:val="zh-CN"/>
        </w:rPr>
        <w:t>绩效分析</w:t>
      </w:r>
    </w:p>
    <w:p w14:paraId="64C9C110">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 w:eastAsia="仿宋_GB2312" w:cs="Times New Roman"/>
          <w:color w:val="auto"/>
          <w:sz w:val="32"/>
          <w:szCs w:val="32"/>
          <w:lang w:val="en-US" w:eastAsia="zh-CN"/>
        </w:rPr>
      </w:pPr>
      <w:r>
        <w:rPr>
          <w:rFonts w:hint="eastAsia" w:ascii="仿宋_GB2312" w:hAnsi="仿宋" w:eastAsia="仿宋_GB2312" w:cs="Times New Roman"/>
          <w:color w:val="auto"/>
          <w:sz w:val="32"/>
          <w:szCs w:val="32"/>
          <w:lang w:val="en-US" w:eastAsia="zh-CN"/>
        </w:rPr>
        <w:t>2025年我单位未涉及国有资本、债券资金、政府采购和政等重点领域。</w:t>
      </w:r>
    </w:p>
    <w:p w14:paraId="5FFC3F2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 w:eastAsia="仿宋_GB2312" w:cs="Times New Roman"/>
          <w:color w:val="auto"/>
          <w:sz w:val="32"/>
          <w:szCs w:val="32"/>
          <w:lang w:val="en-US" w:eastAsia="zh-CN"/>
        </w:rPr>
      </w:pPr>
      <w:r>
        <w:rPr>
          <w:rFonts w:hint="eastAsia" w:ascii="仿宋_GB2312" w:hAnsi="仿宋" w:eastAsia="仿宋_GB2312" w:cs="Times New Roman"/>
          <w:color w:val="auto"/>
          <w:sz w:val="32"/>
          <w:szCs w:val="32"/>
          <w:lang w:val="en-US" w:eastAsia="zh-CN"/>
        </w:rPr>
        <w:t>我部对年内发生的项目进行了绩效评价，将政策和项目全面纳入绩效管理，从数量、质量、时效、成本、效益等方面，综合衡量政策和项目预算资金使用效果。通过自评和外部评价相结合的方式，对预算执行情况开展绩效评价。相关预算项目资金按照资金管理办法使用，资金分配依据充分，额度合理，与单位实际相适应。项目资金使用依据单位财务管理制度支出，资金拨付符合资金支付流程，遵守相关法律法规和相关管理规定，项目支出手续完整。对已形成的支出及时入账，严格按照会计法核算，未出现账账不符、账实不符、科目使用不正确等问题。通过相关项目的执行，保障了我部社会工作正常开展，改善了基层治理和服务群众的能力，推动了党建引领基层治理的深入开展。项目的实施有效提升了社会工作人才队伍的专业化水平，进一步优化了志愿服务体系，为全县基层治理能力的提升提供了坚实保障。</w:t>
      </w:r>
    </w:p>
    <w:p w14:paraId="25BD0152">
      <w:pPr>
        <w:keepNext w:val="0"/>
        <w:keepLines w:val="0"/>
        <w:pageBreakBefore w:val="0"/>
        <w:widowControl w:val="0"/>
        <w:numPr>
          <w:ilvl w:val="0"/>
          <w:numId w:val="4"/>
        </w:numPr>
        <w:kinsoku/>
        <w:wordWrap/>
        <w:overflowPunct/>
        <w:topLinePunct w:val="0"/>
        <w:autoSpaceDE/>
        <w:autoSpaceDN/>
        <w:bidi w:val="0"/>
        <w:adjustRightInd/>
        <w:snapToGrid/>
        <w:spacing w:line="590" w:lineRule="exact"/>
        <w:ind w:left="0" w:leftChars="0" w:right="0" w:rightChars="0" w:firstLine="643" w:firstLineChars="200"/>
        <w:contextualSpacing/>
        <w:jc w:val="both"/>
        <w:textAlignment w:val="auto"/>
        <w:outlineLvl w:val="9"/>
        <w:rPr>
          <w:rFonts w:hint="eastAsia" w:ascii="Times New Roman" w:hAnsi="Times New Roman" w:eastAsia="楷体_GB2312" w:cs="Times New Roman"/>
          <w:b/>
          <w:bCs/>
          <w:color w:val="000000"/>
          <w:kern w:val="0"/>
          <w:sz w:val="32"/>
          <w:szCs w:val="32"/>
          <w:shd w:val="clear" w:color="auto" w:fill="FFFFFF"/>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绩效结果应用情况。</w:t>
      </w:r>
    </w:p>
    <w:p w14:paraId="20BF19D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 w:eastAsia="仿宋_GB2312" w:cs="Times New Roman"/>
          <w:color w:val="auto"/>
          <w:sz w:val="32"/>
          <w:szCs w:val="32"/>
          <w:lang w:val="en-US" w:eastAsia="zh-CN"/>
        </w:rPr>
      </w:pPr>
      <w:r>
        <w:rPr>
          <w:rFonts w:hint="eastAsia" w:ascii="仿宋_GB2312" w:hAnsi="仿宋" w:eastAsia="仿宋_GB2312" w:cs="Times New Roman"/>
          <w:color w:val="auto"/>
          <w:sz w:val="32"/>
          <w:szCs w:val="32"/>
          <w:lang w:val="zh-CN" w:eastAsia="zh-CN"/>
        </w:rPr>
        <w:t>根据汶川县</w:t>
      </w:r>
      <w:r>
        <w:rPr>
          <w:rFonts w:hint="eastAsia" w:ascii="仿宋_GB2312" w:hAnsi="仿宋" w:eastAsia="仿宋_GB2312" w:cs="Times New Roman"/>
          <w:color w:val="auto"/>
          <w:sz w:val="32"/>
          <w:szCs w:val="32"/>
          <w:lang w:val="en-US" w:eastAsia="zh-CN"/>
        </w:rPr>
        <w:t>县</w:t>
      </w:r>
      <w:r>
        <w:rPr>
          <w:rFonts w:hint="eastAsia" w:ascii="仿宋_GB2312" w:hAnsi="仿宋" w:eastAsia="仿宋_GB2312" w:cs="Times New Roman"/>
          <w:color w:val="auto"/>
          <w:sz w:val="32"/>
          <w:szCs w:val="32"/>
          <w:lang w:val="zh-CN" w:eastAsia="zh-CN"/>
        </w:rPr>
        <w:t>财政局的要求，</w:t>
      </w:r>
      <w:r>
        <w:rPr>
          <w:rFonts w:hint="eastAsia" w:ascii="仿宋_GB2312" w:hAnsi="仿宋" w:eastAsia="仿宋_GB2312" w:cs="Times New Roman"/>
          <w:color w:val="auto"/>
          <w:sz w:val="32"/>
          <w:szCs w:val="32"/>
          <w:lang w:val="en-US" w:eastAsia="zh-CN"/>
        </w:rPr>
        <w:t>我部</w:t>
      </w:r>
      <w:r>
        <w:rPr>
          <w:rFonts w:hint="eastAsia" w:ascii="仿宋_GB2312" w:hAnsi="仿宋" w:eastAsia="仿宋_GB2312" w:cs="Times New Roman"/>
          <w:color w:val="auto"/>
          <w:sz w:val="32"/>
          <w:szCs w:val="32"/>
          <w:lang w:val="zh-CN" w:eastAsia="zh-CN"/>
        </w:rPr>
        <w:t>对202</w:t>
      </w:r>
      <w:r>
        <w:rPr>
          <w:rFonts w:hint="eastAsia" w:ascii="仿宋_GB2312" w:hAnsi="仿宋" w:eastAsia="仿宋_GB2312" w:cs="Times New Roman"/>
          <w:color w:val="auto"/>
          <w:sz w:val="32"/>
          <w:szCs w:val="32"/>
          <w:lang w:val="en-US" w:eastAsia="zh-CN"/>
        </w:rPr>
        <w:t>5</w:t>
      </w:r>
      <w:r>
        <w:rPr>
          <w:rFonts w:hint="eastAsia" w:ascii="仿宋_GB2312" w:hAnsi="仿宋" w:eastAsia="仿宋_GB2312" w:cs="Times New Roman"/>
          <w:color w:val="auto"/>
          <w:sz w:val="32"/>
          <w:szCs w:val="32"/>
          <w:lang w:val="zh-CN" w:eastAsia="zh-CN"/>
        </w:rPr>
        <w:t>年度的部门整体支出开展了绩效自评工作，评价得分为</w:t>
      </w:r>
      <w:r>
        <w:rPr>
          <w:rFonts w:hint="eastAsia" w:ascii="仿宋_GB2312" w:hAnsi="仿宋" w:eastAsia="仿宋_GB2312" w:cs="Times New Roman"/>
          <w:color w:val="auto"/>
          <w:sz w:val="32"/>
          <w:szCs w:val="32"/>
          <w:lang w:val="en-US" w:eastAsia="zh-CN"/>
        </w:rPr>
        <w:t>89</w:t>
      </w:r>
      <w:r>
        <w:rPr>
          <w:rFonts w:hint="eastAsia" w:ascii="仿宋_GB2312" w:hAnsi="仿宋" w:eastAsia="仿宋_GB2312" w:cs="Times New Roman"/>
          <w:color w:val="auto"/>
          <w:sz w:val="32"/>
          <w:szCs w:val="32"/>
          <w:lang w:val="zh-CN" w:eastAsia="zh-CN"/>
        </w:rPr>
        <w:t>分。</w:t>
      </w:r>
      <w:r>
        <w:rPr>
          <w:rFonts w:hint="eastAsia" w:ascii="仿宋_GB2312" w:hAnsi="仿宋" w:eastAsia="仿宋_GB2312" w:cs="Times New Roman"/>
          <w:color w:val="auto"/>
          <w:sz w:val="32"/>
          <w:szCs w:val="32"/>
          <w:lang w:val="en-US" w:eastAsia="zh-CN"/>
        </w:rPr>
        <w:t>我部</w:t>
      </w:r>
      <w:r>
        <w:rPr>
          <w:rFonts w:hint="eastAsia" w:ascii="仿宋_GB2312" w:hAnsi="仿宋" w:eastAsia="仿宋_GB2312" w:cs="Times New Roman"/>
          <w:color w:val="auto"/>
          <w:sz w:val="32"/>
          <w:szCs w:val="32"/>
          <w:lang w:val="zh-CN" w:eastAsia="zh-CN"/>
        </w:rPr>
        <w:t>将对照评价结果，不断完善预算管理，加强对项目预算的编制，完善预算绩效指标设置，做到预算编制更为精准。</w:t>
      </w:r>
    </w:p>
    <w:p w14:paraId="57913E2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 w:eastAsia="仿宋_GB2312" w:cs="Times New Roman"/>
          <w:color w:val="auto"/>
          <w:sz w:val="32"/>
          <w:szCs w:val="32"/>
          <w:lang w:val="zh-CN" w:eastAsia="zh-CN"/>
        </w:rPr>
      </w:pPr>
      <w:r>
        <w:rPr>
          <w:rFonts w:ascii="Times New Roman" w:hAnsi="Times New Roman" w:eastAsia="黑体" w:cs="Times New Roman"/>
          <w:color w:val="000000"/>
          <w:kern w:val="0"/>
          <w:sz w:val="32"/>
          <w:szCs w:val="32"/>
          <w:shd w:val="clear" w:color="auto" w:fill="FFFFFF"/>
        </w:rPr>
        <w:t>四、评价结论及建议</w:t>
      </w:r>
      <w:r>
        <w:rPr>
          <w:rFonts w:hint="eastAsia" w:ascii="Times New Roman" w:hAnsi="Times New Roman" w:eastAsia="黑体" w:cs="Times New Roman"/>
          <w:color w:val="000000"/>
          <w:kern w:val="0"/>
          <w:sz w:val="32"/>
          <w:szCs w:val="32"/>
          <w:shd w:val="clear" w:color="auto" w:fill="FFFFFF"/>
          <w:lang w:eastAsia="zh-CN"/>
        </w:rPr>
        <w:t>。</w:t>
      </w:r>
      <w:r>
        <w:rPr>
          <w:rFonts w:hint="eastAsia" w:ascii="仿宋_GB2312" w:hAnsi="仿宋" w:eastAsia="仿宋_GB2312" w:cs="Times New Roman"/>
          <w:color w:val="auto"/>
          <w:sz w:val="32"/>
          <w:szCs w:val="32"/>
          <w:lang w:val="en-US" w:eastAsia="zh-CN"/>
        </w:rPr>
        <w:t>2025年部门整体支出绩效评价</w:t>
      </w:r>
      <w:r>
        <w:rPr>
          <w:rFonts w:hint="eastAsia" w:ascii="仿宋_GB2312" w:hAnsi="仿宋" w:eastAsia="仿宋_GB2312" w:cs="Times New Roman"/>
          <w:color w:val="auto"/>
          <w:sz w:val="32"/>
          <w:szCs w:val="32"/>
          <w:lang w:val="zh-CN" w:eastAsia="zh-CN"/>
        </w:rPr>
        <w:t>总体情况较好，自评</w:t>
      </w:r>
      <w:r>
        <w:rPr>
          <w:rFonts w:hint="eastAsia" w:ascii="仿宋_GB2312" w:hAnsi="仿宋" w:eastAsia="仿宋_GB2312" w:cs="Times New Roman"/>
          <w:color w:val="auto"/>
          <w:sz w:val="32"/>
          <w:szCs w:val="32"/>
          <w:lang w:val="en-US" w:eastAsia="zh-CN"/>
        </w:rPr>
        <w:t>得分89分，其中，总体绩效分值65分，评价得分58分；项目绩效分值35分，评价得分35分；评价指标得分详见附表1。</w:t>
      </w:r>
    </w:p>
    <w:p w14:paraId="0C6D957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3" w:firstLineChars="200"/>
        <w:contextualSpacing/>
        <w:jc w:val="both"/>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zh-CN"/>
        </w:rPr>
        <w:t>（二）存在问题</w:t>
      </w:r>
    </w:p>
    <w:p w14:paraId="52F6C9F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w w:val="95"/>
          <w:kern w:val="0"/>
          <w:position w:val="0"/>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一是</w:t>
      </w:r>
      <w:r>
        <w:rPr>
          <w:rFonts w:hint="eastAsia" w:ascii="仿宋_GB2312" w:hAnsi="仿宋_GB2312" w:eastAsia="仿宋_GB2312" w:cs="仿宋_GB2312"/>
          <w:b w:val="0"/>
          <w:bCs w:val="0"/>
          <w:w w:val="95"/>
          <w:kern w:val="0"/>
          <w:position w:val="0"/>
          <w:sz w:val="32"/>
          <w:szCs w:val="32"/>
          <w:highlight w:val="none"/>
          <w:lang w:val="en-US" w:eastAsia="zh-CN" w:bidi="ar-SA"/>
        </w:rPr>
        <w:t>单位绩效管理意识薄弱，部门绩效目标设置不够清晰明确。</w:t>
      </w:r>
    </w:p>
    <w:p w14:paraId="2925225C">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contextualSpacing/>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二是绩效指标制定不严谨。部分项目存在绩效指标制定不严谨的情况，包括指标制定不完整、指标未量化等问题。</w:t>
      </w:r>
    </w:p>
    <w:p w14:paraId="5980968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3" w:firstLineChars="200"/>
        <w:contextualSpacing/>
        <w:jc w:val="both"/>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zh-CN" w:eastAsia="zh-CN"/>
        </w:rPr>
        <w:t>（三）改进建议</w:t>
      </w:r>
      <w:bookmarkStart w:id="52" w:name="_Hlk110546638"/>
    </w:p>
    <w:p w14:paraId="4F82A6F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（1）增强预算管理意识</w:t>
      </w:r>
    </w:p>
    <w:p w14:paraId="3710376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要认识到预算管理在加强单位内部控制及监督上的作用，对其地位及重要性加以宣传普及，增强单位财务管理部门预算意识，同时使单位全体人员转变原有的预算管理单纯划归财务部门的狭隘观念，增强其参与预算管理的积极性。</w:t>
      </w:r>
    </w:p>
    <w:p w14:paraId="38B7616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（2）科学设置绩效目标</w:t>
      </w:r>
    </w:p>
    <w:p w14:paraId="0368788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eastAsia="黑体"/>
          <w:szCs w:val="32"/>
        </w:rPr>
      </w:pPr>
      <w:r>
        <w:rPr>
          <w:rFonts w:hint="eastAsia" w:ascii="仿宋_GB2312" w:hAnsi="仿宋_GB2312" w:eastAsia="仿宋_GB2312" w:cs="仿宋_GB2312"/>
          <w:color w:val="auto"/>
          <w:sz w:val="32"/>
          <w:szCs w:val="32"/>
          <w:lang w:val="en-US" w:eastAsia="zh-CN"/>
        </w:rPr>
        <w:t>加强推进预算绩效管理。根据年度重点工作任务和年度工作计划制定绩效目标，针对部门专项类项目绩效目标应编制产出、效益、满意度等绩效信息，满足指标明确、细化量化、合理可行的编制要求。加强对相关处室绩效目标填报的培训工作，树立全面推进预算绩效管理的理念。</w:t>
      </w:r>
      <w:bookmarkEnd w:id="52"/>
    </w:p>
    <w:p w14:paraId="6299774A">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14:paraId="02AD40E5">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8"/>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13B7EB13">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1B17B3">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703EC">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283AEA34">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1AD916E2">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3E755E47">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77F3DE2C">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E23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BE20">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1945">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9930B">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6F9CE8BD">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1B5D6B5B">
            <w:pPr>
              <w:widowControl/>
              <w:spacing w:line="240" w:lineRule="exact"/>
              <w:jc w:val="center"/>
              <w:rPr>
                <w:rFonts w:ascii="黑体" w:hAnsi="宋体" w:eastAsia="黑体" w:cs="黑体"/>
                <w:color w:val="000000"/>
                <w:sz w:val="24"/>
              </w:rPr>
            </w:pPr>
          </w:p>
        </w:tc>
      </w:tr>
      <w:tr w14:paraId="11C424E6">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6ECA88E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E9B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B87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56A4038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70D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F5AA">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C450">
            <w:pPr>
              <w:widowControl/>
              <w:spacing w:line="240" w:lineRule="exact"/>
              <w:jc w:val="left"/>
              <w:textAlignment w:val="center"/>
              <w:rPr>
                <w:rFonts w:ascii="宋体" w:hAnsi="宋体" w:eastAsia="宋体" w:cs="宋体"/>
                <w:color w:val="000000"/>
                <w:kern w:val="0"/>
                <w:sz w:val="24"/>
              </w:rPr>
            </w:pPr>
          </w:p>
        </w:tc>
      </w:tr>
      <w:tr w14:paraId="0283261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2AD7DAC">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23476CE2">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5F7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FD5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6C4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92AC">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6D91">
            <w:pPr>
              <w:widowControl/>
              <w:spacing w:line="240" w:lineRule="exact"/>
              <w:jc w:val="left"/>
              <w:textAlignment w:val="center"/>
              <w:rPr>
                <w:rFonts w:ascii="宋体" w:hAnsi="宋体" w:eastAsia="宋体" w:cs="宋体"/>
                <w:color w:val="000000"/>
                <w:kern w:val="0"/>
                <w:sz w:val="24"/>
              </w:rPr>
            </w:pPr>
          </w:p>
        </w:tc>
      </w:tr>
      <w:tr w14:paraId="0687288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914DF28">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68362D7">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491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2B2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7E2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900B">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A432">
            <w:pPr>
              <w:widowControl/>
              <w:spacing w:line="240" w:lineRule="exact"/>
              <w:jc w:val="left"/>
              <w:textAlignment w:val="center"/>
              <w:rPr>
                <w:rFonts w:ascii="宋体" w:hAnsi="宋体" w:eastAsia="宋体" w:cs="宋体"/>
                <w:color w:val="000000"/>
                <w:kern w:val="0"/>
                <w:sz w:val="24"/>
              </w:rPr>
            </w:pPr>
          </w:p>
        </w:tc>
      </w:tr>
      <w:tr w14:paraId="7A2EF0E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A8C7161">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6D897FE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B83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6BE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596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67A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1B9A">
            <w:pPr>
              <w:widowControl/>
              <w:spacing w:line="240" w:lineRule="exact"/>
              <w:jc w:val="left"/>
              <w:textAlignment w:val="center"/>
              <w:rPr>
                <w:rFonts w:ascii="宋体" w:hAnsi="宋体" w:eastAsia="宋体" w:cs="宋体"/>
                <w:color w:val="000000"/>
                <w:kern w:val="0"/>
                <w:sz w:val="24"/>
              </w:rPr>
            </w:pPr>
          </w:p>
        </w:tc>
      </w:tr>
      <w:tr w14:paraId="3EF0B07D">
        <w:tblPrEx>
          <w:tblCellMar>
            <w:top w:w="0" w:type="dxa"/>
            <w:left w:w="108" w:type="dxa"/>
            <w:bottom w:w="0" w:type="dxa"/>
            <w:right w:w="108" w:type="dxa"/>
          </w:tblCellMar>
        </w:tblPrEx>
        <w:trPr>
          <w:trHeight w:val="325" w:hRule="atLeast"/>
          <w:jc w:val="center"/>
        </w:trPr>
        <w:tc>
          <w:tcPr>
            <w:tcW w:w="1097" w:type="dxa"/>
            <w:vMerge w:val="continue"/>
            <w:tcBorders>
              <w:left w:val="single" w:color="000000" w:sz="4" w:space="0"/>
              <w:right w:val="single" w:color="000000" w:sz="4" w:space="0"/>
            </w:tcBorders>
            <w:shd w:val="clear" w:color="auto" w:fill="auto"/>
            <w:vAlign w:val="center"/>
          </w:tcPr>
          <w:p w14:paraId="1771AD2F">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08E9EF71">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46A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679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24E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6DE1">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E57D">
            <w:pPr>
              <w:widowControl/>
              <w:spacing w:line="240" w:lineRule="exact"/>
              <w:jc w:val="left"/>
              <w:textAlignment w:val="center"/>
              <w:rPr>
                <w:rFonts w:ascii="宋体" w:hAnsi="宋体" w:eastAsia="宋体" w:cs="宋体"/>
                <w:color w:val="000000"/>
                <w:kern w:val="0"/>
                <w:sz w:val="24"/>
              </w:rPr>
            </w:pPr>
          </w:p>
        </w:tc>
      </w:tr>
      <w:tr w14:paraId="3FB7DC63">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3823947B">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D7A5D1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847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B3F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C6F6">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B93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ED0C">
            <w:pPr>
              <w:widowControl/>
              <w:spacing w:line="240" w:lineRule="exact"/>
              <w:jc w:val="left"/>
              <w:textAlignment w:val="center"/>
              <w:rPr>
                <w:rFonts w:ascii="宋体" w:hAnsi="宋体" w:eastAsia="宋体" w:cs="宋体"/>
                <w:color w:val="000000"/>
                <w:kern w:val="0"/>
                <w:sz w:val="24"/>
              </w:rPr>
            </w:pPr>
          </w:p>
        </w:tc>
      </w:tr>
      <w:tr w14:paraId="4E1178D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4B1C627">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CF61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DBA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A4B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EA2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5B13">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0B00">
            <w:pPr>
              <w:widowControl/>
              <w:spacing w:line="240" w:lineRule="exact"/>
              <w:jc w:val="left"/>
              <w:textAlignment w:val="center"/>
              <w:rPr>
                <w:rFonts w:ascii="宋体" w:hAnsi="宋体" w:eastAsia="宋体" w:cs="宋体"/>
                <w:color w:val="000000"/>
                <w:kern w:val="0"/>
                <w:sz w:val="24"/>
              </w:rPr>
            </w:pPr>
          </w:p>
        </w:tc>
      </w:tr>
      <w:tr w14:paraId="5D6896A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22605FB">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2DB5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0F9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BD4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CAC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DF6D">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739C">
            <w:pPr>
              <w:widowControl/>
              <w:spacing w:line="240" w:lineRule="exact"/>
              <w:jc w:val="left"/>
              <w:textAlignment w:val="center"/>
              <w:rPr>
                <w:rFonts w:ascii="宋体" w:hAnsi="宋体" w:eastAsia="宋体" w:cs="宋体"/>
                <w:color w:val="000000"/>
                <w:kern w:val="0"/>
                <w:sz w:val="24"/>
              </w:rPr>
            </w:pPr>
          </w:p>
        </w:tc>
      </w:tr>
      <w:tr w14:paraId="7309943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097DC65">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A8F11">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230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FA7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5F0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BB64">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7C59">
            <w:pPr>
              <w:widowControl/>
              <w:spacing w:line="240" w:lineRule="exact"/>
              <w:jc w:val="left"/>
              <w:textAlignment w:val="center"/>
              <w:rPr>
                <w:rFonts w:ascii="宋体" w:hAnsi="宋体" w:eastAsia="宋体" w:cs="宋体"/>
                <w:color w:val="000000"/>
                <w:kern w:val="0"/>
                <w:sz w:val="24"/>
              </w:rPr>
            </w:pPr>
          </w:p>
        </w:tc>
      </w:tr>
      <w:tr w14:paraId="6984EAB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733B69B">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FCCD9">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FB9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98E3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52D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59B27">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29FC">
            <w:pPr>
              <w:widowControl/>
              <w:spacing w:line="240" w:lineRule="exact"/>
              <w:jc w:val="left"/>
              <w:textAlignment w:val="center"/>
              <w:rPr>
                <w:rFonts w:ascii="宋体" w:hAnsi="宋体" w:eastAsia="宋体" w:cs="宋体"/>
                <w:color w:val="000000"/>
                <w:kern w:val="0"/>
                <w:sz w:val="24"/>
              </w:rPr>
            </w:pPr>
          </w:p>
        </w:tc>
      </w:tr>
      <w:tr w14:paraId="5CB3D4E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B2FF28D">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CACE3">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F63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701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605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AD2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143C">
            <w:pPr>
              <w:widowControl/>
              <w:spacing w:line="240" w:lineRule="exact"/>
              <w:jc w:val="left"/>
              <w:textAlignment w:val="center"/>
              <w:rPr>
                <w:rFonts w:ascii="宋体" w:hAnsi="宋体" w:eastAsia="宋体" w:cs="宋体"/>
                <w:color w:val="000000"/>
                <w:kern w:val="0"/>
                <w:sz w:val="24"/>
              </w:rPr>
            </w:pPr>
          </w:p>
        </w:tc>
      </w:tr>
      <w:tr w14:paraId="3D1B4D2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2747254">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DCF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C8F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FEE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37D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E010">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C1F1">
            <w:pPr>
              <w:widowControl/>
              <w:spacing w:line="240" w:lineRule="exact"/>
              <w:jc w:val="left"/>
              <w:textAlignment w:val="center"/>
              <w:rPr>
                <w:rFonts w:ascii="宋体" w:hAnsi="宋体" w:eastAsia="宋体" w:cs="宋体"/>
                <w:color w:val="000000"/>
                <w:kern w:val="0"/>
                <w:sz w:val="24"/>
              </w:rPr>
            </w:pPr>
          </w:p>
        </w:tc>
      </w:tr>
      <w:tr w14:paraId="1FA7131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5E28BC3">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9E569">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367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115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265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3186">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8C7C">
            <w:pPr>
              <w:widowControl/>
              <w:spacing w:line="240" w:lineRule="exact"/>
              <w:jc w:val="left"/>
              <w:textAlignment w:val="center"/>
              <w:rPr>
                <w:rFonts w:ascii="宋体" w:hAnsi="宋体" w:eastAsia="宋体" w:cs="宋体"/>
                <w:color w:val="000000"/>
                <w:kern w:val="0"/>
                <w:sz w:val="24"/>
              </w:rPr>
            </w:pPr>
          </w:p>
        </w:tc>
      </w:tr>
      <w:tr w14:paraId="0A860F7A">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368E4591">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1A7B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C3B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656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DA1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801A">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9795">
            <w:pPr>
              <w:widowControl/>
              <w:spacing w:line="240" w:lineRule="exact"/>
              <w:jc w:val="left"/>
              <w:textAlignment w:val="center"/>
              <w:rPr>
                <w:rFonts w:ascii="宋体" w:hAnsi="宋体" w:eastAsia="宋体" w:cs="宋体"/>
                <w:color w:val="000000"/>
                <w:kern w:val="0"/>
                <w:sz w:val="24"/>
              </w:rPr>
            </w:pPr>
          </w:p>
        </w:tc>
      </w:tr>
      <w:tr w14:paraId="0E20500B">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7E73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E9B947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3D18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C51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5AE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53559">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BBF3">
            <w:pPr>
              <w:widowControl/>
              <w:spacing w:line="240" w:lineRule="exact"/>
              <w:jc w:val="left"/>
              <w:textAlignment w:val="center"/>
              <w:rPr>
                <w:rFonts w:ascii="宋体" w:hAnsi="宋体" w:eastAsia="宋体" w:cs="宋体"/>
                <w:color w:val="000000"/>
                <w:kern w:val="0"/>
                <w:sz w:val="24"/>
              </w:rPr>
            </w:pPr>
          </w:p>
        </w:tc>
      </w:tr>
      <w:tr w14:paraId="45F93BCB">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2973D">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3F58C7D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644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41F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32B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E3FF">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433E">
            <w:pPr>
              <w:widowControl/>
              <w:spacing w:line="240" w:lineRule="exact"/>
              <w:jc w:val="left"/>
              <w:textAlignment w:val="center"/>
              <w:rPr>
                <w:rFonts w:ascii="宋体" w:hAnsi="宋体" w:eastAsia="宋体" w:cs="宋体"/>
                <w:color w:val="000000"/>
                <w:kern w:val="0"/>
                <w:sz w:val="24"/>
              </w:rPr>
            </w:pPr>
          </w:p>
        </w:tc>
      </w:tr>
      <w:tr w14:paraId="48CC8CE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E8B16">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63D5328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A418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29F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64D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B3C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3AE5">
            <w:pPr>
              <w:widowControl/>
              <w:spacing w:line="240" w:lineRule="exact"/>
              <w:jc w:val="left"/>
              <w:textAlignment w:val="center"/>
              <w:rPr>
                <w:rFonts w:ascii="宋体" w:hAnsi="宋体" w:eastAsia="宋体" w:cs="宋体"/>
                <w:color w:val="000000"/>
                <w:kern w:val="0"/>
                <w:sz w:val="24"/>
              </w:rPr>
            </w:pPr>
          </w:p>
        </w:tc>
      </w:tr>
      <w:tr w14:paraId="1453297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F2CEA">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23C89B2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E7F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DBE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27E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1354">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301A">
            <w:pPr>
              <w:widowControl/>
              <w:spacing w:line="240" w:lineRule="exact"/>
              <w:jc w:val="left"/>
              <w:textAlignment w:val="center"/>
              <w:rPr>
                <w:rFonts w:ascii="宋体" w:hAnsi="宋体" w:eastAsia="宋体" w:cs="宋体"/>
                <w:color w:val="000000"/>
                <w:kern w:val="0"/>
                <w:sz w:val="24"/>
              </w:rPr>
            </w:pPr>
          </w:p>
        </w:tc>
      </w:tr>
      <w:tr w14:paraId="13354A7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B23F7">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DD31BE1">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44288CD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042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E1A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7D04">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8065">
            <w:pPr>
              <w:widowControl/>
              <w:spacing w:line="240" w:lineRule="exact"/>
              <w:jc w:val="left"/>
              <w:textAlignment w:val="center"/>
              <w:rPr>
                <w:rFonts w:ascii="宋体" w:hAnsi="宋体" w:eastAsia="宋体" w:cs="宋体"/>
                <w:color w:val="000000"/>
                <w:kern w:val="0"/>
                <w:sz w:val="24"/>
              </w:rPr>
            </w:pPr>
          </w:p>
        </w:tc>
      </w:tr>
      <w:tr w14:paraId="69910109">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435C8">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9C75B81">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878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D15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C4F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9E74">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5415">
            <w:pPr>
              <w:widowControl/>
              <w:spacing w:line="240" w:lineRule="exact"/>
              <w:jc w:val="left"/>
              <w:textAlignment w:val="center"/>
              <w:rPr>
                <w:rFonts w:ascii="宋体" w:hAnsi="宋体" w:eastAsia="宋体" w:cs="宋体"/>
                <w:color w:val="000000"/>
                <w:kern w:val="0"/>
                <w:sz w:val="24"/>
              </w:rPr>
            </w:pPr>
          </w:p>
        </w:tc>
      </w:tr>
      <w:tr w14:paraId="5670CCE4">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C6A94">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5484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3B6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7C8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E84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448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92E6">
            <w:pPr>
              <w:widowControl/>
              <w:spacing w:line="240" w:lineRule="exact"/>
              <w:jc w:val="left"/>
              <w:textAlignment w:val="center"/>
              <w:rPr>
                <w:rFonts w:ascii="宋体" w:hAnsi="宋体" w:eastAsia="宋体" w:cs="宋体"/>
                <w:color w:val="000000"/>
                <w:kern w:val="0"/>
                <w:sz w:val="24"/>
              </w:rPr>
            </w:pPr>
          </w:p>
        </w:tc>
      </w:tr>
      <w:tr w14:paraId="15285ED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3A765">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8C6B">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D70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54A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B82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DBB6">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1DFE">
            <w:pPr>
              <w:widowControl/>
              <w:spacing w:line="240" w:lineRule="exact"/>
              <w:jc w:val="left"/>
              <w:textAlignment w:val="center"/>
              <w:rPr>
                <w:rFonts w:ascii="宋体" w:hAnsi="宋体" w:eastAsia="宋体" w:cs="宋体"/>
                <w:color w:val="000000"/>
                <w:kern w:val="0"/>
                <w:sz w:val="24"/>
              </w:rPr>
            </w:pPr>
          </w:p>
        </w:tc>
      </w:tr>
      <w:tr w14:paraId="20D3BDA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4D9B0">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491EB">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593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41D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D3D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686D">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635D">
            <w:pPr>
              <w:widowControl/>
              <w:spacing w:line="240" w:lineRule="exact"/>
              <w:jc w:val="left"/>
              <w:textAlignment w:val="center"/>
              <w:rPr>
                <w:rFonts w:ascii="宋体" w:hAnsi="宋体" w:eastAsia="宋体" w:cs="宋体"/>
                <w:color w:val="000000"/>
                <w:kern w:val="0"/>
                <w:sz w:val="24"/>
              </w:rPr>
            </w:pPr>
          </w:p>
        </w:tc>
      </w:tr>
      <w:tr w14:paraId="45376EDB">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8FB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CCF2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101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9D0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0905">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E268">
            <w:pPr>
              <w:widowControl/>
              <w:spacing w:line="240" w:lineRule="exact"/>
              <w:jc w:val="left"/>
              <w:textAlignment w:val="center"/>
              <w:rPr>
                <w:rFonts w:ascii="宋体" w:hAnsi="宋体" w:eastAsia="宋体" w:cs="宋体"/>
                <w:color w:val="000000"/>
                <w:kern w:val="0"/>
                <w:sz w:val="24"/>
              </w:rPr>
            </w:pPr>
          </w:p>
        </w:tc>
      </w:tr>
    </w:tbl>
    <w:p w14:paraId="48A12F11">
      <w:pPr>
        <w:pStyle w:val="23"/>
        <w:spacing w:line="20" w:lineRule="exact"/>
      </w:pPr>
    </w:p>
    <w:p w14:paraId="326A1802">
      <w:pPr>
        <w:spacing w:line="20" w:lineRule="exact"/>
        <w:rPr>
          <w:rFonts w:eastAsia="黑体"/>
        </w:rPr>
      </w:pPr>
      <w:r>
        <w:rPr>
          <w:rFonts w:eastAsia="黑体"/>
        </w:rPr>
        <w:br w:type="page"/>
      </w:r>
    </w:p>
    <w:p w14:paraId="53F9D3D9">
      <w:pPr>
        <w:widowControl/>
        <w:spacing w:line="600" w:lineRule="exact"/>
        <w:jc w:val="both"/>
        <w:textAlignment w:val="center"/>
        <w:rPr>
          <w:rFonts w:hint="eastAsia" w:ascii="Times New Roman" w:hAnsi="Times New Roman" w:eastAsia="方正小标宋简体" w:cs="Times New Roman"/>
          <w:color w:val="000000"/>
          <w:kern w:val="0"/>
          <w:sz w:val="44"/>
          <w:szCs w:val="44"/>
        </w:rPr>
      </w:pPr>
      <w:r>
        <w:rPr>
          <w:rFonts w:hint="eastAsia" w:ascii="Times New Roman" w:hAnsi="Times New Roman" w:eastAsia="方正小标宋简体" w:cs="Times New Roman"/>
          <w:color w:val="000000"/>
          <w:kern w:val="0"/>
          <w:sz w:val="44"/>
          <w:szCs w:val="44"/>
        </w:rPr>
        <w:t>附表2</w:t>
      </w:r>
    </w:p>
    <w:p w14:paraId="44447B15">
      <w:pPr>
        <w:widowControl/>
        <w:spacing w:line="600" w:lineRule="exact"/>
        <w:jc w:val="center"/>
        <w:textAlignment w:val="center"/>
        <w:rPr>
          <w:rFonts w:hint="eastAsia" w:ascii="Times New Roman" w:hAnsi="Times New Roman" w:eastAsia="方正小标宋简体" w:cs="Times New Roman"/>
          <w:color w:val="000000"/>
          <w:kern w:val="0"/>
          <w:sz w:val="44"/>
          <w:szCs w:val="44"/>
          <w:lang w:val="en-US" w:eastAsia="zh-CN"/>
        </w:rPr>
      </w:pPr>
      <w:r>
        <w:rPr>
          <w:rFonts w:hint="eastAsia" w:ascii="Times New Roman" w:hAnsi="Times New Roman" w:eastAsia="方正小标宋简体" w:cs="Times New Roman"/>
          <w:color w:val="000000"/>
          <w:kern w:val="0"/>
          <w:sz w:val="44"/>
          <w:szCs w:val="44"/>
        </w:rPr>
        <w:t>2025年</w:t>
      </w:r>
      <w:r>
        <w:rPr>
          <w:rFonts w:hint="eastAsia" w:ascii="Times New Roman" w:hAnsi="Times New Roman" w:eastAsia="方正小标宋简体" w:cs="Times New Roman"/>
          <w:color w:val="000000"/>
          <w:kern w:val="0"/>
          <w:sz w:val="44"/>
          <w:szCs w:val="44"/>
          <w:lang w:val="en-US" w:eastAsia="zh-CN"/>
        </w:rPr>
        <w:t>中共汶川县委社会工作部</w:t>
      </w:r>
    </w:p>
    <w:p w14:paraId="5E30612A">
      <w:pPr>
        <w:widowControl/>
        <w:spacing w:line="600" w:lineRule="exact"/>
        <w:jc w:val="center"/>
        <w:textAlignment w:val="center"/>
        <w:rPr>
          <w:rFonts w:hint="eastAsia" w:ascii="Times New Roman" w:hAnsi="Times New Roman" w:eastAsia="方正小标宋简体" w:cs="Times New Roman"/>
          <w:color w:val="000000"/>
          <w:kern w:val="0"/>
          <w:sz w:val="44"/>
          <w:szCs w:val="44"/>
        </w:rPr>
      </w:pPr>
      <w:r>
        <w:rPr>
          <w:rFonts w:hint="eastAsia" w:ascii="Times New Roman" w:hAnsi="Times New Roman" w:eastAsia="方正小标宋简体" w:cs="Times New Roman"/>
          <w:color w:val="000000"/>
          <w:kern w:val="0"/>
          <w:sz w:val="44"/>
          <w:szCs w:val="44"/>
        </w:rPr>
        <w:t>整体支出绩效目标完成情况自评表</w:t>
      </w:r>
    </w:p>
    <w:tbl>
      <w:tblPr>
        <w:tblStyle w:val="18"/>
        <w:tblW w:w="10259" w:type="dxa"/>
        <w:jc w:val="center"/>
        <w:tblLayout w:type="fixed"/>
        <w:tblCellMar>
          <w:top w:w="15" w:type="dxa"/>
          <w:left w:w="15" w:type="dxa"/>
          <w:bottom w:w="15" w:type="dxa"/>
          <w:right w:w="15" w:type="dxa"/>
        </w:tblCellMar>
      </w:tblPr>
      <w:tblGrid>
        <w:gridCol w:w="1270"/>
        <w:gridCol w:w="1307"/>
        <w:gridCol w:w="1318"/>
        <w:gridCol w:w="1985"/>
        <w:gridCol w:w="988"/>
        <w:gridCol w:w="968"/>
        <w:gridCol w:w="903"/>
        <w:gridCol w:w="661"/>
        <w:gridCol w:w="859"/>
      </w:tblGrid>
      <w:tr w14:paraId="6969C480">
        <w:tblPrEx>
          <w:tblCellMar>
            <w:top w:w="15" w:type="dxa"/>
            <w:left w:w="15" w:type="dxa"/>
            <w:bottom w:w="15" w:type="dxa"/>
            <w:right w:w="15" w:type="dxa"/>
          </w:tblCellMar>
        </w:tblPrEx>
        <w:trPr>
          <w:trHeight w:val="217" w:hRule="atLeast"/>
          <w:jc w:val="center"/>
        </w:trPr>
        <w:tc>
          <w:tcPr>
            <w:tcW w:w="3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DF15A">
            <w:pPr>
              <w:widowControl/>
              <w:spacing w:line="300" w:lineRule="exact"/>
              <w:jc w:val="center"/>
              <w:textAlignment w:val="center"/>
              <w:rPr>
                <w:color w:val="000000"/>
                <w:sz w:val="18"/>
                <w:szCs w:val="18"/>
              </w:rPr>
            </w:pPr>
            <w:r>
              <w:rPr>
                <w:color w:val="000000"/>
                <w:kern w:val="0"/>
                <w:sz w:val="18"/>
                <w:szCs w:val="18"/>
              </w:rPr>
              <w:t>部门名称</w:t>
            </w:r>
          </w:p>
        </w:tc>
        <w:tc>
          <w:tcPr>
            <w:tcW w:w="636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49295D">
            <w:pPr>
              <w:widowControl/>
              <w:spacing w:line="300" w:lineRule="exact"/>
              <w:jc w:val="center"/>
              <w:textAlignment w:val="center"/>
              <w:rPr>
                <w:color w:val="000000"/>
                <w:sz w:val="18"/>
                <w:szCs w:val="18"/>
              </w:rPr>
            </w:pPr>
            <w:r>
              <w:rPr>
                <w:rFonts w:ascii="宋体" w:hAnsi="宋体" w:eastAsia="宋体" w:cs="宋体"/>
                <w:i w:val="0"/>
                <w:iCs w:val="0"/>
                <w:color w:val="000000"/>
                <w:kern w:val="0"/>
                <w:sz w:val="18"/>
                <w:szCs w:val="18"/>
                <w:u w:val="none"/>
                <w:lang w:val="en-US" w:eastAsia="zh-CN" w:bidi="ar"/>
              </w:rPr>
              <w:t>中共汶川县委社会工作部本级</w:t>
            </w:r>
          </w:p>
        </w:tc>
      </w:tr>
      <w:tr w14:paraId="153F46AC">
        <w:tblPrEx>
          <w:tblCellMar>
            <w:top w:w="15" w:type="dxa"/>
            <w:left w:w="15" w:type="dxa"/>
            <w:bottom w:w="15" w:type="dxa"/>
            <w:right w:w="15" w:type="dxa"/>
          </w:tblCellMar>
        </w:tblPrEx>
        <w:trPr>
          <w:trHeight w:val="217" w:hRule="atLeast"/>
          <w:jc w:val="center"/>
        </w:trPr>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B70E6">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年度部门整体支出预算</w:t>
            </w:r>
          </w:p>
        </w:tc>
        <w:tc>
          <w:tcPr>
            <w:tcW w:w="2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6D8D1">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资金总额</w:t>
            </w:r>
          </w:p>
        </w:tc>
        <w:tc>
          <w:tcPr>
            <w:tcW w:w="2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2ECC7">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财政拨款</w:t>
            </w:r>
          </w:p>
        </w:tc>
        <w:tc>
          <w:tcPr>
            <w:tcW w:w="33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AD38FF">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其他资金</w:t>
            </w:r>
          </w:p>
        </w:tc>
      </w:tr>
      <w:tr w14:paraId="5C3B5C22">
        <w:tblPrEx>
          <w:tblCellMar>
            <w:top w:w="15" w:type="dxa"/>
            <w:left w:w="15" w:type="dxa"/>
            <w:bottom w:w="15" w:type="dxa"/>
            <w:right w:w="15" w:type="dxa"/>
          </w:tblCellMar>
        </w:tblPrEx>
        <w:trPr>
          <w:trHeight w:val="303" w:hRule="atLeast"/>
          <w:jc w:val="center"/>
        </w:trPr>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772B8">
            <w:pPr>
              <w:widowControl/>
              <w:spacing w:line="300" w:lineRule="exact"/>
              <w:jc w:val="center"/>
              <w:rPr>
                <w:rFonts w:asciiTheme="minorEastAsia" w:hAnsiTheme="minorEastAsia" w:eastAsiaTheme="minorEastAsia" w:cstheme="minorEastAsia"/>
                <w:color w:val="000000"/>
                <w:sz w:val="18"/>
                <w:szCs w:val="18"/>
              </w:rPr>
            </w:pPr>
          </w:p>
        </w:tc>
        <w:tc>
          <w:tcPr>
            <w:tcW w:w="26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FB397">
            <w:pPr>
              <w:widowControl/>
              <w:jc w:val="right"/>
              <w:textAlignment w:val="center"/>
              <w:rPr>
                <w:rFonts w:hint="default" w:asciiTheme="minorEastAsia" w:hAnsiTheme="minorEastAsia" w:eastAsiaTheme="minorEastAsia" w:cstheme="minorEastAsia"/>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535.14</w:t>
            </w:r>
          </w:p>
        </w:tc>
        <w:tc>
          <w:tcPr>
            <w:tcW w:w="29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7AE43">
            <w:pPr>
              <w:widowControl/>
              <w:jc w:val="right"/>
              <w:textAlignment w:val="center"/>
              <w:rPr>
                <w:rFonts w:hint="default" w:asciiTheme="minorEastAsia" w:hAnsiTheme="minorEastAsia" w:eastAsiaTheme="minorEastAsia" w:cstheme="minorEastAsia"/>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535.14</w:t>
            </w:r>
          </w:p>
        </w:tc>
        <w:tc>
          <w:tcPr>
            <w:tcW w:w="33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EC3BA4">
            <w:pPr>
              <w:widowControl/>
              <w:jc w:val="right"/>
              <w:textAlignment w:val="center"/>
              <w:rPr>
                <w:rFonts w:hint="default" w:asciiTheme="minorEastAsia" w:hAnsiTheme="minorEastAsia" w:eastAsiaTheme="minorEastAsia" w:cstheme="minorEastAsia"/>
                <w:color w:val="000000"/>
                <w:sz w:val="18"/>
                <w:szCs w:val="18"/>
                <w:lang w:val="en-US" w:eastAsia="zh-CN"/>
              </w:rPr>
            </w:pPr>
          </w:p>
        </w:tc>
      </w:tr>
      <w:tr w14:paraId="3FFD9770">
        <w:tblPrEx>
          <w:tblCellMar>
            <w:top w:w="15" w:type="dxa"/>
            <w:left w:w="15" w:type="dxa"/>
            <w:bottom w:w="15" w:type="dxa"/>
            <w:right w:w="15" w:type="dxa"/>
          </w:tblCellMar>
        </w:tblPrEx>
        <w:trPr>
          <w:trHeight w:val="789" w:hRule="atLeast"/>
          <w:jc w:val="center"/>
        </w:trPr>
        <w:tc>
          <w:tcPr>
            <w:tcW w:w="1270" w:type="dxa"/>
            <w:tcBorders>
              <w:top w:val="single" w:color="000000" w:sz="4" w:space="0"/>
              <w:left w:val="single" w:color="000000" w:sz="4" w:space="0"/>
              <w:bottom w:val="single" w:color="auto" w:sz="4" w:space="0"/>
              <w:right w:val="single" w:color="000000" w:sz="4" w:space="0"/>
            </w:tcBorders>
            <w:shd w:val="clear" w:color="auto" w:fill="auto"/>
            <w:vAlign w:val="center"/>
          </w:tcPr>
          <w:p w14:paraId="27CD9FCC">
            <w:pPr>
              <w:widowControl/>
              <w:spacing w:line="300" w:lineRule="exact"/>
              <w:jc w:val="center"/>
              <w:textAlignment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年度总体</w:t>
            </w:r>
          </w:p>
          <w:p w14:paraId="01D3702F">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目标</w:t>
            </w:r>
          </w:p>
        </w:tc>
        <w:tc>
          <w:tcPr>
            <w:tcW w:w="8989" w:type="dxa"/>
            <w:gridSpan w:val="8"/>
            <w:tcBorders>
              <w:top w:val="single" w:color="000000" w:sz="4" w:space="0"/>
              <w:left w:val="single" w:color="000000" w:sz="4" w:space="0"/>
              <w:bottom w:val="single" w:color="auto" w:sz="4" w:space="0"/>
              <w:right w:val="single" w:color="000000" w:sz="4" w:space="0"/>
            </w:tcBorders>
            <w:shd w:val="clear" w:color="auto" w:fill="auto"/>
            <w:vAlign w:val="center"/>
          </w:tcPr>
          <w:p w14:paraId="66A71BB1">
            <w:pPr>
              <w:widowControl/>
              <w:spacing w:line="300" w:lineRule="exact"/>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2025年县委社会工作部将坚持以习近平新时代中国特色社会主义思想为指导，深入学习贯彻习近平总书记关于社会工作的重要论述和对四川工作系列重要指示批示精神，坚定拥护“两个确立”、坚决做到“两个维护”，认真落实全国全省社会工作部部长、信访局局长座谈会精神和县委部署要求，落实“牵头汇总、统筹协调、重点突破、督办落实”工作思路，坚持一手抓部门组建、一手抓职能承接，推动社会工作高水平开局、高质量发展，围绕“无忧善治共同体”、“无忧志愿者之城”、“无忧法治苑”、“无忧微网格”等品牌建设，以实干打开新局面、以实效展示新作为，为一区两地六示范”战略目标和“四型三园两窗口”“三高地三中心”建设任务贡献社会工作力量。</w:t>
            </w:r>
          </w:p>
        </w:tc>
      </w:tr>
      <w:tr w14:paraId="45F0064A">
        <w:tblPrEx>
          <w:tblCellMar>
            <w:top w:w="15" w:type="dxa"/>
            <w:left w:w="15" w:type="dxa"/>
            <w:bottom w:w="15" w:type="dxa"/>
            <w:right w:w="15" w:type="dxa"/>
          </w:tblCellMar>
        </w:tblPrEx>
        <w:trPr>
          <w:trHeight w:val="217" w:hRule="atLeast"/>
          <w:jc w:val="center"/>
        </w:trPr>
        <w:tc>
          <w:tcPr>
            <w:tcW w:w="12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ADAFC3">
            <w:pPr>
              <w:widowControl/>
              <w:spacing w:line="300" w:lineRule="exact"/>
              <w:jc w:val="center"/>
              <w:textAlignment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年度主要</w:t>
            </w:r>
          </w:p>
          <w:p w14:paraId="6302B255">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任务</w:t>
            </w:r>
          </w:p>
        </w:tc>
        <w:tc>
          <w:tcPr>
            <w:tcW w:w="26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BFD73F">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任务名称</w:t>
            </w:r>
          </w:p>
        </w:tc>
        <w:tc>
          <w:tcPr>
            <w:tcW w:w="636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10F5DBE">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主要内容</w:t>
            </w:r>
          </w:p>
        </w:tc>
      </w:tr>
      <w:tr w14:paraId="7259BEE7">
        <w:tblPrEx>
          <w:tblCellMar>
            <w:top w:w="15" w:type="dxa"/>
            <w:left w:w="15" w:type="dxa"/>
            <w:bottom w:w="15" w:type="dxa"/>
            <w:right w:w="15" w:type="dxa"/>
          </w:tblCellMar>
        </w:tblPrEx>
        <w:trPr>
          <w:trHeight w:val="581"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593B82">
            <w:pPr>
              <w:widowControl/>
              <w:spacing w:line="300" w:lineRule="exact"/>
              <w:jc w:val="center"/>
              <w:rPr>
                <w:rFonts w:asciiTheme="minorEastAsia" w:hAnsiTheme="minorEastAsia" w:eastAsiaTheme="minorEastAsia" w:cstheme="minorEastAsia"/>
                <w:color w:val="000000"/>
                <w:sz w:val="18"/>
                <w:szCs w:val="18"/>
              </w:rPr>
            </w:pPr>
          </w:p>
        </w:tc>
        <w:tc>
          <w:tcPr>
            <w:tcW w:w="26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5B6727">
            <w:pPr>
              <w:keepNext w:val="0"/>
              <w:keepLines w:val="0"/>
              <w:widowControl/>
              <w:suppressLineNumbers w:val="0"/>
              <w:jc w:val="left"/>
              <w:textAlignment w:val="center"/>
              <w:rPr>
                <w:rFonts w:hint="default" w:asciiTheme="minorEastAsia" w:hAnsiTheme="minorEastAsia" w:eastAsiaTheme="minorEastAsia" w:cstheme="minorEastAsia"/>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一是加强党建引领基层治理</w:t>
            </w:r>
          </w:p>
        </w:tc>
        <w:tc>
          <w:tcPr>
            <w:tcW w:w="636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22877DD">
            <w:pPr>
              <w:keepNext w:val="0"/>
              <w:keepLines w:val="0"/>
              <w:widowControl/>
              <w:suppressLineNumbers w:val="0"/>
              <w:jc w:val="left"/>
              <w:textAlignment w:val="center"/>
              <w:rPr>
                <w:rFonts w:hint="default" w:asciiTheme="minorEastAsia" w:hAnsiTheme="minorEastAsia" w:eastAsiaTheme="minorEastAsia" w:cstheme="minorEastAsia"/>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始终着眼增强党组织政治功能和组织功能，在创新基层组织治理方面纵深推进组织治理、社会治理、经济领域治理“三项治理”，督导《关于破解“小马拉大车”突出问题提升基层治理服务能力的任务清单》，持续优化基层权责清单。</w:t>
            </w:r>
          </w:p>
        </w:tc>
      </w:tr>
      <w:tr w14:paraId="295D264A">
        <w:tblPrEx>
          <w:tblCellMar>
            <w:top w:w="15" w:type="dxa"/>
            <w:left w:w="15" w:type="dxa"/>
            <w:bottom w:w="15" w:type="dxa"/>
            <w:right w:w="15" w:type="dxa"/>
          </w:tblCellMar>
        </w:tblPrEx>
        <w:trPr>
          <w:trHeight w:val="517"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426B12">
            <w:pPr>
              <w:widowControl/>
              <w:spacing w:line="300" w:lineRule="exact"/>
              <w:jc w:val="center"/>
              <w:rPr>
                <w:rFonts w:asciiTheme="minorEastAsia" w:hAnsiTheme="minorEastAsia" w:eastAsiaTheme="minorEastAsia" w:cstheme="minorEastAsia"/>
                <w:color w:val="000000"/>
                <w:sz w:val="18"/>
                <w:szCs w:val="18"/>
              </w:rPr>
            </w:pPr>
          </w:p>
        </w:tc>
        <w:tc>
          <w:tcPr>
            <w:tcW w:w="26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1A4E91">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二是推动信访工作法治化</w:t>
            </w:r>
          </w:p>
        </w:tc>
        <w:tc>
          <w:tcPr>
            <w:tcW w:w="636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FAFDDE3">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从信访工作五化方面创新制度机制，对落实《信访工作条例》进行具体化、规范化，确保实现转办督办到位、依法按时处理到位、失职渎职依法问责到位、违法犯罪行为依法查处到位。</w:t>
            </w:r>
          </w:p>
        </w:tc>
      </w:tr>
      <w:tr w14:paraId="77D95DEE">
        <w:tblPrEx>
          <w:tblCellMar>
            <w:top w:w="15" w:type="dxa"/>
            <w:left w:w="15" w:type="dxa"/>
            <w:bottom w:w="15" w:type="dxa"/>
            <w:right w:w="15" w:type="dxa"/>
          </w:tblCellMar>
        </w:tblPrEx>
        <w:trPr>
          <w:trHeight w:val="581"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1E969C">
            <w:pPr>
              <w:widowControl/>
              <w:spacing w:line="300" w:lineRule="exact"/>
              <w:jc w:val="center"/>
              <w:rPr>
                <w:rFonts w:asciiTheme="minorEastAsia" w:hAnsiTheme="minorEastAsia" w:eastAsiaTheme="minorEastAsia" w:cstheme="minorEastAsia"/>
                <w:color w:val="000000"/>
                <w:sz w:val="18"/>
                <w:szCs w:val="18"/>
              </w:rPr>
            </w:pPr>
          </w:p>
        </w:tc>
        <w:tc>
          <w:tcPr>
            <w:tcW w:w="26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7E4C48">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三是落实“两企三新”领域党建全覆盖</w:t>
            </w:r>
          </w:p>
        </w:tc>
        <w:tc>
          <w:tcPr>
            <w:tcW w:w="636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C7F0556">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确立“两企三新”领域党建全覆盖的总体目标,建立健全“两企三新”领域党组织体系，优化组织设置，扩大组织覆盖。</w:t>
            </w:r>
          </w:p>
        </w:tc>
      </w:tr>
      <w:tr w14:paraId="0641859F">
        <w:tblPrEx>
          <w:tblCellMar>
            <w:top w:w="15" w:type="dxa"/>
            <w:left w:w="15" w:type="dxa"/>
            <w:bottom w:w="15" w:type="dxa"/>
            <w:right w:w="15" w:type="dxa"/>
          </w:tblCellMar>
        </w:tblPrEx>
        <w:trPr>
          <w:trHeight w:val="408" w:hRule="atLeast"/>
          <w:jc w:val="center"/>
        </w:trPr>
        <w:tc>
          <w:tcPr>
            <w:tcW w:w="12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E94091">
            <w:pPr>
              <w:widowControl/>
              <w:spacing w:line="300" w:lineRule="exact"/>
              <w:jc w:val="center"/>
              <w:textAlignment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年度绩效</w:t>
            </w:r>
          </w:p>
          <w:p w14:paraId="144117FB">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指标</w:t>
            </w: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76BF04DC">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一级指标</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3DDD08D5">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二级指标</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EC069AD">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三级指标</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3A26EFD0">
            <w:pPr>
              <w:widowControl/>
              <w:spacing w:line="300" w:lineRule="exact"/>
              <w:jc w:val="center"/>
              <w:textAlignment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绩效指标</w:t>
            </w:r>
          </w:p>
          <w:p w14:paraId="50B6B01A">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性质</w:t>
            </w:r>
          </w:p>
        </w:tc>
        <w:tc>
          <w:tcPr>
            <w:tcW w:w="968" w:type="dxa"/>
            <w:tcBorders>
              <w:top w:val="single" w:color="auto" w:sz="4" w:space="0"/>
              <w:left w:val="single" w:color="auto" w:sz="4" w:space="0"/>
              <w:bottom w:val="single" w:color="auto" w:sz="4" w:space="0"/>
              <w:right w:val="single" w:color="auto" w:sz="4" w:space="0"/>
            </w:tcBorders>
            <w:shd w:val="clear" w:color="auto" w:fill="auto"/>
            <w:vAlign w:val="center"/>
          </w:tcPr>
          <w:p w14:paraId="365762E0">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绩效指标值</w:t>
            </w:r>
          </w:p>
        </w:tc>
        <w:tc>
          <w:tcPr>
            <w:tcW w:w="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5706AFEA">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绩效度量单位</w:t>
            </w:r>
          </w:p>
        </w:tc>
        <w:tc>
          <w:tcPr>
            <w:tcW w:w="661" w:type="dxa"/>
            <w:tcBorders>
              <w:top w:val="single" w:color="000000" w:sz="4" w:space="0"/>
              <w:left w:val="single" w:color="000000" w:sz="4" w:space="0"/>
              <w:bottom w:val="single" w:color="000000" w:sz="4" w:space="0"/>
            </w:tcBorders>
            <w:shd w:val="clear" w:color="auto" w:fill="auto"/>
            <w:vAlign w:val="center"/>
          </w:tcPr>
          <w:p w14:paraId="08521715">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权重</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F834">
            <w:pPr>
              <w:widowControl/>
              <w:spacing w:line="300" w:lineRule="exact"/>
              <w:jc w:val="center"/>
              <w:textAlignment w:val="center"/>
              <w:rPr>
                <w:rFonts w:asciiTheme="minorEastAsia" w:hAnsiTheme="minorEastAsia" w:eastAsiaTheme="minorEastAsia" w:cstheme="minorEastAsia"/>
                <w:color w:val="000000"/>
                <w:kern w:val="0"/>
                <w:sz w:val="18"/>
                <w:szCs w:val="18"/>
              </w:rPr>
            </w:pPr>
            <w:r>
              <w:rPr>
                <w:rFonts w:hint="eastAsia" w:asciiTheme="minorEastAsia" w:hAnsiTheme="minorEastAsia" w:eastAsiaTheme="minorEastAsia" w:cstheme="minorEastAsia"/>
                <w:color w:val="000000"/>
                <w:kern w:val="0"/>
                <w:sz w:val="18"/>
                <w:szCs w:val="18"/>
              </w:rPr>
              <w:t>实际完成</w:t>
            </w:r>
          </w:p>
          <w:p w14:paraId="5368509F">
            <w:pPr>
              <w:widowControl/>
              <w:spacing w:line="300" w:lineRule="exact"/>
              <w:jc w:val="center"/>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指标值</w:t>
            </w:r>
          </w:p>
        </w:tc>
      </w:tr>
      <w:tr w14:paraId="144307E5">
        <w:tblPrEx>
          <w:tblCellMar>
            <w:top w:w="15" w:type="dxa"/>
            <w:left w:w="15" w:type="dxa"/>
            <w:bottom w:w="15" w:type="dxa"/>
            <w:right w:w="15" w:type="dxa"/>
          </w:tblCellMar>
        </w:tblPrEx>
        <w:trPr>
          <w:trHeight w:val="303"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190427">
            <w:pPr>
              <w:widowControl/>
              <w:spacing w:line="300" w:lineRule="exact"/>
              <w:jc w:val="center"/>
              <w:rPr>
                <w:rFonts w:asciiTheme="minorEastAsia" w:hAnsiTheme="minorEastAsia" w:eastAsiaTheme="minorEastAsia" w:cstheme="minorEastAsia"/>
                <w:color w:val="000000"/>
                <w:sz w:val="18"/>
                <w:szCs w:val="18"/>
              </w:rPr>
            </w:pPr>
          </w:p>
        </w:tc>
        <w:tc>
          <w:tcPr>
            <w:tcW w:w="13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E1F1DC">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产出指标</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2A114C87">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数量指标</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71233A70">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完成重点工作</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1AAF42A8">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968" w:type="dxa"/>
            <w:tcBorders>
              <w:top w:val="single" w:color="auto" w:sz="4" w:space="0"/>
              <w:left w:val="single" w:color="auto" w:sz="4" w:space="0"/>
              <w:bottom w:val="single" w:color="auto" w:sz="4" w:space="0"/>
              <w:right w:val="single" w:color="auto" w:sz="4" w:space="0"/>
            </w:tcBorders>
            <w:shd w:val="clear" w:color="auto" w:fill="auto"/>
            <w:vAlign w:val="center"/>
          </w:tcPr>
          <w:p w14:paraId="08DE96F3">
            <w:pPr>
              <w:keepNext w:val="0"/>
              <w:keepLines w:val="0"/>
              <w:widowControl/>
              <w:suppressLineNumbers w:val="0"/>
              <w:jc w:val="left"/>
              <w:textAlignment w:val="center"/>
              <w:rPr>
                <w:rFonts w:hint="eastAsia" w:asciiTheme="minorEastAsia" w:hAnsiTheme="minorEastAsia" w:eastAsiaTheme="minorEastAsia" w:cstheme="minorEastAsia"/>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4</w:t>
            </w:r>
          </w:p>
        </w:tc>
        <w:tc>
          <w:tcPr>
            <w:tcW w:w="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243F10D8">
            <w:pPr>
              <w:widowControl/>
              <w:jc w:val="left"/>
              <w:textAlignment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项</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D4DB">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59" w:type="dxa"/>
            <w:tcBorders>
              <w:left w:val="single" w:color="000000" w:sz="4" w:space="0"/>
              <w:bottom w:val="single" w:color="000000" w:sz="4" w:space="0"/>
              <w:right w:val="single" w:color="000000" w:sz="4" w:space="0"/>
            </w:tcBorders>
            <w:shd w:val="clear" w:color="auto" w:fill="auto"/>
            <w:vAlign w:val="center"/>
          </w:tcPr>
          <w:p w14:paraId="54B6CC7B">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4</w:t>
            </w:r>
          </w:p>
        </w:tc>
      </w:tr>
      <w:tr w14:paraId="407C3E27">
        <w:tblPrEx>
          <w:tblCellMar>
            <w:top w:w="15" w:type="dxa"/>
            <w:left w:w="15" w:type="dxa"/>
            <w:bottom w:w="15" w:type="dxa"/>
            <w:right w:w="15" w:type="dxa"/>
          </w:tblCellMar>
        </w:tblPrEx>
        <w:trPr>
          <w:trHeight w:val="303"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36177F">
            <w:pPr>
              <w:widowControl/>
              <w:spacing w:line="300" w:lineRule="exact"/>
              <w:jc w:val="center"/>
              <w:rPr>
                <w:rFonts w:asciiTheme="minorEastAsia" w:hAnsiTheme="minorEastAsia" w:eastAsiaTheme="minorEastAsia" w:cstheme="minorEastAsia"/>
                <w:color w:val="000000"/>
                <w:sz w:val="18"/>
                <w:szCs w:val="18"/>
              </w:rPr>
            </w:pPr>
          </w:p>
        </w:tc>
        <w:tc>
          <w:tcPr>
            <w:tcW w:w="13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BBE42A">
            <w:pPr>
              <w:jc w:val="left"/>
              <w:rPr>
                <w:rFonts w:asciiTheme="minorEastAsia" w:hAnsiTheme="minorEastAsia" w:eastAsiaTheme="minorEastAsia" w:cstheme="minorEastAsia"/>
                <w:color w:val="000000"/>
                <w:kern w:val="0"/>
                <w:sz w:val="18"/>
                <w:szCs w:val="18"/>
              </w:rPr>
            </w:pP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EF5CB4">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质量指标</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057669D7">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健全建立各项制度</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08A5D32B">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定性</w:t>
            </w:r>
          </w:p>
        </w:tc>
        <w:tc>
          <w:tcPr>
            <w:tcW w:w="968" w:type="dxa"/>
            <w:tcBorders>
              <w:top w:val="single" w:color="auto" w:sz="4" w:space="0"/>
              <w:left w:val="single" w:color="auto" w:sz="4" w:space="0"/>
              <w:bottom w:val="single" w:color="auto" w:sz="4" w:space="0"/>
              <w:right w:val="single" w:color="auto" w:sz="4" w:space="0"/>
            </w:tcBorders>
            <w:shd w:val="clear" w:color="auto" w:fill="auto"/>
            <w:vAlign w:val="center"/>
          </w:tcPr>
          <w:p w14:paraId="372FF036">
            <w:pPr>
              <w:keepNext w:val="0"/>
              <w:keepLines w:val="0"/>
              <w:widowControl/>
              <w:suppressLineNumbers w:val="0"/>
              <w:jc w:val="left"/>
              <w:textAlignment w:val="center"/>
              <w:rPr>
                <w:rFonts w:hint="default" w:asciiTheme="minorEastAsia" w:hAnsiTheme="minorEastAsia" w:eastAsiaTheme="minorEastAsia" w:cstheme="minorEastAsia"/>
                <w:color w:val="000000"/>
                <w:kern w:val="0"/>
                <w:sz w:val="18"/>
                <w:szCs w:val="18"/>
                <w:lang w:val="en-US" w:eastAsia="zh-CN"/>
              </w:rPr>
            </w:pPr>
            <w:r>
              <w:rPr>
                <w:rFonts w:ascii="宋体" w:hAnsi="宋体" w:eastAsia="宋体" w:cs="宋体"/>
                <w:i w:val="0"/>
                <w:iCs w:val="0"/>
                <w:color w:val="000000"/>
                <w:kern w:val="0"/>
                <w:sz w:val="18"/>
                <w:szCs w:val="18"/>
                <w:u w:val="none"/>
                <w:lang w:val="en-US" w:eastAsia="zh-CN" w:bidi="ar"/>
              </w:rPr>
              <w:t>建立健全</w:t>
            </w:r>
          </w:p>
        </w:tc>
        <w:tc>
          <w:tcPr>
            <w:tcW w:w="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2E79C909">
            <w:pPr>
              <w:widowControl/>
              <w:jc w:val="left"/>
              <w:textAlignment w:val="center"/>
              <w:rPr>
                <w:rFonts w:asciiTheme="minorEastAsia" w:hAnsiTheme="minorEastAsia" w:eastAsiaTheme="minorEastAsia" w:cstheme="minorEastAsia"/>
                <w:color w:val="000000"/>
                <w:kern w:val="0"/>
                <w:sz w:val="18"/>
                <w:szCs w:val="18"/>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9CCA">
            <w:pPr>
              <w:widowControl/>
              <w:jc w:val="left"/>
              <w:textAlignment w:val="center"/>
              <w:rPr>
                <w:rFonts w:hint="default"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val="en-US" w:eastAsia="zh-CN"/>
              </w:rPr>
              <w:t>10</w:t>
            </w:r>
          </w:p>
        </w:tc>
        <w:tc>
          <w:tcPr>
            <w:tcW w:w="859" w:type="dxa"/>
            <w:tcBorders>
              <w:left w:val="single" w:color="000000" w:sz="4" w:space="0"/>
              <w:bottom w:val="single" w:color="000000" w:sz="4" w:space="0"/>
              <w:right w:val="single" w:color="000000" w:sz="4" w:space="0"/>
            </w:tcBorders>
            <w:shd w:val="clear" w:color="auto" w:fill="auto"/>
            <w:vAlign w:val="center"/>
          </w:tcPr>
          <w:p w14:paraId="030AEA13">
            <w:pPr>
              <w:widowControl/>
              <w:jc w:val="left"/>
              <w:textAlignment w:val="center"/>
              <w:rPr>
                <w:rFonts w:hint="default"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val="en-US" w:eastAsia="zh-CN"/>
              </w:rPr>
              <w:t>健全</w:t>
            </w:r>
          </w:p>
        </w:tc>
      </w:tr>
      <w:tr w14:paraId="62E10A37">
        <w:tblPrEx>
          <w:tblCellMar>
            <w:top w:w="15" w:type="dxa"/>
            <w:left w:w="15" w:type="dxa"/>
            <w:bottom w:w="15" w:type="dxa"/>
            <w:right w:w="15" w:type="dxa"/>
          </w:tblCellMar>
        </w:tblPrEx>
        <w:trPr>
          <w:trHeight w:val="303"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A376C5">
            <w:pPr>
              <w:widowControl/>
              <w:spacing w:line="300" w:lineRule="exact"/>
              <w:jc w:val="center"/>
              <w:rPr>
                <w:rFonts w:asciiTheme="minorEastAsia" w:hAnsiTheme="minorEastAsia" w:eastAsiaTheme="minorEastAsia" w:cstheme="minorEastAsia"/>
                <w:color w:val="000000"/>
                <w:sz w:val="18"/>
                <w:szCs w:val="18"/>
              </w:rPr>
            </w:pPr>
          </w:p>
        </w:tc>
        <w:tc>
          <w:tcPr>
            <w:tcW w:w="13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485B9E">
            <w:pPr>
              <w:jc w:val="left"/>
              <w:rPr>
                <w:rFonts w:asciiTheme="minorEastAsia" w:hAnsiTheme="minorEastAsia" w:eastAsiaTheme="minorEastAsia" w:cstheme="minorEastAsia"/>
                <w:color w:val="000000"/>
                <w:kern w:val="0"/>
                <w:sz w:val="18"/>
                <w:szCs w:val="18"/>
              </w:rPr>
            </w:pP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2B26B9">
            <w:pPr>
              <w:jc w:val="left"/>
              <w:rPr>
                <w:rFonts w:asciiTheme="minorEastAsia" w:hAnsiTheme="minorEastAsia" w:eastAsiaTheme="minorEastAsia" w:cstheme="minorEastAsia"/>
                <w:color w:val="000000"/>
                <w:kern w:val="0"/>
                <w:sz w:val="18"/>
                <w:szCs w:val="18"/>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3BD9BBB9">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提高我部工作质量</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0F4A67B6">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定性</w:t>
            </w:r>
          </w:p>
        </w:tc>
        <w:tc>
          <w:tcPr>
            <w:tcW w:w="968" w:type="dxa"/>
            <w:tcBorders>
              <w:top w:val="single" w:color="auto" w:sz="4" w:space="0"/>
              <w:left w:val="single" w:color="auto" w:sz="4" w:space="0"/>
              <w:bottom w:val="single" w:color="auto" w:sz="4" w:space="0"/>
              <w:right w:val="single" w:color="auto" w:sz="4" w:space="0"/>
            </w:tcBorders>
            <w:shd w:val="clear" w:color="auto" w:fill="auto"/>
            <w:vAlign w:val="center"/>
          </w:tcPr>
          <w:p w14:paraId="5392B53D">
            <w:pPr>
              <w:keepNext w:val="0"/>
              <w:keepLines w:val="0"/>
              <w:widowControl/>
              <w:suppressLineNumbers w:val="0"/>
              <w:jc w:val="left"/>
              <w:textAlignment w:val="center"/>
              <w:rPr>
                <w:rFonts w:hint="default" w:asciiTheme="minorEastAsia" w:hAnsiTheme="minorEastAsia" w:eastAsiaTheme="minorEastAsia" w:cstheme="minorEastAsia"/>
                <w:color w:val="000000"/>
                <w:kern w:val="0"/>
                <w:sz w:val="18"/>
                <w:szCs w:val="18"/>
                <w:lang w:val="en-US" w:eastAsia="zh-CN"/>
              </w:rPr>
            </w:pPr>
            <w:r>
              <w:rPr>
                <w:rFonts w:ascii="宋体" w:hAnsi="宋体" w:eastAsia="宋体" w:cs="宋体"/>
                <w:i w:val="0"/>
                <w:iCs w:val="0"/>
                <w:color w:val="000000"/>
                <w:kern w:val="0"/>
                <w:sz w:val="18"/>
                <w:szCs w:val="18"/>
                <w:u w:val="none"/>
                <w:lang w:val="en-US" w:eastAsia="zh-CN" w:bidi="ar"/>
              </w:rPr>
              <w:t>良好</w:t>
            </w:r>
          </w:p>
        </w:tc>
        <w:tc>
          <w:tcPr>
            <w:tcW w:w="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0E32DB20">
            <w:pPr>
              <w:widowControl/>
              <w:jc w:val="left"/>
              <w:textAlignment w:val="center"/>
              <w:rPr>
                <w:rFonts w:asciiTheme="minorEastAsia" w:hAnsiTheme="minorEastAsia" w:eastAsiaTheme="minorEastAsia" w:cstheme="minorEastAsia"/>
                <w:color w:val="000000"/>
                <w:kern w:val="0"/>
                <w:sz w:val="18"/>
                <w:szCs w:val="18"/>
              </w:rPr>
            </w:pP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C682">
            <w:pPr>
              <w:widowControl/>
              <w:jc w:val="left"/>
              <w:textAlignment w:val="center"/>
              <w:rPr>
                <w:rFonts w:hint="default"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val="en-US" w:eastAsia="zh-CN"/>
              </w:rPr>
              <w:t>10</w:t>
            </w:r>
          </w:p>
        </w:tc>
        <w:tc>
          <w:tcPr>
            <w:tcW w:w="859" w:type="dxa"/>
            <w:tcBorders>
              <w:left w:val="single" w:color="000000" w:sz="4" w:space="0"/>
              <w:bottom w:val="single" w:color="000000" w:sz="4" w:space="0"/>
              <w:right w:val="single" w:color="000000" w:sz="4" w:space="0"/>
            </w:tcBorders>
            <w:shd w:val="clear" w:color="auto" w:fill="auto"/>
            <w:vAlign w:val="center"/>
          </w:tcPr>
          <w:p w14:paraId="56AEB221">
            <w:pPr>
              <w:widowControl/>
              <w:jc w:val="left"/>
              <w:textAlignment w:val="center"/>
              <w:rPr>
                <w:rFonts w:hint="default" w:asciiTheme="minorEastAsia" w:hAnsiTheme="minorEastAsia" w:eastAsiaTheme="minorEastAsia" w:cstheme="minorEastAsia"/>
                <w:color w:val="000000"/>
                <w:kern w:val="0"/>
                <w:sz w:val="18"/>
                <w:szCs w:val="18"/>
                <w:lang w:val="en-US" w:eastAsia="zh-CN"/>
              </w:rPr>
            </w:pPr>
            <w:r>
              <w:rPr>
                <w:rFonts w:hint="eastAsia" w:asciiTheme="minorEastAsia" w:hAnsiTheme="minorEastAsia" w:eastAsiaTheme="minorEastAsia" w:cstheme="minorEastAsia"/>
                <w:color w:val="000000"/>
                <w:kern w:val="0"/>
                <w:sz w:val="18"/>
                <w:szCs w:val="18"/>
                <w:lang w:val="en-US" w:eastAsia="zh-CN"/>
              </w:rPr>
              <w:t>良好</w:t>
            </w:r>
          </w:p>
        </w:tc>
      </w:tr>
      <w:tr w14:paraId="7980265A">
        <w:tblPrEx>
          <w:tblCellMar>
            <w:top w:w="15" w:type="dxa"/>
            <w:left w:w="15" w:type="dxa"/>
            <w:bottom w:w="15" w:type="dxa"/>
            <w:right w:w="15" w:type="dxa"/>
          </w:tblCellMar>
        </w:tblPrEx>
        <w:trPr>
          <w:trHeight w:val="676"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B5D00B">
            <w:pPr>
              <w:widowControl/>
              <w:spacing w:line="300" w:lineRule="exact"/>
              <w:jc w:val="center"/>
              <w:rPr>
                <w:rFonts w:asciiTheme="minorEastAsia" w:hAnsiTheme="minorEastAsia" w:eastAsiaTheme="minorEastAsia" w:cstheme="minorEastAsia"/>
                <w:color w:val="000000"/>
                <w:sz w:val="18"/>
                <w:szCs w:val="18"/>
              </w:rPr>
            </w:pPr>
          </w:p>
        </w:tc>
        <w:tc>
          <w:tcPr>
            <w:tcW w:w="13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86134C">
            <w:pPr>
              <w:jc w:val="left"/>
              <w:rPr>
                <w:rFonts w:asciiTheme="minorEastAsia" w:hAnsiTheme="minorEastAsia" w:eastAsiaTheme="minorEastAsia" w:cstheme="minorEastAsia"/>
                <w:color w:val="000000"/>
                <w:sz w:val="18"/>
                <w:szCs w:val="18"/>
              </w:rPr>
            </w:pP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4AD8DB67">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时效指标</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79A05641">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完成时间</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38A068D0">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968" w:type="dxa"/>
            <w:tcBorders>
              <w:top w:val="single" w:color="auto" w:sz="4" w:space="0"/>
              <w:left w:val="single" w:color="auto" w:sz="4" w:space="0"/>
              <w:bottom w:val="single" w:color="auto" w:sz="4" w:space="0"/>
              <w:right w:val="single" w:color="auto" w:sz="4" w:space="0"/>
            </w:tcBorders>
            <w:shd w:val="clear" w:color="auto" w:fill="auto"/>
            <w:vAlign w:val="center"/>
          </w:tcPr>
          <w:p w14:paraId="35489FB4">
            <w:pPr>
              <w:keepNext w:val="0"/>
              <w:keepLines w:val="0"/>
              <w:widowControl/>
              <w:suppressLineNumbers w:val="0"/>
              <w:jc w:val="left"/>
              <w:textAlignment w:val="center"/>
              <w:rPr>
                <w:rFonts w:hint="default" w:asciiTheme="minorEastAsia" w:hAnsiTheme="minorEastAsia" w:eastAsiaTheme="minorEastAsia" w:cstheme="minorEastAsia"/>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2025</w:t>
            </w:r>
          </w:p>
        </w:tc>
        <w:tc>
          <w:tcPr>
            <w:tcW w:w="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6614451A">
            <w:pPr>
              <w:widowControl/>
              <w:jc w:val="left"/>
              <w:textAlignment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年</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5A5A">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1730">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完成</w:t>
            </w:r>
          </w:p>
        </w:tc>
      </w:tr>
      <w:tr w14:paraId="707FD4CD">
        <w:tblPrEx>
          <w:tblCellMar>
            <w:top w:w="15" w:type="dxa"/>
            <w:left w:w="15" w:type="dxa"/>
            <w:bottom w:w="15" w:type="dxa"/>
            <w:right w:w="15" w:type="dxa"/>
          </w:tblCellMar>
        </w:tblPrEx>
        <w:trPr>
          <w:trHeight w:val="303"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F5BEAF">
            <w:pPr>
              <w:widowControl/>
              <w:spacing w:line="300" w:lineRule="exact"/>
              <w:jc w:val="center"/>
              <w:rPr>
                <w:rFonts w:asciiTheme="minorEastAsia" w:hAnsiTheme="minorEastAsia" w:eastAsiaTheme="minorEastAsia" w:cstheme="minorEastAsia"/>
                <w:color w:val="000000"/>
                <w:sz w:val="18"/>
                <w:szCs w:val="18"/>
              </w:rPr>
            </w:pP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345D2040">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效益指标</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1B748A8A">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可持续影响指标</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590B73FF">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持续优化基层权责清单</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0F35899F">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定性</w:t>
            </w:r>
          </w:p>
        </w:tc>
        <w:tc>
          <w:tcPr>
            <w:tcW w:w="968" w:type="dxa"/>
            <w:tcBorders>
              <w:top w:val="single" w:color="auto" w:sz="4" w:space="0"/>
              <w:left w:val="single" w:color="auto" w:sz="4" w:space="0"/>
              <w:bottom w:val="single" w:color="auto" w:sz="4" w:space="0"/>
              <w:right w:val="single" w:color="auto" w:sz="4" w:space="0"/>
            </w:tcBorders>
            <w:shd w:val="clear" w:color="auto" w:fill="auto"/>
            <w:vAlign w:val="center"/>
          </w:tcPr>
          <w:p w14:paraId="3C42BBB6">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效果显著</w:t>
            </w:r>
          </w:p>
        </w:tc>
        <w:tc>
          <w:tcPr>
            <w:tcW w:w="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1ECDB427">
            <w:pPr>
              <w:widowControl/>
              <w:jc w:val="left"/>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8B90">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6723">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效果显著</w:t>
            </w:r>
          </w:p>
        </w:tc>
      </w:tr>
      <w:tr w14:paraId="15519F24">
        <w:tblPrEx>
          <w:tblCellMar>
            <w:top w:w="15" w:type="dxa"/>
            <w:left w:w="15" w:type="dxa"/>
            <w:bottom w:w="15" w:type="dxa"/>
            <w:right w:w="15" w:type="dxa"/>
          </w:tblCellMar>
        </w:tblPrEx>
        <w:trPr>
          <w:trHeight w:val="303"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D0E680">
            <w:pPr>
              <w:widowControl/>
              <w:spacing w:line="300" w:lineRule="exact"/>
              <w:jc w:val="center"/>
              <w:rPr>
                <w:rFonts w:asciiTheme="minorEastAsia" w:hAnsiTheme="minorEastAsia" w:eastAsiaTheme="minorEastAsia" w:cstheme="minorEastAsia"/>
                <w:color w:val="000000"/>
                <w:sz w:val="18"/>
                <w:szCs w:val="18"/>
              </w:rPr>
            </w:pP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5D630B41">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满意度指标</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05BB895C">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满意度指标</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5FD7EB5D">
            <w:pPr>
              <w:keepNext w:val="0"/>
              <w:keepLines w:val="0"/>
              <w:widowControl/>
              <w:suppressLineNumbers w:val="0"/>
              <w:jc w:val="left"/>
              <w:textAlignment w:val="center"/>
              <w:rPr>
                <w:rFonts w:hint="default" w:asciiTheme="minorEastAsia" w:hAnsiTheme="minorEastAsia" w:eastAsiaTheme="minorEastAsia" w:cstheme="minorEastAsia"/>
                <w:color w:val="000000"/>
                <w:sz w:val="18"/>
                <w:szCs w:val="18"/>
                <w:lang w:val="en-US"/>
              </w:rPr>
            </w:pPr>
            <w:r>
              <w:rPr>
                <w:rFonts w:ascii="宋体" w:hAnsi="宋体" w:eastAsia="宋体" w:cs="宋体"/>
                <w:i w:val="0"/>
                <w:iCs w:val="0"/>
                <w:color w:val="000000"/>
                <w:kern w:val="0"/>
                <w:sz w:val="18"/>
                <w:szCs w:val="18"/>
                <w:u w:val="none"/>
                <w:lang w:val="en-US" w:eastAsia="zh-CN" w:bidi="ar"/>
              </w:rPr>
              <w:t>服务对象满意度指标                                                                                     满意度</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04A0139D">
            <w:pPr>
              <w:keepNext w:val="0"/>
              <w:keepLines w:val="0"/>
              <w:widowControl/>
              <w:suppressLineNumbers w:val="0"/>
              <w:jc w:val="left"/>
              <w:textAlignment w:val="center"/>
              <w:rPr>
                <w:rFonts w:hint="eastAsia" w:asciiTheme="minorEastAsia" w:hAnsiTheme="minorEastAsia" w:eastAsiaTheme="minorEastAsia" w:cstheme="minorEastAsia"/>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w:t>
            </w:r>
          </w:p>
        </w:tc>
        <w:tc>
          <w:tcPr>
            <w:tcW w:w="968" w:type="dxa"/>
            <w:tcBorders>
              <w:top w:val="single" w:color="auto" w:sz="4" w:space="0"/>
              <w:left w:val="single" w:color="auto" w:sz="4" w:space="0"/>
              <w:bottom w:val="single" w:color="auto" w:sz="4" w:space="0"/>
              <w:right w:val="single" w:color="auto" w:sz="4" w:space="0"/>
            </w:tcBorders>
            <w:shd w:val="clear" w:color="auto" w:fill="auto"/>
            <w:vAlign w:val="center"/>
          </w:tcPr>
          <w:p w14:paraId="65581D12">
            <w:pPr>
              <w:keepNext w:val="0"/>
              <w:keepLines w:val="0"/>
              <w:widowControl/>
              <w:suppressLineNumbers w:val="0"/>
              <w:jc w:val="left"/>
              <w:textAlignment w:val="center"/>
              <w:rPr>
                <w:rFonts w:hint="default" w:asciiTheme="minorEastAsia" w:hAnsiTheme="minorEastAsia" w:eastAsiaTheme="minorEastAsia" w:cstheme="minorEastAsia"/>
                <w:color w:val="000000"/>
                <w:sz w:val="18"/>
                <w:szCs w:val="18"/>
                <w:lang w:val="en-US" w:eastAsia="zh-CN"/>
              </w:rPr>
            </w:pPr>
            <w:r>
              <w:rPr>
                <w:rFonts w:ascii="宋体" w:hAnsi="宋体" w:eastAsia="宋体" w:cs="宋体"/>
                <w:i w:val="0"/>
                <w:iCs w:val="0"/>
                <w:color w:val="000000"/>
                <w:kern w:val="0"/>
                <w:sz w:val="18"/>
                <w:szCs w:val="18"/>
                <w:u w:val="none"/>
                <w:lang w:val="en-US" w:eastAsia="zh-CN" w:bidi="ar"/>
              </w:rPr>
              <w:t>90</w:t>
            </w:r>
          </w:p>
        </w:tc>
        <w:tc>
          <w:tcPr>
            <w:tcW w:w="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3FF82C8F">
            <w:pPr>
              <w:widowControl/>
              <w:jc w:val="left"/>
              <w:textAlignment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7828">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C62C">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满意</w:t>
            </w:r>
          </w:p>
        </w:tc>
      </w:tr>
      <w:tr w14:paraId="5D612291">
        <w:tblPrEx>
          <w:tblCellMar>
            <w:top w:w="15" w:type="dxa"/>
            <w:left w:w="15" w:type="dxa"/>
            <w:bottom w:w="15" w:type="dxa"/>
            <w:right w:w="15" w:type="dxa"/>
          </w:tblCellMar>
        </w:tblPrEx>
        <w:trPr>
          <w:trHeight w:val="303" w:hRule="atLeast"/>
          <w:jc w:val="center"/>
        </w:trPr>
        <w:tc>
          <w:tcPr>
            <w:tcW w:w="127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57B013">
            <w:pPr>
              <w:widowControl/>
              <w:spacing w:line="300" w:lineRule="exact"/>
              <w:jc w:val="center"/>
              <w:rPr>
                <w:rFonts w:asciiTheme="minorEastAsia" w:hAnsiTheme="minorEastAsia" w:eastAsiaTheme="minorEastAsia" w:cstheme="minorEastAsia"/>
                <w:color w:val="000000"/>
                <w:sz w:val="18"/>
                <w:szCs w:val="18"/>
              </w:rPr>
            </w:pPr>
          </w:p>
        </w:tc>
        <w:tc>
          <w:tcPr>
            <w:tcW w:w="1307" w:type="dxa"/>
            <w:tcBorders>
              <w:top w:val="single" w:color="auto" w:sz="4" w:space="0"/>
              <w:left w:val="single" w:color="auto" w:sz="4" w:space="0"/>
              <w:bottom w:val="single" w:color="auto" w:sz="4" w:space="0"/>
              <w:right w:val="single" w:color="auto" w:sz="4" w:space="0"/>
            </w:tcBorders>
            <w:shd w:val="clear" w:color="auto" w:fill="auto"/>
            <w:vAlign w:val="center"/>
          </w:tcPr>
          <w:p w14:paraId="2F003AD2">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成本指标</w:t>
            </w:r>
          </w:p>
        </w:tc>
        <w:tc>
          <w:tcPr>
            <w:tcW w:w="1318" w:type="dxa"/>
            <w:tcBorders>
              <w:top w:val="single" w:color="auto" w:sz="4" w:space="0"/>
              <w:left w:val="single" w:color="auto" w:sz="4" w:space="0"/>
              <w:bottom w:val="single" w:color="auto" w:sz="4" w:space="0"/>
              <w:right w:val="single" w:color="auto" w:sz="4" w:space="0"/>
            </w:tcBorders>
            <w:shd w:val="clear" w:color="auto" w:fill="auto"/>
            <w:vAlign w:val="center"/>
          </w:tcPr>
          <w:p w14:paraId="698B7A0B">
            <w:pPr>
              <w:keepNext w:val="0"/>
              <w:keepLines w:val="0"/>
              <w:widowControl/>
              <w:suppressLineNumbers w:val="0"/>
              <w:jc w:val="left"/>
              <w:textAlignment w:val="center"/>
              <w:rPr>
                <w:rFonts w:asciiTheme="minorEastAsia" w:hAnsiTheme="minorEastAsia" w:eastAsiaTheme="minorEastAsia" w:cstheme="minorEastAsia"/>
                <w:color w:val="000000"/>
                <w:kern w:val="0"/>
                <w:sz w:val="18"/>
                <w:szCs w:val="18"/>
              </w:rPr>
            </w:pPr>
            <w:r>
              <w:rPr>
                <w:rFonts w:ascii="宋体" w:hAnsi="宋体" w:eastAsia="宋体" w:cs="宋体"/>
                <w:i w:val="0"/>
                <w:iCs w:val="0"/>
                <w:color w:val="000000"/>
                <w:kern w:val="0"/>
                <w:sz w:val="18"/>
                <w:szCs w:val="18"/>
                <w:u w:val="none"/>
                <w:lang w:val="en-US" w:eastAsia="zh-CN" w:bidi="ar"/>
              </w:rPr>
              <w:t>经济成本指标</w:t>
            </w: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5BAAA4E">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预算执行率</w:t>
            </w:r>
          </w:p>
        </w:tc>
        <w:tc>
          <w:tcPr>
            <w:tcW w:w="988" w:type="dxa"/>
            <w:tcBorders>
              <w:top w:val="single" w:color="auto" w:sz="4" w:space="0"/>
              <w:left w:val="single" w:color="auto" w:sz="4" w:space="0"/>
              <w:bottom w:val="single" w:color="auto" w:sz="4" w:space="0"/>
              <w:right w:val="single" w:color="auto" w:sz="4" w:space="0"/>
            </w:tcBorders>
            <w:shd w:val="clear" w:color="auto" w:fill="auto"/>
            <w:vAlign w:val="center"/>
          </w:tcPr>
          <w:p w14:paraId="314B4AF6">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w:t>
            </w:r>
          </w:p>
        </w:tc>
        <w:tc>
          <w:tcPr>
            <w:tcW w:w="968" w:type="dxa"/>
            <w:tcBorders>
              <w:top w:val="single" w:color="auto" w:sz="4" w:space="0"/>
              <w:left w:val="single" w:color="auto" w:sz="4" w:space="0"/>
              <w:bottom w:val="single" w:color="auto" w:sz="4" w:space="0"/>
              <w:right w:val="single" w:color="auto" w:sz="4" w:space="0"/>
            </w:tcBorders>
            <w:shd w:val="clear" w:color="auto" w:fill="auto"/>
            <w:vAlign w:val="center"/>
          </w:tcPr>
          <w:p w14:paraId="051BD13C">
            <w:pPr>
              <w:keepNext w:val="0"/>
              <w:keepLines w:val="0"/>
              <w:widowControl/>
              <w:suppressLineNumbers w:val="0"/>
              <w:jc w:val="left"/>
              <w:textAlignment w:val="center"/>
              <w:rPr>
                <w:rFonts w:asciiTheme="minorEastAsia" w:hAnsiTheme="minorEastAsia" w:eastAsiaTheme="minorEastAsia" w:cstheme="minorEastAsia"/>
                <w:color w:val="000000"/>
                <w:sz w:val="18"/>
                <w:szCs w:val="18"/>
              </w:rPr>
            </w:pPr>
            <w:r>
              <w:rPr>
                <w:rFonts w:ascii="宋体" w:hAnsi="宋体" w:eastAsia="宋体" w:cs="宋体"/>
                <w:i w:val="0"/>
                <w:iCs w:val="0"/>
                <w:color w:val="000000"/>
                <w:kern w:val="0"/>
                <w:sz w:val="18"/>
                <w:szCs w:val="18"/>
                <w:u w:val="none"/>
                <w:lang w:val="en-US" w:eastAsia="zh-CN" w:bidi="ar"/>
              </w:rPr>
              <w:t>90</w:t>
            </w:r>
          </w:p>
        </w:tc>
        <w:tc>
          <w:tcPr>
            <w:tcW w:w="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1B249B27">
            <w:pPr>
              <w:widowControl/>
              <w:jc w:val="left"/>
              <w:textAlignment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kern w:val="0"/>
                <w:sz w:val="18"/>
                <w:szCs w:val="18"/>
              </w:rPr>
              <w:t>%</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B1AF">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7A8E">
            <w:pPr>
              <w:widowControl/>
              <w:jc w:val="left"/>
              <w:textAlignment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90</w:t>
            </w:r>
          </w:p>
        </w:tc>
      </w:tr>
    </w:tbl>
    <w:p w14:paraId="4BDC2F93">
      <w:pPr>
        <w:rPr>
          <w:rFonts w:eastAsia="黑体"/>
        </w:rPr>
      </w:pPr>
    </w:p>
    <w:p w14:paraId="7F12376D">
      <w:pPr>
        <w:rPr>
          <w:rFonts w:eastAsia="黑体"/>
        </w:rPr>
      </w:pPr>
    </w:p>
    <w:p w14:paraId="5F2A84D2">
      <w:pPr>
        <w:rPr>
          <w:rFonts w:eastAsia="黑体"/>
        </w:rPr>
      </w:pPr>
    </w:p>
    <w:p w14:paraId="5974A11F">
      <w:pPr>
        <w:rPr>
          <w:rFonts w:eastAsia="黑体"/>
        </w:rPr>
      </w:pPr>
    </w:p>
    <w:p w14:paraId="155A8C3B">
      <w:pPr>
        <w:rPr>
          <w:rFonts w:eastAsia="黑体"/>
        </w:rPr>
      </w:pPr>
    </w:p>
    <w:p w14:paraId="30898BD3">
      <w:pPr>
        <w:rPr>
          <w:rFonts w:eastAsia="黑体"/>
        </w:rPr>
      </w:pPr>
    </w:p>
    <w:p w14:paraId="1866875E">
      <w:pPr>
        <w:pStyle w:val="15"/>
        <w:shd w:val="clear" w:color="auto" w:fill="FFFFFF"/>
        <w:spacing w:line="560" w:lineRule="exact"/>
        <w:ind w:left="960" w:hanging="960" w:hangingChars="300"/>
        <w:jc w:val="both"/>
        <w:rPr>
          <w:rFonts w:ascii="仿宋_GB2312" w:eastAsia="仿宋_GB2312" w:cs="仿宋_GB2312"/>
          <w:sz w:val="32"/>
          <w:szCs w:val="32"/>
        </w:rPr>
      </w:pPr>
      <w:r>
        <w:rPr>
          <w:rFonts w:hint="eastAsia" w:ascii="黑体" w:eastAsia="黑体"/>
          <w:sz w:val="32"/>
          <w:szCs w:val="32"/>
        </w:rPr>
        <w:t>附件2:</w:t>
      </w:r>
    </w:p>
    <w:p w14:paraId="77C8651D">
      <w:pPr>
        <w:keepNext w:val="0"/>
        <w:keepLines w:val="0"/>
        <w:pageBreakBefore w:val="0"/>
        <w:widowControl w:val="0"/>
        <w:kinsoku/>
        <w:wordWrap w:val="0"/>
        <w:overflowPunct w:val="0"/>
        <w:topLinePunct w:val="0"/>
        <w:autoSpaceDE/>
        <w:autoSpaceDN/>
        <w:bidi w:val="0"/>
        <w:adjustRightInd w:val="0"/>
        <w:snapToGrid w:val="0"/>
        <w:spacing w:line="576" w:lineRule="exact"/>
        <w:jc w:val="center"/>
        <w:rPr>
          <w:rFonts w:ascii="Times New Roman" w:hAnsi="Times New Roman" w:eastAsia="方正小标宋简体"/>
          <w:color w:val="auto"/>
          <w:kern w:val="2"/>
          <w:sz w:val="44"/>
          <w:szCs w:val="44"/>
          <w:lang w:val="en-US"/>
        </w:rPr>
      </w:pPr>
      <w:bookmarkStart w:id="53" w:name="正文"/>
      <w:r>
        <w:rPr>
          <w:rFonts w:hint="eastAsia" w:ascii="方正小标宋简体" w:hAnsi="方正小标宋简体" w:eastAsia="方正小标宋简体" w:cs="方正小标宋简体"/>
          <w:b w:val="0"/>
          <w:bCs/>
          <w:color w:val="000000"/>
          <w:sz w:val="44"/>
          <w:szCs w:val="44"/>
        </w:rPr>
        <w:t>中共汶川县委</w:t>
      </w:r>
      <w:r>
        <w:rPr>
          <w:rFonts w:hint="eastAsia" w:ascii="方正小标宋简体" w:hAnsi="方正小标宋简体" w:eastAsia="方正小标宋简体" w:cs="方正小标宋简体"/>
          <w:b w:val="0"/>
          <w:bCs/>
          <w:color w:val="000000"/>
          <w:sz w:val="44"/>
          <w:szCs w:val="44"/>
          <w:lang w:val="en-US" w:eastAsia="zh-CN"/>
        </w:rPr>
        <w:t>社会工作</w:t>
      </w:r>
      <w:r>
        <w:rPr>
          <w:rFonts w:hint="eastAsia" w:ascii="方正小标宋简体" w:hAnsi="方正小标宋简体" w:eastAsia="方正小标宋简体" w:cs="方正小标宋简体"/>
          <w:b w:val="0"/>
          <w:bCs/>
          <w:color w:val="000000"/>
          <w:sz w:val="44"/>
          <w:szCs w:val="44"/>
        </w:rPr>
        <w:t>部</w:t>
      </w:r>
      <w:bookmarkEnd w:id="53"/>
    </w:p>
    <w:p w14:paraId="661B1F12">
      <w:pPr>
        <w:pStyle w:val="34"/>
        <w:spacing w:line="578" w:lineRule="exact"/>
        <w:ind w:firstLine="880" w:firstLineChars="200"/>
        <w:jc w:val="both"/>
        <w:rPr>
          <w:rFonts w:ascii="Times New Roman" w:hAnsi="Times New Roman" w:eastAsia="方正小标宋简体"/>
          <w:color w:val="auto"/>
          <w:kern w:val="2"/>
          <w:sz w:val="44"/>
          <w:szCs w:val="44"/>
          <w:lang w:val="en-US"/>
        </w:rPr>
      </w:pPr>
      <w:r>
        <w:rPr>
          <w:rFonts w:hint="eastAsia" w:ascii="Times New Roman" w:hAnsi="Times New Roman" w:eastAsia="方正小标宋简体"/>
          <w:color w:val="auto"/>
          <w:kern w:val="2"/>
          <w:sz w:val="44"/>
          <w:szCs w:val="44"/>
          <w:lang w:val="en-US" w:eastAsia="zh-CN"/>
        </w:rPr>
        <w:t>离职村干部生活补贴</w:t>
      </w:r>
      <w:r>
        <w:rPr>
          <w:rFonts w:ascii="Times New Roman" w:hAnsi="Times New Roman" w:eastAsia="方正小标宋简体"/>
          <w:color w:val="auto"/>
          <w:kern w:val="2"/>
          <w:sz w:val="44"/>
          <w:szCs w:val="44"/>
          <w:lang w:val="en-US"/>
        </w:rPr>
        <w:t>绩效自评报告</w:t>
      </w:r>
    </w:p>
    <w:p w14:paraId="0D50D534">
      <w:pPr>
        <w:pStyle w:val="34"/>
        <w:spacing w:line="578" w:lineRule="exact"/>
        <w:ind w:firstLine="640"/>
        <w:jc w:val="center"/>
        <w:rPr>
          <w:rFonts w:ascii="Times New Roman" w:hAnsi="Times New Roman"/>
          <w:color w:val="auto"/>
          <w:kern w:val="2"/>
          <w:sz w:val="32"/>
          <w:szCs w:val="32"/>
        </w:rPr>
      </w:pPr>
    </w:p>
    <w:p w14:paraId="65570AFA">
      <w:pPr>
        <w:adjustRightInd w:val="0"/>
        <w:snapToGrid w:val="0"/>
        <w:spacing w:line="578" w:lineRule="exact"/>
        <w:ind w:firstLine="640" w:firstLineChars="200"/>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val="zh-CN"/>
        </w:rPr>
        <w:t>项目概况</w:t>
      </w:r>
    </w:p>
    <w:p w14:paraId="1AD1D4DA">
      <w:pPr>
        <w:widowControl/>
        <w:adjustRightInd w:val="0"/>
        <w:snapToGrid w:val="0"/>
        <w:spacing w:line="578" w:lineRule="exact"/>
        <w:ind w:firstLine="643"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楷体_GB2312" w:cs="Times New Roman"/>
          <w:b/>
          <w:sz w:val="32"/>
          <w:szCs w:val="32"/>
          <w:lang w:val="zh-CN"/>
        </w:rPr>
        <w:t>（一）设立背景及基本情况。</w:t>
      </w:r>
      <w:r>
        <w:rPr>
          <w:rFonts w:hint="default" w:ascii="Times New Roman" w:hAnsi="Times New Roman" w:eastAsia="仿宋_GB2312" w:cs="Times New Roman"/>
          <w:sz w:val="32"/>
          <w:szCs w:val="32"/>
          <w:lang w:val="en-US" w:eastAsia="zh-CN"/>
        </w:rPr>
        <w:t>按照中共阿坝州委阿坝州人民政府《关于进一步妥善解决离任村干部生活补贴的意见》（阿委发〔2018〕4号）及中共阿坝州委办公室阿坝州人民政府办公室关于印发《2024年全州十大民生实事实施方案》的通知（阿委办〔2024〕33号）要求，离职村干部生活补贴发放标准为：连续9年或累计12年365元/人/月，连续9年或累计12年以上每满1届（3年）增加40元。</w:t>
      </w:r>
    </w:p>
    <w:p w14:paraId="7D23C3D3">
      <w:pPr>
        <w:adjustRightInd w:val="0"/>
        <w:snapToGrid w:val="0"/>
        <w:spacing w:line="578" w:lineRule="exact"/>
        <w:ind w:firstLine="643" w:firstLineChars="200"/>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lang w:val="zh-CN"/>
        </w:rPr>
        <w:t>（二）</w:t>
      </w:r>
      <w:r>
        <w:rPr>
          <w:rFonts w:hint="default" w:ascii="Times New Roman" w:hAnsi="Times New Roman" w:eastAsia="楷体_GB2312" w:cs="Times New Roman"/>
          <w:b/>
          <w:sz w:val="32"/>
          <w:szCs w:val="32"/>
        </w:rPr>
        <w:t>实施目的及支持方向。</w:t>
      </w:r>
      <w:r>
        <w:rPr>
          <w:rFonts w:hint="default" w:ascii="Times New Roman" w:hAnsi="Times New Roman" w:eastAsia="仿宋_GB2312" w:cs="Times New Roman"/>
          <w:sz w:val="32"/>
          <w:szCs w:val="32"/>
          <w:lang w:val="en-US" w:eastAsia="zh-CN"/>
        </w:rPr>
        <w:t>为体现党委政府对离职村干部的深切关怀，进一步改善离职村干部待遇，激发在职村干部工作积极性，增强基层党组织凝聚力。</w:t>
      </w:r>
    </w:p>
    <w:p w14:paraId="499880E5">
      <w:pPr>
        <w:widowControl/>
        <w:adjustRightInd w:val="0"/>
        <w:snapToGrid w:val="0"/>
        <w:spacing w:line="578" w:lineRule="exact"/>
        <w:ind w:firstLine="643" w:firstLineChars="200"/>
        <w:contextualSpacing/>
        <w:jc w:val="left"/>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sz w:val="32"/>
          <w:szCs w:val="32"/>
          <w:lang w:val="zh-CN"/>
        </w:rPr>
        <w:t>（三）</w:t>
      </w:r>
      <w:r>
        <w:rPr>
          <w:rFonts w:hint="default" w:ascii="Times New Roman" w:hAnsi="Times New Roman" w:eastAsia="楷体_GB2312" w:cs="Times New Roman"/>
          <w:b/>
          <w:sz w:val="32"/>
          <w:szCs w:val="32"/>
        </w:rPr>
        <w:t>预算安排及分配管理</w:t>
      </w:r>
      <w:r>
        <w:rPr>
          <w:rFonts w:hint="default" w:ascii="Times New Roman" w:hAnsi="Times New Roman" w:eastAsia="楷体_GB2312" w:cs="Times New Roman"/>
          <w:b/>
          <w:sz w:val="32"/>
          <w:szCs w:val="32"/>
          <w:lang w:val="zh-CN"/>
        </w:rPr>
        <w:t>。</w:t>
      </w:r>
      <w:r>
        <w:rPr>
          <w:rFonts w:hint="default" w:ascii="Times New Roman" w:hAnsi="Times New Roman" w:eastAsia="仿宋_GB2312" w:cs="Times New Roman"/>
          <w:sz w:val="32"/>
          <w:szCs w:val="32"/>
          <w:lang w:val="en-US" w:eastAsia="zh-CN"/>
        </w:rPr>
        <w:t>该项目资金预算为263.</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7万元，项目资金符合预算需求和现实需要。</w:t>
      </w:r>
    </w:p>
    <w:p w14:paraId="025B3D8C">
      <w:pPr>
        <w:keepNext w:val="0"/>
        <w:keepLines w:val="0"/>
        <w:pageBreakBefore w:val="0"/>
        <w:widowControl w:val="0"/>
        <w:kinsoku/>
        <w:wordWrap/>
        <w:overflowPunct/>
        <w:topLinePunct w:val="0"/>
        <w:autoSpaceDE/>
        <w:autoSpaceDN/>
        <w:bidi w:val="0"/>
        <w:adjustRightInd/>
        <w:snapToGrid/>
        <w:spacing w:after="0" w:line="560" w:lineRule="exact"/>
        <w:ind w:left="0" w:right="0" w:rightChars="0" w:firstLine="643" w:firstLineChars="200"/>
        <w:jc w:val="left"/>
        <w:textAlignment w:val="auto"/>
        <w:rPr>
          <w:rFonts w:hint="default" w:ascii="Times New Roman" w:hAnsi="Times New Roman" w:eastAsia="仿宋_GB2312" w:cs="Times New Roman"/>
          <w:kern w:val="2"/>
          <w:position w:val="0"/>
          <w:sz w:val="32"/>
          <w:szCs w:val="32"/>
          <w:lang w:val="zh-CN" w:eastAsia="zh-CN" w:bidi="ar-SA"/>
        </w:rPr>
      </w:pPr>
      <w:r>
        <w:rPr>
          <w:rFonts w:hint="default" w:ascii="Times New Roman" w:hAnsi="Times New Roman" w:eastAsia="楷体_GB2312" w:cs="Times New Roman"/>
          <w:b/>
          <w:kern w:val="2"/>
          <w:position w:val="0"/>
          <w:sz w:val="32"/>
          <w:szCs w:val="32"/>
          <w:lang w:val="zh-CN" w:eastAsia="zh-CN" w:bidi="ar-SA"/>
        </w:rPr>
        <w:t>（四）项目绩效目标设置。</w:t>
      </w:r>
      <w:r>
        <w:rPr>
          <w:rFonts w:hint="default" w:ascii="Times New Roman" w:hAnsi="Times New Roman" w:eastAsia="仿宋_GB2312" w:cs="Times New Roman"/>
          <w:kern w:val="2"/>
          <w:position w:val="0"/>
          <w:sz w:val="32"/>
          <w:szCs w:val="32"/>
          <w:lang w:val="en-US" w:eastAsia="zh-CN" w:bidi="ar-SA"/>
        </w:rPr>
        <w:t>离职村干部生活补贴按照中共阿坝州委阿坝州人民政府《关于进一步妥善解决离任村干部生活补贴的意见》（阿委发〔2018〕4号）及中共阿坝州委办公室阿坝州人民政府办公室关于印发《2024年全州十大民生实事实施方案》的通知（阿委办〔2024〕33号）执行。</w:t>
      </w:r>
    </w:p>
    <w:p w14:paraId="3F0404BE">
      <w:pPr>
        <w:adjustRightInd w:val="0"/>
        <w:snapToGrid w:val="0"/>
        <w:spacing w:line="578"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二、评价实施</w:t>
      </w:r>
    </w:p>
    <w:p w14:paraId="32326210">
      <w:pPr>
        <w:spacing w:line="578" w:lineRule="exact"/>
        <w:ind w:firstLine="640"/>
        <w:rPr>
          <w:rFonts w:hint="default" w:ascii="Times New Roman" w:hAnsi="Times New Roman" w:eastAsia="仿宋_GB2312" w:cs="Times New Roman"/>
          <w:sz w:val="32"/>
          <w:szCs w:val="32"/>
        </w:rPr>
      </w:pPr>
      <w:r>
        <w:rPr>
          <w:rFonts w:hint="default" w:ascii="Times New Roman" w:hAnsi="Times New Roman" w:eastAsia="楷体_GB2312" w:cs="Times New Roman"/>
          <w:b/>
          <w:sz w:val="32"/>
          <w:szCs w:val="32"/>
          <w:lang w:val="zh-CN"/>
        </w:rPr>
        <w:t>（一）评价目的。</w:t>
      </w:r>
      <w:r>
        <w:rPr>
          <w:rFonts w:hint="default" w:ascii="Times New Roman" w:hAnsi="Times New Roman" w:eastAsia="仿宋_GB2312" w:cs="Times New Roman"/>
          <w:kern w:val="2"/>
          <w:position w:val="0"/>
          <w:sz w:val="32"/>
          <w:szCs w:val="32"/>
          <w:lang w:val="en-US" w:eastAsia="zh-CN" w:bidi="ar-SA"/>
        </w:rPr>
        <w:t>通过对离职村干部生活补贴项目的绩</w:t>
      </w:r>
      <w:r>
        <w:rPr>
          <w:rFonts w:hint="default" w:ascii="Times New Roman" w:hAnsi="Times New Roman" w:eastAsia="仿宋_GB2312" w:cs="Times New Roman"/>
          <w:sz w:val="32"/>
          <w:szCs w:val="32"/>
        </w:rPr>
        <w:t>效自评，全面了解</w:t>
      </w:r>
      <w:r>
        <w:rPr>
          <w:rFonts w:hint="default" w:ascii="Times New Roman" w:hAnsi="Times New Roman" w:eastAsia="仿宋_GB2312" w:cs="Times New Roman"/>
          <w:sz w:val="32"/>
          <w:szCs w:val="32"/>
          <w:lang w:eastAsia="zh-CN"/>
        </w:rPr>
        <w:t>该</w:t>
      </w:r>
      <w:r>
        <w:rPr>
          <w:rFonts w:hint="default" w:ascii="Times New Roman" w:hAnsi="Times New Roman" w:eastAsia="仿宋_GB2312" w:cs="Times New Roman"/>
          <w:sz w:val="32"/>
          <w:szCs w:val="32"/>
        </w:rPr>
        <w:t>项目</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决策、管理、实施</w:t>
      </w:r>
      <w:r>
        <w:rPr>
          <w:rFonts w:hint="default" w:ascii="Times New Roman" w:hAnsi="Times New Roman" w:eastAsia="仿宋_GB2312" w:cs="Times New Roman"/>
          <w:sz w:val="32"/>
          <w:szCs w:val="32"/>
          <w:lang w:eastAsia="zh-CN"/>
        </w:rPr>
        <w:t>方面</w:t>
      </w:r>
      <w:r>
        <w:rPr>
          <w:rFonts w:hint="default" w:ascii="Times New Roman" w:hAnsi="Times New Roman" w:eastAsia="仿宋_GB2312" w:cs="Times New Roman"/>
          <w:sz w:val="32"/>
          <w:szCs w:val="32"/>
        </w:rPr>
        <w:t>情况，总结经验，发现问题，提出改进建议，为优化资源配置、提高财政资金使用效益、完善相关政策提供依据。</w:t>
      </w:r>
    </w:p>
    <w:p w14:paraId="42627DB5">
      <w:pPr>
        <w:adjustRightInd w:val="0"/>
        <w:snapToGrid w:val="0"/>
        <w:spacing w:line="578"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
          <w:sz w:val="32"/>
          <w:szCs w:val="32"/>
          <w:lang w:val="zh-CN"/>
        </w:rPr>
        <w:t>（二）预设问题及评价重点。</w:t>
      </w:r>
      <w:r>
        <w:rPr>
          <w:rFonts w:hint="default" w:ascii="Times New Roman" w:hAnsi="Times New Roman" w:eastAsia="仿宋_GB2312" w:cs="Times New Roman"/>
          <w:sz w:val="32"/>
          <w:szCs w:val="32"/>
        </w:rPr>
        <w:t>预设问题：补助对象认定是否精准？资金发放是否及时足额？政策执行是否规范？评价重点：项目决策的科学性与合规性；资金管理的规范性与安全性；</w:t>
      </w:r>
      <w:r>
        <w:rPr>
          <w:rFonts w:hint="default" w:ascii="Times New Roman" w:hAnsi="Times New Roman" w:eastAsia="仿宋_GB2312" w:cs="Times New Roman"/>
          <w:sz w:val="32"/>
          <w:szCs w:val="32"/>
          <w:lang w:eastAsia="zh-CN"/>
        </w:rPr>
        <w:t>补贴对象的精准性；补贴标准的合理性各项</w:t>
      </w:r>
      <w:r>
        <w:rPr>
          <w:rFonts w:hint="default" w:ascii="Times New Roman" w:hAnsi="Times New Roman" w:eastAsia="仿宋_GB2312" w:cs="Times New Roman"/>
          <w:sz w:val="32"/>
          <w:szCs w:val="32"/>
        </w:rPr>
        <w:t>指标的完成情况。</w:t>
      </w:r>
    </w:p>
    <w:p w14:paraId="58D1A418">
      <w:pPr>
        <w:adjustRightInd w:val="0"/>
        <w:snapToGrid w:val="0"/>
        <w:spacing w:line="578" w:lineRule="exact"/>
        <w:ind w:firstLine="643" w:firstLineChars="200"/>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sz w:val="32"/>
          <w:szCs w:val="32"/>
          <w:lang w:val="zh-CN"/>
        </w:rPr>
        <w:t>（三）评价选点。</w:t>
      </w:r>
      <w:r>
        <w:rPr>
          <w:rFonts w:hint="default" w:ascii="Times New Roman" w:hAnsi="Times New Roman" w:eastAsia="仿宋_GB2312" w:cs="Times New Roman"/>
          <w:sz w:val="32"/>
          <w:szCs w:val="32"/>
        </w:rPr>
        <w:t>本次评价采取全面评价与重点抽查相结合的方式。在全面梳理全县离职村干部生活补贴项目整体情况的基础上，选取了</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个镇作为重点评价点进行实地踏勘。</w:t>
      </w:r>
    </w:p>
    <w:p w14:paraId="2C3F696A">
      <w:pPr>
        <w:spacing w:line="578" w:lineRule="exact"/>
        <w:ind w:firstLine="640"/>
        <w:rPr>
          <w:rFonts w:hint="default" w:ascii="Times New Roman" w:hAnsi="Times New Roman" w:eastAsia="仿宋_GB2312" w:cs="Times New Roman"/>
          <w:sz w:val="32"/>
          <w:szCs w:val="32"/>
        </w:rPr>
      </w:pPr>
      <w:r>
        <w:rPr>
          <w:rFonts w:hint="default" w:ascii="Times New Roman" w:hAnsi="Times New Roman" w:eastAsia="楷体_GB2312" w:cs="Times New Roman"/>
          <w:b/>
          <w:sz w:val="32"/>
          <w:szCs w:val="32"/>
          <w:lang w:val="zh-CN"/>
        </w:rPr>
        <w:t>（四）评价方法。</w:t>
      </w:r>
      <w:r>
        <w:rPr>
          <w:rFonts w:hint="default" w:ascii="Times New Roman" w:hAnsi="Times New Roman" w:eastAsia="仿宋_GB2312" w:cs="Times New Roman"/>
          <w:sz w:val="32"/>
          <w:szCs w:val="32"/>
        </w:rPr>
        <w:t>采用案卷研究法、问卷调查法等，通过查阅资料（政策文件、财务凭证、发放记录等）、数据分析（预算执行率、发放准确率等）、座谈交流（与镇干部、村干部代表座谈）、电话回访（随机抽取部分补助对象进行满意度调查）等方式进行综合评价。</w:t>
      </w:r>
    </w:p>
    <w:p w14:paraId="5A8C7EDC">
      <w:pPr>
        <w:spacing w:line="578" w:lineRule="exact"/>
        <w:ind w:firstLine="640"/>
        <w:rPr>
          <w:rFonts w:hint="default" w:ascii="Times New Roman" w:hAnsi="Times New Roman" w:eastAsia="仿宋_GB2312" w:cs="Times New Roman"/>
          <w:bCs/>
          <w:sz w:val="32"/>
          <w:szCs w:val="32"/>
        </w:rPr>
      </w:pPr>
      <w:r>
        <w:rPr>
          <w:rFonts w:hint="default" w:ascii="Times New Roman" w:hAnsi="Times New Roman" w:eastAsia="楷体_GB2312" w:cs="Times New Roman"/>
          <w:b/>
          <w:sz w:val="32"/>
          <w:szCs w:val="32"/>
          <w:lang w:val="zh-CN"/>
        </w:rPr>
        <w:t>（五）评价组织。</w:t>
      </w:r>
      <w:r>
        <w:rPr>
          <w:rFonts w:hint="default" w:ascii="Times New Roman" w:hAnsi="Times New Roman" w:eastAsia="仿宋_GB2312" w:cs="Times New Roman"/>
          <w:sz w:val="32"/>
          <w:szCs w:val="32"/>
        </w:rPr>
        <w:t>成立由县</w:t>
      </w:r>
      <w:r>
        <w:rPr>
          <w:rFonts w:hint="default" w:ascii="Times New Roman" w:hAnsi="Times New Roman" w:eastAsia="仿宋_GB2312" w:cs="Times New Roman"/>
          <w:sz w:val="32"/>
          <w:szCs w:val="32"/>
          <w:lang w:eastAsia="zh-CN"/>
        </w:rPr>
        <w:t>委社会工作部</w:t>
      </w:r>
      <w:r>
        <w:rPr>
          <w:rFonts w:hint="default" w:ascii="Times New Roman" w:hAnsi="Times New Roman" w:eastAsia="仿宋_GB2312" w:cs="Times New Roman"/>
          <w:sz w:val="32"/>
          <w:szCs w:val="32"/>
        </w:rPr>
        <w:t>主要领导任组长，分管领导任副组长，相关业务股室负责人为成员的项目绩效评价工作小组，负责本次自评工作的组织实施，确保评价工作科学、公正、规范开展。</w:t>
      </w:r>
    </w:p>
    <w:p w14:paraId="17794934">
      <w:pPr>
        <w:adjustRightInd w:val="0"/>
        <w:snapToGrid w:val="0"/>
        <w:spacing w:line="578"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黑体" w:cs="Times New Roman"/>
          <w:sz w:val="32"/>
          <w:szCs w:val="32"/>
        </w:rPr>
        <w:t>三、绩效分析</w:t>
      </w:r>
      <w:r>
        <w:rPr>
          <w:rFonts w:hint="default" w:ascii="Times New Roman" w:hAnsi="Times New Roman" w:eastAsia="仿宋_GB2312" w:cs="Times New Roman"/>
          <w:sz w:val="32"/>
          <w:szCs w:val="32"/>
          <w:lang w:val="zh-CN"/>
        </w:rPr>
        <w:tab/>
      </w:r>
    </w:p>
    <w:p w14:paraId="7F5D5B64">
      <w:pPr>
        <w:spacing w:line="578" w:lineRule="exact"/>
        <w:ind w:firstLine="640"/>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lang w:val="zh-CN"/>
        </w:rPr>
        <w:t>（一）</w:t>
      </w:r>
      <w:r>
        <w:rPr>
          <w:rFonts w:hint="default" w:ascii="Times New Roman" w:hAnsi="Times New Roman" w:eastAsia="楷体_GB2312" w:cs="Times New Roman"/>
          <w:b/>
          <w:sz w:val="32"/>
          <w:szCs w:val="32"/>
        </w:rPr>
        <w:t>通用指标</w:t>
      </w:r>
      <w:r>
        <w:rPr>
          <w:rFonts w:hint="default" w:ascii="Times New Roman" w:hAnsi="Times New Roman" w:eastAsia="楷体_GB2312" w:cs="Times New Roman"/>
          <w:b/>
          <w:bCs/>
          <w:color w:val="000000"/>
          <w:kern w:val="0"/>
          <w:sz w:val="32"/>
          <w:szCs w:val="32"/>
          <w:shd w:val="clear" w:color="auto" w:fill="FFFFFF"/>
          <w:lang w:val="zh-CN"/>
        </w:rPr>
        <w:t>绩效分析。</w:t>
      </w:r>
    </w:p>
    <w:p w14:paraId="566FEF09">
      <w:pPr>
        <w:spacing w:line="578"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rPr>
        <w:t>1.项目决策。</w:t>
      </w:r>
      <w:r>
        <w:rPr>
          <w:rFonts w:hint="default" w:ascii="Times New Roman" w:hAnsi="Times New Roman" w:eastAsia="仿宋_GB2312" w:cs="Times New Roman"/>
          <w:sz w:val="32"/>
          <w:szCs w:val="32"/>
        </w:rPr>
        <w:t>项目立项符合国家法律法规和相关政策要求，与</w:t>
      </w:r>
      <w:r>
        <w:rPr>
          <w:rFonts w:hint="default" w:ascii="Times New Roman" w:hAnsi="Times New Roman" w:eastAsia="仿宋_GB2312" w:cs="Times New Roman"/>
          <w:sz w:val="32"/>
          <w:szCs w:val="32"/>
          <w:lang w:eastAsia="zh-CN"/>
        </w:rPr>
        <w:t>社会工作部</w:t>
      </w:r>
      <w:r>
        <w:rPr>
          <w:rFonts w:hint="default" w:ascii="Times New Roman" w:hAnsi="Times New Roman" w:eastAsia="仿宋_GB2312" w:cs="Times New Roman"/>
          <w:sz w:val="32"/>
          <w:szCs w:val="32"/>
        </w:rPr>
        <w:t>职责密切相关，是加强基层组织建设、保障和改善民生的重要举措。</w:t>
      </w:r>
      <w:r>
        <w:rPr>
          <w:rFonts w:hint="default" w:ascii="Times New Roman" w:hAnsi="Times New Roman" w:eastAsia="仿宋_GB2312" w:cs="Times New Roman"/>
          <w:sz w:val="32"/>
          <w:szCs w:val="32"/>
          <w:lang w:eastAsia="zh-CN"/>
        </w:rPr>
        <w:t>资金投向</w:t>
      </w:r>
      <w:r>
        <w:rPr>
          <w:rFonts w:hint="default" w:ascii="Times New Roman" w:hAnsi="Times New Roman" w:eastAsia="仿宋_GB2312" w:cs="Times New Roman"/>
          <w:sz w:val="32"/>
          <w:szCs w:val="32"/>
        </w:rPr>
        <w:t>设定清晰、合理，指标值可衡量，与年度工作任务和预算资金相匹配。</w:t>
      </w:r>
      <w:r>
        <w:rPr>
          <w:rFonts w:hint="default" w:ascii="Times New Roman" w:hAnsi="Times New Roman" w:eastAsia="仿宋_GB2312" w:cs="Times New Roman"/>
          <w:sz w:val="32"/>
          <w:szCs w:val="32"/>
          <w:lang w:val="en-US" w:eastAsia="zh-CN"/>
        </w:rPr>
        <w:t>综上所述，该指标自评得分18分。</w:t>
      </w:r>
    </w:p>
    <w:p w14:paraId="03FC46DC">
      <w:pPr>
        <w:spacing w:line="578" w:lineRule="exact"/>
        <w:ind w:firstLine="64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2.项目管理。</w:t>
      </w:r>
      <w:r>
        <w:rPr>
          <w:rFonts w:hint="default" w:ascii="Times New Roman" w:hAnsi="Times New Roman" w:eastAsia="仿宋_GB2312" w:cs="Times New Roman"/>
          <w:sz w:val="32"/>
          <w:szCs w:val="32"/>
        </w:rPr>
        <w:t>项目资金纳入年初预算，来源为财政拨款。资金拨付程序规范，到位及时。资金使用严格执行财务管理制度和专项资金管理办法，实行专账核算，专款专用，确保了资金安全。补助对象由个人申报、村</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初审、镇</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审核，并进行公示，确保公开、公平、公正。</w:t>
      </w:r>
      <w:r>
        <w:rPr>
          <w:rFonts w:hint="default" w:ascii="Times New Roman" w:hAnsi="Times New Roman" w:eastAsia="仿宋_GB2312" w:cs="Times New Roman"/>
          <w:sz w:val="32"/>
          <w:szCs w:val="32"/>
          <w:lang w:val="en-US" w:eastAsia="zh-CN"/>
        </w:rPr>
        <w:t>综上所述，该指标自评得分18分。</w:t>
      </w:r>
    </w:p>
    <w:p w14:paraId="73E4DD5C">
      <w:pPr>
        <w:spacing w:line="578" w:lineRule="exact"/>
        <w:ind w:firstLine="64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3.项目实施。</w:t>
      </w:r>
      <w:r>
        <w:rPr>
          <w:rFonts w:hint="default" w:ascii="Times New Roman" w:hAnsi="Times New Roman" w:eastAsia="仿宋_GB2312" w:cs="Times New Roman"/>
          <w:sz w:val="32"/>
          <w:szCs w:val="32"/>
          <w:lang w:eastAsia="zh-CN"/>
        </w:rPr>
        <w:t>离职</w:t>
      </w:r>
      <w:r>
        <w:rPr>
          <w:rFonts w:hint="default" w:ascii="Times New Roman" w:hAnsi="Times New Roman" w:eastAsia="仿宋_GB2312" w:cs="Times New Roman"/>
          <w:sz w:val="32"/>
          <w:szCs w:val="32"/>
        </w:rPr>
        <w:t>村干部补贴</w:t>
      </w:r>
      <w:r>
        <w:rPr>
          <w:rFonts w:hint="default" w:ascii="Times New Roman" w:hAnsi="Times New Roman" w:eastAsia="仿宋_GB2312" w:cs="Times New Roman"/>
          <w:sz w:val="32"/>
          <w:szCs w:val="32"/>
          <w:lang w:eastAsia="zh-CN"/>
        </w:rPr>
        <w:t>发放</w:t>
      </w:r>
      <w:r>
        <w:rPr>
          <w:rFonts w:hint="default" w:ascii="Times New Roman" w:hAnsi="Times New Roman" w:eastAsia="仿宋_GB2312" w:cs="Times New Roman"/>
          <w:sz w:val="32"/>
          <w:szCs w:val="32"/>
        </w:rPr>
        <w:t>完成</w:t>
      </w:r>
      <w:r>
        <w:rPr>
          <w:rFonts w:hint="default" w:ascii="Times New Roman" w:hAnsi="Times New Roman" w:eastAsia="仿宋_GB2312" w:cs="Times New Roman"/>
          <w:sz w:val="32"/>
          <w:szCs w:val="32"/>
          <w:lang w:eastAsia="zh-CN"/>
        </w:rPr>
        <w:t>完成率</w:t>
      </w:r>
      <w:r>
        <w:rPr>
          <w:rFonts w:hint="default" w:ascii="Times New Roman" w:hAnsi="Times New Roman" w:eastAsia="仿宋_GB2312" w:cs="Times New Roman"/>
          <w:sz w:val="32"/>
          <w:szCs w:val="32"/>
        </w:rPr>
        <w:t>100%补贴发放准确率100%，所有发放对象均符合政策规定，发放标准准确无误。补贴资金均按规定时间发放到位，发放及时率达到100%。严格按照政策规定的补助标准执行，未出现超标准或降低标准发放的情况。</w:t>
      </w:r>
      <w:r>
        <w:rPr>
          <w:rFonts w:hint="default" w:ascii="Times New Roman" w:hAnsi="Times New Roman" w:eastAsia="仿宋_GB2312" w:cs="Times New Roman"/>
          <w:sz w:val="32"/>
          <w:szCs w:val="32"/>
          <w:lang w:val="en-US" w:eastAsia="zh-CN"/>
        </w:rPr>
        <w:t>综上所述，该指标自评得分9分。</w:t>
      </w:r>
    </w:p>
    <w:p w14:paraId="1940DF32">
      <w:pPr>
        <w:spacing w:line="578" w:lineRule="exact"/>
        <w:ind w:firstLine="64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4.项目结果。</w:t>
      </w:r>
      <w:r>
        <w:rPr>
          <w:rFonts w:hint="default" w:ascii="Times New Roman" w:hAnsi="Times New Roman" w:eastAsia="仿宋_GB2312" w:cs="Times New Roman"/>
          <w:sz w:val="32"/>
          <w:szCs w:val="32"/>
          <w:lang w:eastAsia="zh-CN"/>
        </w:rPr>
        <w:t>按时足额完成离职村干部补贴发放，</w:t>
      </w:r>
      <w:r>
        <w:rPr>
          <w:rFonts w:hint="default" w:ascii="Times New Roman" w:hAnsi="Times New Roman" w:eastAsia="仿宋_GB2312" w:cs="Times New Roman"/>
          <w:sz w:val="32"/>
          <w:szCs w:val="32"/>
        </w:rPr>
        <w:t>有效保障了</w:t>
      </w:r>
      <w:r>
        <w:rPr>
          <w:rFonts w:hint="default" w:ascii="Times New Roman" w:hAnsi="Times New Roman" w:eastAsia="仿宋_GB2312" w:cs="Times New Roman"/>
          <w:sz w:val="32"/>
          <w:szCs w:val="32"/>
          <w:lang w:eastAsia="zh-CN"/>
        </w:rPr>
        <w:t>离职</w:t>
      </w:r>
      <w:r>
        <w:rPr>
          <w:rFonts w:hint="default" w:ascii="Times New Roman" w:hAnsi="Times New Roman" w:eastAsia="仿宋_GB2312" w:cs="Times New Roman"/>
          <w:sz w:val="32"/>
          <w:szCs w:val="32"/>
        </w:rPr>
        <w:t>村干部的基本生活，解决了他们的后顾之忧，体现了党和政府的关怀，增强了基层组织的向心力和凝聚力，对维护农村社会稳定、促进民族团结、构建和谐社会起到了积极作用。通过对部分</w:t>
      </w:r>
      <w:r>
        <w:rPr>
          <w:rFonts w:hint="default" w:ascii="Times New Roman" w:hAnsi="Times New Roman" w:eastAsia="仿宋_GB2312" w:cs="Times New Roman"/>
          <w:sz w:val="32"/>
          <w:szCs w:val="32"/>
          <w:lang w:eastAsia="zh-CN"/>
        </w:rPr>
        <w:t>离职</w:t>
      </w:r>
      <w:r>
        <w:rPr>
          <w:rFonts w:hint="default" w:ascii="Times New Roman" w:hAnsi="Times New Roman" w:eastAsia="仿宋_GB2312" w:cs="Times New Roman"/>
          <w:sz w:val="32"/>
          <w:szCs w:val="32"/>
        </w:rPr>
        <w:t>村干部的走访和电话回访，他们对党和政府的关怀表示感谢，对补贴发放工作满意度较高，达到了预期目标。</w:t>
      </w:r>
      <w:r>
        <w:rPr>
          <w:rFonts w:hint="default" w:ascii="Times New Roman" w:hAnsi="Times New Roman" w:eastAsia="仿宋_GB2312" w:cs="Times New Roman"/>
          <w:sz w:val="32"/>
          <w:szCs w:val="32"/>
          <w:lang w:val="en-US" w:eastAsia="zh-CN"/>
        </w:rPr>
        <w:t>综上所述，该指标自评得分9分。</w:t>
      </w:r>
    </w:p>
    <w:p w14:paraId="39BEFAAE">
      <w:pPr>
        <w:spacing w:line="578" w:lineRule="exact"/>
        <w:ind w:firstLine="643" w:firstLineChars="200"/>
        <w:rPr>
          <w:rFonts w:hint="default" w:ascii="Times New Roman" w:hAnsi="Times New Roman" w:eastAsia="楷体_GB2312" w:cs="Times New Roman"/>
          <w:sz w:val="32"/>
          <w:szCs w:val="32"/>
          <w:lang w:val="zh-CN"/>
        </w:rPr>
      </w:pPr>
      <w:r>
        <w:rPr>
          <w:rFonts w:hint="default" w:ascii="Times New Roman" w:hAnsi="Times New Roman" w:eastAsia="楷体_GB2312" w:cs="Times New Roman"/>
          <w:b/>
          <w:sz w:val="32"/>
          <w:szCs w:val="32"/>
          <w:lang w:val="zh-CN"/>
        </w:rPr>
        <w:t>（二）</w:t>
      </w:r>
      <w:r>
        <w:rPr>
          <w:rFonts w:hint="default" w:ascii="Times New Roman" w:hAnsi="Times New Roman" w:eastAsia="楷体_GB2312" w:cs="Times New Roman"/>
          <w:b/>
          <w:sz w:val="32"/>
          <w:szCs w:val="32"/>
        </w:rPr>
        <w:t>专用指标</w:t>
      </w:r>
      <w:r>
        <w:rPr>
          <w:rFonts w:hint="default" w:ascii="Times New Roman" w:hAnsi="Times New Roman" w:eastAsia="楷体_GB2312" w:cs="Times New Roman"/>
          <w:b/>
          <w:bCs/>
          <w:color w:val="000000"/>
          <w:kern w:val="0"/>
          <w:sz w:val="32"/>
          <w:szCs w:val="32"/>
          <w:shd w:val="clear" w:color="auto" w:fill="FFFFFF"/>
          <w:lang w:val="zh-CN"/>
        </w:rPr>
        <w:t>绩效分析。</w:t>
      </w:r>
    </w:p>
    <w:p w14:paraId="24CE20BC">
      <w:pPr>
        <w:spacing w:line="578"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1.产业发展（30分）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349B8922">
      <w:pPr>
        <w:spacing w:line="578"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w:t>
      </w:r>
      <w:r>
        <w:rPr>
          <w:rFonts w:hint="eastAsia" w:ascii="楷体_GB2312" w:hAnsi="楷体_GB2312" w:eastAsia="楷体_GB2312" w:cs="楷体_GB2312"/>
          <w:sz w:val="32"/>
          <w:szCs w:val="32"/>
          <w:lang w:val="zh-CN"/>
        </w:rPr>
        <w:t>民生保障</w:t>
      </w:r>
      <w:r>
        <w:rPr>
          <w:rFonts w:hint="eastAsia" w:ascii="楷体_GB2312" w:hAnsi="楷体_GB2312" w:eastAsia="楷体_GB2312" w:cs="楷体_GB2312"/>
          <w:sz w:val="32"/>
          <w:szCs w:val="32"/>
        </w:rPr>
        <w:t>（30分）</w:t>
      </w:r>
    </w:p>
    <w:p w14:paraId="1DC747E0">
      <w:pPr>
        <w:spacing w:line="578"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3.基础设施（30分）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12636932">
      <w:pPr>
        <w:spacing w:line="578" w:lineRule="exact"/>
        <w:ind w:firstLine="640" w:firstLineChars="200"/>
        <w:rPr>
          <w:rFonts w:eastAsia="仿宋_GB2312"/>
          <w:sz w:val="32"/>
          <w:szCs w:val="32"/>
        </w:rPr>
      </w:pPr>
      <w:r>
        <w:rPr>
          <w:rFonts w:hint="eastAsia" w:ascii="楷体_GB2312" w:hAnsi="楷体_GB2312" w:eastAsia="楷体_GB2312" w:cs="楷体_GB2312"/>
          <w:sz w:val="32"/>
          <w:szCs w:val="32"/>
        </w:rPr>
        <w:t>4.</w:t>
      </w:r>
      <w:r>
        <w:rPr>
          <w:rFonts w:hint="eastAsia" w:ascii="楷体_GB2312" w:hAnsi="楷体_GB2312" w:eastAsia="楷体_GB2312" w:cs="楷体_GB2312"/>
          <w:sz w:val="32"/>
          <w:szCs w:val="32"/>
          <w:lang w:val="zh-CN"/>
        </w:rPr>
        <w:t>行政运转</w:t>
      </w:r>
      <w:r>
        <w:rPr>
          <w:rFonts w:hint="eastAsia" w:ascii="楷体_GB2312" w:hAnsi="楷体_GB2312" w:eastAsia="楷体_GB2312" w:cs="楷体_GB2312"/>
          <w:sz w:val="32"/>
          <w:szCs w:val="32"/>
        </w:rPr>
        <w:t>（30分）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24A923CF">
      <w:pPr>
        <w:spacing w:line="578" w:lineRule="exact"/>
        <w:ind w:firstLine="640" w:firstLineChars="200"/>
        <w:rPr>
          <w:rFonts w:hint="default" w:ascii="Times New Roman" w:hAnsi="Times New Roman" w:eastAsia="楷体_GB2312" w:cs="Times New Roman"/>
          <w:sz w:val="32"/>
          <w:szCs w:val="32"/>
        </w:rPr>
      </w:pPr>
      <w:r>
        <w:rPr>
          <w:rFonts w:hint="eastAsia" w:ascii="楷体_GB2312" w:hAnsi="楷体_GB2312" w:eastAsia="楷体_GB2312" w:cs="楷体_GB2312"/>
          <w:sz w:val="32"/>
          <w:szCs w:val="32"/>
          <w:lang w:val="zh-CN"/>
        </w:rPr>
        <w:t>民生保障：</w:t>
      </w:r>
      <w:r>
        <w:rPr>
          <w:rFonts w:hint="default" w:ascii="Times New Roman" w:hAnsi="Times New Roman" w:eastAsia="仿宋_GB2312" w:cs="Times New Roman"/>
          <w:sz w:val="32"/>
          <w:szCs w:val="32"/>
        </w:rPr>
        <w:t>通过严格的“个人申报、村级初审、镇</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审核、公示监督”审核机制，确保了补助对象的精准识别</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保障范围精准覆盖政策规定的所有对象。补助标准根据任职年限长短分档确定，体现了对不同贡献程度干部的差异化关怀，符合公平与激励相结合的原则。能够有效改善</w:t>
      </w:r>
      <w:r>
        <w:rPr>
          <w:rFonts w:hint="default" w:ascii="Times New Roman" w:hAnsi="Times New Roman" w:eastAsia="仿宋_GB2312" w:cs="Times New Roman"/>
          <w:sz w:val="32"/>
          <w:szCs w:val="32"/>
          <w:lang w:eastAsia="zh-CN"/>
        </w:rPr>
        <w:t>离职</w:t>
      </w:r>
      <w:r>
        <w:rPr>
          <w:rFonts w:hint="default" w:ascii="Times New Roman" w:hAnsi="Times New Roman" w:eastAsia="仿宋_GB2312" w:cs="Times New Roman"/>
          <w:sz w:val="32"/>
          <w:szCs w:val="32"/>
        </w:rPr>
        <w:t>村干部的基本生活条件，具有较强的针对性和合理性。年度</w:t>
      </w:r>
      <w:r>
        <w:rPr>
          <w:rFonts w:hint="default" w:ascii="Times New Roman" w:hAnsi="Times New Roman" w:eastAsia="仿宋_GB2312" w:cs="Times New Roman"/>
          <w:sz w:val="32"/>
          <w:szCs w:val="32"/>
          <w:lang w:eastAsia="zh-CN"/>
        </w:rPr>
        <w:t>离职村干部</w:t>
      </w:r>
      <w:r>
        <w:rPr>
          <w:rFonts w:hint="default" w:ascii="Times New Roman" w:hAnsi="Times New Roman" w:eastAsia="仿宋_GB2312" w:cs="Times New Roman"/>
          <w:sz w:val="32"/>
          <w:szCs w:val="32"/>
        </w:rPr>
        <w:t>补贴资金均在规定时限内发放到位，发放及时率达到100%，有效保障了补助对象的生活所需，未出现因资金拨付延迟影响群众生活的情况。</w:t>
      </w:r>
      <w:r>
        <w:rPr>
          <w:rFonts w:hint="default" w:ascii="Times New Roman" w:hAnsi="Times New Roman" w:eastAsia="仿宋_GB2312" w:cs="Times New Roman"/>
          <w:sz w:val="32"/>
          <w:szCs w:val="32"/>
          <w:lang w:val="en-US" w:eastAsia="zh-CN"/>
        </w:rPr>
        <w:t>综上所述，该指标自评得分26分。</w:t>
      </w:r>
    </w:p>
    <w:p w14:paraId="02ACAB3E">
      <w:pPr>
        <w:numPr>
          <w:ilvl w:val="0"/>
          <w:numId w:val="0"/>
        </w:numPr>
        <w:spacing w:line="578" w:lineRule="exact"/>
        <w:ind w:firstLine="643" w:firstLineChars="200"/>
        <w:rPr>
          <w:rFonts w:hint="default" w:ascii="Times New Roman" w:hAnsi="Times New Roman" w:eastAsia="仿宋_GB2312" w:cs="Times New Roman"/>
          <w:sz w:val="32"/>
          <w:szCs w:val="32"/>
          <w:lang w:val="zh-CN"/>
        </w:rPr>
      </w:pPr>
      <w:r>
        <w:rPr>
          <w:rFonts w:hint="default" w:ascii="Times New Roman" w:hAnsi="Times New Roman" w:eastAsia="楷体_GB2312" w:cs="Times New Roman"/>
          <w:b/>
          <w:sz w:val="32"/>
          <w:szCs w:val="32"/>
          <w:lang w:val="zh-CN"/>
        </w:rPr>
        <w:t>（三）</w:t>
      </w:r>
      <w:r>
        <w:rPr>
          <w:rFonts w:hint="default" w:ascii="Times New Roman" w:hAnsi="Times New Roman" w:eastAsia="楷体_GB2312" w:cs="Times New Roman"/>
          <w:b/>
          <w:sz w:val="32"/>
          <w:szCs w:val="32"/>
        </w:rPr>
        <w:t>个性指标</w:t>
      </w:r>
      <w:r>
        <w:rPr>
          <w:rFonts w:hint="default" w:ascii="Times New Roman" w:hAnsi="Times New Roman" w:eastAsia="楷体_GB2312" w:cs="Times New Roman"/>
          <w:b/>
          <w:sz w:val="32"/>
          <w:szCs w:val="32"/>
          <w:lang w:val="zh-CN"/>
        </w:rPr>
        <w:t>绩效分析。</w:t>
      </w:r>
    </w:p>
    <w:p w14:paraId="362D1CED">
      <w:pPr>
        <w:numPr>
          <w:ilvl w:val="0"/>
          <w:numId w:val="0"/>
        </w:numPr>
        <w:spacing w:line="578"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精准认定补助对象，严格按照程序规范，及时足额发放补贴，</w:t>
      </w:r>
      <w:r>
        <w:rPr>
          <w:rFonts w:hint="default" w:ascii="Times New Roman" w:hAnsi="Times New Roman" w:eastAsia="仿宋_GB2312" w:cs="Times New Roman"/>
          <w:sz w:val="32"/>
          <w:szCs w:val="32"/>
          <w:lang w:val="zh-CN"/>
        </w:rPr>
        <w:t>不仅保障了</w:t>
      </w:r>
      <w:r>
        <w:rPr>
          <w:rFonts w:hint="default" w:ascii="Times New Roman" w:hAnsi="Times New Roman" w:eastAsia="仿宋_GB2312" w:cs="Times New Roman"/>
          <w:sz w:val="32"/>
          <w:szCs w:val="32"/>
          <w:lang w:eastAsia="zh-CN"/>
        </w:rPr>
        <w:t>离职</w:t>
      </w:r>
      <w:r>
        <w:rPr>
          <w:rFonts w:hint="default" w:ascii="Times New Roman" w:hAnsi="Times New Roman" w:eastAsia="仿宋_GB2312" w:cs="Times New Roman"/>
          <w:sz w:val="32"/>
          <w:szCs w:val="32"/>
          <w:lang w:val="zh-CN"/>
        </w:rPr>
        <w:t>村干部个人生活，更增强了他们对党和政府的认同感和归属感，间接促进了基层社会的和谐稳定。据各镇反馈，获得补贴的</w:t>
      </w:r>
      <w:r>
        <w:rPr>
          <w:rFonts w:hint="default" w:ascii="Times New Roman" w:hAnsi="Times New Roman" w:eastAsia="仿宋_GB2312" w:cs="Times New Roman"/>
          <w:sz w:val="32"/>
          <w:szCs w:val="32"/>
          <w:lang w:eastAsia="zh-CN"/>
        </w:rPr>
        <w:t>离职</w:t>
      </w:r>
      <w:r>
        <w:rPr>
          <w:rFonts w:hint="default" w:ascii="Times New Roman" w:hAnsi="Times New Roman" w:eastAsia="仿宋_GB2312" w:cs="Times New Roman"/>
          <w:sz w:val="32"/>
          <w:szCs w:val="32"/>
          <w:lang w:val="zh-CN"/>
        </w:rPr>
        <w:t>村干部积极参与村务监督、矛盾调解等工作，成为维护稳定的重要力量。</w:t>
      </w:r>
      <w:r>
        <w:rPr>
          <w:rFonts w:hint="default" w:ascii="Times New Roman" w:hAnsi="Times New Roman" w:eastAsia="仿宋_GB2312" w:cs="Times New Roman"/>
          <w:sz w:val="32"/>
          <w:szCs w:val="32"/>
          <w:lang w:val="en-US" w:eastAsia="zh-CN"/>
        </w:rPr>
        <w:t>综上所述，该指标自评得分16分。</w:t>
      </w:r>
    </w:p>
    <w:p w14:paraId="64D29B03">
      <w:pPr>
        <w:widowControl/>
        <w:spacing w:line="600" w:lineRule="exact"/>
        <w:ind w:firstLine="640" w:firstLineChars="200"/>
        <w:jc w:val="left"/>
        <w:rPr>
          <w:rFonts w:hint="default" w:ascii="Times New Roman" w:hAnsi="Times New Roman" w:eastAsia="黑体" w:cs="Times New Roman"/>
          <w:kern w:val="0"/>
          <w:position w:val="3"/>
          <w:sz w:val="32"/>
          <w:szCs w:val="32"/>
          <w:lang w:val="en-US" w:eastAsia="en-US" w:bidi="ar-SA"/>
        </w:rPr>
      </w:pPr>
      <w:r>
        <w:rPr>
          <w:rFonts w:hint="default" w:ascii="Times New Roman" w:hAnsi="Times New Roman" w:eastAsia="黑体" w:cs="Times New Roman"/>
          <w:kern w:val="0"/>
          <w:position w:val="3"/>
          <w:sz w:val="32"/>
          <w:szCs w:val="32"/>
          <w:lang w:val="en-US" w:eastAsia="zh-CN" w:bidi="ar-SA"/>
        </w:rPr>
        <w:t>四</w:t>
      </w:r>
      <w:r>
        <w:rPr>
          <w:rFonts w:hint="default" w:ascii="Times New Roman" w:hAnsi="Times New Roman" w:eastAsia="黑体" w:cs="Times New Roman"/>
          <w:kern w:val="0"/>
          <w:position w:val="3"/>
          <w:sz w:val="32"/>
          <w:szCs w:val="32"/>
          <w:lang w:val="en-US" w:eastAsia="en-US" w:bidi="ar-SA"/>
        </w:rPr>
        <w:t>、评价结论</w:t>
      </w:r>
    </w:p>
    <w:p w14:paraId="42F63020">
      <w:pPr>
        <w:widowControl/>
        <w:spacing w:line="600" w:lineRule="exact"/>
        <w:ind w:firstLine="640" w:firstLineChars="200"/>
        <w:jc w:val="left"/>
        <w:rPr>
          <w:rFonts w:hint="default" w:ascii="Times New Roman" w:hAnsi="Times New Roman" w:eastAsia="黑体" w:cs="Times New Roman"/>
          <w:kern w:val="2"/>
          <w:position w:val="0"/>
          <w:sz w:val="32"/>
          <w:szCs w:val="32"/>
          <w:lang w:val="en-US" w:eastAsia="zh-CN" w:bidi="ar-SA"/>
        </w:rPr>
      </w:pPr>
      <w:r>
        <w:rPr>
          <w:rFonts w:hint="default" w:ascii="Times New Roman" w:hAnsi="Times New Roman" w:eastAsia="仿宋_GB2312" w:cs="Times New Roman"/>
          <w:kern w:val="0"/>
          <w:position w:val="3"/>
          <w:sz w:val="32"/>
          <w:szCs w:val="32"/>
          <w:lang w:val="zh-CN" w:eastAsia="en-US" w:bidi="ar-SA"/>
        </w:rPr>
        <w:t>综上所述，“</w:t>
      </w:r>
      <w:r>
        <w:rPr>
          <w:rFonts w:hint="default" w:ascii="Times New Roman" w:hAnsi="Times New Roman" w:eastAsia="仿宋_GB2312" w:cs="Times New Roman"/>
          <w:kern w:val="0"/>
          <w:position w:val="3"/>
          <w:sz w:val="32"/>
          <w:szCs w:val="32"/>
          <w:lang w:val="zh-CN" w:eastAsia="zh-CN" w:bidi="ar-SA"/>
        </w:rPr>
        <w:t>离职</w:t>
      </w:r>
      <w:r>
        <w:rPr>
          <w:rFonts w:hint="default" w:ascii="Times New Roman" w:hAnsi="Times New Roman" w:eastAsia="仿宋_GB2312" w:cs="Times New Roman"/>
          <w:kern w:val="0"/>
          <w:position w:val="3"/>
          <w:sz w:val="32"/>
          <w:szCs w:val="32"/>
          <w:lang w:val="zh-CN" w:eastAsia="en-US" w:bidi="ar-SA"/>
        </w:rPr>
        <w:t>村干部生活补贴”项目</w:t>
      </w:r>
      <w:r>
        <w:rPr>
          <w:rFonts w:hint="default" w:ascii="Times New Roman" w:hAnsi="Times New Roman" w:eastAsia="仿宋_GB2312" w:cs="Times New Roman"/>
          <w:kern w:val="0"/>
          <w:position w:val="3"/>
          <w:sz w:val="32"/>
          <w:szCs w:val="32"/>
          <w:lang w:val="en-US" w:eastAsia="zh-CN" w:bidi="ar-SA"/>
        </w:rPr>
        <w:t>绩效自评总得分为96分（满分100分），评价等次为“优秀”。项目</w:t>
      </w:r>
      <w:r>
        <w:rPr>
          <w:rFonts w:hint="default" w:ascii="Times New Roman" w:hAnsi="Times New Roman" w:eastAsia="仿宋_GB2312" w:cs="Times New Roman"/>
          <w:kern w:val="0"/>
          <w:position w:val="3"/>
          <w:sz w:val="32"/>
          <w:szCs w:val="32"/>
          <w:lang w:val="zh-CN" w:eastAsia="en-US" w:bidi="ar-SA"/>
        </w:rPr>
        <w:t>决策科学、管理规范、实施顺利、成效显著，较好地完成了年度绩效目标，资金使用合规高效，社会效益明显。</w:t>
      </w:r>
    </w:p>
    <w:p w14:paraId="32AAFD72">
      <w:pPr>
        <w:widowControl/>
        <w:numPr>
          <w:ilvl w:val="0"/>
          <w:numId w:val="6"/>
        </w:numPr>
        <w:spacing w:line="600" w:lineRule="exact"/>
        <w:ind w:firstLine="640" w:firstLineChars="200"/>
        <w:jc w:val="left"/>
        <w:rPr>
          <w:rFonts w:hint="default" w:ascii="Times New Roman" w:hAnsi="Times New Roman" w:eastAsia="黑体" w:cs="Times New Roman"/>
          <w:kern w:val="0"/>
          <w:position w:val="3"/>
          <w:sz w:val="32"/>
          <w:szCs w:val="32"/>
          <w:lang w:val="en-US" w:eastAsia="zh-CN" w:bidi="ar-SA"/>
        </w:rPr>
      </w:pPr>
      <w:r>
        <w:rPr>
          <w:rFonts w:hint="default" w:ascii="Times New Roman" w:hAnsi="Times New Roman" w:eastAsia="黑体" w:cs="Times New Roman"/>
          <w:kern w:val="0"/>
          <w:position w:val="3"/>
          <w:sz w:val="32"/>
          <w:szCs w:val="32"/>
          <w:lang w:val="en-US" w:eastAsia="zh-CN" w:bidi="ar-SA"/>
        </w:rPr>
        <w:t>存在主要问题</w:t>
      </w:r>
    </w:p>
    <w:p w14:paraId="0A9E6761">
      <w:pPr>
        <w:widowControl/>
        <w:spacing w:line="600" w:lineRule="exact"/>
        <w:ind w:firstLine="640" w:firstLineChars="200"/>
        <w:jc w:val="left"/>
        <w:rPr>
          <w:rFonts w:hint="default" w:ascii="Times New Roman" w:hAnsi="Times New Roman" w:eastAsia="仿宋_GB2312" w:cs="Times New Roman"/>
          <w:kern w:val="0"/>
          <w:position w:val="3"/>
          <w:sz w:val="32"/>
          <w:szCs w:val="32"/>
          <w:lang w:val="zh-CN" w:eastAsia="zh-CN" w:bidi="ar-SA"/>
        </w:rPr>
      </w:pPr>
      <w:r>
        <w:rPr>
          <w:rFonts w:hint="default" w:ascii="Times New Roman" w:hAnsi="Times New Roman" w:eastAsia="仿宋_GB2312" w:cs="Times New Roman"/>
          <w:kern w:val="0"/>
          <w:position w:val="3"/>
          <w:sz w:val="32"/>
          <w:szCs w:val="32"/>
          <w:lang w:val="zh-CN" w:eastAsia="zh-CN" w:bidi="ar-SA"/>
        </w:rPr>
        <w:t>无</w:t>
      </w:r>
    </w:p>
    <w:p w14:paraId="566B9CC2">
      <w:pPr>
        <w:widowControl/>
        <w:spacing w:line="600" w:lineRule="exact"/>
        <w:ind w:firstLine="640" w:firstLineChars="200"/>
        <w:jc w:val="left"/>
        <w:rPr>
          <w:rFonts w:hint="default" w:ascii="Times New Roman" w:hAnsi="Times New Roman" w:eastAsia="黑体" w:cs="Times New Roman"/>
          <w:kern w:val="0"/>
          <w:position w:val="3"/>
          <w:sz w:val="32"/>
          <w:szCs w:val="32"/>
          <w:lang w:val="zh-CN" w:eastAsia="zh-CN" w:bidi="ar-SA"/>
        </w:rPr>
      </w:pPr>
      <w:r>
        <w:rPr>
          <w:rFonts w:hint="default" w:ascii="Times New Roman" w:hAnsi="Times New Roman" w:eastAsia="黑体" w:cs="Times New Roman"/>
          <w:kern w:val="0"/>
          <w:position w:val="3"/>
          <w:sz w:val="32"/>
          <w:szCs w:val="32"/>
          <w:lang w:val="zh-CN" w:eastAsia="zh-CN" w:bidi="ar-SA"/>
        </w:rPr>
        <w:t>六、改进建议</w:t>
      </w:r>
    </w:p>
    <w:p w14:paraId="461A7750">
      <w:pPr>
        <w:keepNext w:val="0"/>
        <w:keepLines w:val="0"/>
        <w:pageBreakBefore w:val="0"/>
        <w:widowControl w:val="0"/>
        <w:tabs>
          <w:tab w:val="left" w:pos="1911"/>
        </w:tabs>
        <w:kinsoku/>
        <w:wordWrap/>
        <w:overflowPunct/>
        <w:topLinePunct w:val="0"/>
        <w:autoSpaceDE/>
        <w:autoSpaceDN/>
        <w:bidi w:val="0"/>
        <w:adjustRightInd/>
        <w:spacing w:line="560" w:lineRule="exact"/>
        <w:ind w:firstLine="640" w:firstLineChars="200"/>
        <w:jc w:val="left"/>
        <w:textAlignment w:val="auto"/>
        <w:rPr>
          <w:rFonts w:ascii="Times New Roman" w:eastAsia="黑体"/>
          <w:szCs w:val="24"/>
        </w:rPr>
      </w:pPr>
      <w:r>
        <w:rPr>
          <w:rFonts w:hint="default" w:ascii="Times New Roman" w:hAnsi="Times New Roman" w:eastAsia="仿宋_GB2312" w:cs="Times New Roman"/>
          <w:kern w:val="0"/>
          <w:position w:val="3"/>
          <w:sz w:val="32"/>
          <w:szCs w:val="32"/>
          <w:lang w:val="zh-CN" w:eastAsia="zh-CN" w:bidi="ar-SA"/>
        </w:rPr>
        <w:t>无</w:t>
      </w:r>
    </w:p>
    <w:p w14:paraId="46134AAE">
      <w:pPr>
        <w:widowControl/>
        <w:spacing w:line="578" w:lineRule="exact"/>
        <w:jc w:val="center"/>
        <w:textAlignment w:val="center"/>
        <w:rPr>
          <w:rFonts w:eastAsia="方正小标宋简体"/>
          <w:color w:val="000000"/>
          <w:kern w:val="0"/>
          <w:sz w:val="44"/>
          <w:szCs w:val="44"/>
        </w:rPr>
      </w:pPr>
    </w:p>
    <w:p w14:paraId="629F42C6">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14:paraId="7AF8A0C2">
      <w:pPr>
        <w:widowControl/>
        <w:spacing w:line="578" w:lineRule="exact"/>
        <w:jc w:val="center"/>
        <w:textAlignment w:val="center"/>
        <w:rPr>
          <w:rFonts w:eastAsia="方正小标宋简体"/>
          <w:color w:val="000000"/>
          <w:kern w:val="0"/>
          <w:szCs w:val="32"/>
        </w:rPr>
      </w:pPr>
      <w:r>
        <w:rPr>
          <w:rFonts w:eastAsia="方正小标宋简体"/>
          <w:color w:val="000000"/>
          <w:kern w:val="0"/>
          <w:szCs w:val="32"/>
        </w:rPr>
        <w:t>（202</w:t>
      </w:r>
      <w:r>
        <w:rPr>
          <w:rFonts w:hint="eastAsia" w:eastAsia="方正小标宋简体"/>
          <w:color w:val="000000"/>
          <w:kern w:val="0"/>
          <w:szCs w:val="32"/>
        </w:rPr>
        <w:t>5</w:t>
      </w:r>
      <w:r>
        <w:rPr>
          <w:rFonts w:eastAsia="方正小标宋简体"/>
          <w:color w:val="000000"/>
          <w:kern w:val="0"/>
          <w:szCs w:val="32"/>
        </w:rPr>
        <w:t>年度）</w:t>
      </w:r>
    </w:p>
    <w:tbl>
      <w:tblPr>
        <w:tblStyle w:val="18"/>
        <w:tblW w:w="103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8"/>
        <w:gridCol w:w="1309"/>
        <w:gridCol w:w="1836"/>
        <w:gridCol w:w="2720"/>
        <w:gridCol w:w="1113"/>
        <w:gridCol w:w="545"/>
        <w:gridCol w:w="486"/>
        <w:gridCol w:w="1718"/>
      </w:tblGrid>
      <w:tr w14:paraId="71B41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03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A7830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CB08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C41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4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DC1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51322125T000013081498-离任村干部补贴</w:t>
            </w:r>
          </w:p>
        </w:tc>
      </w:tr>
      <w:tr w14:paraId="5A7F6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BBD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A4D72">
            <w:pPr>
              <w:rPr>
                <w:rFonts w:hint="eastAsia" w:ascii="宋体" w:hAnsi="宋体" w:eastAsia="宋体" w:cs="宋体"/>
                <w:i w:val="0"/>
                <w:iCs w:val="0"/>
                <w:color w:val="000000"/>
                <w:sz w:val="18"/>
                <w:szCs w:val="18"/>
                <w:u w:val="none"/>
              </w:rPr>
            </w:pPr>
          </w:p>
        </w:tc>
        <w:tc>
          <w:tcPr>
            <w:tcW w:w="1116" w:type="dxa"/>
            <w:tcBorders>
              <w:top w:val="nil"/>
              <w:left w:val="nil"/>
              <w:bottom w:val="nil"/>
              <w:right w:val="nil"/>
            </w:tcBorders>
            <w:shd w:val="clear" w:color="auto" w:fill="auto"/>
            <w:vAlign w:val="center"/>
          </w:tcPr>
          <w:p w14:paraId="5287530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044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中共汶川县委社会工作部</w:t>
            </w:r>
          </w:p>
        </w:tc>
      </w:tr>
      <w:tr w14:paraId="4ACFB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85D0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387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C0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8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85336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388B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36273">
            <w:pPr>
              <w:rPr>
                <w:rFonts w:hint="eastAsia" w:ascii="宋体" w:hAnsi="宋体" w:eastAsia="宋体" w:cs="宋体"/>
                <w:i w:val="0"/>
                <w:iCs w:val="0"/>
                <w:color w:val="000000"/>
                <w:sz w:val="18"/>
                <w:szCs w:val="18"/>
                <w:u w:val="none"/>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BB13D">
            <w:pPr>
              <w:rPr>
                <w:rFonts w:hint="eastAsia" w:ascii="宋体" w:hAnsi="宋体" w:eastAsia="宋体" w:cs="宋体"/>
                <w:i w:val="0"/>
                <w:iCs w:val="0"/>
                <w:color w:val="000000"/>
                <w:sz w:val="18"/>
                <w:szCs w:val="18"/>
                <w:u w:val="none"/>
              </w:rPr>
            </w:pPr>
          </w:p>
        </w:tc>
        <w:tc>
          <w:tcPr>
            <w:tcW w:w="4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ADC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离任村干部补贴发放标准为：连续9年或累计12年及以下365元/人/月，连续9年或累计12年以上每满1届（3年）增加40元。2025年有离村干部431人2633700元。</w:t>
            </w:r>
          </w:p>
        </w:tc>
        <w:tc>
          <w:tcPr>
            <w:tcW w:w="38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ECB6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顺利完成离任村干部发放，保障了离任村干部的生活补助</w:t>
            </w:r>
          </w:p>
        </w:tc>
      </w:tr>
      <w:tr w14:paraId="0F1A2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A45B4">
            <w:pPr>
              <w:rPr>
                <w:rFonts w:hint="eastAsia" w:ascii="宋体" w:hAnsi="宋体" w:eastAsia="宋体" w:cs="宋体"/>
                <w:i w:val="0"/>
                <w:iCs w:val="0"/>
                <w:color w:val="000000"/>
                <w:sz w:val="18"/>
                <w:szCs w:val="18"/>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1E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41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F93D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离任村干部补贴发放标准为：连续9年或累计12年及以下365元/人/月，连续9年或累计12年以上每满1届（3年）增加40元。2025年有离村干部431人2633700元。 其中:365元/月104人x12月=455520元; 405元/月72人x12月=349920元; 445元/月52人x12月=277680元; 485元/月35人x12月=203700元; 525元/月37人x12月=233100元; 565元/月24人x12月=162720元; 605元/月18人x12月=130680元; 645元/月14人x12月=108360元; 685元/月20人x12月=164400元; 725元/月15人x12月=130500元; 765元/月8人x12月=73440元; 805元/月7人x12月=67620元; 845元/月5人x12月=50700元; 885元/月5人x12月=53100元; 925元/月3人x12月=33300元; 965元/月12人x12月=138960元</w:t>
            </w:r>
          </w:p>
        </w:tc>
      </w:tr>
      <w:tr w14:paraId="6BF4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B3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0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1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B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7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F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9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A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8CA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BA8B5">
            <w:pPr>
              <w:jc w:val="center"/>
              <w:rPr>
                <w:rFonts w:hint="eastAsia" w:ascii="宋体" w:hAnsi="宋体" w:eastAsia="宋体" w:cs="宋体"/>
                <w:i w:val="0"/>
                <w:iCs w:val="0"/>
                <w:color w:val="000000"/>
                <w:sz w:val="18"/>
                <w:szCs w:val="18"/>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6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2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263.37</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B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243.32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8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A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2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C2F1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F6A9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B5050">
            <w:pPr>
              <w:jc w:val="center"/>
              <w:rPr>
                <w:rFonts w:hint="eastAsia" w:ascii="宋体" w:hAnsi="宋体" w:eastAsia="宋体" w:cs="宋体"/>
                <w:i w:val="0"/>
                <w:iCs w:val="0"/>
                <w:color w:val="000000"/>
                <w:sz w:val="18"/>
                <w:szCs w:val="18"/>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9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0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263.37</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4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243.32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82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9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2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27C9D">
            <w:pPr>
              <w:rPr>
                <w:rFonts w:hint="eastAsia" w:ascii="黑体" w:hAnsi="黑体" w:eastAsia="黑体" w:cs="黑体"/>
                <w:i/>
                <w:iCs/>
                <w:color w:val="000000"/>
                <w:sz w:val="18"/>
                <w:szCs w:val="18"/>
                <w:u w:val="none"/>
              </w:rPr>
            </w:pPr>
          </w:p>
        </w:tc>
      </w:tr>
      <w:tr w14:paraId="7CE54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8EE7F">
            <w:pPr>
              <w:jc w:val="center"/>
              <w:rPr>
                <w:rFonts w:hint="eastAsia" w:ascii="宋体" w:hAnsi="宋体" w:eastAsia="宋体" w:cs="宋体"/>
                <w:i w:val="0"/>
                <w:iCs w:val="0"/>
                <w:color w:val="000000"/>
                <w:sz w:val="18"/>
                <w:szCs w:val="18"/>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2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A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6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A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F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2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4A76A">
            <w:pPr>
              <w:rPr>
                <w:rFonts w:hint="eastAsia" w:ascii="黑体" w:hAnsi="黑体" w:eastAsia="黑体" w:cs="黑体"/>
                <w:i/>
                <w:iCs/>
                <w:color w:val="000000"/>
                <w:sz w:val="18"/>
                <w:szCs w:val="18"/>
                <w:u w:val="none"/>
              </w:rPr>
            </w:pPr>
          </w:p>
        </w:tc>
      </w:tr>
      <w:tr w14:paraId="777E4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088C5">
            <w:pPr>
              <w:jc w:val="center"/>
              <w:rPr>
                <w:rFonts w:hint="eastAsia" w:ascii="宋体" w:hAnsi="宋体" w:eastAsia="宋体" w:cs="宋体"/>
                <w:i w:val="0"/>
                <w:iCs w:val="0"/>
                <w:color w:val="000000"/>
                <w:sz w:val="18"/>
                <w:szCs w:val="18"/>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7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7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1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8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E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3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C841D">
            <w:pPr>
              <w:rPr>
                <w:rFonts w:hint="eastAsia" w:ascii="黑体" w:hAnsi="黑体" w:eastAsia="黑体" w:cs="黑体"/>
                <w:i/>
                <w:iCs/>
                <w:color w:val="000000"/>
                <w:sz w:val="18"/>
                <w:szCs w:val="18"/>
                <w:u w:val="none"/>
              </w:rPr>
            </w:pPr>
          </w:p>
        </w:tc>
      </w:tr>
      <w:tr w14:paraId="484E5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F77C5">
            <w:pPr>
              <w:jc w:val="center"/>
              <w:rPr>
                <w:rFonts w:hint="eastAsia" w:ascii="宋体" w:hAnsi="宋体" w:eastAsia="宋体" w:cs="宋体"/>
                <w:i w:val="0"/>
                <w:iCs w:val="0"/>
                <w:color w:val="000000"/>
                <w:sz w:val="18"/>
                <w:szCs w:val="18"/>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E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7489">
            <w:pPr>
              <w:jc w:val="center"/>
              <w:rPr>
                <w:rFonts w:hint="eastAsia" w:ascii="微软雅黑" w:hAnsi="微软雅黑" w:eastAsia="微软雅黑" w:cs="微软雅黑"/>
                <w:i/>
                <w:iCs/>
                <w:color w:val="000000"/>
                <w:sz w:val="16"/>
                <w:szCs w:val="16"/>
                <w:u w:val="none"/>
              </w:rPr>
            </w:pP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E054">
            <w:pPr>
              <w:jc w:val="center"/>
              <w:rPr>
                <w:rFonts w:hint="eastAsia" w:ascii="微软雅黑" w:hAnsi="微软雅黑" w:eastAsia="微软雅黑" w:cs="微软雅黑"/>
                <w:i/>
                <w:iCs/>
                <w:color w:val="000000"/>
                <w:sz w:val="16"/>
                <w:szCs w:val="16"/>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10F7">
            <w:pPr>
              <w:jc w:val="center"/>
              <w:rPr>
                <w:rFonts w:hint="eastAsia" w:ascii="微软雅黑" w:hAnsi="微软雅黑" w:eastAsia="微软雅黑" w:cs="微软雅黑"/>
                <w:i/>
                <w:iCs/>
                <w:color w:val="000000"/>
                <w:sz w:val="16"/>
                <w:szCs w:val="16"/>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E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7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019AA">
            <w:pPr>
              <w:rPr>
                <w:rFonts w:hint="eastAsia" w:ascii="黑体" w:hAnsi="黑体" w:eastAsia="黑体" w:cs="黑体"/>
                <w:i/>
                <w:iCs/>
                <w:color w:val="000000"/>
                <w:sz w:val="18"/>
                <w:szCs w:val="18"/>
                <w:u w:val="none"/>
              </w:rPr>
            </w:pPr>
          </w:p>
        </w:tc>
      </w:tr>
      <w:tr w14:paraId="3A9A6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21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B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9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3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2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B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E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3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99D0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714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4C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E8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03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年底之前</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65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F6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9D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C057">
            <w:pPr>
              <w:jc w:val="center"/>
              <w:rPr>
                <w:rFonts w:hint="eastAsia" w:ascii="宋体" w:hAnsi="宋体" w:eastAsia="宋体" w:cs="宋体"/>
                <w:i w:val="0"/>
                <w:iCs w:val="0"/>
                <w:color w:val="000000"/>
                <w:sz w:val="18"/>
                <w:szCs w:val="18"/>
                <w:u w:val="none"/>
              </w:rPr>
            </w:pPr>
          </w:p>
        </w:tc>
      </w:tr>
      <w:tr w14:paraId="32FF4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7AAA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0D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05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4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按标准发放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0A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11E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F5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D90E">
            <w:pPr>
              <w:jc w:val="center"/>
              <w:rPr>
                <w:rFonts w:hint="eastAsia" w:ascii="微软雅黑" w:hAnsi="微软雅黑" w:eastAsia="微软雅黑" w:cs="微软雅黑"/>
                <w:i/>
                <w:iCs/>
                <w:color w:val="000000"/>
                <w:sz w:val="16"/>
                <w:szCs w:val="16"/>
                <w:u w:val="none"/>
              </w:rPr>
            </w:pPr>
          </w:p>
        </w:tc>
      </w:tr>
      <w:tr w14:paraId="01EA7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63D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CA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4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C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补贴人数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A5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BE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1E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5DA9">
            <w:pPr>
              <w:jc w:val="center"/>
              <w:rPr>
                <w:rFonts w:hint="eastAsia" w:ascii="微软雅黑" w:hAnsi="微软雅黑" w:eastAsia="微软雅黑" w:cs="微软雅黑"/>
                <w:i/>
                <w:iCs/>
                <w:color w:val="000000"/>
                <w:sz w:val="16"/>
                <w:szCs w:val="16"/>
                <w:u w:val="none"/>
              </w:rPr>
            </w:pPr>
          </w:p>
        </w:tc>
      </w:tr>
      <w:tr w14:paraId="349B5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474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69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23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2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村干部满意度提升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E4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357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86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376E">
            <w:pPr>
              <w:jc w:val="center"/>
              <w:rPr>
                <w:rFonts w:hint="eastAsia" w:ascii="微软雅黑" w:hAnsi="微软雅黑" w:eastAsia="微软雅黑" w:cs="微软雅黑"/>
                <w:i/>
                <w:iCs/>
                <w:color w:val="000000"/>
                <w:sz w:val="16"/>
                <w:szCs w:val="16"/>
                <w:u w:val="none"/>
              </w:rPr>
            </w:pPr>
          </w:p>
        </w:tc>
      </w:tr>
      <w:tr w14:paraId="2F3C8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AD9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6C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9A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97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离任村干部补贴体系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009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日渐完善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C71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5A0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249D">
            <w:pPr>
              <w:jc w:val="center"/>
              <w:rPr>
                <w:rFonts w:hint="eastAsia" w:ascii="微软雅黑" w:hAnsi="微软雅黑" w:eastAsia="微软雅黑" w:cs="微软雅黑"/>
                <w:i/>
                <w:iCs/>
                <w:color w:val="000000"/>
                <w:sz w:val="16"/>
                <w:szCs w:val="16"/>
                <w:u w:val="none"/>
              </w:rPr>
            </w:pPr>
          </w:p>
        </w:tc>
      </w:tr>
      <w:tr w14:paraId="754CE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3D2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5D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20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BF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离任村干部满意度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33A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7F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9A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4063">
            <w:pPr>
              <w:jc w:val="center"/>
              <w:rPr>
                <w:rFonts w:hint="eastAsia" w:ascii="微软雅黑" w:hAnsi="微软雅黑" w:eastAsia="微软雅黑" w:cs="微软雅黑"/>
                <w:i/>
                <w:iCs/>
                <w:color w:val="000000"/>
                <w:sz w:val="16"/>
                <w:szCs w:val="16"/>
                <w:u w:val="none"/>
              </w:rPr>
            </w:pPr>
          </w:p>
        </w:tc>
      </w:tr>
      <w:tr w14:paraId="30850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0C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E8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B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2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3BE4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EA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44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EA1E">
            <w:pPr>
              <w:jc w:val="center"/>
              <w:rPr>
                <w:rFonts w:hint="eastAsia" w:ascii="微软雅黑" w:hAnsi="微软雅黑" w:eastAsia="微软雅黑" w:cs="微软雅黑"/>
                <w:i/>
                <w:iCs/>
                <w:color w:val="000000"/>
                <w:sz w:val="16"/>
                <w:szCs w:val="16"/>
                <w:u w:val="none"/>
              </w:rPr>
            </w:pPr>
          </w:p>
        </w:tc>
      </w:tr>
      <w:tr w14:paraId="04060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6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79E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61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CC21">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A0F91">
            <w:pPr>
              <w:rPr>
                <w:rFonts w:hint="eastAsia" w:ascii="宋体" w:hAnsi="宋体" w:eastAsia="宋体" w:cs="宋体"/>
                <w:i w:val="0"/>
                <w:iCs w:val="0"/>
                <w:color w:val="000000"/>
                <w:sz w:val="18"/>
                <w:szCs w:val="18"/>
                <w:u w:val="none"/>
              </w:rPr>
            </w:pPr>
          </w:p>
        </w:tc>
      </w:tr>
      <w:tr w14:paraId="7BA52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1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7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D510C3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严格执行严相关政策，保障离任村干部补贴，足额发放，项目自评100分。</w:t>
            </w:r>
          </w:p>
        </w:tc>
      </w:tr>
      <w:tr w14:paraId="376E5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0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7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7D7BD0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261D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6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72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6353D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bl>
    <w:p w14:paraId="4909D1E5">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p>
    <w:p w14:paraId="054D6C47">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p>
    <w:p w14:paraId="7C6078B6">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p>
    <w:p w14:paraId="7D1C6002">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p>
    <w:p w14:paraId="43207517">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p>
    <w:p w14:paraId="0421E806">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p>
    <w:p w14:paraId="7D6ED421">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p>
    <w:p w14:paraId="300F3F4F">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p>
    <w:p w14:paraId="3461D820">
      <w:pPr>
        <w:widowControl w:val="0"/>
        <w:spacing w:line="578" w:lineRule="exact"/>
        <w:jc w:val="both"/>
        <w:rPr>
          <w:rFonts w:hint="eastAsia" w:ascii="Times New Roman" w:hAnsi="Times New Roman" w:eastAsia="方正小标宋简体" w:cs="Times New Roman"/>
          <w:color w:val="auto"/>
          <w:kern w:val="2"/>
          <w:sz w:val="44"/>
          <w:szCs w:val="44"/>
          <w:lang w:val="en-US" w:eastAsia="zh-CN"/>
        </w:rPr>
      </w:pPr>
    </w:p>
    <w:p w14:paraId="29113F8E">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r>
        <w:rPr>
          <w:rFonts w:hint="eastAsia" w:ascii="Times New Roman" w:hAnsi="Times New Roman" w:eastAsia="方正小标宋简体" w:cs="Times New Roman"/>
          <w:color w:val="auto"/>
          <w:kern w:val="2"/>
          <w:sz w:val="44"/>
          <w:szCs w:val="44"/>
          <w:lang w:val="en-US" w:eastAsia="zh-CN"/>
        </w:rPr>
        <w:t>中共汶川县委社会工作部</w:t>
      </w:r>
    </w:p>
    <w:p w14:paraId="139A94C8">
      <w:pPr>
        <w:widowControl w:val="0"/>
        <w:spacing w:line="578" w:lineRule="exact"/>
        <w:jc w:val="center"/>
        <w:rPr>
          <w:rFonts w:hint="eastAsia" w:ascii="Times New Roman" w:hAnsi="Times New Roman" w:eastAsia="方正小标宋简体" w:cs="Times New Roman"/>
          <w:color w:val="auto"/>
          <w:kern w:val="2"/>
          <w:sz w:val="44"/>
          <w:szCs w:val="44"/>
          <w:lang w:val="en-US" w:eastAsia="zh-CN"/>
        </w:rPr>
      </w:pPr>
      <w:r>
        <w:rPr>
          <w:rFonts w:hint="eastAsia" w:ascii="Times New Roman" w:hAnsi="Times New Roman" w:eastAsia="方正小标宋简体" w:cs="Times New Roman"/>
          <w:color w:val="auto"/>
          <w:kern w:val="2"/>
          <w:sz w:val="44"/>
          <w:szCs w:val="44"/>
          <w:lang w:val="en-US" w:eastAsia="zh-CN"/>
        </w:rPr>
        <w:t>重点工作经费</w:t>
      </w:r>
      <w:r>
        <w:rPr>
          <w:rFonts w:ascii="Times New Roman" w:hAnsi="Times New Roman" w:eastAsia="方正小标宋简体" w:cs="Times New Roman"/>
          <w:color w:val="auto"/>
          <w:kern w:val="2"/>
          <w:sz w:val="44"/>
          <w:szCs w:val="44"/>
          <w:lang w:val="en-US" w:eastAsia="zh-CN"/>
        </w:rPr>
        <w:t>专项</w:t>
      </w:r>
      <w:r>
        <w:rPr>
          <w:rFonts w:hint="eastAsia" w:ascii="Times New Roman" w:hAnsi="Times New Roman" w:eastAsia="方正小标宋简体" w:cs="Times New Roman"/>
          <w:color w:val="auto"/>
          <w:kern w:val="2"/>
          <w:sz w:val="44"/>
          <w:szCs w:val="44"/>
          <w:lang w:val="en-US" w:eastAsia="zh-CN"/>
        </w:rPr>
        <w:t>资金专项</w:t>
      </w:r>
      <w:r>
        <w:rPr>
          <w:rFonts w:ascii="Times New Roman" w:hAnsi="Times New Roman" w:eastAsia="方正小标宋简体" w:cs="Times New Roman"/>
          <w:color w:val="auto"/>
          <w:kern w:val="2"/>
          <w:sz w:val="44"/>
          <w:szCs w:val="44"/>
          <w:lang w:val="en-US" w:eastAsia="zh-CN"/>
        </w:rPr>
        <w:t>预算</w:t>
      </w:r>
      <w:r>
        <w:rPr>
          <w:rFonts w:hint="eastAsia" w:ascii="Times New Roman" w:hAnsi="Times New Roman" w:eastAsia="方正小标宋简体" w:cs="Times New Roman"/>
          <w:color w:val="auto"/>
          <w:kern w:val="2"/>
          <w:sz w:val="44"/>
          <w:szCs w:val="44"/>
          <w:lang w:val="en-US" w:eastAsia="zh-CN"/>
        </w:rPr>
        <w:t>项目</w:t>
      </w:r>
    </w:p>
    <w:p w14:paraId="7F7D1890">
      <w:pPr>
        <w:widowControl w:val="0"/>
        <w:spacing w:line="578" w:lineRule="exact"/>
        <w:jc w:val="center"/>
        <w:rPr>
          <w:rFonts w:ascii="Times New Roman" w:hAnsi="Times New Roman" w:eastAsia="方正小标宋简体" w:cs="Times New Roman"/>
          <w:color w:val="auto"/>
          <w:kern w:val="2"/>
          <w:sz w:val="44"/>
          <w:szCs w:val="44"/>
          <w:lang w:val="en-US" w:eastAsia="zh-CN"/>
        </w:rPr>
      </w:pPr>
      <w:r>
        <w:rPr>
          <w:rFonts w:ascii="Times New Roman" w:hAnsi="Times New Roman" w:eastAsia="方正小标宋简体" w:cs="Times New Roman"/>
          <w:color w:val="auto"/>
          <w:kern w:val="2"/>
          <w:sz w:val="44"/>
          <w:szCs w:val="44"/>
          <w:lang w:val="en-US" w:eastAsia="zh-CN"/>
        </w:rPr>
        <w:t>绩效自评报告</w:t>
      </w:r>
    </w:p>
    <w:p w14:paraId="15723310">
      <w:pPr>
        <w:adjustRightInd w:val="0"/>
        <w:snapToGrid w:val="0"/>
        <w:spacing w:line="578" w:lineRule="exact"/>
        <w:ind w:firstLine="640" w:firstLineChars="200"/>
        <w:rPr>
          <w:rFonts w:ascii="Times New Roman" w:hAnsi="Times New Roman" w:eastAsia="黑体" w:cs="Times New Roman"/>
          <w:kern w:val="2"/>
          <w:sz w:val="32"/>
          <w:szCs w:val="32"/>
          <w:lang w:val="zh-CN" w:eastAsia="zh-CN" w:bidi="ar-SA"/>
        </w:rPr>
      </w:pPr>
      <w:r>
        <w:rPr>
          <w:rFonts w:ascii="Times New Roman" w:hAnsi="Times New Roman" w:eastAsia="黑体" w:cs="Times New Roman"/>
          <w:kern w:val="2"/>
          <w:sz w:val="32"/>
          <w:szCs w:val="32"/>
          <w:lang w:val="en-US" w:eastAsia="zh-CN" w:bidi="ar-SA"/>
        </w:rPr>
        <w:t>一、</w:t>
      </w:r>
      <w:r>
        <w:rPr>
          <w:rFonts w:ascii="Times New Roman" w:hAnsi="Times New Roman" w:eastAsia="黑体" w:cs="Times New Roman"/>
          <w:kern w:val="2"/>
          <w:sz w:val="32"/>
          <w:szCs w:val="32"/>
          <w:lang w:val="zh-CN" w:eastAsia="zh-CN" w:bidi="ar-SA"/>
        </w:rPr>
        <w:t>项目概况</w:t>
      </w:r>
    </w:p>
    <w:p w14:paraId="08560F9C">
      <w:pPr>
        <w:adjustRightInd w:val="0"/>
        <w:snapToGrid w:val="0"/>
        <w:spacing w:line="578" w:lineRule="exact"/>
        <w:ind w:firstLine="640" w:firstLineChars="200"/>
        <w:rPr>
          <w:rFonts w:hint="default" w:ascii="Times New Roman" w:hAnsi="Times New Roman" w:eastAsia="黑体" w:cs="Times New Roman"/>
          <w:kern w:val="2"/>
          <w:sz w:val="32"/>
          <w:szCs w:val="32"/>
          <w:lang w:val="zh-CN" w:eastAsia="zh-CN" w:bidi="ar-SA"/>
        </w:rPr>
      </w:pPr>
      <w:r>
        <w:rPr>
          <w:rFonts w:ascii="Times New Roman" w:hAnsi="Times New Roman" w:eastAsia="黑体" w:cs="Times New Roman"/>
          <w:kern w:val="2"/>
          <w:sz w:val="32"/>
          <w:szCs w:val="32"/>
          <w:lang w:val="zh-CN" w:eastAsia="zh-CN" w:bidi="ar-SA"/>
        </w:rPr>
        <w:t>（一）设立背景及基本情况。</w:t>
      </w:r>
      <w:r>
        <w:rPr>
          <w:rFonts w:hint="default" w:ascii="Times New Roman" w:hAnsi="Times New Roman" w:eastAsia="方正仿宋_GBK" w:cs="Times New Roman"/>
          <w:color w:val="auto"/>
          <w:kern w:val="2"/>
          <w:sz w:val="32"/>
          <w:szCs w:val="32"/>
          <w:lang w:val="zh-CN" w:eastAsia="zh-CN" w:bidi="ar-SA"/>
        </w:rPr>
        <w:t>为深入贯彻党中央关于加强基层治理、推进社会工作高质量发展的决策部署，落实上级部门关于社会工作宣传、民生诉求响应、党建引领基层治理、志愿服务体系建设及新就业群体服务保障的工作要求，依据《中华人民共和国预算法》、县级财政专项经费管理相关规定，设立社会工作部重点工作经费项目。本项目为社会工作核心运转类专项经费，主管部门为 社会工作部，主要承担社会工作宣传宣讲、人民意见建议征集、党建引领基层治理和基层政权建设、志愿服务组织实施、新就业群体服务阵地建设提升等重点工作的日常运行保障，确保各项社会工作任务有序推进、落地见效，全面提升辖区社会工作服务质效与民生保障水平。</w:t>
      </w:r>
    </w:p>
    <w:p w14:paraId="4EFAB1F8">
      <w:pPr>
        <w:adjustRightInd w:val="0"/>
        <w:snapToGrid w:val="0"/>
        <w:spacing w:line="578" w:lineRule="exact"/>
        <w:ind w:firstLine="640" w:firstLineChars="200"/>
        <w:rPr>
          <w:rFonts w:hint="default" w:ascii="Times New Roman" w:hAnsi="Times New Roman" w:eastAsia="方正仿宋_GBK" w:cs="Times New Roman"/>
          <w:color w:val="auto"/>
          <w:kern w:val="2"/>
          <w:sz w:val="32"/>
          <w:szCs w:val="32"/>
          <w:lang w:val="zh-CN" w:eastAsia="zh-CN" w:bidi="ar-SA"/>
        </w:rPr>
      </w:pPr>
      <w:r>
        <w:rPr>
          <w:rFonts w:ascii="Times New Roman" w:hAnsi="Times New Roman" w:eastAsia="黑体" w:cs="Times New Roman"/>
          <w:kern w:val="2"/>
          <w:sz w:val="32"/>
          <w:szCs w:val="32"/>
          <w:lang w:val="zh-CN" w:eastAsia="zh-CN" w:bidi="ar-SA"/>
        </w:rPr>
        <w:t>（二）实施目的及支持方向。</w:t>
      </w:r>
      <w:r>
        <w:rPr>
          <w:rFonts w:hint="default" w:ascii="Times New Roman" w:hAnsi="Times New Roman" w:eastAsia="方正仿宋_GBK" w:cs="Times New Roman"/>
          <w:color w:val="auto"/>
          <w:kern w:val="2"/>
          <w:sz w:val="32"/>
          <w:szCs w:val="32"/>
          <w:lang w:val="zh-CN" w:eastAsia="zh-CN" w:bidi="ar-SA"/>
        </w:rPr>
        <w:t>本项目实施的主要目的是</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zh-CN" w:eastAsia="zh-CN" w:bidi="ar-SA"/>
        </w:rPr>
        <w:t>聚焦社会工作主责主业，强化政策宣传引导，畅通民意诉求渠道，夯实党建引领基层治理根基，健全志愿服务体系，优化新就业群体服务保障，全面提升社会工作专业化、规范化水平，兜牢民生服务底线，促进社会和谐稳定。</w:t>
      </w:r>
    </w:p>
    <w:p w14:paraId="50C7387B">
      <w:pPr>
        <w:adjustRightInd w:val="0"/>
        <w:snapToGrid w:val="0"/>
        <w:spacing w:line="578" w:lineRule="exact"/>
        <w:ind w:firstLine="640" w:firstLineChars="200"/>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主要工作任务：开展社会工作政策法规及服务内容宣传宣讲；系统收集、整理、反馈人民意见建议；推进党建引领基层治理机制完善与基层政权建设；组织开展常态化及节点性志愿服务活动；打造新就业群体服务示范阵地，完善服务设施与功能。聚焦五大核心方向：一是社会工作宣传宣讲，提升政策知晓率与群众参与度；二是人民意见建议征集，保障群众诉求表达与权益维护；三是党建引领基层治理和基层政权建设，强化基层治理组织保障；四是志愿服务体系建设，丰富服务内容与活动形式；五是新就业群体服务阵地建设提升，优化新就业群体服务体验。确保各项重点工作 “资金到位、执行到位、成效到位”。</w:t>
      </w:r>
    </w:p>
    <w:p w14:paraId="2950D184">
      <w:pPr>
        <w:keepNext w:val="0"/>
        <w:keepLines w:val="0"/>
        <w:pageBreakBefore w:val="0"/>
        <w:widowControl/>
        <w:kinsoku/>
        <w:wordWrap/>
        <w:overflowPunct/>
        <w:topLinePunct w:val="0"/>
        <w:autoSpaceDE/>
        <w:autoSpaceDN/>
        <w:bidi w:val="0"/>
        <w:adjustRightInd/>
        <w:spacing w:line="560" w:lineRule="exact"/>
        <w:ind w:left="0" w:leftChars="0" w:firstLine="643" w:firstLineChars="20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楷体_GB2312" w:cs="Times New Roman"/>
          <w:b/>
          <w:sz w:val="32"/>
          <w:lang w:val="zh-CN" w:eastAsia="zh-CN"/>
        </w:rPr>
        <w:t>（三）预算安排及分配管理。</w:t>
      </w:r>
      <w:r>
        <w:rPr>
          <w:rFonts w:ascii="Calibri" w:hAnsi="Calibri" w:eastAsia="楷体_GB2312" w:cs="Times New Roman"/>
          <w:sz w:val="32"/>
        </w:rPr>
        <w:t>申</w:t>
      </w:r>
      <w:r>
        <w:rPr>
          <w:rFonts w:hint="default" w:ascii="Times New Roman" w:hAnsi="Times New Roman" w:eastAsia="方正仿宋_GBK" w:cs="Times New Roman"/>
          <w:color w:val="auto"/>
          <w:kern w:val="2"/>
          <w:sz w:val="32"/>
          <w:szCs w:val="32"/>
          <w:lang w:val="zh-CN" w:eastAsia="zh-CN" w:bidi="ar-SA"/>
        </w:rPr>
        <w:t>报项目预算金额为 40万元，资金来源为财政资金，其中财政资金 40 万元，自有资金 0 万元。资金分配严格遵循 “按需分配、</w:t>
      </w:r>
      <w:r>
        <w:rPr>
          <w:rFonts w:hint="default" w:ascii="Times New Roman" w:hAnsi="Times New Roman" w:eastAsia="黑体" w:cs="Times New Roman"/>
          <w:kern w:val="2"/>
          <w:sz w:val="32"/>
          <w:szCs w:val="32"/>
          <w:lang w:val="zh-CN" w:eastAsia="zh-CN" w:bidi="ar-SA"/>
        </w:rPr>
        <w:t>重点倾斜、专款专用” 原则。资金一次性下达至项目单位，由单位根据重点</w:t>
      </w:r>
      <w:r>
        <w:rPr>
          <w:rFonts w:hint="default" w:ascii="Times New Roman" w:hAnsi="Times New Roman" w:eastAsia="方正仿宋_GBK" w:cs="Times New Roman"/>
          <w:color w:val="auto"/>
          <w:kern w:val="2"/>
          <w:sz w:val="32"/>
          <w:szCs w:val="32"/>
          <w:lang w:val="zh-CN" w:eastAsia="zh-CN" w:bidi="ar-SA"/>
        </w:rPr>
        <w:t>工作开展，按财务管理规定支付使用。</w:t>
      </w:r>
    </w:p>
    <w:p w14:paraId="09C91870">
      <w:pPr>
        <w:adjustRightInd w:val="0"/>
        <w:snapToGrid w:val="0"/>
        <w:spacing w:line="578" w:lineRule="exact"/>
        <w:ind w:firstLine="643" w:firstLineChars="200"/>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楷体_GB2312" w:cs="Times New Roman"/>
          <w:b/>
          <w:kern w:val="0"/>
          <w:sz w:val="32"/>
          <w:szCs w:val="20"/>
          <w:lang w:val="zh-CN" w:eastAsia="zh-CN"/>
        </w:rPr>
        <w:t>（四）项目绩效目标设置。</w:t>
      </w:r>
      <w:r>
        <w:rPr>
          <w:rFonts w:hint="default" w:ascii="Times New Roman" w:hAnsi="Times New Roman" w:eastAsia="方正仿宋_GBK" w:cs="Times New Roman"/>
          <w:color w:val="auto"/>
          <w:kern w:val="2"/>
          <w:sz w:val="32"/>
          <w:szCs w:val="32"/>
          <w:lang w:val="zh-CN" w:eastAsia="zh-CN" w:bidi="ar-SA"/>
        </w:rPr>
        <w:t>项目整体绩效目标是按时、保质、保量完成</w:t>
      </w:r>
      <w:r>
        <w:rPr>
          <w:rFonts w:hint="eastAsia" w:ascii="Times New Roman" w:hAnsi="Times New Roman" w:eastAsia="方正仿宋_GBK" w:cs="Times New Roman"/>
          <w:color w:val="auto"/>
          <w:kern w:val="2"/>
          <w:sz w:val="32"/>
          <w:szCs w:val="32"/>
          <w:lang w:val="en-US" w:eastAsia="zh-CN" w:bidi="ar-SA"/>
        </w:rPr>
        <w:t>重点工作</w:t>
      </w:r>
      <w:r>
        <w:rPr>
          <w:rFonts w:hint="default" w:ascii="Times New Roman" w:hAnsi="Times New Roman" w:eastAsia="方正仿宋_GBK" w:cs="Times New Roman"/>
          <w:color w:val="auto"/>
          <w:kern w:val="2"/>
          <w:sz w:val="32"/>
          <w:szCs w:val="32"/>
          <w:lang w:val="zh-CN" w:eastAsia="zh-CN" w:bidi="ar-SA"/>
        </w:rPr>
        <w:t>各项工作，确保单位在预定时间</w:t>
      </w:r>
      <w:r>
        <w:rPr>
          <w:rFonts w:hint="eastAsia" w:ascii="Times New Roman" w:hAnsi="Times New Roman" w:eastAsia="方正仿宋_GBK" w:cs="Times New Roman"/>
          <w:color w:val="auto"/>
          <w:kern w:val="2"/>
          <w:sz w:val="32"/>
          <w:szCs w:val="32"/>
          <w:lang w:val="en-US" w:eastAsia="zh-CN" w:bidi="ar-SA"/>
        </w:rPr>
        <w:t>完成各项重点工作任务</w:t>
      </w:r>
      <w:r>
        <w:rPr>
          <w:rFonts w:hint="eastAsia" w:ascii="Times New Roman" w:hAnsi="Times New Roman" w:eastAsia="方正仿宋_GBK" w:cs="Times New Roman"/>
          <w:color w:val="auto"/>
          <w:kern w:val="2"/>
          <w:sz w:val="32"/>
          <w:szCs w:val="32"/>
          <w:lang w:val="zh-CN" w:eastAsia="zh-CN" w:bidi="ar-SA"/>
        </w:rPr>
        <w:t>。</w:t>
      </w:r>
    </w:p>
    <w:p w14:paraId="3AD5F834">
      <w:pPr>
        <w:adjustRightInd w:val="0"/>
        <w:snapToGrid w:val="0"/>
        <w:spacing w:line="578" w:lineRule="exact"/>
        <w:ind w:firstLine="640" w:firstLineChars="200"/>
        <w:rPr>
          <w:rFonts w:ascii="Times New Roman" w:hAnsi="Times New Roman" w:eastAsia="黑体" w:cs="Times New Roman"/>
          <w:kern w:val="2"/>
          <w:sz w:val="32"/>
          <w:szCs w:val="32"/>
          <w:lang w:val="en-US" w:eastAsia="zh-CN" w:bidi="ar-SA"/>
        </w:rPr>
      </w:pPr>
      <w:r>
        <w:rPr>
          <w:rFonts w:ascii="Times New Roman" w:hAnsi="Times New Roman" w:eastAsia="黑体" w:cs="Times New Roman"/>
          <w:kern w:val="2"/>
          <w:sz w:val="32"/>
          <w:szCs w:val="32"/>
          <w:lang w:val="en-US" w:eastAsia="zh-CN" w:bidi="ar-SA"/>
        </w:rPr>
        <w:t>二、评价实施</w:t>
      </w:r>
    </w:p>
    <w:p w14:paraId="51F3E8CA">
      <w:pPr>
        <w:adjustRightInd w:val="0"/>
        <w:snapToGrid w:val="0"/>
        <w:spacing w:line="578" w:lineRule="exact"/>
        <w:ind w:firstLine="643" w:firstLineChars="200"/>
        <w:rPr>
          <w:rFonts w:hint="eastAsia" w:ascii="Times New Roman" w:hAnsi="Times New Roman" w:eastAsia="方正仿宋_GBK" w:cs="Times New Roman"/>
          <w:color w:val="auto"/>
          <w:kern w:val="2"/>
          <w:sz w:val="32"/>
          <w:szCs w:val="32"/>
          <w:lang w:val="zh-CN" w:eastAsia="zh-CN" w:bidi="ar-SA"/>
        </w:rPr>
      </w:pPr>
      <w:r>
        <w:rPr>
          <w:rFonts w:ascii="Times New Roman" w:hAnsi="Times New Roman" w:eastAsia="楷体_GB2312" w:cs="Times New Roman"/>
          <w:b/>
          <w:kern w:val="2"/>
          <w:sz w:val="32"/>
          <w:szCs w:val="32"/>
          <w:lang w:val="zh-CN" w:eastAsia="zh-CN" w:bidi="ar-SA"/>
        </w:rPr>
        <w:t>（一）评价目的。</w:t>
      </w:r>
      <w:r>
        <w:rPr>
          <w:rFonts w:hint="default" w:ascii="Times New Roman" w:hAnsi="Times New Roman" w:eastAsia="方正仿宋_GBK" w:cs="Times New Roman"/>
          <w:color w:val="auto"/>
          <w:kern w:val="2"/>
          <w:sz w:val="32"/>
          <w:szCs w:val="32"/>
          <w:lang w:val="zh-CN" w:eastAsia="zh-CN" w:bidi="ar-SA"/>
        </w:rPr>
        <w:t>本次绩效自评旨在全面检验“单位重点工作经费”项目资金使用的经济性、效率性、效益性和规范性。通过系统评价，衡量项目是否达到预期绩效目标，总结项目管理经验，发现资金使用和项目实施过程中存在的问题，为加强财政资金管理、提高预算编制科学性和未来类似项目绩效管理提供依据。</w:t>
      </w:r>
    </w:p>
    <w:p w14:paraId="1BE206E1">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eastAsia" w:ascii="Times New Roman" w:hAnsi="Times New Roman" w:eastAsia="方正仿宋_GBK" w:cs="Times New Roman"/>
          <w:color w:val="auto"/>
          <w:kern w:val="2"/>
          <w:sz w:val="32"/>
          <w:szCs w:val="32"/>
          <w:lang w:val="zh-CN" w:eastAsia="zh-CN" w:bidi="ar-SA"/>
        </w:rPr>
      </w:pPr>
      <w:r>
        <w:rPr>
          <w:rFonts w:hint="eastAsia" w:ascii="Times New Roman" w:hAnsi="Times New Roman" w:eastAsia="楷体_GB2312" w:cs="Times New Roman"/>
          <w:b/>
          <w:kern w:val="2"/>
          <w:sz w:val="32"/>
          <w:szCs w:val="32"/>
          <w:lang w:val="zh-CN" w:eastAsia="zh-CN" w:bidi="ar-SA"/>
        </w:rPr>
        <w:t>（</w:t>
      </w:r>
      <w:r>
        <w:rPr>
          <w:rFonts w:hint="eastAsia" w:ascii="Times New Roman" w:hAnsi="Times New Roman" w:eastAsia="楷体_GB2312" w:cs="Times New Roman"/>
          <w:b/>
          <w:kern w:val="2"/>
          <w:sz w:val="32"/>
          <w:szCs w:val="32"/>
          <w:lang w:val="en-US" w:eastAsia="zh-CN" w:bidi="ar-SA"/>
        </w:rPr>
        <w:t>二</w:t>
      </w:r>
      <w:r>
        <w:rPr>
          <w:rFonts w:hint="eastAsia" w:ascii="Times New Roman" w:hAnsi="Times New Roman" w:eastAsia="楷体_GB2312" w:cs="Times New Roman"/>
          <w:b/>
          <w:kern w:val="2"/>
          <w:sz w:val="32"/>
          <w:szCs w:val="32"/>
          <w:lang w:val="zh-CN" w:eastAsia="zh-CN" w:bidi="ar-SA"/>
        </w:rPr>
        <w:t>）</w:t>
      </w:r>
      <w:r>
        <w:rPr>
          <w:rFonts w:ascii="Times New Roman" w:hAnsi="Times New Roman" w:eastAsia="楷体_GB2312" w:cs="Times New Roman"/>
          <w:b/>
          <w:kern w:val="2"/>
          <w:sz w:val="32"/>
          <w:szCs w:val="32"/>
          <w:lang w:val="zh-CN" w:eastAsia="zh-CN" w:bidi="ar-SA"/>
        </w:rPr>
        <w:t>预设问题及评价重点。</w:t>
      </w:r>
      <w:r>
        <w:rPr>
          <w:rFonts w:ascii="Calibri" w:hAnsi="Calibri" w:eastAsia="楷体_GB2312" w:cs="Times New Roman"/>
          <w:color w:val="auto"/>
          <w:sz w:val="32"/>
        </w:rPr>
        <w:t>预</w:t>
      </w:r>
      <w:r>
        <w:rPr>
          <w:rFonts w:hint="default" w:ascii="Times New Roman" w:hAnsi="Times New Roman" w:eastAsia="方正仿宋_GBK" w:cs="Times New Roman"/>
          <w:color w:val="auto"/>
          <w:kern w:val="2"/>
          <w:sz w:val="32"/>
          <w:szCs w:val="32"/>
          <w:lang w:val="zh-CN" w:eastAsia="zh-CN" w:bidi="ar-SA"/>
        </w:rPr>
        <w:t>设问题包括：预算编制是否精准、资金使用是否专款专用、采购程序是否规范、设备与装修质量是否达标、项目完成是否及时、是否有效保障单位运转等。评价重点将围绕资金支出全过程及其实施效果，对项目决策、过程管理、产出成果和综合效益进行综合评价。</w:t>
      </w:r>
    </w:p>
    <w:p w14:paraId="647FD35C">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eastAsia" w:ascii="Times New Roman" w:hAnsi="Times New Roman" w:eastAsia="方正仿宋_GBK" w:cs="Times New Roman"/>
          <w:color w:val="auto"/>
          <w:kern w:val="2"/>
          <w:sz w:val="32"/>
          <w:szCs w:val="32"/>
          <w:lang w:val="zh-CN" w:eastAsia="zh-CN" w:bidi="ar-SA"/>
        </w:rPr>
      </w:pPr>
      <w:r>
        <w:rPr>
          <w:rFonts w:hint="eastAsia" w:ascii="Times New Roman" w:hAnsi="Times New Roman" w:eastAsia="楷体_GB2312" w:cs="Times New Roman"/>
          <w:b/>
          <w:kern w:val="2"/>
          <w:sz w:val="32"/>
          <w:szCs w:val="32"/>
          <w:lang w:val="zh-CN" w:eastAsia="zh-CN" w:bidi="ar-SA"/>
        </w:rPr>
        <w:t>（</w:t>
      </w:r>
      <w:r>
        <w:rPr>
          <w:rFonts w:hint="eastAsia" w:ascii="Times New Roman" w:hAnsi="Times New Roman" w:eastAsia="楷体_GB2312" w:cs="Times New Roman"/>
          <w:b/>
          <w:kern w:val="2"/>
          <w:sz w:val="32"/>
          <w:szCs w:val="32"/>
          <w:lang w:val="en-US" w:eastAsia="zh-CN" w:bidi="ar-SA"/>
        </w:rPr>
        <w:t>三</w:t>
      </w:r>
      <w:r>
        <w:rPr>
          <w:rFonts w:hint="eastAsia" w:ascii="Times New Roman" w:hAnsi="Times New Roman" w:eastAsia="楷体_GB2312" w:cs="Times New Roman"/>
          <w:b/>
          <w:kern w:val="2"/>
          <w:sz w:val="32"/>
          <w:szCs w:val="32"/>
          <w:lang w:val="zh-CN" w:eastAsia="zh-CN" w:bidi="ar-SA"/>
        </w:rPr>
        <w:t>）</w:t>
      </w:r>
      <w:r>
        <w:rPr>
          <w:rFonts w:ascii="Times New Roman" w:hAnsi="Times New Roman" w:eastAsia="楷体_GB2312" w:cs="Times New Roman"/>
          <w:b/>
          <w:kern w:val="2"/>
          <w:sz w:val="32"/>
          <w:szCs w:val="32"/>
          <w:lang w:val="zh-CN" w:eastAsia="zh-CN" w:bidi="ar-SA"/>
        </w:rPr>
        <w:t>评价选点。</w:t>
      </w:r>
      <w:r>
        <w:rPr>
          <w:rFonts w:hint="default" w:ascii="Times New Roman" w:hAnsi="Times New Roman" w:eastAsia="方正仿宋_GBK" w:cs="Times New Roman"/>
          <w:color w:val="auto"/>
          <w:kern w:val="2"/>
          <w:sz w:val="32"/>
          <w:szCs w:val="32"/>
          <w:lang w:val="zh-CN" w:eastAsia="zh-CN" w:bidi="ar-SA"/>
        </w:rPr>
        <w:t>本项目为一次性拨付至本级单位的重点工作经费，因此，本次评价以项目单位本级为唯一评价点位，进行全面的案卷研究和实地核查，不涉及抽样选点。</w:t>
      </w:r>
    </w:p>
    <w:p w14:paraId="46B9A6C2">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eastAsia" w:ascii="Times New Roman" w:hAnsi="Times New Roman" w:eastAsia="方正仿宋_GBK" w:cs="Times New Roman"/>
          <w:color w:val="auto"/>
          <w:kern w:val="2"/>
          <w:sz w:val="32"/>
          <w:szCs w:val="32"/>
          <w:lang w:val="zh-CN" w:eastAsia="zh-CN" w:bidi="ar-SA"/>
        </w:rPr>
      </w:pPr>
      <w:r>
        <w:rPr>
          <w:rFonts w:hint="eastAsia" w:ascii="Times New Roman" w:hAnsi="Times New Roman" w:eastAsia="方正仿宋_GBK" w:cs="Times New Roman"/>
          <w:color w:val="auto"/>
          <w:kern w:val="2"/>
          <w:sz w:val="32"/>
          <w:szCs w:val="32"/>
          <w:lang w:val="zh-CN" w:eastAsia="zh-CN" w:bidi="ar-SA"/>
        </w:rPr>
        <w:t>（</w:t>
      </w:r>
      <w:r>
        <w:rPr>
          <w:rFonts w:hint="eastAsia" w:ascii="Times New Roman" w:hAnsi="Times New Roman" w:eastAsia="方正仿宋_GBK" w:cs="Times New Roman"/>
          <w:color w:val="auto"/>
          <w:kern w:val="2"/>
          <w:sz w:val="32"/>
          <w:szCs w:val="32"/>
          <w:lang w:val="en-US" w:eastAsia="zh-CN" w:bidi="ar-SA"/>
        </w:rPr>
        <w:t>四</w:t>
      </w:r>
      <w:r>
        <w:rPr>
          <w:rFonts w:hint="eastAsia" w:ascii="Times New Roman" w:hAnsi="Times New Roman" w:eastAsia="方正仿宋_GBK" w:cs="Times New Roman"/>
          <w:color w:val="auto"/>
          <w:kern w:val="2"/>
          <w:sz w:val="32"/>
          <w:szCs w:val="32"/>
          <w:lang w:val="zh-CN" w:eastAsia="zh-CN" w:bidi="ar-SA"/>
        </w:rPr>
        <w:t>）</w:t>
      </w:r>
      <w:r>
        <w:rPr>
          <w:rFonts w:hint="default" w:ascii="Times New Roman" w:hAnsi="Times New Roman" w:eastAsia="方正仿宋_GBK" w:cs="Times New Roman"/>
          <w:color w:val="auto"/>
          <w:kern w:val="2"/>
          <w:sz w:val="32"/>
          <w:szCs w:val="32"/>
          <w:lang w:val="zh-CN" w:eastAsia="zh-CN" w:bidi="ar-SA"/>
        </w:rPr>
        <w:t>评价方法。根据项目情况和评价重点，采取单位自评法对重点工作经费专项资金项目开展自评。</w:t>
      </w:r>
    </w:p>
    <w:p w14:paraId="133E246A">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eastAsia" w:ascii="Times New Roman" w:hAnsi="Times New Roman" w:eastAsia="楷体_GB2312" w:cs="Times New Roman"/>
          <w:b/>
          <w:kern w:val="2"/>
          <w:sz w:val="32"/>
          <w:szCs w:val="32"/>
          <w:lang w:val="zh-CN" w:eastAsia="zh-CN" w:bidi="ar-SA"/>
        </w:rPr>
      </w:pPr>
      <w:r>
        <w:rPr>
          <w:rFonts w:hint="eastAsia" w:ascii="Times New Roman" w:hAnsi="Times New Roman" w:eastAsia="楷体_GB2312" w:cs="Times New Roman"/>
          <w:b/>
          <w:kern w:val="2"/>
          <w:sz w:val="32"/>
          <w:szCs w:val="32"/>
          <w:lang w:val="zh-CN" w:eastAsia="zh-CN" w:bidi="ar-SA"/>
        </w:rPr>
        <w:t>（四）评价组织。</w:t>
      </w:r>
    </w:p>
    <w:p w14:paraId="5F2A2C03">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评价组织人员构成和职责分工：</w:t>
      </w:r>
    </w:p>
    <w:p w14:paraId="4E1CABC3">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评价小组长：孙权（部长）</w:t>
      </w:r>
    </w:p>
    <w:p w14:paraId="50445738">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副组长：毕挺（副部长）</w:t>
      </w:r>
    </w:p>
    <w:p w14:paraId="5DB0045A">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评价小组成员</w:t>
      </w:r>
      <w:r>
        <w:rPr>
          <w:rFonts w:hint="default" w:ascii="Times New Roman" w:hAnsi="Times New Roman" w:eastAsia="黑体" w:cs="Times New Roman"/>
          <w:kern w:val="2"/>
          <w:sz w:val="32"/>
          <w:szCs w:val="32"/>
          <w:lang w:val="zh-CN" w:eastAsia="zh-CN" w:bidi="ar-SA"/>
        </w:rPr>
        <w:t>：</w:t>
      </w:r>
      <w:r>
        <w:rPr>
          <w:rFonts w:hint="default" w:ascii="Times New Roman" w:hAnsi="Times New Roman" w:eastAsia="方正仿宋_GBK" w:cs="Times New Roman"/>
          <w:color w:val="auto"/>
          <w:kern w:val="2"/>
          <w:sz w:val="32"/>
          <w:szCs w:val="32"/>
          <w:lang w:val="zh-CN" w:eastAsia="zh-CN" w:bidi="ar-SA"/>
        </w:rPr>
        <w:t>郑怡（办公室工作人员）、泽仁当州（办公室工作人员）、杨静（财务室）。财务室负责牵头展开绩效自评，根据专项预算项目绩效评价指标体系中相关指标对评价对象实施自评，形成项目评价表以及自评报告，客观反映项目总体情况、绩效目标完成和实现的各项效益情况，及时发现存在的主要问题，提出工作建议。</w:t>
      </w:r>
    </w:p>
    <w:p w14:paraId="552EF7F0">
      <w:pPr>
        <w:adjustRightInd w:val="0"/>
        <w:snapToGrid w:val="0"/>
        <w:spacing w:line="578" w:lineRule="exact"/>
        <w:ind w:firstLine="640" w:firstLineChars="200"/>
        <w:rPr>
          <w:rFonts w:ascii="Times New Roman" w:hAnsi="Times New Roman" w:eastAsia="黑体" w:cs="Times New Roman"/>
          <w:kern w:val="2"/>
          <w:sz w:val="32"/>
          <w:szCs w:val="32"/>
          <w:lang w:val="zh-CN" w:eastAsia="zh-CN" w:bidi="ar-SA"/>
        </w:rPr>
      </w:pPr>
      <w:r>
        <w:rPr>
          <w:rFonts w:ascii="Times New Roman" w:hAnsi="Times New Roman" w:eastAsia="黑体" w:cs="Times New Roman"/>
          <w:kern w:val="2"/>
          <w:sz w:val="32"/>
          <w:szCs w:val="32"/>
          <w:lang w:val="en-US" w:eastAsia="zh-CN" w:bidi="ar-SA"/>
        </w:rPr>
        <w:t>三、绩效分析</w:t>
      </w:r>
      <w:r>
        <w:rPr>
          <w:rFonts w:ascii="Times New Roman" w:hAnsi="Times New Roman" w:eastAsia="黑体" w:cs="Times New Roman"/>
          <w:kern w:val="2"/>
          <w:sz w:val="32"/>
          <w:szCs w:val="32"/>
          <w:lang w:val="zh-CN" w:eastAsia="zh-CN" w:bidi="ar-SA"/>
        </w:rPr>
        <w:tab/>
      </w:r>
    </w:p>
    <w:p w14:paraId="570BB65C">
      <w:pPr>
        <w:adjustRightInd w:val="0"/>
        <w:snapToGrid w:val="0"/>
        <w:spacing w:line="578" w:lineRule="exact"/>
        <w:ind w:firstLine="640" w:firstLineChars="200"/>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根据项目预算绩效评价指标体系 “通用指标”“专用指标”“个性指标” 涉及的二、三级指标进行逐项绩效分析并评分。</w:t>
      </w:r>
    </w:p>
    <w:p w14:paraId="662340D5">
      <w:pPr>
        <w:spacing w:line="578" w:lineRule="exact"/>
        <w:ind w:firstLine="640"/>
        <w:rPr>
          <w:rFonts w:ascii="Times New Roman" w:hAnsi="Times New Roman" w:eastAsia="楷体_GB2312" w:cs="Times New Roman"/>
          <w:b/>
          <w:kern w:val="2"/>
          <w:sz w:val="32"/>
          <w:szCs w:val="32"/>
          <w:lang w:val="zh-CN" w:eastAsia="zh-CN" w:bidi="ar-SA"/>
        </w:rPr>
      </w:pPr>
      <w:r>
        <w:rPr>
          <w:rFonts w:hint="eastAsia" w:ascii="Times New Roman" w:hAnsi="Times New Roman" w:eastAsia="楷体_GB2312" w:cs="Times New Roman"/>
          <w:b/>
          <w:kern w:val="2"/>
          <w:sz w:val="32"/>
          <w:szCs w:val="32"/>
          <w:lang w:val="en-US" w:eastAsia="zh-CN" w:bidi="ar-SA"/>
        </w:rPr>
        <w:t>（一）</w:t>
      </w:r>
      <w:r>
        <w:rPr>
          <w:rFonts w:ascii="Times New Roman" w:hAnsi="Times New Roman" w:eastAsia="楷体_GB2312" w:cs="Times New Roman"/>
          <w:b/>
          <w:kern w:val="2"/>
          <w:sz w:val="32"/>
          <w:szCs w:val="32"/>
          <w:lang w:val="zh-CN" w:eastAsia="zh-CN" w:bidi="ar-SA"/>
        </w:rPr>
        <w:t>通用指标绩效分析。</w:t>
      </w:r>
    </w:p>
    <w:p w14:paraId="00BC155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（1）决策程序</w:t>
      </w:r>
    </w:p>
    <w:p w14:paraId="063F763E">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项目设立依据充分，符合机构改革和单位成立的客观需要。申报程序规范，经过党组会或相关决策会议集体研究。资金投向明确，严格限定于保障开办的基本支出。综上所述，该指标自评得分6分。</w:t>
      </w:r>
    </w:p>
    <w:p w14:paraId="4F77755D">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（2）规划论证</w:t>
      </w:r>
    </w:p>
    <w:p w14:paraId="4EEC41B3">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单位已制定并执行相应的财务管理制度和采购管理办法。资金为一次性分配，管理责任明确。在项目执行过程中，对资金使用进行了必要的内部监控和审核。综上所述，该指标自评得分6分。</w:t>
      </w:r>
    </w:p>
    <w:p w14:paraId="0412BC63">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（3）资金投向</w:t>
      </w:r>
    </w:p>
    <w:p w14:paraId="0B6DCB38">
      <w:pPr>
        <w:keepNext w:val="0"/>
        <w:keepLines w:val="0"/>
        <w:pageBreakBefore w:val="0"/>
        <w:widowControl w:val="0"/>
        <w:numPr>
          <w:ilvl w:val="0"/>
          <w:numId w:val="0"/>
        </w:numPr>
        <w:kinsoku/>
        <w:wordWrap/>
        <w:overflowPunct/>
        <w:topLinePunct w:val="0"/>
        <w:autoSpaceDE/>
        <w:autoSpaceDN/>
        <w:bidi w:val="0"/>
        <w:adjustRightInd/>
        <w:spacing w:line="560" w:lineRule="exact"/>
        <w:ind w:left="0" w:leftChars="0" w:firstLine="643" w:firstLineChars="0"/>
        <w:jc w:val="both"/>
        <w:textAlignment w:val="auto"/>
        <w:outlineLvl w:val="9"/>
        <w:rPr>
          <w:rFonts w:hint="default" w:ascii="Times New Roman" w:hAnsi="Times New Roman" w:eastAsia="方正仿宋_GBK" w:cs="Times New Roman"/>
          <w:color w:val="auto"/>
          <w:kern w:val="2"/>
          <w:sz w:val="32"/>
          <w:szCs w:val="32"/>
          <w:lang w:val="zh-CN" w:eastAsia="zh-CN" w:bidi="ar-SA"/>
        </w:rPr>
      </w:pPr>
      <w:r>
        <w:rPr>
          <w:rFonts w:hint="default" w:ascii="Times New Roman" w:hAnsi="Times New Roman" w:eastAsia="方正仿宋_GBK" w:cs="Times New Roman"/>
          <w:color w:val="auto"/>
          <w:kern w:val="2"/>
          <w:sz w:val="32"/>
          <w:szCs w:val="32"/>
          <w:lang w:val="zh-CN" w:eastAsia="zh-CN" w:bidi="ar-SA"/>
        </w:rPr>
        <w:t>项目符合专项设立的基本规范和程序要求，属于公共财政支持范围，符合地方事权支出责任划分原则，与相关部门同类项目或部门内部无相关项目重复。综上所述，该指标自评得分6分。</w:t>
      </w:r>
    </w:p>
    <w:p w14:paraId="596C471C">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2"/>
        <w:rPr>
          <w:rFonts w:hint="eastAsia" w:ascii="Times New Roman" w:hAnsi="Times New Roman" w:eastAsia="楷体_GB2312" w:cs="Times New Roman"/>
          <w:kern w:val="2"/>
          <w:sz w:val="32"/>
          <w:szCs w:val="32"/>
          <w:lang w:val="en-US" w:eastAsia="zh-CN" w:bidi="ar-SA"/>
        </w:rPr>
      </w:pPr>
      <w:r>
        <w:rPr>
          <w:rFonts w:hint="eastAsia" w:ascii="Times New Roman" w:hAnsi="Times New Roman" w:eastAsia="楷体_GB2312" w:cs="Times New Roman"/>
          <w:kern w:val="2"/>
          <w:sz w:val="32"/>
          <w:szCs w:val="32"/>
          <w:lang w:val="en-US" w:eastAsia="zh-CN" w:bidi="ar-SA"/>
        </w:rPr>
        <w:t>2.项目管理。</w:t>
      </w:r>
      <w:r>
        <w:rPr>
          <w:rFonts w:hint="eastAsia" w:ascii="Times New Roman" w:hAnsi="Times New Roman" w:eastAsia="楷体_GB2312" w:cs="Times New Roman"/>
          <w:kern w:val="2"/>
          <w:sz w:val="32"/>
          <w:szCs w:val="32"/>
          <w:lang w:val="en-US" w:eastAsia="zh-CN" w:bidi="ar-SA"/>
        </w:rPr>
        <w:tab/>
      </w:r>
    </w:p>
    <w:p w14:paraId="1EA2B4E9">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（1）制度办法</w:t>
      </w:r>
    </w:p>
    <w:p w14:paraId="2EDB2C0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单位已制定并执行相应的财务管理制度和采购管理办法。资金为一次性分配，管理责任明确。在项目执行过程中，对资金使用进行了必要的内部监控和审核。综上所述，该指标自评得分2分。</w:t>
      </w:r>
    </w:p>
    <w:p w14:paraId="1E896F4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（2）分配管理</w:t>
      </w:r>
    </w:p>
    <w:p w14:paraId="7FB5BC0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财政局按照财政要求分配资金，资金分配严格按管理办法执行，决策程序符合管理要求，及时高效。综上所述，该指标自评得分10分。</w:t>
      </w:r>
    </w:p>
    <w:p w14:paraId="485FF21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（3）绩效监管</w:t>
      </w:r>
    </w:p>
    <w:p w14:paraId="370AE55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项目按财政要求全面完成绩效目标（含事前评估）、绩效评价、以前年度问题整改等预算绩效管理工作。综上所述，该指标自评得分6分。</w:t>
      </w:r>
    </w:p>
    <w:p w14:paraId="646918A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3.项目实施。</w:t>
      </w:r>
    </w:p>
    <w:p w14:paraId="7AD634D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zh-CN" w:eastAsia="zh-CN" w:bidi="ar-SA"/>
        </w:rPr>
      </w:pPr>
      <w:r>
        <w:rPr>
          <w:rFonts w:hint="eastAsia" w:ascii="Times New Roman" w:hAnsi="Times New Roman" w:eastAsia="方正仿宋_GBK" w:cs="Times New Roman"/>
          <w:color w:val="auto"/>
          <w:kern w:val="2"/>
          <w:sz w:val="32"/>
          <w:szCs w:val="32"/>
          <w:lang w:val="en-US" w:eastAsia="zh-CN" w:bidi="ar-SA"/>
        </w:rPr>
        <w:t>（1）预算</w:t>
      </w:r>
      <w:r>
        <w:rPr>
          <w:rFonts w:hint="eastAsia" w:ascii="Times New Roman" w:hAnsi="Times New Roman" w:eastAsia="方正仿宋_GBK" w:cs="Times New Roman"/>
          <w:color w:val="auto"/>
          <w:kern w:val="2"/>
          <w:sz w:val="32"/>
          <w:szCs w:val="32"/>
          <w:lang w:val="zh-CN" w:eastAsia="zh-CN" w:bidi="ar-SA"/>
        </w:rPr>
        <w:t>执行</w:t>
      </w:r>
    </w:p>
    <w:p w14:paraId="4EFE60D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 xml:space="preserve">严格按照预算计划进行支出，确保资金使用的精准性和有效性。在预算执行过程中，未出现超预算或资金挪用的情况，所有支出均与开办经费直接相关，体现了预算管理的规范性和严谨性。通过严格的财务审核，预算执行率达到预期目标，为项目的顺利实施提供了坚实的经费保障。综上所述，该指标自评得分6分。 </w:t>
      </w:r>
    </w:p>
    <w:p w14:paraId="28EA84B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（2）资金使用</w:t>
      </w:r>
    </w:p>
    <w:p w14:paraId="6819BA4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项目资金管理严格。本单位建立了完善的财务管理制度和专项资金使用流程，确保资金使用的合法性、规范性和透明性。此项目资金支付手续完整，审批程序合规，未发现截留、挪用、超支等情况。综上所述，该指标自评得分3分。</w:t>
      </w:r>
    </w:p>
    <w:p w14:paraId="03B9B77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4.项目结果。</w:t>
      </w:r>
    </w:p>
    <w:p w14:paraId="69370A9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（1）目标完成</w:t>
      </w:r>
    </w:p>
    <w:p w14:paraId="29DAB01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项目基本完成预期目标，实施结果与绩效目标相匹配，综上所述，该指标自评得分6分。</w:t>
      </w:r>
    </w:p>
    <w:p w14:paraId="3A9B7C0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（2）完成时效</w:t>
      </w:r>
    </w:p>
    <w:p w14:paraId="4561C02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项目按照序时进度及时支付，全年预算完成率100%。综上所述，该指标自评得分3分。</w:t>
      </w:r>
    </w:p>
    <w:p w14:paraId="2AE8481D">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zh-CN" w:eastAsia="zh-CN"/>
        </w:rPr>
      </w:pPr>
      <w:r>
        <w:rPr>
          <w:rFonts w:hint="eastAsia" w:ascii="Times New Roman" w:hAnsi="Times New Roman" w:eastAsia="方正仿宋_GBK" w:cs="Times New Roman"/>
          <w:color w:val="auto"/>
          <w:kern w:val="0"/>
          <w:sz w:val="32"/>
          <w:szCs w:val="32"/>
          <w:lang w:val="zh-CN" w:eastAsia="zh-CN"/>
        </w:rPr>
        <w:t>（二）</w:t>
      </w:r>
      <w:r>
        <w:rPr>
          <w:rFonts w:hint="eastAsia" w:ascii="Times New Roman" w:hAnsi="Times New Roman" w:eastAsia="方正仿宋_GBK" w:cs="Times New Roman"/>
          <w:color w:val="auto"/>
          <w:kern w:val="0"/>
          <w:sz w:val="32"/>
          <w:szCs w:val="32"/>
          <w:lang w:val="en-US" w:eastAsia="zh-CN"/>
        </w:rPr>
        <w:t>专用指标</w:t>
      </w:r>
      <w:r>
        <w:rPr>
          <w:rFonts w:hint="eastAsia" w:ascii="Times New Roman" w:hAnsi="Times New Roman" w:eastAsia="方正仿宋_GBK" w:cs="Times New Roman"/>
          <w:color w:val="auto"/>
          <w:kern w:val="0"/>
          <w:sz w:val="32"/>
          <w:szCs w:val="32"/>
          <w:lang w:val="zh-CN" w:eastAsia="zh-CN"/>
        </w:rPr>
        <w:t>绩效分析。</w:t>
      </w:r>
    </w:p>
    <w:p w14:paraId="60D189D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1.产业发展（30分）（不适用本项目）</w:t>
      </w:r>
    </w:p>
    <w:p w14:paraId="061E18C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2.</w:t>
      </w:r>
      <w:r>
        <w:rPr>
          <w:rFonts w:hint="eastAsia" w:ascii="Times New Roman" w:hAnsi="Times New Roman" w:eastAsia="方正仿宋_GBK" w:cs="Times New Roman"/>
          <w:color w:val="auto"/>
          <w:kern w:val="0"/>
          <w:sz w:val="32"/>
          <w:szCs w:val="32"/>
          <w:lang w:val="zh-CN" w:eastAsia="zh-CN"/>
        </w:rPr>
        <w:t>民生保障</w:t>
      </w:r>
      <w:r>
        <w:rPr>
          <w:rFonts w:hint="eastAsia" w:ascii="Times New Roman" w:hAnsi="Times New Roman" w:eastAsia="方正仿宋_GBK" w:cs="Times New Roman"/>
          <w:color w:val="auto"/>
          <w:kern w:val="0"/>
          <w:sz w:val="32"/>
          <w:szCs w:val="32"/>
          <w:lang w:val="en-US" w:eastAsia="zh-CN"/>
        </w:rPr>
        <w:t>（30分）（不适用本项目）</w:t>
      </w:r>
    </w:p>
    <w:p w14:paraId="3C4E541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3.基础设施（30分）（不适用本项目）</w:t>
      </w:r>
    </w:p>
    <w:p w14:paraId="7B5F0BF3">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4.</w:t>
      </w:r>
      <w:r>
        <w:rPr>
          <w:rFonts w:hint="eastAsia" w:ascii="Times New Roman" w:hAnsi="Times New Roman" w:eastAsia="方正仿宋_GBK" w:cs="Times New Roman"/>
          <w:color w:val="auto"/>
          <w:kern w:val="0"/>
          <w:sz w:val="32"/>
          <w:szCs w:val="32"/>
          <w:lang w:val="zh-CN" w:eastAsia="zh-CN"/>
        </w:rPr>
        <w:t>行政运转。</w:t>
      </w:r>
      <w:r>
        <w:rPr>
          <w:rFonts w:hint="eastAsia" w:ascii="Times New Roman" w:hAnsi="Times New Roman" w:eastAsia="方正仿宋_GBK" w:cs="Times New Roman"/>
          <w:color w:val="auto"/>
          <w:kern w:val="0"/>
          <w:sz w:val="32"/>
          <w:szCs w:val="32"/>
          <w:lang w:val="en-US" w:eastAsia="zh-CN"/>
        </w:rPr>
        <w:t>（30分）</w:t>
      </w:r>
    </w:p>
    <w:p w14:paraId="07600B5E">
      <w:pPr>
        <w:spacing w:line="578" w:lineRule="exact"/>
        <w:ind w:firstLine="640" w:firstLineChars="200"/>
        <w:rPr>
          <w:rFonts w:hint="eastAsia" w:ascii="Times New Roman" w:hAnsi="Times New Roman" w:eastAsia="方正仿宋_GBK" w:cs="Times New Roman"/>
          <w:color w:val="auto"/>
          <w:kern w:val="0"/>
          <w:sz w:val="32"/>
          <w:szCs w:val="32"/>
          <w:lang w:val="zh-CN" w:eastAsia="zh-CN"/>
        </w:rPr>
      </w:pPr>
      <w:r>
        <w:rPr>
          <w:rFonts w:hint="eastAsia" w:ascii="Times New Roman" w:hAnsi="Times New Roman" w:eastAsia="方正仿宋_GBK" w:cs="Times New Roman"/>
          <w:color w:val="auto"/>
          <w:kern w:val="0"/>
          <w:sz w:val="32"/>
          <w:szCs w:val="32"/>
          <w:lang w:val="zh-CN" w:eastAsia="zh-CN"/>
        </w:rPr>
        <w:t>（</w:t>
      </w:r>
      <w:r>
        <w:rPr>
          <w:rFonts w:hint="eastAsia" w:ascii="Times New Roman" w:hAnsi="Times New Roman" w:eastAsia="方正仿宋_GBK" w:cs="Times New Roman"/>
          <w:color w:val="auto"/>
          <w:kern w:val="0"/>
          <w:sz w:val="32"/>
          <w:szCs w:val="32"/>
          <w:lang w:val="en-US" w:eastAsia="zh-CN"/>
        </w:rPr>
        <w:t>1</w:t>
      </w:r>
      <w:r>
        <w:rPr>
          <w:rFonts w:hint="eastAsia" w:ascii="Times New Roman" w:hAnsi="Times New Roman" w:eastAsia="方正仿宋_GBK" w:cs="Times New Roman"/>
          <w:color w:val="auto"/>
          <w:kern w:val="0"/>
          <w:sz w:val="32"/>
          <w:szCs w:val="32"/>
          <w:lang w:val="zh-CN" w:eastAsia="zh-CN"/>
        </w:rPr>
        <w:t>）用途合规性。</w:t>
      </w:r>
    </w:p>
    <w:p w14:paraId="11CF71B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en-US" w:eastAsia="zh-CN"/>
        </w:rPr>
        <w:t>经费全部用于规定用途，无用于违规接待、超标采购、铺张浪费等非行政运转领域情况，用途合规率100%。综上所述，该指标自评得分9分。</w:t>
      </w:r>
    </w:p>
    <w:p w14:paraId="05E5CF9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zh-CN" w:eastAsia="zh-CN"/>
        </w:rPr>
        <w:t>（</w:t>
      </w:r>
      <w:r>
        <w:rPr>
          <w:rFonts w:hint="eastAsia" w:ascii="Times New Roman" w:hAnsi="Times New Roman" w:eastAsia="方正仿宋_GBK" w:cs="Times New Roman"/>
          <w:color w:val="auto"/>
          <w:kern w:val="0"/>
          <w:sz w:val="32"/>
          <w:szCs w:val="32"/>
          <w:lang w:val="en-US" w:eastAsia="zh-CN"/>
        </w:rPr>
        <w:t>2）</w:t>
      </w:r>
      <w:r>
        <w:rPr>
          <w:rFonts w:hint="eastAsia" w:ascii="Times New Roman" w:hAnsi="Times New Roman" w:eastAsia="方正仿宋_GBK" w:cs="Times New Roman"/>
          <w:color w:val="auto"/>
          <w:kern w:val="0"/>
          <w:sz w:val="32"/>
          <w:szCs w:val="32"/>
          <w:lang w:val="zh-CN" w:eastAsia="zh-CN"/>
        </w:rPr>
        <w:t>程序合规性。</w:t>
      </w:r>
      <w:r>
        <w:rPr>
          <w:rFonts w:hint="eastAsia" w:ascii="Times New Roman" w:hAnsi="Times New Roman" w:eastAsia="方正仿宋_GBK" w:cs="Times New Roman"/>
          <w:color w:val="auto"/>
          <w:kern w:val="0"/>
          <w:sz w:val="32"/>
          <w:szCs w:val="32"/>
          <w:lang w:val="en-US" w:eastAsia="zh-CN"/>
        </w:rPr>
        <w:t>经费支出、物资采购均严格履行申报、审批、实施、备案等流程，手续完备，留痕完整，无违规程序支出情况。综上所述，该指标自评得分9分。</w:t>
      </w:r>
    </w:p>
    <w:p w14:paraId="5FF496B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auto"/>
          <w:kern w:val="0"/>
          <w:sz w:val="32"/>
          <w:szCs w:val="32"/>
          <w:lang w:val="en-US" w:eastAsia="zh-CN"/>
        </w:rPr>
      </w:pPr>
      <w:r>
        <w:rPr>
          <w:rFonts w:hint="eastAsia" w:ascii="Times New Roman" w:hAnsi="Times New Roman" w:eastAsia="方正仿宋_GBK" w:cs="Times New Roman"/>
          <w:color w:val="auto"/>
          <w:kern w:val="0"/>
          <w:sz w:val="32"/>
          <w:szCs w:val="32"/>
          <w:lang w:val="zh-CN" w:eastAsia="zh-CN"/>
        </w:rPr>
        <w:t>（</w:t>
      </w:r>
      <w:r>
        <w:rPr>
          <w:rFonts w:hint="eastAsia" w:ascii="Times New Roman" w:hAnsi="Times New Roman" w:eastAsia="方正仿宋_GBK" w:cs="Times New Roman"/>
          <w:color w:val="auto"/>
          <w:kern w:val="0"/>
          <w:sz w:val="32"/>
          <w:szCs w:val="32"/>
          <w:lang w:val="en-US" w:eastAsia="zh-CN"/>
        </w:rPr>
        <w:t>3</w:t>
      </w:r>
      <w:r>
        <w:rPr>
          <w:rFonts w:hint="eastAsia" w:ascii="Times New Roman" w:hAnsi="Times New Roman" w:eastAsia="方正仿宋_GBK" w:cs="Times New Roman"/>
          <w:color w:val="auto"/>
          <w:kern w:val="0"/>
          <w:sz w:val="32"/>
          <w:szCs w:val="32"/>
          <w:lang w:val="zh-CN" w:eastAsia="zh-CN"/>
        </w:rPr>
        <w:t>）标准合规性。</w:t>
      </w:r>
      <w:r>
        <w:rPr>
          <w:rFonts w:hint="eastAsia" w:ascii="Times New Roman" w:hAnsi="Times New Roman" w:eastAsia="方正仿宋_GBK" w:cs="Times New Roman"/>
          <w:color w:val="auto"/>
          <w:kern w:val="0"/>
          <w:sz w:val="32"/>
          <w:szCs w:val="32"/>
          <w:lang w:val="en-US" w:eastAsia="zh-CN"/>
        </w:rPr>
        <w:t>100%。综上所述，该指标得分。综上所述，该指标自评得分9分。</w:t>
      </w:r>
    </w:p>
    <w:p w14:paraId="74F2F951">
      <w:pPr>
        <w:spacing w:line="578" w:lineRule="exact"/>
        <w:ind w:firstLine="643" w:firstLineChars="200"/>
        <w:rPr>
          <w:rFonts w:hint="eastAsia" w:ascii="Times New Roman" w:hAnsi="Times New Roman" w:eastAsia="楷体_GB2312" w:cs="Times New Roman"/>
          <w:b/>
          <w:kern w:val="2"/>
          <w:sz w:val="32"/>
          <w:szCs w:val="32"/>
          <w:lang w:val="zh-CN" w:eastAsia="zh-CN" w:bidi="ar-SA"/>
        </w:rPr>
      </w:pPr>
      <w:r>
        <w:rPr>
          <w:rFonts w:hint="eastAsia" w:ascii="Times New Roman" w:hAnsi="Times New Roman" w:eastAsia="楷体_GB2312" w:cs="Times New Roman"/>
          <w:b/>
          <w:kern w:val="2"/>
          <w:sz w:val="32"/>
          <w:szCs w:val="32"/>
          <w:lang w:val="zh-CN" w:eastAsia="zh-CN" w:bidi="ar-SA"/>
        </w:rPr>
        <w:t>（三）</w:t>
      </w:r>
      <w:r>
        <w:rPr>
          <w:rFonts w:hint="eastAsia" w:ascii="Times New Roman" w:hAnsi="Times New Roman" w:eastAsia="楷体_GB2312" w:cs="Times New Roman"/>
          <w:b/>
          <w:kern w:val="2"/>
          <w:sz w:val="32"/>
          <w:szCs w:val="32"/>
          <w:lang w:val="en-US" w:eastAsia="zh-CN" w:bidi="ar-SA"/>
        </w:rPr>
        <w:t>个性指标</w:t>
      </w:r>
      <w:r>
        <w:rPr>
          <w:rFonts w:hint="eastAsia" w:ascii="Times New Roman" w:hAnsi="Times New Roman" w:eastAsia="楷体_GB2312" w:cs="Times New Roman"/>
          <w:b/>
          <w:kern w:val="2"/>
          <w:sz w:val="32"/>
          <w:szCs w:val="32"/>
          <w:lang w:val="zh-CN" w:eastAsia="zh-CN" w:bidi="ar-SA"/>
        </w:rPr>
        <w:t>绩效分析。</w:t>
      </w:r>
    </w:p>
    <w:p w14:paraId="74D062A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auto"/>
          <w:kern w:val="0"/>
          <w:sz w:val="32"/>
          <w:szCs w:val="32"/>
          <w:lang w:val="zh-CN" w:eastAsia="zh-CN"/>
        </w:rPr>
      </w:pPr>
      <w:r>
        <w:rPr>
          <w:rFonts w:hint="eastAsia" w:ascii="Times New Roman" w:hAnsi="Times New Roman" w:eastAsia="方正仿宋_GBK" w:cs="Times New Roman"/>
          <w:color w:val="auto"/>
          <w:kern w:val="0"/>
          <w:sz w:val="32"/>
          <w:szCs w:val="32"/>
          <w:lang w:val="zh-CN" w:eastAsia="zh-CN"/>
        </w:rPr>
        <w:t>结合重点工作运行及行政运转核心属性，设定机关干部职工满意度个性指标：</w:t>
      </w:r>
    </w:p>
    <w:p w14:paraId="60E3ED81">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outlineLvl w:val="9"/>
        <w:rPr>
          <w:rFonts w:hint="eastAsia" w:ascii="Times New Roman" w:hAnsi="Times New Roman" w:eastAsia="方正仿宋_GBK" w:cs="Times New Roman"/>
          <w:color w:val="auto"/>
          <w:sz w:val="32"/>
          <w:szCs w:val="32"/>
          <w:lang w:val="zh-CN" w:eastAsia="zh-CN"/>
        </w:rPr>
      </w:pPr>
      <w:r>
        <w:rPr>
          <w:rFonts w:hint="eastAsia" w:ascii="Times New Roman" w:hAnsi="Times New Roman" w:eastAsia="方正仿宋_GBK" w:cs="Times New Roman"/>
          <w:color w:val="auto"/>
          <w:sz w:val="32"/>
          <w:szCs w:val="32"/>
          <w:lang w:val="zh-CN" w:eastAsia="zh-CN"/>
        </w:rPr>
        <w:t>干部职工满意度（16分）：机关后勤保障、经费保障水平满足干部职工工作需求，干部职工对机关运行及保障工作满意度达96%，得分14分。</w:t>
      </w:r>
    </w:p>
    <w:p w14:paraId="614F14EF">
      <w:pPr>
        <w:widowControl w:val="0"/>
        <w:numPr>
          <w:ilvl w:val="0"/>
          <w:numId w:val="7"/>
        </w:numPr>
        <w:topLinePunct w:val="0"/>
        <w:adjustRightInd w:val="0"/>
        <w:spacing w:line="578" w:lineRule="exact"/>
        <w:ind w:left="0" w:leftChars="0" w:firstLine="640" w:firstLineChars="0"/>
        <w:jc w:val="both"/>
        <w:outlineLvl w:val="0"/>
        <w:rPr>
          <w:rFonts w:hint="eastAsia" w:ascii="黑体" w:hAnsi="黑体" w:eastAsia="黑体" w:cs="黑体"/>
          <w:b w:val="0"/>
          <w:kern w:val="2"/>
          <w:sz w:val="32"/>
          <w:szCs w:val="32"/>
          <w:lang w:bidi="ar-SA"/>
        </w:rPr>
      </w:pPr>
      <w:r>
        <w:rPr>
          <w:rFonts w:ascii="Calibri" w:hAnsi="Calibri" w:eastAsia="黑体" w:cs="Times New Roman"/>
          <w:kern w:val="2"/>
          <w:sz w:val="32"/>
          <w:szCs w:val="32"/>
          <w:lang w:bidi="ar-SA"/>
        </w:rPr>
        <w:t>评价结论</w:t>
      </w:r>
    </w:p>
    <w:p w14:paraId="10DE703F">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outlineLvl w:val="9"/>
        <w:rPr>
          <w:rFonts w:ascii="Calibri" w:hAnsi="Calibri" w:eastAsia="楷体_GB2312" w:cs="Times New Roman"/>
          <w:color w:val="auto"/>
          <w:sz w:val="32"/>
        </w:rPr>
      </w:pPr>
      <w:r>
        <w:rPr>
          <w:rFonts w:ascii="Calibri" w:hAnsi="Calibri" w:eastAsia="楷体_GB2312" w:cs="Times New Roman"/>
          <w:color w:val="auto"/>
          <w:sz w:val="32"/>
        </w:rPr>
        <w:t>综合以上分析，本单位“单位开办经费”项目专项预算绩效自评总得分为</w:t>
      </w:r>
      <w:r>
        <w:rPr>
          <w:rFonts w:hint="eastAsia" w:ascii="Calibri" w:hAnsi="Calibri" w:eastAsia="楷体_GB2312" w:cs="Times New Roman"/>
          <w:color w:val="auto"/>
          <w:sz w:val="32"/>
          <w:lang w:val="en-US" w:eastAsia="zh-CN"/>
        </w:rPr>
        <w:t>97</w:t>
      </w:r>
      <w:r>
        <w:rPr>
          <w:rFonts w:ascii="Calibri" w:hAnsi="Calibri" w:eastAsia="楷体_GB2312" w:cs="Times New Roman"/>
          <w:color w:val="auto"/>
          <w:sz w:val="32"/>
        </w:rPr>
        <w:t xml:space="preserve">分（满分100分），评价等次为“优秀”。项目立项依据充分，决策程序规范；资金管理严格，使用合规高效；按时保质完成了全部开办任务，产出成果符合预期；有效保障了新单位的顺利启动和正常运转，社会效益显著，内部满意度高，全面实现了项目设立的绩效目标。   </w:t>
      </w:r>
    </w:p>
    <w:p w14:paraId="6ADD1A6F">
      <w:pPr>
        <w:widowControl w:val="0"/>
        <w:numPr>
          <w:ilvl w:val="0"/>
          <w:numId w:val="7"/>
        </w:numPr>
        <w:topLinePunct w:val="0"/>
        <w:adjustRightInd w:val="0"/>
        <w:spacing w:line="578" w:lineRule="exact"/>
        <w:ind w:left="0" w:leftChars="0" w:firstLine="640" w:firstLineChars="0"/>
        <w:jc w:val="both"/>
        <w:outlineLvl w:val="0"/>
        <w:rPr>
          <w:rFonts w:hint="eastAsia" w:ascii="黑体" w:hAnsi="黑体" w:eastAsia="黑体" w:cs="黑体"/>
          <w:b w:val="0"/>
          <w:kern w:val="2"/>
          <w:sz w:val="32"/>
          <w:szCs w:val="32"/>
          <w:lang w:bidi="ar-SA"/>
        </w:rPr>
      </w:pPr>
      <w:r>
        <w:rPr>
          <w:rFonts w:ascii="Calibri" w:hAnsi="Calibri" w:eastAsia="黑体" w:cs="Times New Roman"/>
          <w:kern w:val="2"/>
          <w:sz w:val="32"/>
          <w:szCs w:val="32"/>
          <w:lang w:bidi="ar-SA"/>
        </w:rPr>
        <w:t>存在主要问题</w:t>
      </w:r>
    </w:p>
    <w:p w14:paraId="33A3EBE2">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outlineLvl w:val="9"/>
        <w:rPr>
          <w:rFonts w:ascii="Calibri" w:hAnsi="Calibri" w:eastAsia="楷体_GB2312" w:cs="Times New Roman"/>
          <w:color w:val="auto"/>
          <w:sz w:val="32"/>
        </w:rPr>
      </w:pPr>
      <w:r>
        <w:rPr>
          <w:rFonts w:ascii="Calibri" w:hAnsi="Calibri" w:eastAsia="楷体_GB2312" w:cs="Times New Roman"/>
          <w:color w:val="auto"/>
          <w:sz w:val="32"/>
        </w:rPr>
        <w:t>无。</w:t>
      </w:r>
    </w:p>
    <w:p w14:paraId="5E42B35A">
      <w:pPr>
        <w:widowControl w:val="0"/>
        <w:numPr>
          <w:ilvl w:val="0"/>
          <w:numId w:val="7"/>
        </w:numPr>
        <w:topLinePunct w:val="0"/>
        <w:adjustRightInd w:val="0"/>
        <w:spacing w:line="578" w:lineRule="exact"/>
        <w:ind w:left="0" w:leftChars="0" w:firstLine="640" w:firstLineChars="0"/>
        <w:jc w:val="both"/>
        <w:outlineLvl w:val="0"/>
        <w:rPr>
          <w:rFonts w:hint="eastAsia" w:ascii="黑体" w:hAnsi="黑体" w:eastAsia="黑体" w:cs="黑体"/>
          <w:b w:val="0"/>
          <w:kern w:val="2"/>
          <w:sz w:val="32"/>
          <w:szCs w:val="32"/>
          <w:lang w:bidi="ar-SA"/>
        </w:rPr>
      </w:pPr>
      <w:r>
        <w:rPr>
          <w:rFonts w:ascii="Calibri" w:hAnsi="Calibri" w:eastAsia="黑体" w:cs="Times New Roman"/>
          <w:kern w:val="2"/>
          <w:sz w:val="32"/>
          <w:szCs w:val="32"/>
          <w:lang w:bidi="ar-SA"/>
        </w:rPr>
        <w:t>改进建议</w:t>
      </w:r>
    </w:p>
    <w:p w14:paraId="496BC722">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outlineLvl w:val="9"/>
        <w:rPr>
          <w:rFonts w:ascii="Calibri" w:hAnsi="Calibri" w:eastAsia="楷体_GB2312" w:cs="Times New Roman"/>
          <w:color w:val="auto"/>
          <w:sz w:val="32"/>
        </w:rPr>
      </w:pPr>
      <w:r>
        <w:rPr>
          <w:rFonts w:ascii="Calibri" w:hAnsi="Calibri" w:eastAsia="楷体_GB2312" w:cs="Times New Roman"/>
          <w:color w:val="auto"/>
          <w:sz w:val="32"/>
        </w:rPr>
        <w:t>无。</w:t>
      </w:r>
    </w:p>
    <w:tbl>
      <w:tblPr>
        <w:tblStyle w:val="18"/>
        <w:tblW w:w="103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5"/>
        <w:gridCol w:w="1348"/>
        <w:gridCol w:w="1770"/>
        <w:gridCol w:w="2632"/>
        <w:gridCol w:w="1116"/>
        <w:gridCol w:w="505"/>
        <w:gridCol w:w="455"/>
        <w:gridCol w:w="1894"/>
      </w:tblGrid>
      <w:tr w14:paraId="1E247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7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4BA6A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3BB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DF5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0AF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51322125T000013030798-重点工作经费</w:t>
            </w:r>
          </w:p>
        </w:tc>
      </w:tr>
      <w:tr w14:paraId="4B550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A22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A28E7">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3F2C4B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E9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中共汶川县委社会工作部</w:t>
            </w:r>
          </w:p>
        </w:tc>
      </w:tr>
      <w:tr w14:paraId="6CC64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F8F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031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BC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2271E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F140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A4173">
            <w:pPr>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27D2C">
            <w:pPr>
              <w:rPr>
                <w:rFonts w:hint="eastAsia" w:ascii="宋体" w:hAnsi="宋体" w:eastAsia="宋体" w:cs="宋体"/>
                <w:i w:val="0"/>
                <w:iCs w:val="0"/>
                <w:color w:val="000000"/>
                <w:sz w:val="18"/>
                <w:szCs w:val="18"/>
                <w:u w:val="none"/>
              </w:rPr>
            </w:pPr>
          </w:p>
        </w:tc>
        <w:tc>
          <w:tcPr>
            <w:tcW w:w="4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3CC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社会工作宣传和宣讲工作经费 2.人民意见建议征集工作经费（购买、印制人民意见建议征集工作相关文件资料和宣传资料)。 3.党建引领基层治理和基层政权建设工作经费。4.志愿服务工作经费（ 1.开展志愿宣传活动及联合志愿服务活动。开展国际志愿者日（12月5日）、学雷锋纪念日（3月5日）宣传活动。舞台搭建、展板制作、制作宣传折页、宣传袋等、与州级县级行业志愿服务队联合开展志愿服务活动，购买物资及提供志愿者伙食等经费）。5.服务新就业群体阵地建设提升工作经费（1：示范试点打造：每年选择打造一个服务新就业群体阵地，通过打造快递休息站、外卖小哥驿站、志愿者休息岗亭等形式多样的试点打造，制作宣传展示区、文化活动区、交流互动区、便民服务区，为新就业群体提供“温馨港湾”和“能量补给站”、阵地场景建设：设置休息区，购买办公桌椅、沙发、饮水机等常用设备）等各类培训及相关工作经费。</w:t>
            </w:r>
          </w:p>
        </w:tc>
        <w:tc>
          <w:tcPr>
            <w:tcW w:w="3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3CCE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顺利完成年度目标任务</w:t>
            </w:r>
          </w:p>
        </w:tc>
      </w:tr>
      <w:tr w14:paraId="15B12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5CEDB">
            <w:pP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CB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569C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包含：1.社会工作宣传和宣讲工作经费（1.部机关阵地建设及氛围营造。其中包含机关建设及社工文化氛围营造，各镇社工站提升。线上宣传载体建设。其中包含微信公众号运行维护、互联网网站建设维护。社会工作宣传。其中定制全年中国社会工作报刊、开展社会工作的理念、做法、成效等宣传报道资料。宣传视频制作费用。 2.人民意见建议征集工作经费（购买、印制人民意见建议征集工作相关文件资料和宣传资料)。 3.党建引领基层治理和基层政权建设工作经费（1.参照《四川省省直机关培训费管理办法》（川财行〔2017〕77号），按培训标准执行，拟对7个乡镇村社区“两委”常职干部、社区工作者成员等从事基层治理工作分管领导及工作人员开展重点培训、制作基层治理相关文件及宣传展板、基层治理及基层政权相关工作经费）。4.志愿服务工作经费（ 1.开展志愿宣传活动及联合志愿服务活动。开展国际志愿者日（12月5日）、学雷锋纪念日（3月5日）宣传活动。舞台搭建、展板制作、制作宣传折页、宣传袋等、与州级县级行业志愿服务队联合开展志愿服务活动，购买物资及提供志愿者伙食等经费）。5.服务新就业群体阵地建设提升工作经费（1：示范试点打造：每年选择打造一个服务新就业群体阵地，通过打造快递休息站、外卖小哥驿站、志愿者休息岗亭等形式多样的试点打造，制作宣传展示区、文化活动区、交流互动区、便民服务区，为新就业群体提供“温馨港湾”和“能量补给站”、阵地场景建设：设置休息区，购买办公桌椅、沙发、饮水机等常用设备）等各类培训及相关工作经费。</w:t>
            </w:r>
          </w:p>
        </w:tc>
      </w:tr>
      <w:tr w14:paraId="6393C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A5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E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3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6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A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D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9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2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212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43AE2">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8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9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A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E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B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0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3F51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DBA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F8916">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A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5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D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A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E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2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D6C98">
            <w:pPr>
              <w:rPr>
                <w:rFonts w:hint="eastAsia" w:ascii="黑体" w:hAnsi="黑体" w:eastAsia="黑体" w:cs="黑体"/>
                <w:i/>
                <w:iCs/>
                <w:color w:val="000000"/>
                <w:sz w:val="18"/>
                <w:szCs w:val="18"/>
                <w:u w:val="none"/>
              </w:rPr>
            </w:pPr>
          </w:p>
        </w:tc>
      </w:tr>
      <w:tr w14:paraId="0C295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58438">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6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C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0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9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A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B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06BF0">
            <w:pPr>
              <w:rPr>
                <w:rFonts w:hint="eastAsia" w:ascii="黑体" w:hAnsi="黑体" w:eastAsia="黑体" w:cs="黑体"/>
                <w:i/>
                <w:iCs/>
                <w:color w:val="000000"/>
                <w:sz w:val="18"/>
                <w:szCs w:val="18"/>
                <w:u w:val="none"/>
              </w:rPr>
            </w:pPr>
          </w:p>
        </w:tc>
      </w:tr>
      <w:tr w14:paraId="092E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D9857">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A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0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E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9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D7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E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F96D9">
            <w:pPr>
              <w:rPr>
                <w:rFonts w:hint="eastAsia" w:ascii="黑体" w:hAnsi="黑体" w:eastAsia="黑体" w:cs="黑体"/>
                <w:i/>
                <w:iCs/>
                <w:color w:val="000000"/>
                <w:sz w:val="18"/>
                <w:szCs w:val="18"/>
                <w:u w:val="none"/>
              </w:rPr>
            </w:pPr>
          </w:p>
        </w:tc>
      </w:tr>
      <w:tr w14:paraId="7A9BD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FF62A">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1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5CF3">
            <w:pPr>
              <w:jc w:val="center"/>
              <w:rPr>
                <w:rFonts w:hint="eastAsia" w:ascii="微软雅黑" w:hAnsi="微软雅黑" w:eastAsia="微软雅黑" w:cs="微软雅黑"/>
                <w:i/>
                <w:iCs/>
                <w:color w:val="000000"/>
                <w:sz w:val="16"/>
                <w:szCs w:val="16"/>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0739">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D59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6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5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AF9EF">
            <w:pPr>
              <w:rPr>
                <w:rFonts w:hint="eastAsia" w:ascii="黑体" w:hAnsi="黑体" w:eastAsia="黑体" w:cs="黑体"/>
                <w:i/>
                <w:iCs/>
                <w:color w:val="000000"/>
                <w:sz w:val="18"/>
                <w:szCs w:val="18"/>
                <w:u w:val="none"/>
              </w:rPr>
            </w:pPr>
          </w:p>
        </w:tc>
      </w:tr>
      <w:tr w14:paraId="348A3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70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1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2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3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89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F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0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7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4C2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83B2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A80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6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A5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13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CE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2E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863A">
            <w:pPr>
              <w:jc w:val="center"/>
              <w:rPr>
                <w:rFonts w:hint="eastAsia" w:ascii="宋体" w:hAnsi="宋体" w:eastAsia="宋体" w:cs="宋体"/>
                <w:i w:val="0"/>
                <w:iCs w:val="0"/>
                <w:color w:val="000000"/>
                <w:sz w:val="18"/>
                <w:szCs w:val="18"/>
                <w:u w:val="none"/>
              </w:rPr>
            </w:pPr>
          </w:p>
        </w:tc>
      </w:tr>
      <w:tr w14:paraId="412EF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B9B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87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6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6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保障体系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0E5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96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3B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DBF7">
            <w:pPr>
              <w:jc w:val="center"/>
              <w:rPr>
                <w:rFonts w:hint="eastAsia" w:ascii="微软雅黑" w:hAnsi="微软雅黑" w:eastAsia="微软雅黑" w:cs="微软雅黑"/>
                <w:i/>
                <w:iCs/>
                <w:color w:val="000000"/>
                <w:sz w:val="16"/>
                <w:szCs w:val="16"/>
                <w:u w:val="none"/>
              </w:rPr>
            </w:pPr>
          </w:p>
        </w:tc>
      </w:tr>
      <w:tr w14:paraId="1FDED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DF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AF8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B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11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C1F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7E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76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36F7B">
            <w:pPr>
              <w:jc w:val="center"/>
              <w:rPr>
                <w:rFonts w:hint="eastAsia" w:ascii="微软雅黑" w:hAnsi="微软雅黑" w:eastAsia="微软雅黑" w:cs="微软雅黑"/>
                <w:i/>
                <w:iCs/>
                <w:color w:val="000000"/>
                <w:sz w:val="16"/>
                <w:szCs w:val="16"/>
                <w:u w:val="none"/>
              </w:rPr>
            </w:pPr>
          </w:p>
        </w:tc>
      </w:tr>
      <w:tr w14:paraId="7DC59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EF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84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A6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3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73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13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6C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09AD">
            <w:pPr>
              <w:jc w:val="center"/>
              <w:rPr>
                <w:rFonts w:hint="eastAsia" w:ascii="微软雅黑" w:hAnsi="微软雅黑" w:eastAsia="微软雅黑" w:cs="微软雅黑"/>
                <w:i/>
                <w:iCs/>
                <w:color w:val="000000"/>
                <w:sz w:val="16"/>
                <w:szCs w:val="16"/>
                <w:u w:val="none"/>
              </w:rPr>
            </w:pPr>
          </w:p>
        </w:tc>
      </w:tr>
      <w:tr w14:paraId="3B57A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3E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E3B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9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9D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开展各类工作知晓率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C5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22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D2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B3B6">
            <w:pPr>
              <w:jc w:val="center"/>
              <w:rPr>
                <w:rFonts w:hint="eastAsia" w:ascii="微软雅黑" w:hAnsi="微软雅黑" w:eastAsia="微软雅黑" w:cs="微软雅黑"/>
                <w:i/>
                <w:iCs/>
                <w:color w:val="000000"/>
                <w:sz w:val="16"/>
                <w:szCs w:val="16"/>
                <w:u w:val="none"/>
              </w:rPr>
            </w:pPr>
          </w:p>
        </w:tc>
      </w:tr>
      <w:tr w14:paraId="31899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A4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0E7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9F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5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C1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54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D7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9A49">
            <w:pPr>
              <w:jc w:val="center"/>
              <w:rPr>
                <w:rFonts w:hint="eastAsia" w:ascii="微软雅黑" w:hAnsi="微软雅黑" w:eastAsia="微软雅黑" w:cs="微软雅黑"/>
                <w:i/>
                <w:iCs/>
                <w:color w:val="000000"/>
                <w:sz w:val="16"/>
                <w:szCs w:val="16"/>
                <w:u w:val="none"/>
              </w:rPr>
            </w:pPr>
          </w:p>
        </w:tc>
      </w:tr>
      <w:tr w14:paraId="7E04C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093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369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4A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C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D65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63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545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E459">
            <w:pPr>
              <w:jc w:val="center"/>
              <w:rPr>
                <w:rFonts w:hint="eastAsia" w:ascii="微软雅黑" w:hAnsi="微软雅黑" w:eastAsia="微软雅黑" w:cs="微软雅黑"/>
                <w:i/>
                <w:iCs/>
                <w:color w:val="000000"/>
                <w:sz w:val="16"/>
                <w:szCs w:val="16"/>
                <w:u w:val="none"/>
              </w:rPr>
            </w:pPr>
          </w:p>
        </w:tc>
      </w:tr>
      <w:tr w14:paraId="4BF9C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3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BD5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nil"/>
              <w:left w:val="nil"/>
              <w:bottom w:val="nil"/>
              <w:right w:val="nil"/>
            </w:tcBorders>
            <w:shd w:val="clear" w:color="auto" w:fill="auto"/>
            <w:noWrap/>
            <w:vAlign w:val="center"/>
          </w:tcPr>
          <w:p w14:paraId="738F627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32F7">
            <w:pPr>
              <w:rPr>
                <w:rFonts w:hint="eastAsia" w:ascii="宋体" w:hAnsi="宋体" w:eastAsia="宋体" w:cs="宋体"/>
                <w:i w:val="0"/>
                <w:iCs w:val="0"/>
                <w:color w:val="000000"/>
                <w:sz w:val="18"/>
                <w:szCs w:val="18"/>
                <w:u w:val="none"/>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DE33">
            <w:pPr>
              <w:rPr>
                <w:rFonts w:hint="eastAsia" w:ascii="宋体" w:hAnsi="宋体" w:eastAsia="宋体" w:cs="宋体"/>
                <w:i w:val="0"/>
                <w:iCs w:val="0"/>
                <w:color w:val="000000"/>
                <w:sz w:val="18"/>
                <w:szCs w:val="18"/>
                <w:u w:val="none"/>
              </w:rPr>
            </w:pPr>
          </w:p>
        </w:tc>
      </w:tr>
      <w:tr w14:paraId="5FED4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2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8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F8B1E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100%完成相关经费支出，项目自评100分。</w:t>
            </w:r>
          </w:p>
        </w:tc>
      </w:tr>
      <w:tr w14:paraId="48C3F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A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8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C031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CFAF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0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8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94D8C6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bl>
    <w:p w14:paraId="105040D0">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中共汶川县委社会工作部</w:t>
      </w:r>
    </w:p>
    <w:p w14:paraId="584AF874">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公务用车购置</w:t>
      </w:r>
      <w:r>
        <w:rPr>
          <w:rFonts w:ascii="Times New Roman" w:hAnsi="Times New Roman" w:eastAsia="方正小标宋简体" w:cs="Times New Roman"/>
          <w:color w:val="auto"/>
          <w:kern w:val="2"/>
          <w:sz w:val="44"/>
          <w:szCs w:val="44"/>
          <w:lang w:val="en-US" w:eastAsia="zh-CN" w:bidi="ar-SA"/>
        </w:rPr>
        <w:t>专项</w:t>
      </w:r>
      <w:r>
        <w:rPr>
          <w:rFonts w:hint="eastAsia" w:ascii="Times New Roman" w:hAnsi="Times New Roman" w:eastAsia="方正小标宋简体" w:cs="Times New Roman"/>
          <w:color w:val="auto"/>
          <w:kern w:val="2"/>
          <w:sz w:val="44"/>
          <w:szCs w:val="44"/>
          <w:lang w:val="en-US" w:eastAsia="zh-CN" w:bidi="ar-SA"/>
        </w:rPr>
        <w:t>资金专项</w:t>
      </w:r>
      <w:r>
        <w:rPr>
          <w:rFonts w:ascii="Times New Roman" w:hAnsi="Times New Roman" w:eastAsia="方正小标宋简体" w:cs="Times New Roman"/>
          <w:color w:val="auto"/>
          <w:kern w:val="2"/>
          <w:sz w:val="44"/>
          <w:szCs w:val="44"/>
          <w:lang w:val="en-US" w:eastAsia="zh-CN" w:bidi="ar-SA"/>
        </w:rPr>
        <w:t>预算</w:t>
      </w:r>
      <w:r>
        <w:rPr>
          <w:rFonts w:hint="eastAsia" w:ascii="Times New Roman" w:hAnsi="Times New Roman" w:eastAsia="方正小标宋简体" w:cs="Times New Roman"/>
          <w:color w:val="auto"/>
          <w:kern w:val="2"/>
          <w:sz w:val="44"/>
          <w:szCs w:val="44"/>
          <w:lang w:val="en-US" w:eastAsia="zh-CN" w:bidi="ar-SA"/>
        </w:rPr>
        <w:t>项目</w:t>
      </w:r>
    </w:p>
    <w:p w14:paraId="07DF61D2">
      <w:pPr>
        <w:widowControl w:val="0"/>
        <w:spacing w:line="578" w:lineRule="exact"/>
        <w:jc w:val="center"/>
        <w:rPr>
          <w:rFonts w:ascii="Times New Roman" w:hAnsi="Times New Roman" w:eastAsia="方正小标宋简体" w:cs="Times New Roman"/>
          <w:color w:val="auto"/>
          <w:kern w:val="2"/>
          <w:sz w:val="44"/>
          <w:szCs w:val="44"/>
          <w:lang w:val="en-US" w:eastAsia="zh-CN" w:bidi="ar-SA"/>
        </w:rPr>
      </w:pPr>
      <w:r>
        <w:rPr>
          <w:rFonts w:ascii="Times New Roman" w:hAnsi="Times New Roman" w:eastAsia="方正小标宋简体" w:cs="Times New Roman"/>
          <w:color w:val="auto"/>
          <w:kern w:val="2"/>
          <w:sz w:val="44"/>
          <w:szCs w:val="44"/>
          <w:lang w:val="en-US" w:eastAsia="zh-CN" w:bidi="ar-SA"/>
        </w:rPr>
        <w:t>绩效自评报告</w:t>
      </w:r>
    </w:p>
    <w:p w14:paraId="551A40EC">
      <w:pPr>
        <w:widowControl w:val="0"/>
        <w:spacing w:line="578" w:lineRule="exact"/>
        <w:ind w:firstLine="640"/>
        <w:jc w:val="center"/>
        <w:rPr>
          <w:rFonts w:ascii="Times New Roman" w:hAnsi="Times New Roman" w:eastAsia="宋体" w:cs="Times New Roman"/>
          <w:color w:val="auto"/>
          <w:kern w:val="2"/>
          <w:sz w:val="32"/>
          <w:szCs w:val="32"/>
          <w:lang w:val="zh-CN" w:eastAsia="zh-CN" w:bidi="ar-SA"/>
        </w:rPr>
      </w:pPr>
    </w:p>
    <w:p w14:paraId="4F100A5A">
      <w:pPr>
        <w:adjustRightInd w:val="0"/>
        <w:snapToGrid w:val="0"/>
        <w:spacing w:line="578" w:lineRule="exact"/>
        <w:ind w:firstLine="640" w:firstLineChars="200"/>
        <w:rPr>
          <w:rFonts w:ascii="Times New Roman" w:hAnsi="Times New Roman" w:eastAsia="黑体" w:cs="Times New Roman"/>
          <w:sz w:val="32"/>
          <w:szCs w:val="32"/>
          <w:lang w:val="zh-CN"/>
        </w:rPr>
      </w:pPr>
      <w:r>
        <w:rPr>
          <w:rFonts w:ascii="Times New Roman" w:hAnsi="Times New Roman" w:eastAsia="黑体" w:cs="Times New Roman"/>
          <w:sz w:val="32"/>
          <w:szCs w:val="32"/>
        </w:rPr>
        <w:t>一、</w:t>
      </w:r>
      <w:r>
        <w:rPr>
          <w:rFonts w:ascii="Times New Roman" w:hAnsi="Times New Roman" w:eastAsia="黑体" w:cs="Times New Roman"/>
          <w:sz w:val="32"/>
          <w:szCs w:val="32"/>
          <w:lang w:val="zh-CN"/>
        </w:rPr>
        <w:t>项目概况</w:t>
      </w:r>
    </w:p>
    <w:p w14:paraId="0CC5040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kern w:val="0"/>
          <w:sz w:val="32"/>
          <w:szCs w:val="32"/>
          <w:shd w:val="clear" w:color="auto" w:fill="FFFFFF"/>
          <w:lang w:val="zh-CN"/>
        </w:rPr>
      </w:pPr>
      <w:r>
        <w:rPr>
          <w:rFonts w:ascii="Times New Roman" w:hAnsi="Times New Roman" w:eastAsia="楷体_GB2312" w:cs="Times New Roman"/>
          <w:b/>
          <w:sz w:val="32"/>
          <w:szCs w:val="32"/>
          <w:lang w:val="zh-CN"/>
        </w:rPr>
        <w:t>（一）设立背景及基本情况。</w:t>
      </w:r>
      <w:r>
        <w:rPr>
          <w:rFonts w:hint="default" w:ascii="Times New Roman" w:hAnsi="Times New Roman" w:eastAsia="方正仿宋_GBK" w:cs="Times New Roman"/>
          <w:b w:val="0"/>
          <w:bCs/>
          <w:color w:val="000000"/>
          <w:kern w:val="2"/>
          <w:sz w:val="32"/>
          <w:szCs w:val="32"/>
          <w:lang w:val="en-US" w:eastAsia="zh-CN" w:bidi="ar-SA"/>
        </w:rPr>
        <w:t>我单位于2024年5月成立，主要负责组织、协调、指导全县社会工作、党建引领基层治理和基层政权建设、“两企三新”党建、志愿服务等多方面工作，因工作范围广，同时</w:t>
      </w:r>
      <w:r>
        <w:rPr>
          <w:rFonts w:hint="default" w:ascii="Times New Roman" w:hAnsi="Times New Roman" w:eastAsia="方正仿宋_GBK" w:cs="Times New Roman"/>
          <w:color w:val="auto"/>
          <w:sz w:val="32"/>
          <w:szCs w:val="32"/>
          <w:lang w:val="en-US" w:eastAsia="zh-CN"/>
        </w:rPr>
        <w:t>需频繁深入乡镇、社区、农村进行调研、指导等，故在开展工作时需要良好的车辆保障。</w:t>
      </w:r>
      <w:r>
        <w:rPr>
          <w:rFonts w:hint="eastAsia" w:ascii="Times New Roman" w:hAnsi="Times New Roman" w:eastAsia="方正仿宋_GBK" w:cs="Times New Roman"/>
          <w:color w:val="auto"/>
          <w:sz w:val="32"/>
          <w:szCs w:val="32"/>
          <w:lang w:val="en-US" w:eastAsia="zh-CN"/>
        </w:rPr>
        <w:t>因</w:t>
      </w:r>
      <w:r>
        <w:rPr>
          <w:rFonts w:hint="default" w:ascii="Times New Roman" w:hAnsi="Times New Roman" w:eastAsia="方正仿宋_GBK" w:cs="Times New Roman"/>
          <w:sz w:val="32"/>
          <w:szCs w:val="32"/>
        </w:rPr>
        <w:t>我</w:t>
      </w:r>
      <w:r>
        <w:rPr>
          <w:rFonts w:hint="default" w:ascii="Times New Roman" w:hAnsi="Times New Roman" w:eastAsia="方正仿宋_GBK" w:cs="Times New Roman"/>
          <w:sz w:val="32"/>
          <w:szCs w:val="32"/>
          <w:lang w:val="en-US" w:eastAsia="zh-CN"/>
        </w:rPr>
        <w:t>部</w:t>
      </w:r>
      <w:r>
        <w:rPr>
          <w:rFonts w:hint="eastAsia" w:ascii="Times New Roman" w:hAnsi="Times New Roman" w:eastAsia="方正仿宋_GBK" w:cs="Times New Roman"/>
          <w:sz w:val="32"/>
          <w:szCs w:val="32"/>
          <w:lang w:val="en-US" w:eastAsia="zh-CN"/>
        </w:rPr>
        <w:t>现</w:t>
      </w:r>
      <w:r>
        <w:rPr>
          <w:rFonts w:hint="default" w:ascii="Times New Roman" w:hAnsi="Times New Roman" w:eastAsia="方正仿宋_GBK" w:cs="Times New Roman"/>
          <w:sz w:val="32"/>
          <w:szCs w:val="32"/>
          <w:lang w:val="en-US" w:eastAsia="zh-CN"/>
        </w:rPr>
        <w:t>有公务用车系2008年1月购置的公务用车（车牌号</w:t>
      </w:r>
      <w:r>
        <w:rPr>
          <w:rFonts w:hint="default" w:ascii="Times New Roman" w:hAnsi="Times New Roman" w:eastAsia="方正仿宋_GBK" w:cs="Times New Roman"/>
          <w:sz w:val="32"/>
          <w:szCs w:val="32"/>
          <w:lang w:eastAsia="zh-CN"/>
        </w:rPr>
        <w:t>川U55005、车辆识别代码：JTEBU25J975092311、</w:t>
      </w:r>
      <w:r>
        <w:rPr>
          <w:rFonts w:hint="default" w:ascii="Times New Roman" w:hAnsi="Times New Roman" w:eastAsia="方正仿宋_GBK" w:cs="Times New Roman"/>
          <w:sz w:val="32"/>
          <w:szCs w:val="32"/>
          <w:lang w:val="en-US" w:eastAsia="zh-CN"/>
        </w:rPr>
        <w:t>车型：越野车、品牌型号：丰田、</w:t>
      </w:r>
      <w:r>
        <w:rPr>
          <w:rFonts w:hint="default" w:ascii="Times New Roman" w:hAnsi="Times New Roman" w:eastAsia="方正仿宋_GBK" w:cs="Times New Roman"/>
          <w:sz w:val="32"/>
          <w:szCs w:val="32"/>
        </w:rPr>
        <w:t>陆地巡洋舰JTEB</w:t>
      </w:r>
      <w:r>
        <w:rPr>
          <w:rFonts w:hint="default" w:ascii="Times New Roman" w:hAnsi="Times New Roman" w:eastAsia="方正仿宋_GBK" w:cs="Times New Roman"/>
          <w:sz w:val="32"/>
          <w:szCs w:val="32"/>
          <w:lang w:val="en-US" w:eastAsia="zh-CN"/>
        </w:rPr>
        <w:t>U</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5J175），</w:t>
      </w:r>
      <w:r>
        <w:rPr>
          <w:rFonts w:hint="default" w:ascii="Times New Roman" w:hAnsi="Times New Roman" w:eastAsia="方正仿宋_GBK" w:cs="Times New Roman"/>
          <w:sz w:val="32"/>
          <w:szCs w:val="32"/>
        </w:rPr>
        <w:t>至今</w:t>
      </w:r>
      <w:r>
        <w:rPr>
          <w:rFonts w:hint="default" w:ascii="Times New Roman" w:hAnsi="Times New Roman" w:eastAsia="方正仿宋_GBK" w:cs="Times New Roman"/>
          <w:sz w:val="32"/>
          <w:szCs w:val="32"/>
          <w:lang w:val="en-US" w:eastAsia="zh-CN"/>
        </w:rPr>
        <w:t>已</w:t>
      </w:r>
      <w:r>
        <w:rPr>
          <w:rFonts w:hint="default" w:ascii="Times New Roman" w:hAnsi="Times New Roman" w:eastAsia="方正仿宋_GBK" w:cs="Times New Roman"/>
          <w:sz w:val="32"/>
          <w:szCs w:val="32"/>
        </w:rPr>
        <w:t>行</w:t>
      </w:r>
      <w:r>
        <w:rPr>
          <w:rFonts w:hint="default" w:ascii="Times New Roman" w:hAnsi="Times New Roman" w:eastAsia="方正仿宋_GBK" w:cs="Times New Roman"/>
          <w:sz w:val="32"/>
          <w:szCs w:val="32"/>
          <w:lang w:eastAsia="zh-CN"/>
        </w:rPr>
        <w:t>驶</w:t>
      </w:r>
      <w:r>
        <w:rPr>
          <w:rFonts w:hint="default" w:ascii="Times New Roman" w:hAnsi="Times New Roman" w:eastAsia="方正仿宋_GBK" w:cs="Times New Roman"/>
          <w:sz w:val="32"/>
          <w:szCs w:val="32"/>
        </w:rPr>
        <w:t>了</w:t>
      </w:r>
      <w:r>
        <w:rPr>
          <w:rFonts w:hint="default" w:ascii="Times New Roman" w:hAnsi="Times New Roman" w:eastAsia="方正仿宋_GBK" w:cs="Times New Roman"/>
          <w:sz w:val="32"/>
          <w:szCs w:val="32"/>
          <w:lang w:val="en-US" w:eastAsia="zh-CN"/>
        </w:rPr>
        <w:t>67</w:t>
      </w:r>
      <w:r>
        <w:rPr>
          <w:rFonts w:hint="default" w:ascii="Times New Roman" w:hAnsi="Times New Roman" w:eastAsia="方正仿宋_GBK" w:cs="Times New Roman"/>
          <w:sz w:val="32"/>
          <w:szCs w:val="32"/>
        </w:rPr>
        <w:t>万</w:t>
      </w:r>
      <w:r>
        <w:rPr>
          <w:rFonts w:hint="default" w:ascii="Times New Roman" w:hAnsi="Times New Roman" w:eastAsia="方正仿宋_GBK" w:cs="Times New Roman"/>
          <w:sz w:val="32"/>
          <w:szCs w:val="32"/>
          <w:lang w:val="en-US" w:eastAsia="zh-CN"/>
        </w:rPr>
        <w:t>余</w:t>
      </w:r>
      <w:r>
        <w:rPr>
          <w:rFonts w:hint="default" w:ascii="Times New Roman" w:hAnsi="Times New Roman" w:eastAsia="方正仿宋_GBK" w:cs="Times New Roman"/>
          <w:sz w:val="32"/>
          <w:szCs w:val="32"/>
        </w:rPr>
        <w:t>公里</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因</w:t>
      </w:r>
      <w:r>
        <w:rPr>
          <w:rFonts w:hint="default" w:ascii="Times New Roman" w:hAnsi="Times New Roman" w:eastAsia="方正仿宋_GBK" w:cs="Times New Roman"/>
          <w:sz w:val="32"/>
          <w:szCs w:val="32"/>
          <w:lang w:eastAsia="zh-CN"/>
        </w:rPr>
        <w:t>使用</w:t>
      </w:r>
      <w:r>
        <w:rPr>
          <w:rFonts w:hint="default" w:ascii="Times New Roman" w:hAnsi="Times New Roman" w:eastAsia="方正仿宋_GBK" w:cs="Times New Roman"/>
          <w:sz w:val="32"/>
          <w:szCs w:val="32"/>
          <w:lang w:val="en-US" w:eastAsia="zh-CN"/>
        </w:rPr>
        <w:t>年限长</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车辆</w:t>
      </w:r>
      <w:r>
        <w:rPr>
          <w:rFonts w:hint="default" w:ascii="Times New Roman" w:hAnsi="Times New Roman" w:eastAsia="方正仿宋_GBK" w:cs="Times New Roman"/>
          <w:sz w:val="32"/>
          <w:szCs w:val="32"/>
        </w:rPr>
        <w:t>损耗大,</w:t>
      </w:r>
      <w:r>
        <w:rPr>
          <w:rFonts w:hint="default" w:ascii="Times New Roman" w:hAnsi="Times New Roman" w:eastAsia="方正仿宋_GBK" w:cs="Times New Roman"/>
          <w:sz w:val="32"/>
          <w:szCs w:val="32"/>
          <w:lang w:val="en-US" w:eastAsia="zh-CN"/>
        </w:rPr>
        <w:t>该车目前存在</w:t>
      </w:r>
      <w:r>
        <w:rPr>
          <w:rFonts w:hint="default" w:ascii="Times New Roman" w:hAnsi="Times New Roman" w:eastAsia="方正仿宋_GBK" w:cs="Times New Roman"/>
          <w:sz w:val="32"/>
          <w:szCs w:val="32"/>
        </w:rPr>
        <w:t>耗油量大</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维修次数多</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维修费用</w:t>
      </w:r>
      <w:r>
        <w:rPr>
          <w:rFonts w:hint="default" w:ascii="Times New Roman" w:hAnsi="Times New Roman" w:eastAsia="方正仿宋_GBK" w:cs="Times New Roman"/>
          <w:sz w:val="32"/>
          <w:szCs w:val="32"/>
          <w:lang w:eastAsia="zh-CN"/>
        </w:rPr>
        <w:t>高</w:t>
      </w:r>
      <w:r>
        <w:rPr>
          <w:rFonts w:hint="default" w:ascii="Times New Roman" w:hAnsi="Times New Roman" w:eastAsia="方正仿宋_GBK" w:cs="Times New Roman"/>
          <w:sz w:val="32"/>
          <w:szCs w:val="32"/>
          <w:lang w:val="en-US" w:eastAsia="zh-CN"/>
        </w:rPr>
        <w:t>等现状</w:t>
      </w:r>
      <w:r>
        <w:rPr>
          <w:rFonts w:hint="default" w:ascii="Times New Roman" w:hAnsi="Times New Roman" w:eastAsia="方正仿宋_GBK" w:cs="Times New Roman"/>
          <w:sz w:val="32"/>
          <w:szCs w:val="32"/>
        </w:rPr>
        <w:t>,现有车况难以维持正常</w:t>
      </w:r>
      <w:r>
        <w:rPr>
          <w:rFonts w:hint="default" w:ascii="Times New Roman" w:hAnsi="Times New Roman" w:eastAsia="方正仿宋_GBK" w:cs="Times New Roman"/>
          <w:sz w:val="32"/>
          <w:szCs w:val="32"/>
          <w:lang w:val="en-US" w:eastAsia="zh-CN"/>
        </w:rPr>
        <w:t>车辆</w:t>
      </w:r>
      <w:r>
        <w:rPr>
          <w:rFonts w:hint="default" w:ascii="Times New Roman" w:hAnsi="Times New Roman" w:eastAsia="方正仿宋_GBK" w:cs="Times New Roman"/>
          <w:sz w:val="32"/>
          <w:szCs w:val="32"/>
        </w:rPr>
        <w:t>运行,</w:t>
      </w:r>
      <w:r>
        <w:rPr>
          <w:rFonts w:hint="default" w:ascii="Times New Roman" w:hAnsi="Times New Roman" w:eastAsia="方正仿宋_GBK" w:cs="Times New Roman"/>
          <w:sz w:val="32"/>
          <w:szCs w:val="32"/>
          <w:lang w:eastAsia="zh-CN"/>
        </w:rPr>
        <w:t>严重</w:t>
      </w:r>
      <w:r>
        <w:rPr>
          <w:rFonts w:hint="default" w:ascii="Times New Roman" w:hAnsi="Times New Roman" w:eastAsia="方正仿宋_GBK" w:cs="Times New Roman"/>
          <w:sz w:val="32"/>
          <w:szCs w:val="32"/>
        </w:rPr>
        <w:t>影响工作的</w:t>
      </w:r>
      <w:r>
        <w:rPr>
          <w:rFonts w:hint="default" w:ascii="Times New Roman" w:hAnsi="Times New Roman" w:eastAsia="方正仿宋_GBK" w:cs="Times New Roman"/>
          <w:sz w:val="32"/>
          <w:szCs w:val="32"/>
          <w:lang w:eastAsia="zh-CN"/>
        </w:rPr>
        <w:t>顺利</w:t>
      </w:r>
      <w:r>
        <w:rPr>
          <w:rFonts w:hint="default" w:ascii="Times New Roman" w:hAnsi="Times New Roman" w:eastAsia="方正仿宋_GBK" w:cs="Times New Roman"/>
          <w:sz w:val="32"/>
          <w:szCs w:val="32"/>
        </w:rPr>
        <w:t>开展</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经报请县公车办批准，同意我部更新</w:t>
      </w:r>
      <w:r>
        <w:rPr>
          <w:rFonts w:hint="default" w:ascii="Times New Roman" w:hAnsi="Times New Roman" w:eastAsia="方正仿宋_GBK" w:cs="Times New Roman"/>
          <w:sz w:val="32"/>
          <w:szCs w:val="32"/>
          <w:lang w:val="en-US" w:eastAsia="zh-CN"/>
        </w:rPr>
        <w:t>1辆</w:t>
      </w:r>
      <w:r>
        <w:rPr>
          <w:rFonts w:hint="default" w:ascii="Times New Roman" w:hAnsi="Times New Roman" w:eastAsia="方正仿宋_GBK" w:cs="Times New Roman"/>
          <w:sz w:val="32"/>
          <w:szCs w:val="32"/>
        </w:rPr>
        <w:t>排气量3.0（含）以下、车价</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万以内的国产越野车公务用车</w:t>
      </w:r>
      <w:r>
        <w:rPr>
          <w:rFonts w:hint="eastAsia" w:ascii="Times New Roman" w:hAnsi="Times New Roman" w:eastAsia="方正仿宋_GBK" w:cs="Times New Roman"/>
          <w:sz w:val="32"/>
          <w:szCs w:val="32"/>
          <w:lang w:val="en-US" w:eastAsia="zh-CN"/>
        </w:rPr>
        <w:t>。</w:t>
      </w:r>
    </w:p>
    <w:p w14:paraId="2F1247A7">
      <w:pPr>
        <w:widowControl/>
        <w:adjustRightInd w:val="0"/>
        <w:snapToGrid w:val="0"/>
        <w:spacing w:line="578" w:lineRule="exact"/>
        <w:ind w:firstLine="643" w:firstLineChars="200"/>
        <w:contextualSpacing/>
        <w:jc w:val="left"/>
        <w:rPr>
          <w:rFonts w:hint="default" w:ascii="Times New Roman" w:hAnsi="Times New Roman" w:eastAsia="方正仿宋_GBK" w:cs="Times New Roman"/>
          <w:sz w:val="32"/>
          <w:szCs w:val="32"/>
        </w:rPr>
      </w:pPr>
      <w:r>
        <w:rPr>
          <w:rFonts w:ascii="Times New Roman" w:hAnsi="Times New Roman" w:eastAsia="楷体_GB2312" w:cs="Times New Roman"/>
          <w:b/>
          <w:sz w:val="32"/>
          <w:szCs w:val="32"/>
          <w:lang w:val="zh-CN"/>
        </w:rPr>
        <w:t>（二）</w:t>
      </w:r>
      <w:r>
        <w:rPr>
          <w:rFonts w:ascii="Times New Roman" w:hAnsi="Times New Roman" w:eastAsia="楷体_GB2312" w:cs="Times New Roman"/>
          <w:b/>
          <w:sz w:val="32"/>
          <w:szCs w:val="32"/>
        </w:rPr>
        <w:t>实施目的及支持方向。</w:t>
      </w:r>
      <w:r>
        <w:rPr>
          <w:rFonts w:hint="default" w:ascii="Times New Roman" w:hAnsi="Times New Roman" w:eastAsia="方正仿宋_GBK" w:cs="Times New Roman"/>
          <w:sz w:val="32"/>
          <w:szCs w:val="32"/>
        </w:rPr>
        <w:t>本项目实施的主要目的是通过更新公务用车，保障单位各项公务活动的顺利开展，提升工作效率与出行安全，同时降低旧车高额的维修费用和油耗。主要工作任务包括：严格按照公务用车配备标准和采购流程，完成车辆的选型、采购、验收及落户。项目支持方向严格限定于购置公务用车本身及相关必要费用，确保资金专款专用。项目资金管理严格执行单位既有的财务管理制度和收支业务管理规定，实行专款专用，确保资金安全规范。</w:t>
      </w:r>
    </w:p>
    <w:p w14:paraId="6ABB9C29">
      <w:pPr>
        <w:widowControl/>
        <w:adjustRightInd w:val="0"/>
        <w:snapToGrid w:val="0"/>
        <w:spacing w:line="578" w:lineRule="exact"/>
        <w:ind w:firstLine="643" w:firstLineChars="200"/>
        <w:contextualSpacing/>
        <w:jc w:val="left"/>
        <w:rPr>
          <w:rFonts w:ascii="Times New Roman" w:hAnsi="Times New Roman" w:eastAsia="仿宋_GB2312" w:cs="Times New Roman"/>
          <w:kern w:val="0"/>
          <w:sz w:val="32"/>
          <w:szCs w:val="32"/>
          <w:shd w:val="clear" w:color="auto" w:fill="FFFFFF"/>
          <w:lang w:val="zh-CN"/>
        </w:rPr>
      </w:pPr>
      <w:r>
        <w:rPr>
          <w:rFonts w:ascii="Times New Roman" w:hAnsi="Times New Roman" w:eastAsia="楷体_GB2312" w:cs="Times New Roman"/>
          <w:b/>
          <w:sz w:val="32"/>
          <w:szCs w:val="32"/>
          <w:lang w:val="zh-CN"/>
        </w:rPr>
        <w:t>（三）</w:t>
      </w:r>
      <w:r>
        <w:rPr>
          <w:rFonts w:ascii="Times New Roman" w:hAnsi="Times New Roman" w:eastAsia="楷体_GB2312" w:cs="Times New Roman"/>
          <w:b/>
          <w:sz w:val="32"/>
          <w:szCs w:val="32"/>
        </w:rPr>
        <w:t>预算安排及分配管理</w:t>
      </w:r>
      <w:r>
        <w:rPr>
          <w:rFonts w:ascii="Times New Roman" w:hAnsi="Times New Roman" w:eastAsia="楷体_GB2312" w:cs="Times New Roman"/>
          <w:b/>
          <w:sz w:val="32"/>
          <w:szCs w:val="32"/>
          <w:lang w:val="zh-CN"/>
        </w:rPr>
        <w:t>。</w:t>
      </w:r>
      <w:r>
        <w:rPr>
          <w:rFonts w:hint="default" w:ascii="Times New Roman" w:hAnsi="Times New Roman" w:eastAsia="方正仿宋_GBK" w:cs="Times New Roman"/>
          <w:sz w:val="32"/>
          <w:szCs w:val="32"/>
          <w:lang w:val="zh-CN"/>
        </w:rPr>
        <w:t>本项目预算总额为</w:t>
      </w:r>
      <w:r>
        <w:rPr>
          <w:rFonts w:hint="eastAsia" w:ascii="Times New Roman" w:hAnsi="Times New Roman" w:eastAsia="方正仿宋_GBK" w:cs="Times New Roman"/>
          <w:color w:val="auto"/>
          <w:sz w:val="32"/>
          <w:szCs w:val="32"/>
          <w:lang w:val="zh-CN" w:eastAsia="zh-CN"/>
        </w:rPr>
        <w:t>22.78</w:t>
      </w:r>
      <w:r>
        <w:rPr>
          <w:rFonts w:hint="default" w:ascii="Times New Roman" w:hAnsi="Times New Roman" w:eastAsia="方正仿宋_GBK" w:cs="Times New Roman"/>
          <w:sz w:val="32"/>
          <w:szCs w:val="32"/>
          <w:lang w:val="zh-CN"/>
        </w:rPr>
        <w:t>万元，资金来源为财政拨款。</w:t>
      </w:r>
    </w:p>
    <w:p w14:paraId="06EFC96A">
      <w:pPr>
        <w:adjustRightInd w:val="0"/>
        <w:snapToGrid w:val="0"/>
        <w:spacing w:line="578" w:lineRule="exact"/>
        <w:ind w:firstLine="643" w:firstLineChars="200"/>
        <w:rPr>
          <w:rFonts w:ascii="Times New Roman" w:hAnsi="Times New Roman" w:eastAsia="仿宋_GB2312" w:cs="Times New Roman"/>
          <w:kern w:val="0"/>
          <w:sz w:val="32"/>
          <w:szCs w:val="32"/>
          <w:shd w:val="clear" w:color="auto" w:fill="FFFFFF"/>
          <w:lang w:val="zh-CN"/>
        </w:rPr>
      </w:pPr>
      <w:r>
        <w:rPr>
          <w:rFonts w:ascii="Times New Roman" w:hAnsi="Times New Roman" w:eastAsia="楷体_GB2312" w:cs="Times New Roman"/>
          <w:b/>
          <w:sz w:val="32"/>
          <w:szCs w:val="32"/>
          <w:lang w:val="zh-CN"/>
        </w:rPr>
        <w:t>（四）项目绩效目标设置。</w:t>
      </w:r>
      <w:r>
        <w:rPr>
          <w:rFonts w:hint="default" w:ascii="Times New Roman" w:hAnsi="Times New Roman" w:eastAsia="方正仿宋_GBK" w:cs="Times New Roman"/>
          <w:sz w:val="32"/>
          <w:szCs w:val="32"/>
          <w:lang w:val="zh-CN"/>
        </w:rPr>
        <w:t>在规定时限内，按程序购置符合标准、质量合格的公务用车，保障单位正常运转，提升公务出行效率与安全性。</w:t>
      </w:r>
    </w:p>
    <w:p w14:paraId="09BD2D08">
      <w:pPr>
        <w:adjustRightInd w:val="0"/>
        <w:snapToGrid w:val="0"/>
        <w:spacing w:line="578"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二、评价实施</w:t>
      </w:r>
    </w:p>
    <w:p w14:paraId="7C16A99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方正仿宋_GBK" w:cs="Times New Roman"/>
          <w:sz w:val="32"/>
          <w:szCs w:val="32"/>
          <w:lang w:val="zh-CN"/>
        </w:rPr>
      </w:pPr>
      <w:r>
        <w:rPr>
          <w:rFonts w:ascii="Times New Roman" w:hAnsi="Times New Roman" w:eastAsia="楷体_GB2312" w:cs="Times New Roman"/>
          <w:b/>
          <w:sz w:val="32"/>
          <w:szCs w:val="32"/>
          <w:lang w:val="zh-CN"/>
        </w:rPr>
        <w:t>（一）评价目的。</w:t>
      </w:r>
      <w:r>
        <w:rPr>
          <w:rFonts w:hint="default" w:ascii="Times New Roman" w:hAnsi="Times New Roman" w:eastAsia="方正仿宋_GBK" w:cs="Times New Roman"/>
          <w:sz w:val="32"/>
          <w:szCs w:val="32"/>
          <w:lang w:val="zh-CN"/>
        </w:rPr>
        <w:t>本次绩效自评旨在全面检验“公务用车购置项目”资金使用的规范性、经济性、效率性和效果性。通过系统评价，衡量项目是否达到预期绩效目标，总结采购与资金管理经验，发现预算编制、执行及项目管理中存在的问题，为加强财政资金管理、提高未来年度预算精准性和项目管理水平提供依据</w:t>
      </w:r>
      <w:r>
        <w:rPr>
          <w:rFonts w:hint="eastAsia" w:ascii="Times New Roman" w:hAnsi="Times New Roman" w:eastAsia="方正仿宋_GBK" w:cs="Times New Roman"/>
          <w:sz w:val="32"/>
          <w:szCs w:val="32"/>
          <w:lang w:val="zh-CN"/>
        </w:rPr>
        <w:t>。</w:t>
      </w:r>
    </w:p>
    <w:p w14:paraId="329EF2B1">
      <w:pPr>
        <w:adjustRightInd w:val="0"/>
        <w:snapToGrid w:val="0"/>
        <w:spacing w:line="578" w:lineRule="exact"/>
        <w:ind w:firstLine="643" w:firstLineChars="200"/>
        <w:rPr>
          <w:rFonts w:hint="default" w:ascii="Times New Roman" w:hAnsi="Times New Roman" w:eastAsia="方正仿宋_GBK" w:cs="Times New Roman"/>
          <w:sz w:val="32"/>
          <w:szCs w:val="32"/>
          <w:lang w:val="zh-CN"/>
        </w:rPr>
      </w:pPr>
      <w:r>
        <w:rPr>
          <w:rFonts w:ascii="Times New Roman" w:hAnsi="Times New Roman" w:eastAsia="楷体_GB2312" w:cs="Times New Roman"/>
          <w:b/>
          <w:sz w:val="32"/>
          <w:szCs w:val="32"/>
          <w:lang w:val="zh-CN"/>
        </w:rPr>
        <w:t>（二）预设问题及评价重点。</w:t>
      </w:r>
      <w:r>
        <w:rPr>
          <w:rFonts w:hint="default" w:ascii="Times New Roman" w:hAnsi="Times New Roman" w:eastAsia="方正仿宋_GBK" w:cs="Times New Roman"/>
          <w:sz w:val="32"/>
          <w:szCs w:val="32"/>
          <w:lang w:val="zh-CN"/>
        </w:rPr>
        <w:t>预设问题包括：预算编制是否精准、资金执行率是否达标、采购程序是否规范合规、车辆质量与配置是否符合标准、项目完成是否及时、是否有效提升公务保障能力等。评价重点将围绕资金支出全过程及其实施效果，对项目决策、过程管理、产出成果和综合效益进行综合评价。</w:t>
      </w:r>
    </w:p>
    <w:p w14:paraId="1F903530">
      <w:pPr>
        <w:adjustRightInd w:val="0"/>
        <w:snapToGrid w:val="0"/>
        <w:spacing w:line="578" w:lineRule="exact"/>
        <w:ind w:firstLine="643" w:firstLineChars="200"/>
        <w:rPr>
          <w:rFonts w:hint="eastAsia" w:ascii="Times New Roman" w:hAnsi="Times New Roman" w:eastAsia="方正仿宋_GBK" w:cs="Times New Roman"/>
          <w:sz w:val="32"/>
          <w:szCs w:val="32"/>
          <w:lang w:val="zh-CN" w:eastAsia="zh-CN"/>
        </w:rPr>
      </w:pPr>
      <w:r>
        <w:rPr>
          <w:rFonts w:ascii="Times New Roman" w:hAnsi="Times New Roman" w:eastAsia="楷体_GB2312" w:cs="Times New Roman"/>
          <w:b/>
          <w:sz w:val="32"/>
          <w:szCs w:val="32"/>
          <w:lang w:val="zh-CN"/>
        </w:rPr>
        <w:t>（三）评价选点。</w:t>
      </w:r>
      <w:r>
        <w:rPr>
          <w:rFonts w:hint="default" w:ascii="Times New Roman" w:hAnsi="Times New Roman" w:eastAsia="方正仿宋_GBK" w:cs="Times New Roman"/>
          <w:sz w:val="32"/>
          <w:szCs w:val="32"/>
          <w:lang w:val="zh-CN"/>
        </w:rPr>
        <w:t>本项目为用于本单位购置车辆的专项经费</w:t>
      </w:r>
      <w:r>
        <w:rPr>
          <w:rFonts w:hint="eastAsia" w:ascii="Times New Roman" w:hAnsi="Times New Roman" w:eastAsia="方正仿宋_GBK" w:cs="Times New Roman"/>
          <w:sz w:val="32"/>
          <w:szCs w:val="32"/>
          <w:lang w:val="zh-CN"/>
        </w:rPr>
        <w:t>，</w:t>
      </w:r>
      <w:r>
        <w:rPr>
          <w:rFonts w:hint="default" w:ascii="Times New Roman" w:hAnsi="Times New Roman" w:eastAsia="方正仿宋_GBK" w:cs="Times New Roman"/>
          <w:sz w:val="32"/>
          <w:szCs w:val="32"/>
          <w:lang w:val="zh-CN"/>
        </w:rPr>
        <w:t>因此，本次评价以项目单位本级为唯一评价点位，进行全面的案卷研究和实地核查，不涉及抽样选点。</w:t>
      </w:r>
    </w:p>
    <w:p w14:paraId="6C628FF4">
      <w:pPr>
        <w:spacing w:line="578" w:lineRule="exact"/>
        <w:ind w:firstLine="640"/>
        <w:rPr>
          <w:rFonts w:hint="eastAsia" w:ascii="Times New Roman" w:hAnsi="Times New Roman" w:eastAsia="方正仿宋_GBK" w:cs="Times New Roman"/>
          <w:color w:val="auto"/>
          <w:sz w:val="32"/>
          <w:szCs w:val="32"/>
          <w:lang w:val="zh-CN" w:eastAsia="zh-CN"/>
        </w:rPr>
      </w:pPr>
      <w:r>
        <w:rPr>
          <w:rFonts w:ascii="Times New Roman" w:hAnsi="Times New Roman" w:eastAsia="楷体_GB2312" w:cs="Times New Roman"/>
          <w:b/>
          <w:sz w:val="32"/>
          <w:szCs w:val="32"/>
          <w:lang w:val="zh-CN"/>
        </w:rPr>
        <w:t>（四）评价方法。</w:t>
      </w:r>
      <w:r>
        <w:rPr>
          <w:rFonts w:hint="eastAsia" w:ascii="Times New Roman" w:hAnsi="Times New Roman" w:eastAsia="方正仿宋_GBK" w:cs="Times New Roman"/>
          <w:color w:val="auto"/>
          <w:sz w:val="32"/>
          <w:szCs w:val="32"/>
          <w:lang w:val="zh-CN" w:eastAsia="zh-CN"/>
        </w:rPr>
        <w:t>根据项目情况和评价重点，采取单位自评法对</w:t>
      </w:r>
      <w:r>
        <w:rPr>
          <w:rFonts w:hint="eastAsia" w:ascii="Times New Roman" w:hAnsi="Times New Roman" w:eastAsia="方正仿宋_GBK" w:cs="Times New Roman"/>
          <w:color w:val="auto"/>
          <w:sz w:val="32"/>
          <w:szCs w:val="32"/>
          <w:lang w:val="en-US" w:eastAsia="zh-CN"/>
        </w:rPr>
        <w:t>公务用车购置</w:t>
      </w:r>
      <w:r>
        <w:rPr>
          <w:rFonts w:hint="eastAsia" w:ascii="Times New Roman" w:hAnsi="Times New Roman" w:eastAsia="方正仿宋_GBK" w:cs="Times New Roman"/>
          <w:color w:val="auto"/>
          <w:sz w:val="32"/>
          <w:szCs w:val="32"/>
          <w:highlight w:val="none"/>
          <w:lang w:val="en-US" w:eastAsia="zh-CN"/>
        </w:rPr>
        <w:t>专项资金</w:t>
      </w:r>
      <w:r>
        <w:rPr>
          <w:rFonts w:hint="eastAsia" w:ascii="Times New Roman" w:hAnsi="Times New Roman" w:eastAsia="方正仿宋_GBK" w:cs="Times New Roman"/>
          <w:color w:val="auto"/>
          <w:sz w:val="32"/>
          <w:szCs w:val="32"/>
          <w:highlight w:val="none"/>
          <w:lang w:val="zh-CN" w:eastAsia="zh-CN"/>
        </w:rPr>
        <w:t>项目</w:t>
      </w:r>
      <w:r>
        <w:rPr>
          <w:rFonts w:hint="eastAsia" w:ascii="Times New Roman" w:hAnsi="Times New Roman" w:eastAsia="方正仿宋_GBK" w:cs="Times New Roman"/>
          <w:color w:val="auto"/>
          <w:sz w:val="32"/>
          <w:szCs w:val="32"/>
          <w:lang w:val="zh-CN" w:eastAsia="zh-CN"/>
        </w:rPr>
        <w:t>开展自评。</w:t>
      </w:r>
    </w:p>
    <w:p w14:paraId="3517FEFF">
      <w:pPr>
        <w:spacing w:line="578" w:lineRule="exact"/>
        <w:ind w:firstLine="64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（五）评价组织。</w:t>
      </w:r>
    </w:p>
    <w:p w14:paraId="32A580CA">
      <w:pPr>
        <w:spacing w:line="578" w:lineRule="exact"/>
        <w:ind w:firstLine="640"/>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评价组织人员构成和职责分工：</w:t>
      </w:r>
    </w:p>
    <w:p w14:paraId="05D9210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评价小组长：孙权（部长）</w:t>
      </w:r>
    </w:p>
    <w:p w14:paraId="7F1EF90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副组长：毕挺（副部长）</w:t>
      </w:r>
    </w:p>
    <w:p w14:paraId="794B49C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ascii="Times New Roman" w:hAnsi="Times New Roman" w:eastAsia="仿宋_GB2312" w:cs="Times New Roman"/>
          <w:bCs/>
          <w:sz w:val="32"/>
          <w:szCs w:val="32"/>
        </w:rPr>
      </w:pPr>
      <w:r>
        <w:rPr>
          <w:rFonts w:hint="eastAsia" w:ascii="Times New Roman" w:hAnsi="Times New Roman" w:eastAsia="方正仿宋_GBK" w:cs="Times New Roman"/>
          <w:color w:val="auto"/>
          <w:sz w:val="32"/>
          <w:szCs w:val="32"/>
          <w:lang w:val="en-US" w:eastAsia="zh-CN"/>
        </w:rPr>
        <w:t>评价小组成员：郑怡（办公室工作人员）、泽仁当州（办公室工作人员）、杨静（财务室）。财务室负责牵头展开绩效自评，根据专项预算项目绩效评价指标体系中相关指标对评价对象实施自评，形成项目评价表以及自评报告，客观反映项目总体情况、绩效目标完成和实现的各项效益情况，及时发现存在的主要问题，提出工作建议。</w:t>
      </w:r>
    </w:p>
    <w:p w14:paraId="7B12FFA3">
      <w:pPr>
        <w:adjustRightInd w:val="0"/>
        <w:snapToGrid w:val="0"/>
        <w:spacing w:line="578" w:lineRule="exact"/>
        <w:ind w:firstLine="640" w:firstLineChars="200"/>
        <w:rPr>
          <w:rFonts w:ascii="Times New Roman" w:hAnsi="Times New Roman" w:eastAsia="仿宋_GB2312" w:cs="Times New Roman"/>
          <w:sz w:val="32"/>
          <w:szCs w:val="32"/>
          <w:lang w:val="zh-CN"/>
        </w:rPr>
      </w:pPr>
      <w:r>
        <w:rPr>
          <w:rFonts w:ascii="Times New Roman" w:hAnsi="Times New Roman" w:eastAsia="黑体" w:cs="Times New Roman"/>
          <w:sz w:val="32"/>
          <w:szCs w:val="32"/>
        </w:rPr>
        <w:t>三、绩效分析</w:t>
      </w:r>
      <w:r>
        <w:rPr>
          <w:rFonts w:ascii="Times New Roman" w:hAnsi="Times New Roman" w:eastAsia="仿宋_GB2312" w:cs="Times New Roman"/>
          <w:sz w:val="32"/>
          <w:szCs w:val="32"/>
          <w:lang w:val="zh-CN"/>
        </w:rPr>
        <w:tab/>
      </w:r>
    </w:p>
    <w:p w14:paraId="7B85F4F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zh-CN" w:eastAsia="zh-CN"/>
        </w:rPr>
        <w:t>根据项目预算绩效评价指标体系“通用指标”“专用指标”“个性指标”涉及二、三级指标进行逐项绩效分析并评分</w:t>
      </w:r>
      <w:r>
        <w:rPr>
          <w:rFonts w:hint="eastAsia" w:ascii="Times New Roman" w:hAnsi="Times New Roman" w:eastAsia="方正仿宋_GBK" w:cs="Times New Roman"/>
          <w:color w:val="auto"/>
          <w:sz w:val="32"/>
          <w:szCs w:val="32"/>
          <w:lang w:val="en-US" w:eastAsia="zh-CN"/>
        </w:rPr>
        <w:t>。</w:t>
      </w:r>
    </w:p>
    <w:p w14:paraId="25E9355E">
      <w:pPr>
        <w:spacing w:line="578" w:lineRule="exact"/>
        <w:ind w:firstLine="640"/>
        <w:rPr>
          <w:rFonts w:ascii="Times New Roman" w:hAnsi="Times New Roman" w:eastAsia="楷体_GB2312" w:cs="Times New Roman"/>
          <w:b/>
          <w:sz w:val="32"/>
          <w:szCs w:val="32"/>
        </w:rPr>
      </w:pPr>
      <w:r>
        <w:rPr>
          <w:rFonts w:ascii="Times New Roman" w:hAnsi="Times New Roman" w:eastAsia="楷体_GB2312" w:cs="Times New Roman"/>
          <w:b/>
          <w:sz w:val="32"/>
          <w:szCs w:val="32"/>
          <w:lang w:val="zh-CN"/>
        </w:rPr>
        <w:t>（一）</w:t>
      </w:r>
      <w:r>
        <w:rPr>
          <w:rFonts w:ascii="Times New Roman" w:hAnsi="Times New Roman" w:eastAsia="楷体_GB2312" w:cs="Times New Roman"/>
          <w:b/>
          <w:sz w:val="32"/>
          <w:szCs w:val="32"/>
        </w:rPr>
        <w:t>通用指标</w:t>
      </w:r>
      <w:r>
        <w:rPr>
          <w:rFonts w:ascii="Times New Roman" w:hAnsi="Times New Roman" w:eastAsia="楷体_GB2312" w:cs="Times New Roman"/>
          <w:b/>
          <w:bCs/>
          <w:color w:val="000000"/>
          <w:kern w:val="0"/>
          <w:sz w:val="32"/>
          <w:szCs w:val="32"/>
          <w:shd w:val="clear" w:color="auto" w:fill="FFFFFF"/>
          <w:lang w:val="zh-CN"/>
        </w:rPr>
        <w:t>绩效分析。</w:t>
      </w:r>
    </w:p>
    <w:p w14:paraId="2461246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2"/>
        <w:rPr>
          <w:rFonts w:ascii="Times New Roman" w:hAnsi="Times New Roman" w:eastAsia="楷体_GB2312" w:cs="Times New Roman"/>
          <w:sz w:val="32"/>
          <w:szCs w:val="32"/>
        </w:rPr>
      </w:pPr>
      <w:r>
        <w:rPr>
          <w:rFonts w:ascii="Times New Roman" w:hAnsi="Times New Roman" w:eastAsia="楷体_GB2312" w:cs="Times New Roman"/>
          <w:sz w:val="32"/>
          <w:szCs w:val="32"/>
        </w:rPr>
        <w:t>1.项目决策。</w:t>
      </w:r>
    </w:p>
    <w:p w14:paraId="334ACF0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（1）决策程序</w:t>
      </w:r>
    </w:p>
    <w:p w14:paraId="124CD45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项目设立依据充分，符合单位车辆编制和实际用车需求。决策程序规范，购车计划经过必要论证和审批。资金投向明确，严格限定于公务用车购置。综上所述，该指标自评得分6分。</w:t>
      </w:r>
    </w:p>
    <w:p w14:paraId="4A0492F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（2）规划论证</w:t>
      </w:r>
    </w:p>
    <w:p w14:paraId="1ED52AB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项目支付程序规范，项目按照财政及主管部门规定的程序设立；项目绩效目标设置科学合理，该指标自评得分6分。</w:t>
      </w:r>
    </w:p>
    <w:p w14:paraId="6054E3F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（3）资金投向</w:t>
      </w:r>
    </w:p>
    <w:p w14:paraId="5C7555F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项目符合专项设立的基本规范和程序要求，属于公共财政支持范围，符合地方事权支出责任划分原则，与相关部门同类项目或部门内部无相关项目重复。综上所述，该指标自评得分6分。</w:t>
      </w:r>
    </w:p>
    <w:p w14:paraId="1B036EB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2"/>
        <w:rPr>
          <w:rFonts w:hint="eastAsia" w:ascii="Times New Roman" w:hAnsi="Times New Roman" w:eastAsia="仿宋_GB2312" w:cs="Times New Roman"/>
          <w:color w:val="auto"/>
          <w:sz w:val="32"/>
          <w:szCs w:val="32"/>
          <w:lang w:eastAsia="zh-CN"/>
        </w:rPr>
      </w:pPr>
      <w:r>
        <w:rPr>
          <w:rFonts w:hint="eastAsia" w:ascii="Times New Roman" w:hAnsi="Times New Roman" w:eastAsia="楷体_GB2312" w:cs="Times New Roman"/>
          <w:sz w:val="32"/>
          <w:szCs w:val="32"/>
          <w:lang w:val="en-US" w:eastAsia="zh-CN"/>
        </w:rPr>
        <w:t>2.</w:t>
      </w:r>
      <w:r>
        <w:rPr>
          <w:rFonts w:ascii="Times New Roman" w:hAnsi="Times New Roman" w:eastAsia="楷体_GB2312" w:cs="Times New Roman"/>
          <w:sz w:val="32"/>
          <w:szCs w:val="32"/>
        </w:rPr>
        <w:t>项目管理。</w:t>
      </w:r>
    </w:p>
    <w:p w14:paraId="6337A92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（1）制度办法</w:t>
      </w:r>
    </w:p>
    <w:p w14:paraId="64FE0B7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项目执行遵循单位内部财务管理制度和政府采购管理办法。资金为一次性分配，用途明确。在采购过程中，有专人负责监督，确保流程合规。综上所述，该指标自评得分2分。</w:t>
      </w:r>
    </w:p>
    <w:p w14:paraId="1ED1B4A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（2）分配管理</w:t>
      </w:r>
    </w:p>
    <w:p w14:paraId="0658ABB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财政局按照财政要求分配资金，资金分配严格按管理办法执行，决策程序符合管理要求，及时高效。综上所述，该指标自评得分10分。</w:t>
      </w:r>
    </w:p>
    <w:p w14:paraId="64C7138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（3）绩效监管</w:t>
      </w:r>
    </w:p>
    <w:p w14:paraId="2168D06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项目按财政要求全面完成绩效目标（含事前评估）、绩效评价、以前年度问题整改等预算绩效管理工作。综上所述，该指标自评得分6分。</w:t>
      </w:r>
    </w:p>
    <w:p w14:paraId="1E877F6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3.项目实施。</w:t>
      </w:r>
    </w:p>
    <w:p w14:paraId="408EC17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zh-CN" w:eastAsia="zh-CN"/>
        </w:rPr>
      </w:pPr>
      <w:r>
        <w:rPr>
          <w:rFonts w:hint="eastAsia" w:ascii="Times New Roman" w:hAnsi="Times New Roman" w:eastAsia="方正仿宋_GBK" w:cs="Times New Roman"/>
          <w:color w:val="auto"/>
          <w:sz w:val="32"/>
          <w:szCs w:val="32"/>
          <w:lang w:val="en-US" w:eastAsia="zh-CN"/>
        </w:rPr>
        <w:t>（1）预算</w:t>
      </w:r>
      <w:r>
        <w:rPr>
          <w:rFonts w:hint="eastAsia" w:ascii="Times New Roman" w:hAnsi="Times New Roman" w:eastAsia="方正仿宋_GBK" w:cs="Times New Roman"/>
          <w:color w:val="auto"/>
          <w:sz w:val="32"/>
          <w:szCs w:val="32"/>
          <w:lang w:val="zh-CN" w:eastAsia="zh-CN"/>
        </w:rPr>
        <w:t>执行</w:t>
      </w:r>
    </w:p>
    <w:p w14:paraId="398B5FA3">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 xml:space="preserve">严格按照预算计划进行支出，确保资金使用的精准性和有效性。在预算执行过程中，未出现超预算或资金挪用的情况，所有支出均与公务用车购置直接相关，体现了预算管理的规范性和严谨性。通过严格的财务审核，预算执行率达到预期目标，为项目的顺利实施提供了坚实的经费保障。综上所述，该指标自评得分6分。 </w:t>
      </w:r>
    </w:p>
    <w:p w14:paraId="021EA37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（2）资金使用</w:t>
      </w:r>
    </w:p>
    <w:p w14:paraId="5DE7792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方正仿宋_GBK" w:cs="Times New Roman"/>
          <w:color w:val="auto"/>
          <w:sz w:val="32"/>
          <w:szCs w:val="32"/>
          <w:lang w:val="en-US" w:eastAsia="zh-CN"/>
        </w:rPr>
        <w:t>项目资金管理严格。本单位建立了完善的财务管理制度和专项资金使用流程，确保资金使用的合法性、规范性和透明性。在本次购车项目中，严格执行政府采购相关规定，报销程序正规，付款依据充分，会计核算准确，财务监控有效。综上所述，该指标自评得分3分。</w:t>
      </w:r>
    </w:p>
    <w:p w14:paraId="1E1BFE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outlineLvl w:val="2"/>
        <w:rPr>
          <w:rFonts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4.</w:t>
      </w:r>
      <w:r>
        <w:rPr>
          <w:rFonts w:ascii="Times New Roman" w:hAnsi="Times New Roman" w:eastAsia="楷体_GB2312" w:cs="Times New Roman"/>
          <w:sz w:val="32"/>
          <w:szCs w:val="32"/>
        </w:rPr>
        <w:t>项目结果。</w:t>
      </w:r>
    </w:p>
    <w:p w14:paraId="7DBDD32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（1）目标完成</w:t>
      </w:r>
    </w:p>
    <w:p w14:paraId="46E057B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项目基本完成预期目标，实施结果与绩效目标相匹配，综上所述，该指标自评得分5分。</w:t>
      </w:r>
    </w:p>
    <w:p w14:paraId="2823A16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（2）完成时效</w:t>
      </w:r>
    </w:p>
    <w:p w14:paraId="6DDAEB3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方正仿宋_GBK" w:cs="Times New Roman"/>
          <w:color w:val="auto"/>
          <w:sz w:val="32"/>
          <w:szCs w:val="32"/>
          <w:lang w:val="en-US" w:eastAsia="zh-CN"/>
        </w:rPr>
        <w:t>项目按照序时进度及时支付，全年预算完成率100%。该指标自评得分3分。</w:t>
      </w:r>
    </w:p>
    <w:p w14:paraId="3EF1105B">
      <w:pPr>
        <w:spacing w:line="578" w:lineRule="exact"/>
        <w:ind w:firstLine="643" w:firstLineChars="200"/>
        <w:rPr>
          <w:rFonts w:ascii="Times New Roman" w:hAnsi="Times New Roman" w:eastAsia="楷体_GB2312" w:cs="Times New Roman"/>
          <w:sz w:val="32"/>
          <w:szCs w:val="32"/>
          <w:lang w:val="zh-CN"/>
        </w:rPr>
      </w:pPr>
      <w:r>
        <w:rPr>
          <w:rFonts w:ascii="Times New Roman" w:hAnsi="Times New Roman" w:eastAsia="楷体_GB2312" w:cs="Times New Roman"/>
          <w:b/>
          <w:sz w:val="32"/>
          <w:szCs w:val="32"/>
          <w:lang w:val="zh-CN"/>
        </w:rPr>
        <w:t>（二）</w:t>
      </w:r>
      <w:r>
        <w:rPr>
          <w:rFonts w:ascii="Times New Roman" w:hAnsi="Times New Roman" w:eastAsia="楷体_GB2312" w:cs="Times New Roman"/>
          <w:b/>
          <w:sz w:val="32"/>
          <w:szCs w:val="32"/>
        </w:rPr>
        <w:t>专用指标</w:t>
      </w:r>
      <w:r>
        <w:rPr>
          <w:rFonts w:ascii="Times New Roman" w:hAnsi="Times New Roman" w:eastAsia="楷体_GB2312" w:cs="Times New Roman"/>
          <w:b/>
          <w:bCs/>
          <w:color w:val="000000"/>
          <w:kern w:val="0"/>
          <w:sz w:val="32"/>
          <w:szCs w:val="32"/>
          <w:shd w:val="clear" w:color="auto" w:fill="FFFFFF"/>
          <w:lang w:val="zh-CN"/>
        </w:rPr>
        <w:t>绩效分析。</w:t>
      </w:r>
    </w:p>
    <w:p w14:paraId="25DC2217">
      <w:pPr>
        <w:spacing w:line="578"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1.产业发展（30分）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6E35F6E0">
      <w:pPr>
        <w:spacing w:line="578"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w:t>
      </w:r>
      <w:r>
        <w:rPr>
          <w:rFonts w:hint="eastAsia" w:ascii="楷体_GB2312" w:hAnsi="楷体_GB2312" w:eastAsia="楷体_GB2312" w:cs="楷体_GB2312"/>
          <w:sz w:val="32"/>
          <w:szCs w:val="32"/>
          <w:lang w:val="zh-CN"/>
        </w:rPr>
        <w:t>民生保障</w:t>
      </w:r>
      <w:r>
        <w:rPr>
          <w:rFonts w:hint="eastAsia" w:ascii="楷体_GB2312" w:hAnsi="楷体_GB2312" w:eastAsia="楷体_GB2312" w:cs="楷体_GB2312"/>
          <w:sz w:val="32"/>
          <w:szCs w:val="32"/>
        </w:rPr>
        <w:t>（30分）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5FCE886E">
      <w:pPr>
        <w:spacing w:line="578"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3.基础设施（30分）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48C89C04">
      <w:pPr>
        <w:spacing w:line="578" w:lineRule="exact"/>
        <w:ind w:firstLine="640" w:firstLineChars="200"/>
        <w:rPr>
          <w:rFonts w:ascii="Times New Roman" w:hAnsi="Times New Roman" w:eastAsia="仿宋_GB2312" w:cs="Times New Roman"/>
          <w:sz w:val="32"/>
          <w:szCs w:val="32"/>
        </w:rPr>
      </w:pPr>
      <w:r>
        <w:rPr>
          <w:rFonts w:hint="eastAsia" w:ascii="楷体_GB2312" w:hAnsi="楷体_GB2312" w:eastAsia="楷体_GB2312" w:cs="楷体_GB2312"/>
          <w:sz w:val="32"/>
          <w:szCs w:val="32"/>
        </w:rPr>
        <w:t>4.</w:t>
      </w:r>
      <w:r>
        <w:rPr>
          <w:rFonts w:hint="eastAsia" w:ascii="楷体_GB2312" w:hAnsi="楷体_GB2312" w:eastAsia="楷体_GB2312" w:cs="楷体_GB2312"/>
          <w:sz w:val="32"/>
          <w:szCs w:val="32"/>
          <w:lang w:val="zh-CN"/>
        </w:rPr>
        <w:t>行政运转</w:t>
      </w:r>
      <w:r>
        <w:rPr>
          <w:rFonts w:hint="eastAsia" w:ascii="楷体_GB2312" w:hAnsi="楷体_GB2312" w:eastAsia="楷体_GB2312" w:cs="楷体_GB2312"/>
          <w:sz w:val="32"/>
          <w:szCs w:val="32"/>
        </w:rPr>
        <w:t>（30分）</w:t>
      </w:r>
    </w:p>
    <w:p w14:paraId="60134DAC">
      <w:pPr>
        <w:spacing w:line="578" w:lineRule="exact"/>
        <w:ind w:firstLine="640" w:firstLineChars="2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color w:val="auto"/>
          <w:sz w:val="32"/>
          <w:szCs w:val="32"/>
          <w:lang w:val="zh-CN" w:eastAsia="zh-CN"/>
        </w:rPr>
        <w:t>（</w:t>
      </w:r>
      <w:r>
        <w:rPr>
          <w:rFonts w:hint="eastAsia"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zh-CN" w:eastAsia="zh-CN"/>
        </w:rPr>
        <w:t>）用途合规性。</w:t>
      </w:r>
      <w:r>
        <w:rPr>
          <w:rFonts w:hint="eastAsia" w:ascii="Times New Roman" w:hAnsi="Times New Roman" w:eastAsia="方正仿宋_GBK" w:cs="Times New Roman"/>
          <w:color w:val="auto"/>
          <w:sz w:val="32"/>
          <w:szCs w:val="32"/>
          <w:lang w:val="en-US" w:eastAsia="zh-CN"/>
        </w:rPr>
        <w:t>公务用车是保障党政机关履行公共服务职能的基本物质条件。随着</w:t>
      </w:r>
      <w:r>
        <w:rPr>
          <w:rFonts w:hint="default" w:ascii="Times New Roman" w:hAnsi="Times New Roman" w:eastAsia="方正仿宋_GBK" w:cs="Times New Roman"/>
          <w:color w:val="auto"/>
          <w:sz w:val="32"/>
          <w:szCs w:val="32"/>
          <w:lang w:val="en-US" w:eastAsia="zh-CN"/>
        </w:rPr>
        <w:t>我县社会工作的不断深入和发展，我部承担的职责日益繁重，包括但不限于</w:t>
      </w:r>
      <w:r>
        <w:rPr>
          <w:rFonts w:hint="eastAsia" w:ascii="Times New Roman" w:hAnsi="Times New Roman" w:eastAsia="方正仿宋_GBK" w:cs="Times New Roman"/>
          <w:color w:val="auto"/>
          <w:sz w:val="32"/>
          <w:szCs w:val="32"/>
          <w:lang w:val="en-US" w:eastAsia="zh-CN"/>
        </w:rPr>
        <w:t>基层</w:t>
      </w:r>
      <w:r>
        <w:rPr>
          <w:rFonts w:hint="default" w:ascii="Times New Roman" w:hAnsi="Times New Roman" w:eastAsia="方正仿宋_GBK" w:cs="Times New Roman"/>
          <w:color w:val="auto"/>
          <w:sz w:val="32"/>
          <w:szCs w:val="32"/>
          <w:lang w:val="en-US" w:eastAsia="zh-CN"/>
        </w:rPr>
        <w:t>治理、社会组织培育与管理、社会工作人才队伍建设</w:t>
      </w:r>
      <w:r>
        <w:rPr>
          <w:rFonts w:hint="eastAsia" w:ascii="Times New Roman" w:hAnsi="Times New Roman" w:eastAsia="方正仿宋_GBK" w:cs="Times New Roman"/>
          <w:color w:val="auto"/>
          <w:sz w:val="32"/>
          <w:szCs w:val="32"/>
          <w:lang w:val="en-US" w:eastAsia="zh-CN"/>
        </w:rPr>
        <w:t>、信访</w:t>
      </w:r>
      <w:r>
        <w:rPr>
          <w:rFonts w:hint="default" w:ascii="Times New Roman" w:hAnsi="Times New Roman" w:eastAsia="方正仿宋_GBK" w:cs="Times New Roman"/>
          <w:color w:val="auto"/>
          <w:sz w:val="32"/>
          <w:szCs w:val="32"/>
          <w:lang w:val="en-US" w:eastAsia="zh-CN"/>
        </w:rPr>
        <w:t>等多方面工作。</w:t>
      </w:r>
      <w:r>
        <w:rPr>
          <w:rFonts w:hint="eastAsia" w:ascii="Times New Roman" w:hAnsi="Times New Roman" w:eastAsia="方正仿宋_GBK" w:cs="Times New Roman"/>
          <w:color w:val="auto"/>
          <w:sz w:val="32"/>
          <w:szCs w:val="32"/>
          <w:lang w:val="en-US" w:eastAsia="zh-CN"/>
        </w:rPr>
        <w:t>以上工作</w:t>
      </w:r>
      <w:r>
        <w:rPr>
          <w:rFonts w:hint="default" w:ascii="Times New Roman" w:hAnsi="Times New Roman" w:eastAsia="方正仿宋_GBK" w:cs="Times New Roman"/>
          <w:color w:val="auto"/>
          <w:sz w:val="32"/>
          <w:szCs w:val="32"/>
          <w:lang w:val="en-US" w:eastAsia="zh-CN"/>
        </w:rPr>
        <w:t>需频繁深入乡镇、社区</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农村进行指导和服务，工作量显著增加</w:t>
      </w:r>
      <w:r>
        <w:rPr>
          <w:rFonts w:hint="eastAsia" w:ascii="Times New Roman" w:hAnsi="Times New Roman" w:eastAsia="方正仿宋_GBK" w:cs="Times New Roman"/>
          <w:color w:val="auto"/>
          <w:sz w:val="32"/>
          <w:szCs w:val="32"/>
          <w:lang w:val="en-US" w:eastAsia="zh-CN"/>
        </w:rPr>
        <w:t>，可靠的交通工具更是不可或缺。</w:t>
      </w:r>
      <w:r>
        <w:rPr>
          <w:rFonts w:hint="eastAsia" w:ascii="Times New Roman" w:hAnsi="Times New Roman" w:eastAsia="方正仿宋_GBK" w:cs="Times New Roman"/>
          <w:sz w:val="32"/>
          <w:szCs w:val="32"/>
          <w:lang w:val="en-US" w:eastAsia="zh-CN"/>
        </w:rPr>
        <w:t>因此该项目的实施是必要的。</w:t>
      </w:r>
      <w:r>
        <w:rPr>
          <w:rFonts w:hint="eastAsia" w:ascii="Times New Roman" w:hAnsi="Times New Roman" w:eastAsia="方正仿宋_GBK" w:cs="Times New Roman"/>
          <w:color w:val="auto"/>
          <w:sz w:val="32"/>
          <w:szCs w:val="32"/>
          <w:lang w:val="en-US" w:eastAsia="zh-CN"/>
        </w:rPr>
        <w:t>综上所述，该指标自评得分10分。</w:t>
      </w:r>
    </w:p>
    <w:p w14:paraId="6352EC7B">
      <w:pPr>
        <w:spacing w:line="578" w:lineRule="exact"/>
        <w:ind w:firstLine="640" w:firstLineChars="200"/>
        <w:rPr>
          <w:rFonts w:hint="eastAsia" w:ascii="Times New Roman" w:hAnsi="Times New Roman" w:eastAsia="方正仿宋_GBK" w:cs="Times New Roman"/>
          <w:color w:val="auto"/>
          <w:sz w:val="32"/>
          <w:szCs w:val="32"/>
          <w:lang w:val="zh-CN" w:eastAsia="zh-CN"/>
        </w:rPr>
      </w:pPr>
      <w:r>
        <w:rPr>
          <w:rFonts w:hint="eastAsia" w:ascii="Times New Roman" w:hAnsi="Times New Roman" w:eastAsia="方正仿宋_GBK" w:cs="Times New Roman"/>
          <w:color w:val="auto"/>
          <w:sz w:val="32"/>
          <w:szCs w:val="32"/>
          <w:lang w:val="zh-CN" w:eastAsia="zh-CN"/>
        </w:rPr>
        <w:t>（</w:t>
      </w:r>
      <w:r>
        <w:rPr>
          <w:rFonts w:hint="eastAsia" w:ascii="Times New Roman" w:hAnsi="Times New Roman"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lang w:val="zh-CN" w:eastAsia="zh-CN"/>
        </w:rPr>
        <w:t>）程序合规性。我部在申请车辆报废和更新公务用车过程中，得到县机关事务管理局的正式批复，符合编制管理和配备标准的相关规定。</w:t>
      </w:r>
      <w:r>
        <w:rPr>
          <w:rFonts w:hint="eastAsia" w:ascii="Times New Roman" w:hAnsi="Times New Roman" w:eastAsia="方正仿宋_GBK" w:cs="Times New Roman"/>
          <w:color w:val="auto"/>
          <w:sz w:val="32"/>
          <w:szCs w:val="32"/>
          <w:lang w:val="en-US" w:eastAsia="zh-CN"/>
        </w:rPr>
        <w:t>综上所述，该指标自评得分10分。</w:t>
      </w:r>
    </w:p>
    <w:p w14:paraId="066FBF40">
      <w:pPr>
        <w:spacing w:line="578" w:lineRule="exact"/>
        <w:ind w:firstLine="640" w:firstLineChars="200"/>
        <w:rPr>
          <w:rFonts w:hint="eastAsia" w:ascii="楷体_GB2312" w:hAnsi="楷体_GB2312" w:eastAsia="楷体_GB2312" w:cs="楷体_GB2312"/>
          <w:sz w:val="32"/>
          <w:szCs w:val="32"/>
        </w:rPr>
      </w:pPr>
      <w:r>
        <w:rPr>
          <w:rFonts w:hint="eastAsia" w:ascii="Times New Roman" w:hAnsi="Times New Roman" w:eastAsia="方正仿宋_GBK" w:cs="Times New Roman"/>
          <w:color w:val="auto"/>
          <w:sz w:val="32"/>
          <w:szCs w:val="32"/>
          <w:lang w:val="zh-CN" w:eastAsia="zh-CN"/>
        </w:rPr>
        <w:t>（</w:t>
      </w:r>
      <w:r>
        <w:rPr>
          <w:rFonts w:hint="eastAsia" w:ascii="Times New Roman" w:hAnsi="Times New Roman" w:eastAsia="方正仿宋_GBK" w:cs="Times New Roman"/>
          <w:color w:val="auto"/>
          <w:sz w:val="32"/>
          <w:szCs w:val="32"/>
          <w:lang w:val="en-US" w:eastAsia="zh-CN"/>
        </w:rPr>
        <w:t>3</w:t>
      </w:r>
      <w:r>
        <w:rPr>
          <w:rFonts w:hint="eastAsia" w:ascii="Times New Roman" w:hAnsi="Times New Roman" w:eastAsia="方正仿宋_GBK" w:cs="Times New Roman"/>
          <w:color w:val="auto"/>
          <w:sz w:val="32"/>
          <w:szCs w:val="32"/>
          <w:lang w:val="zh-CN" w:eastAsia="zh-CN"/>
        </w:rPr>
        <w:t>）标准合规性。公务用车配备严格执行《党政机关公务用车管理办法》规定，车辆编制和配备标准均符合相关政策要求。车辆因报废、调拨等原因导致编制空缺时，及时补充车辆是确保政策合规性的必要措施。</w:t>
      </w:r>
      <w:r>
        <w:rPr>
          <w:rFonts w:hint="eastAsia" w:ascii="Times New Roman" w:hAnsi="Times New Roman" w:eastAsia="方正仿宋_GBK" w:cs="Times New Roman"/>
          <w:color w:val="auto"/>
          <w:sz w:val="32"/>
          <w:szCs w:val="32"/>
          <w:lang w:val="en-US" w:eastAsia="zh-CN"/>
        </w:rPr>
        <w:t>综上所述，该指标自评得分10分。</w:t>
      </w:r>
    </w:p>
    <w:p w14:paraId="5427342B">
      <w:pPr>
        <w:spacing w:line="578" w:lineRule="exact"/>
        <w:ind w:firstLine="643" w:firstLineChars="200"/>
        <w:rPr>
          <w:rFonts w:hint="eastAsia" w:ascii="Times New Roman" w:hAnsi="Times New Roman" w:eastAsia="方正仿宋_GBK" w:cs="Times New Roman"/>
          <w:color w:val="auto"/>
          <w:sz w:val="32"/>
          <w:szCs w:val="32"/>
          <w:lang w:val="zh-CN" w:eastAsia="zh-CN"/>
        </w:rPr>
      </w:pPr>
      <w:r>
        <w:rPr>
          <w:rFonts w:ascii="Times New Roman" w:hAnsi="Times New Roman" w:eastAsia="楷体_GB2312" w:cs="Times New Roman"/>
          <w:b/>
          <w:sz w:val="32"/>
          <w:szCs w:val="32"/>
          <w:lang w:val="zh-CN"/>
        </w:rPr>
        <w:t>（三）</w:t>
      </w:r>
      <w:r>
        <w:rPr>
          <w:rFonts w:ascii="Times New Roman" w:hAnsi="Times New Roman" w:eastAsia="楷体_GB2312" w:cs="Times New Roman"/>
          <w:b/>
          <w:sz w:val="32"/>
          <w:szCs w:val="32"/>
        </w:rPr>
        <w:t>个性指标</w:t>
      </w:r>
      <w:r>
        <w:rPr>
          <w:rFonts w:ascii="Times New Roman" w:hAnsi="Times New Roman" w:eastAsia="楷体_GB2312" w:cs="Times New Roman"/>
          <w:b/>
          <w:bCs/>
          <w:color w:val="000000"/>
          <w:kern w:val="0"/>
          <w:sz w:val="32"/>
          <w:szCs w:val="32"/>
          <w:shd w:val="clear" w:color="auto" w:fill="FFFFFF"/>
          <w:lang w:val="zh-CN"/>
        </w:rPr>
        <w:t>绩效分析。</w:t>
      </w:r>
      <w:r>
        <w:rPr>
          <w:rFonts w:hint="eastAsia" w:ascii="Times New Roman" w:hAnsi="Times New Roman" w:eastAsia="方正仿宋_GBK" w:cs="Times New Roman"/>
          <w:color w:val="auto"/>
          <w:sz w:val="32"/>
          <w:szCs w:val="32"/>
          <w:lang w:val="en-US" w:eastAsia="zh-CN"/>
        </w:rPr>
        <w:t>公车</w:t>
      </w:r>
      <w:r>
        <w:rPr>
          <w:rFonts w:hint="default" w:ascii="Times New Roman" w:hAnsi="Times New Roman" w:eastAsia="方正仿宋_GBK" w:cs="Times New Roman"/>
          <w:color w:val="auto"/>
          <w:sz w:val="32"/>
          <w:szCs w:val="32"/>
          <w:lang w:val="zh-CN" w:eastAsia="zh-CN"/>
        </w:rPr>
        <w:t>验收合格率（</w:t>
      </w:r>
      <w:r>
        <w:rPr>
          <w:rFonts w:hint="eastAsia"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lang w:val="zh-CN" w:eastAsia="zh-CN"/>
        </w:rPr>
        <w:t>分）：指标值100%。质量符合合同要求，运行正常，合格率100%。</w:t>
      </w:r>
      <w:r>
        <w:rPr>
          <w:rFonts w:hint="eastAsia" w:ascii="Times New Roman" w:hAnsi="Times New Roman" w:eastAsia="方正仿宋_GBK" w:cs="Times New Roman"/>
          <w:color w:val="auto"/>
          <w:sz w:val="32"/>
          <w:szCs w:val="32"/>
          <w:lang w:val="en-US" w:eastAsia="zh-CN"/>
        </w:rPr>
        <w:t>综上所述，该指标自评得分8分。</w:t>
      </w:r>
    </w:p>
    <w:p w14:paraId="26299219">
      <w:pPr>
        <w:spacing w:line="578" w:lineRule="exact"/>
        <w:ind w:firstLine="640" w:firstLineChars="200"/>
        <w:rPr>
          <w:rFonts w:hint="eastAsia" w:ascii="楷体_GB2312" w:hAnsi="楷体_GB2312" w:eastAsia="楷体_GB2312" w:cs="楷体_GB2312"/>
          <w:sz w:val="32"/>
          <w:szCs w:val="32"/>
        </w:rPr>
      </w:pPr>
      <w:r>
        <w:rPr>
          <w:rFonts w:hint="default" w:ascii="Times New Roman" w:hAnsi="Times New Roman" w:eastAsia="方正仿宋_GBK" w:cs="Times New Roman"/>
          <w:color w:val="auto"/>
          <w:sz w:val="32"/>
          <w:szCs w:val="32"/>
          <w:lang w:val="zh-CN" w:eastAsia="zh-CN"/>
        </w:rPr>
        <w:t>内部员工满意度（</w:t>
      </w:r>
      <w:r>
        <w:rPr>
          <w:rFonts w:hint="eastAsia"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lang w:val="zh-CN" w:eastAsia="zh-CN"/>
        </w:rPr>
        <w:t>分）：指标值≥90%。通过向单位全体员工发放问卷</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zh-CN" w:eastAsia="zh-CN"/>
        </w:rPr>
        <w:t>份，回收有效问卷</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zh-CN" w:eastAsia="zh-CN"/>
        </w:rPr>
        <w:t>份，统计结果显示对现有办公条件、设备使用便利性的综合满意度为</w:t>
      </w:r>
      <w:r>
        <w:rPr>
          <w:rFonts w:hint="eastAsia" w:ascii="Times New Roman" w:hAnsi="Times New Roman" w:eastAsia="方正仿宋_GBK" w:cs="Times New Roman"/>
          <w:color w:val="auto"/>
          <w:sz w:val="32"/>
          <w:szCs w:val="32"/>
          <w:lang w:val="en-US" w:eastAsia="zh-CN"/>
        </w:rPr>
        <w:t>95</w:t>
      </w:r>
      <w:r>
        <w:rPr>
          <w:rFonts w:hint="default" w:ascii="Times New Roman" w:hAnsi="Times New Roman" w:eastAsia="方正仿宋_GBK" w:cs="Times New Roman"/>
          <w:color w:val="auto"/>
          <w:sz w:val="32"/>
          <w:szCs w:val="32"/>
          <w:lang w:val="zh-CN" w:eastAsia="zh-CN"/>
        </w:rPr>
        <w:t>%，达到预期目标。</w:t>
      </w:r>
      <w:r>
        <w:rPr>
          <w:rFonts w:hint="eastAsia" w:ascii="Times New Roman" w:hAnsi="Times New Roman" w:eastAsia="方正仿宋_GBK" w:cs="Times New Roman"/>
          <w:color w:val="auto"/>
          <w:sz w:val="32"/>
          <w:szCs w:val="32"/>
          <w:lang w:val="en-US" w:eastAsia="zh-CN"/>
        </w:rPr>
        <w:t>综上所述，该指标自评得分7分。</w:t>
      </w:r>
    </w:p>
    <w:p w14:paraId="382499B0">
      <w:pPr>
        <w:spacing w:line="578" w:lineRule="exact"/>
        <w:ind w:firstLine="640" w:firstLineChars="200"/>
        <w:rPr>
          <w:rFonts w:ascii="Times New Roman" w:hAnsi="Times New Roman" w:eastAsia="仿宋_GB2312" w:cs="Times New Roman"/>
          <w:sz w:val="32"/>
          <w:szCs w:val="32"/>
        </w:rPr>
      </w:pPr>
      <w:r>
        <w:rPr>
          <w:rFonts w:hint="eastAsia" w:ascii="Times New Roman" w:hAnsi="Times New Roman" w:eastAsia="方正仿宋_GBK" w:cs="Times New Roman"/>
          <w:color w:val="auto"/>
          <w:sz w:val="32"/>
          <w:szCs w:val="32"/>
          <w:lang w:val="en-US" w:eastAsia="zh-CN"/>
        </w:rPr>
        <w:t>综上所述，该指标自评得分共计15分。</w:t>
      </w:r>
    </w:p>
    <w:p w14:paraId="101F390C">
      <w:pPr>
        <w:widowControl/>
        <w:spacing w:line="600" w:lineRule="exact"/>
        <w:ind w:firstLine="640" w:firstLineChars="200"/>
        <w:jc w:val="left"/>
        <w:rPr>
          <w:rFonts w:ascii="Times New Roman" w:hAnsi="Times New Roman" w:eastAsia="黑体" w:cs="Times New Roman"/>
          <w:kern w:val="0"/>
          <w:position w:val="3"/>
          <w:sz w:val="32"/>
          <w:szCs w:val="32"/>
          <w:lang w:val="en-US" w:eastAsia="en-US" w:bidi="ar-SA"/>
        </w:rPr>
      </w:pPr>
      <w:r>
        <w:rPr>
          <w:rFonts w:ascii="Times New Roman" w:hAnsi="Times New Roman" w:eastAsia="黑体" w:cs="Times New Roman"/>
          <w:kern w:val="0"/>
          <w:position w:val="3"/>
          <w:sz w:val="32"/>
          <w:szCs w:val="32"/>
          <w:lang w:val="en-US" w:eastAsia="zh-CN" w:bidi="ar-SA"/>
        </w:rPr>
        <w:t>四</w:t>
      </w:r>
      <w:r>
        <w:rPr>
          <w:rFonts w:ascii="Times New Roman" w:hAnsi="Times New Roman" w:eastAsia="黑体" w:cs="Times New Roman"/>
          <w:kern w:val="0"/>
          <w:position w:val="3"/>
          <w:sz w:val="32"/>
          <w:szCs w:val="32"/>
          <w:lang w:val="en-US" w:eastAsia="en-US" w:bidi="ar-SA"/>
        </w:rPr>
        <w:t>、评价结论</w:t>
      </w:r>
    </w:p>
    <w:p w14:paraId="7B5CFF6B">
      <w:pPr>
        <w:widowControl/>
        <w:spacing w:line="600" w:lineRule="exact"/>
        <w:ind w:firstLine="640" w:firstLineChars="200"/>
        <w:jc w:val="left"/>
        <w:rPr>
          <w:rFonts w:hint="eastAsia" w:ascii="Times New Roman" w:hAnsi="Times New Roman" w:eastAsia="方正仿宋_GBK" w:cs="Times New Roman"/>
          <w:color w:val="auto"/>
          <w:kern w:val="2"/>
          <w:position w:val="0"/>
          <w:sz w:val="32"/>
          <w:szCs w:val="32"/>
          <w:lang w:val="en-US" w:eastAsia="zh-CN" w:bidi="ar-SA"/>
        </w:rPr>
      </w:pPr>
      <w:r>
        <w:rPr>
          <w:rFonts w:hint="eastAsia" w:ascii="Times New Roman" w:hAnsi="Times New Roman" w:eastAsia="方正仿宋_GBK" w:cs="Times New Roman"/>
          <w:color w:val="auto"/>
          <w:kern w:val="2"/>
          <w:position w:val="0"/>
          <w:sz w:val="32"/>
          <w:szCs w:val="32"/>
          <w:lang w:val="en-US" w:eastAsia="zh-CN" w:bidi="ar-SA"/>
        </w:rPr>
        <w:t xml:space="preserve">综合以上分析，本单位“公车购置”项目专项预算绩效自评总得分为99分（满分100分），评价等次为“优秀”。项目立项依据充分，决策程序规范；资金管理严格，使用合规高效；按时保质完成了全部开办任务，产出成果符合预期；有效保障了新单位的顺利启动和正常运转，社会效益显著，内部满意度高，全面实现了项目设立的绩效目标。   </w:t>
      </w:r>
    </w:p>
    <w:p w14:paraId="24364DAD">
      <w:pPr>
        <w:widowControl/>
        <w:spacing w:line="600" w:lineRule="exact"/>
        <w:ind w:firstLine="640" w:firstLineChars="200"/>
        <w:jc w:val="left"/>
        <w:rPr>
          <w:rFonts w:ascii="Times New Roman" w:hAnsi="Times New Roman" w:eastAsia="黑体" w:cs="Times New Roman"/>
          <w:kern w:val="0"/>
          <w:position w:val="3"/>
          <w:sz w:val="32"/>
          <w:szCs w:val="32"/>
          <w:lang w:val="en-US" w:eastAsia="zh-CN" w:bidi="ar-SA"/>
        </w:rPr>
      </w:pPr>
      <w:r>
        <w:rPr>
          <w:rFonts w:ascii="Times New Roman" w:hAnsi="Times New Roman" w:eastAsia="黑体" w:cs="Times New Roman"/>
          <w:kern w:val="0"/>
          <w:position w:val="3"/>
          <w:sz w:val="32"/>
          <w:szCs w:val="32"/>
          <w:lang w:val="en-US" w:eastAsia="zh-CN" w:bidi="ar-SA"/>
        </w:rPr>
        <w:t>五、存在主要问题</w:t>
      </w:r>
    </w:p>
    <w:p w14:paraId="40752B14">
      <w:pPr>
        <w:widowControl/>
        <w:spacing w:line="600" w:lineRule="exact"/>
        <w:ind w:firstLine="640" w:firstLineChars="200"/>
        <w:jc w:val="left"/>
        <w:rPr>
          <w:rFonts w:ascii="Times New Roman" w:hAnsi="Times New Roman" w:eastAsia="黑体" w:cs="Times New Roman"/>
          <w:kern w:val="2"/>
          <w:position w:val="0"/>
          <w:sz w:val="32"/>
          <w:szCs w:val="32"/>
          <w:lang w:val="en-US" w:eastAsia="zh-CN" w:bidi="ar-SA"/>
        </w:rPr>
      </w:pPr>
      <w:r>
        <w:rPr>
          <w:rFonts w:hint="eastAsia" w:ascii="Times New Roman" w:hAnsi="Times New Roman" w:eastAsia="仿宋_GB2312" w:cs="Times New Roman"/>
          <w:kern w:val="0"/>
          <w:position w:val="0"/>
          <w:sz w:val="32"/>
          <w:szCs w:val="32"/>
          <w:lang w:val="en-US" w:eastAsia="zh-CN" w:bidi="ar-SA"/>
        </w:rPr>
        <w:t>无。</w:t>
      </w:r>
    </w:p>
    <w:p w14:paraId="155E57BD">
      <w:pPr>
        <w:widowControl/>
        <w:spacing w:line="600" w:lineRule="exact"/>
        <w:ind w:firstLine="640" w:firstLineChars="200"/>
        <w:jc w:val="left"/>
        <w:rPr>
          <w:rFonts w:ascii="Times New Roman" w:hAnsi="Times New Roman" w:eastAsia="黑体" w:cs="Times New Roman"/>
          <w:kern w:val="0"/>
          <w:position w:val="3"/>
          <w:sz w:val="32"/>
          <w:szCs w:val="32"/>
          <w:lang w:val="zh-CN" w:eastAsia="zh-CN" w:bidi="ar-SA"/>
        </w:rPr>
      </w:pPr>
      <w:r>
        <w:rPr>
          <w:rFonts w:ascii="Times New Roman" w:hAnsi="Times New Roman" w:eastAsia="黑体" w:cs="Times New Roman"/>
          <w:kern w:val="0"/>
          <w:position w:val="3"/>
          <w:sz w:val="32"/>
          <w:szCs w:val="32"/>
          <w:lang w:val="zh-CN" w:eastAsia="zh-CN" w:bidi="ar-SA"/>
        </w:rPr>
        <w:t>六、改进建议</w:t>
      </w:r>
    </w:p>
    <w:p w14:paraId="70DF8040">
      <w:pPr>
        <w:keepNext w:val="0"/>
        <w:keepLines w:val="0"/>
        <w:pageBreakBefore w:val="0"/>
        <w:widowControl w:val="0"/>
        <w:kinsoku/>
        <w:wordWrap/>
        <w:overflowPunct/>
        <w:topLinePunct w:val="0"/>
        <w:autoSpaceDE/>
        <w:autoSpaceDN/>
        <w:bidi w:val="0"/>
        <w:adjustRightInd/>
        <w:spacing w:line="560" w:lineRule="exact"/>
        <w:ind w:firstLine="640"/>
        <w:jc w:val="both"/>
        <w:textAlignment w:val="auto"/>
        <w:outlineLvl w:val="9"/>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无</w:t>
      </w:r>
      <w:r>
        <w:rPr>
          <w:rFonts w:ascii="Times New Roman" w:hAnsi="Times New Roman" w:eastAsia="仿宋_GB2312" w:cs="Times New Roman"/>
          <w:kern w:val="0"/>
          <w:sz w:val="32"/>
          <w:szCs w:val="32"/>
        </w:rPr>
        <w:t>。</w:t>
      </w:r>
    </w:p>
    <w:p w14:paraId="63BC6ED9">
      <w:pPr>
        <w:pStyle w:val="22"/>
        <w:rPr>
          <w:rFonts w:ascii="Times New Roman" w:hAnsi="Times New Roman" w:eastAsia="仿宋_GB2312" w:cs="Times New Roman"/>
          <w:kern w:val="0"/>
          <w:sz w:val="32"/>
          <w:szCs w:val="32"/>
        </w:rPr>
      </w:pPr>
    </w:p>
    <w:p w14:paraId="3CF1500D">
      <w:pPr>
        <w:pStyle w:val="22"/>
        <w:rPr>
          <w:rFonts w:ascii="Times New Roman" w:hAnsi="Times New Roman" w:eastAsia="仿宋_GB2312" w:cs="Times New Roman"/>
          <w:kern w:val="0"/>
          <w:sz w:val="32"/>
          <w:szCs w:val="32"/>
        </w:rPr>
      </w:pPr>
    </w:p>
    <w:p w14:paraId="3E715C78">
      <w:pPr>
        <w:pStyle w:val="22"/>
        <w:rPr>
          <w:rFonts w:ascii="Times New Roman" w:hAnsi="Times New Roman" w:eastAsia="仿宋_GB2312" w:cs="Times New Roman"/>
          <w:kern w:val="0"/>
          <w:sz w:val="32"/>
          <w:szCs w:val="32"/>
        </w:rPr>
      </w:pPr>
    </w:p>
    <w:p w14:paraId="367D8838">
      <w:pPr>
        <w:pStyle w:val="22"/>
        <w:rPr>
          <w:rFonts w:ascii="Times New Roman" w:hAnsi="Times New Roman" w:eastAsia="仿宋_GB2312" w:cs="Times New Roman"/>
          <w:kern w:val="0"/>
          <w:sz w:val="32"/>
          <w:szCs w:val="32"/>
        </w:rPr>
      </w:pPr>
    </w:p>
    <w:p w14:paraId="3A2F7322">
      <w:pPr>
        <w:pStyle w:val="22"/>
        <w:rPr>
          <w:rFonts w:ascii="Times New Roman" w:hAnsi="Times New Roman" w:eastAsia="仿宋_GB2312" w:cs="Times New Roman"/>
          <w:kern w:val="0"/>
          <w:sz w:val="32"/>
          <w:szCs w:val="32"/>
        </w:rPr>
      </w:pPr>
    </w:p>
    <w:p w14:paraId="632F25AC">
      <w:pPr>
        <w:pStyle w:val="22"/>
        <w:rPr>
          <w:rFonts w:ascii="Times New Roman" w:hAnsi="Times New Roman" w:eastAsia="仿宋_GB2312" w:cs="Times New Roman"/>
          <w:kern w:val="0"/>
          <w:sz w:val="32"/>
          <w:szCs w:val="32"/>
        </w:rPr>
      </w:pPr>
    </w:p>
    <w:p w14:paraId="53AF5F3B">
      <w:pPr>
        <w:pStyle w:val="22"/>
        <w:rPr>
          <w:rFonts w:ascii="Times New Roman" w:hAnsi="Times New Roman" w:eastAsia="仿宋_GB2312" w:cs="Times New Roman"/>
          <w:kern w:val="0"/>
          <w:sz w:val="32"/>
          <w:szCs w:val="32"/>
        </w:rPr>
      </w:pPr>
    </w:p>
    <w:p w14:paraId="36BF2749">
      <w:pPr>
        <w:pStyle w:val="22"/>
        <w:rPr>
          <w:rFonts w:ascii="Times New Roman" w:hAnsi="Times New Roman" w:eastAsia="仿宋_GB2312" w:cs="Times New Roman"/>
          <w:kern w:val="0"/>
          <w:sz w:val="32"/>
          <w:szCs w:val="32"/>
        </w:rPr>
      </w:pPr>
    </w:p>
    <w:p w14:paraId="010734DF">
      <w:pPr>
        <w:pStyle w:val="22"/>
        <w:rPr>
          <w:rFonts w:ascii="Times New Roman" w:hAnsi="Times New Roman" w:eastAsia="仿宋_GB2312" w:cs="Times New Roman"/>
          <w:kern w:val="0"/>
          <w:sz w:val="32"/>
          <w:szCs w:val="32"/>
        </w:rPr>
      </w:pPr>
    </w:p>
    <w:p w14:paraId="330A0D6E">
      <w:pPr>
        <w:pStyle w:val="22"/>
        <w:rPr>
          <w:rFonts w:ascii="Times New Roman" w:hAnsi="Times New Roman" w:eastAsia="仿宋_GB2312" w:cs="Times New Roman"/>
          <w:kern w:val="0"/>
          <w:sz w:val="32"/>
          <w:szCs w:val="32"/>
        </w:rPr>
      </w:pPr>
    </w:p>
    <w:p w14:paraId="030F4C15">
      <w:pPr>
        <w:pStyle w:val="22"/>
        <w:rPr>
          <w:rFonts w:ascii="Times New Roman" w:hAnsi="Times New Roman" w:eastAsia="仿宋_GB2312" w:cs="Times New Roman"/>
          <w:kern w:val="0"/>
          <w:sz w:val="32"/>
          <w:szCs w:val="32"/>
        </w:rPr>
      </w:pPr>
    </w:p>
    <w:p w14:paraId="34F8FB61">
      <w:pPr>
        <w:pStyle w:val="22"/>
        <w:rPr>
          <w:rFonts w:hint="eastAsia" w:ascii="Times New Roman" w:hAnsi="Times New Roman" w:eastAsia="仿宋_GB2312" w:cs="Times New Roman"/>
          <w:kern w:val="0"/>
          <w:sz w:val="32"/>
          <w:szCs w:val="32"/>
          <w:lang w:eastAsia="zh-CN"/>
        </w:rPr>
      </w:pPr>
    </w:p>
    <w:tbl>
      <w:tblPr>
        <w:tblStyle w:val="18"/>
        <w:tblW w:w="103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4"/>
        <w:gridCol w:w="1342"/>
        <w:gridCol w:w="1765"/>
        <w:gridCol w:w="2637"/>
        <w:gridCol w:w="1116"/>
        <w:gridCol w:w="504"/>
        <w:gridCol w:w="486"/>
        <w:gridCol w:w="1871"/>
      </w:tblGrid>
      <w:tr w14:paraId="4D81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4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8191D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DF49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F64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5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EAF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51322126T000014636755-公务用车购置费</w:t>
            </w:r>
          </w:p>
        </w:tc>
      </w:tr>
      <w:tr w14:paraId="37181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D9D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3312C">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14:paraId="3F6BE8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95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中共汶川县委社会工作部</w:t>
            </w:r>
          </w:p>
        </w:tc>
      </w:tr>
      <w:tr w14:paraId="2E669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9C7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83E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05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8D42E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910F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43B86">
            <w:pPr>
              <w:rPr>
                <w:rFonts w:hint="eastAsia" w:ascii="宋体" w:hAnsi="宋体" w:eastAsia="宋体" w:cs="宋体"/>
                <w:i w:val="0"/>
                <w:iCs w:val="0"/>
                <w:color w:val="000000"/>
                <w:sz w:val="18"/>
                <w:szCs w:val="18"/>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E6FB6">
            <w:pPr>
              <w:rPr>
                <w:rFonts w:hint="eastAsia" w:ascii="宋体" w:hAnsi="宋体" w:eastAsia="宋体" w:cs="宋体"/>
                <w:i w:val="0"/>
                <w:iCs w:val="0"/>
                <w:color w:val="000000"/>
                <w:sz w:val="18"/>
                <w:szCs w:val="18"/>
                <w:u w:val="none"/>
              </w:rPr>
            </w:pPr>
          </w:p>
        </w:tc>
        <w:tc>
          <w:tcPr>
            <w:tcW w:w="4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865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州机关事务管理局关于阿坝州公务用车集中采购交付相关事宜的通知》要求，我部在州机关事务管理局公务用车集中采购工作中采购汉兰达2.5L智能电混双擎四驱精英版7座越野车1辆，中标金额22.78万元。</w:t>
            </w:r>
          </w:p>
        </w:tc>
        <w:tc>
          <w:tcPr>
            <w:tcW w:w="39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3998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顺利完成年度目标任务</w:t>
            </w:r>
          </w:p>
        </w:tc>
      </w:tr>
      <w:tr w14:paraId="77620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76969">
            <w:pP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9E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55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037F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州机关事务管理局关于阿坝州公务用车集中采购交付相关事宜的通知》要求，我部在州机关事务管理局公务用车集中采购工作中采购汉兰达2.5L智能电混双擎四驱精英版7座越野车1辆，中标金额22.78万元。</w:t>
            </w:r>
          </w:p>
        </w:tc>
      </w:tr>
      <w:tr w14:paraId="0911F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90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9A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D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7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5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B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F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D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FD1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49356">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9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9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22.78</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1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9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6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B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D8DC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D14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E4D25">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C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9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22.78</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A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22.78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D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5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4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02DF3">
            <w:pPr>
              <w:rPr>
                <w:rFonts w:hint="eastAsia" w:ascii="黑体" w:hAnsi="黑体" w:eastAsia="黑体" w:cs="黑体"/>
                <w:i/>
                <w:iCs/>
                <w:color w:val="000000"/>
                <w:sz w:val="18"/>
                <w:szCs w:val="18"/>
                <w:u w:val="none"/>
              </w:rPr>
            </w:pPr>
          </w:p>
        </w:tc>
      </w:tr>
      <w:tr w14:paraId="5F1CC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582EE">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7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0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E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1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D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C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05ADA">
            <w:pPr>
              <w:rPr>
                <w:rFonts w:hint="eastAsia" w:ascii="黑体" w:hAnsi="黑体" w:eastAsia="黑体" w:cs="黑体"/>
                <w:i/>
                <w:iCs/>
                <w:color w:val="000000"/>
                <w:sz w:val="18"/>
                <w:szCs w:val="18"/>
                <w:u w:val="none"/>
              </w:rPr>
            </w:pPr>
          </w:p>
        </w:tc>
      </w:tr>
      <w:tr w14:paraId="73E79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5E7AE">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F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F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9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E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7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F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16254">
            <w:pPr>
              <w:rPr>
                <w:rFonts w:hint="eastAsia" w:ascii="黑体" w:hAnsi="黑体" w:eastAsia="黑体" w:cs="黑体"/>
                <w:i/>
                <w:iCs/>
                <w:color w:val="000000"/>
                <w:sz w:val="18"/>
                <w:szCs w:val="18"/>
                <w:u w:val="none"/>
              </w:rPr>
            </w:pPr>
          </w:p>
        </w:tc>
      </w:tr>
      <w:tr w14:paraId="341B9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86ABB">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9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057A">
            <w:pPr>
              <w:jc w:val="center"/>
              <w:rPr>
                <w:rFonts w:hint="eastAsia" w:ascii="微软雅黑" w:hAnsi="微软雅黑" w:eastAsia="微软雅黑" w:cs="微软雅黑"/>
                <w:i/>
                <w:iCs/>
                <w:color w:val="000000"/>
                <w:sz w:val="16"/>
                <w:szCs w:val="16"/>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C8C6">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D67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A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0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40A94">
            <w:pPr>
              <w:rPr>
                <w:rFonts w:hint="eastAsia" w:ascii="黑体" w:hAnsi="黑体" w:eastAsia="黑体" w:cs="黑体"/>
                <w:i/>
                <w:iCs/>
                <w:color w:val="000000"/>
                <w:sz w:val="18"/>
                <w:szCs w:val="18"/>
                <w:u w:val="none"/>
              </w:rPr>
            </w:pPr>
          </w:p>
        </w:tc>
      </w:tr>
      <w:tr w14:paraId="0BD53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BB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4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1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D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3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81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3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F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6A6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800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C9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2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D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按公车管理办法保管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B8B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D49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75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F606">
            <w:pPr>
              <w:jc w:val="center"/>
              <w:rPr>
                <w:rFonts w:hint="eastAsia" w:ascii="宋体" w:hAnsi="宋体" w:eastAsia="宋体" w:cs="宋体"/>
                <w:i w:val="0"/>
                <w:iCs w:val="0"/>
                <w:color w:val="000000"/>
                <w:sz w:val="18"/>
                <w:szCs w:val="18"/>
                <w:u w:val="none"/>
              </w:rPr>
            </w:pPr>
          </w:p>
        </w:tc>
      </w:tr>
      <w:tr w14:paraId="06BC0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0DE7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03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8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0D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按文件要求进行支付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45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03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C1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947D">
            <w:pPr>
              <w:jc w:val="center"/>
              <w:rPr>
                <w:rFonts w:hint="eastAsia" w:ascii="微软雅黑" w:hAnsi="微软雅黑" w:eastAsia="微软雅黑" w:cs="微软雅黑"/>
                <w:i/>
                <w:iCs/>
                <w:color w:val="000000"/>
                <w:sz w:val="16"/>
                <w:szCs w:val="16"/>
                <w:u w:val="none"/>
              </w:rPr>
            </w:pPr>
          </w:p>
        </w:tc>
      </w:tr>
      <w:tr w14:paraId="46565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CCF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13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A9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E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购置汉兰达2.5L智能电混双擎四驱精英版7座越野车1辆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12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1B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1A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C2D3">
            <w:pPr>
              <w:jc w:val="center"/>
              <w:rPr>
                <w:rFonts w:hint="eastAsia" w:ascii="微软雅黑" w:hAnsi="微软雅黑" w:eastAsia="微软雅黑" w:cs="微软雅黑"/>
                <w:i/>
                <w:iCs/>
                <w:color w:val="000000"/>
                <w:sz w:val="16"/>
                <w:szCs w:val="16"/>
                <w:u w:val="none"/>
              </w:rPr>
            </w:pPr>
          </w:p>
        </w:tc>
      </w:tr>
      <w:tr w14:paraId="569B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E4E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E7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9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5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确保我部车辆正常运行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215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65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36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4888">
            <w:pPr>
              <w:jc w:val="center"/>
              <w:rPr>
                <w:rFonts w:hint="eastAsia" w:ascii="微软雅黑" w:hAnsi="微软雅黑" w:eastAsia="微软雅黑" w:cs="微软雅黑"/>
                <w:i/>
                <w:iCs/>
                <w:color w:val="000000"/>
                <w:sz w:val="16"/>
                <w:szCs w:val="16"/>
                <w:u w:val="none"/>
              </w:rPr>
            </w:pPr>
          </w:p>
        </w:tc>
      </w:tr>
      <w:tr w14:paraId="04780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9F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19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0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A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公车深入乡镇、社区、农村进行指导和服务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20E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018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063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53DC">
            <w:pPr>
              <w:jc w:val="center"/>
              <w:rPr>
                <w:rFonts w:hint="eastAsia" w:ascii="微软雅黑" w:hAnsi="微软雅黑" w:eastAsia="微软雅黑" w:cs="微软雅黑"/>
                <w:i/>
                <w:iCs/>
                <w:color w:val="000000"/>
                <w:sz w:val="16"/>
                <w:szCs w:val="16"/>
                <w:u w:val="none"/>
              </w:rPr>
            </w:pPr>
          </w:p>
        </w:tc>
      </w:tr>
      <w:tr w14:paraId="4C786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D88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712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F3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E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更好的服务全县社会发展大局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AD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748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27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8B94C">
            <w:pPr>
              <w:jc w:val="center"/>
              <w:rPr>
                <w:rFonts w:hint="eastAsia" w:ascii="微软雅黑" w:hAnsi="微软雅黑" w:eastAsia="微软雅黑" w:cs="微软雅黑"/>
                <w:i/>
                <w:iCs/>
                <w:color w:val="000000"/>
                <w:sz w:val="16"/>
                <w:szCs w:val="16"/>
                <w:u w:val="none"/>
              </w:rPr>
            </w:pPr>
          </w:p>
        </w:tc>
      </w:tr>
      <w:tr w14:paraId="5EEE8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82E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0F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52A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1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总车价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19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416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D8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9952">
            <w:pPr>
              <w:jc w:val="center"/>
              <w:rPr>
                <w:rFonts w:hint="eastAsia" w:ascii="微软雅黑" w:hAnsi="微软雅黑" w:eastAsia="微软雅黑" w:cs="微软雅黑"/>
                <w:i/>
                <w:iCs/>
                <w:color w:val="000000"/>
                <w:sz w:val="16"/>
                <w:szCs w:val="16"/>
                <w:u w:val="none"/>
              </w:rPr>
            </w:pPr>
          </w:p>
        </w:tc>
      </w:tr>
      <w:tr w14:paraId="198EE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3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9E2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nil"/>
              <w:left w:val="nil"/>
              <w:bottom w:val="nil"/>
              <w:right w:val="nil"/>
            </w:tcBorders>
            <w:shd w:val="clear" w:color="auto" w:fill="auto"/>
            <w:noWrap/>
            <w:vAlign w:val="center"/>
          </w:tcPr>
          <w:p w14:paraId="1296F48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CFBD5">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273D">
            <w:pPr>
              <w:rPr>
                <w:rFonts w:hint="eastAsia" w:ascii="宋体" w:hAnsi="宋体" w:eastAsia="宋体" w:cs="宋体"/>
                <w:i w:val="0"/>
                <w:iCs w:val="0"/>
                <w:color w:val="000000"/>
                <w:sz w:val="18"/>
                <w:szCs w:val="18"/>
                <w:u w:val="none"/>
              </w:rPr>
            </w:pPr>
          </w:p>
        </w:tc>
      </w:tr>
      <w:tr w14:paraId="1F068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7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68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AD1D9F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100%完成相关经费支出，项目自评100分。</w:t>
            </w:r>
          </w:p>
        </w:tc>
      </w:tr>
      <w:tr w14:paraId="633D4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7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68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43218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1066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0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68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1ADBD5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bl>
    <w:p w14:paraId="1316511C">
      <w:pPr>
        <w:widowControl w:val="0"/>
        <w:spacing w:line="578" w:lineRule="exact"/>
        <w:jc w:val="both"/>
        <w:rPr>
          <w:rFonts w:ascii="Times New Roman" w:hAnsi="Times New Roman" w:eastAsia="方正小标宋简体" w:cs="Times New Roman"/>
          <w:color w:val="auto"/>
          <w:kern w:val="2"/>
          <w:sz w:val="44"/>
          <w:szCs w:val="44"/>
          <w:lang w:val="en-US" w:eastAsia="zh-CN" w:bidi="ar-SA"/>
        </w:rPr>
      </w:pPr>
    </w:p>
    <w:p w14:paraId="4E1428A5">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中共汶川县委社会工作部</w:t>
      </w:r>
    </w:p>
    <w:p w14:paraId="1B1A5D48">
      <w:pPr>
        <w:widowControl w:val="0"/>
        <w:spacing w:line="578" w:lineRule="exact"/>
        <w:jc w:val="center"/>
        <w:rPr>
          <w:rFonts w:hint="eastAsia"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开办经费</w:t>
      </w:r>
      <w:r>
        <w:rPr>
          <w:rFonts w:ascii="Times New Roman" w:hAnsi="Times New Roman" w:eastAsia="方正小标宋简体" w:cs="Times New Roman"/>
          <w:color w:val="auto"/>
          <w:kern w:val="2"/>
          <w:sz w:val="44"/>
          <w:szCs w:val="44"/>
          <w:lang w:val="en-US" w:eastAsia="zh-CN" w:bidi="ar-SA"/>
        </w:rPr>
        <w:t>专项</w:t>
      </w:r>
      <w:r>
        <w:rPr>
          <w:rFonts w:hint="eastAsia" w:ascii="Times New Roman" w:hAnsi="Times New Roman" w:eastAsia="方正小标宋简体" w:cs="Times New Roman"/>
          <w:color w:val="auto"/>
          <w:kern w:val="2"/>
          <w:sz w:val="44"/>
          <w:szCs w:val="44"/>
          <w:lang w:val="en-US" w:eastAsia="zh-CN" w:bidi="ar-SA"/>
        </w:rPr>
        <w:t>资金专项</w:t>
      </w:r>
      <w:r>
        <w:rPr>
          <w:rFonts w:ascii="Times New Roman" w:hAnsi="Times New Roman" w:eastAsia="方正小标宋简体" w:cs="Times New Roman"/>
          <w:color w:val="auto"/>
          <w:kern w:val="2"/>
          <w:sz w:val="44"/>
          <w:szCs w:val="44"/>
          <w:lang w:val="en-US" w:eastAsia="zh-CN" w:bidi="ar-SA"/>
        </w:rPr>
        <w:t>预算</w:t>
      </w:r>
      <w:r>
        <w:rPr>
          <w:rFonts w:hint="eastAsia" w:ascii="Times New Roman" w:hAnsi="Times New Roman" w:eastAsia="方正小标宋简体" w:cs="Times New Roman"/>
          <w:color w:val="auto"/>
          <w:kern w:val="2"/>
          <w:sz w:val="44"/>
          <w:szCs w:val="44"/>
          <w:lang w:val="en-US" w:eastAsia="zh-CN" w:bidi="ar-SA"/>
        </w:rPr>
        <w:t>项目</w:t>
      </w:r>
    </w:p>
    <w:p w14:paraId="790A2BDB">
      <w:pPr>
        <w:widowControl w:val="0"/>
        <w:spacing w:line="578" w:lineRule="exact"/>
        <w:jc w:val="center"/>
        <w:rPr>
          <w:rFonts w:ascii="Times New Roman" w:hAnsi="Times New Roman" w:eastAsia="方正小标宋简体" w:cs="Times New Roman"/>
          <w:color w:val="auto"/>
          <w:kern w:val="2"/>
          <w:sz w:val="44"/>
          <w:szCs w:val="44"/>
          <w:lang w:val="en-US" w:eastAsia="zh-CN" w:bidi="ar-SA"/>
        </w:rPr>
      </w:pPr>
      <w:r>
        <w:rPr>
          <w:rFonts w:ascii="Times New Roman" w:hAnsi="Times New Roman" w:eastAsia="方正小标宋简体" w:cs="Times New Roman"/>
          <w:color w:val="auto"/>
          <w:kern w:val="2"/>
          <w:sz w:val="44"/>
          <w:szCs w:val="44"/>
          <w:lang w:val="en-US" w:eastAsia="zh-CN" w:bidi="ar-SA"/>
        </w:rPr>
        <w:t>绩效自评报告</w:t>
      </w:r>
    </w:p>
    <w:p w14:paraId="792D38E5">
      <w:pPr>
        <w:widowControl w:val="0"/>
        <w:spacing w:line="578" w:lineRule="exact"/>
        <w:ind w:firstLine="640"/>
        <w:jc w:val="center"/>
        <w:rPr>
          <w:rFonts w:ascii="Times New Roman" w:hAnsi="Times New Roman" w:eastAsia="宋体" w:cs="Times New Roman"/>
          <w:color w:val="auto"/>
          <w:kern w:val="2"/>
          <w:sz w:val="32"/>
          <w:szCs w:val="32"/>
          <w:lang w:val="zh-CN" w:eastAsia="zh-CN" w:bidi="ar-SA"/>
        </w:rPr>
      </w:pPr>
    </w:p>
    <w:p w14:paraId="6BF94426">
      <w:pPr>
        <w:adjustRightInd w:val="0"/>
        <w:snapToGrid w:val="0"/>
        <w:spacing w:line="578" w:lineRule="exact"/>
        <w:ind w:firstLine="640" w:firstLineChars="200"/>
        <w:rPr>
          <w:rFonts w:eastAsia="黑体"/>
          <w:sz w:val="32"/>
          <w:szCs w:val="32"/>
          <w:lang w:val="zh-CN"/>
        </w:rPr>
      </w:pPr>
      <w:r>
        <w:rPr>
          <w:rFonts w:eastAsia="黑体"/>
          <w:sz w:val="32"/>
          <w:szCs w:val="32"/>
        </w:rPr>
        <w:t>一、</w:t>
      </w:r>
      <w:r>
        <w:rPr>
          <w:rFonts w:eastAsia="黑体"/>
          <w:sz w:val="32"/>
          <w:szCs w:val="32"/>
          <w:lang w:val="zh-CN"/>
        </w:rPr>
        <w:t>项目概况</w:t>
      </w:r>
    </w:p>
    <w:p w14:paraId="5ED2CDB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_GBK" w:cs="Times New Roman"/>
          <w:color w:val="auto"/>
          <w:sz w:val="32"/>
          <w:szCs w:val="32"/>
          <w:lang w:val="zh-CN" w:eastAsia="zh-CN"/>
        </w:rPr>
      </w:pPr>
      <w:r>
        <w:rPr>
          <w:rFonts w:eastAsia="楷体_GB2312"/>
          <w:b/>
          <w:sz w:val="32"/>
          <w:szCs w:val="32"/>
          <w:lang w:val="zh-CN"/>
        </w:rPr>
        <w:t>（一）设立背景及基本情况。</w:t>
      </w:r>
      <w:r>
        <w:rPr>
          <w:rFonts w:hint="default" w:ascii="Times New Roman" w:hAnsi="Times New Roman" w:eastAsia="方正仿宋_GBK" w:cs="Times New Roman"/>
          <w:color w:val="auto"/>
          <w:sz w:val="32"/>
          <w:szCs w:val="32"/>
          <w:lang w:val="zh-CN" w:eastAsia="zh-CN"/>
        </w:rPr>
        <w:t>根据《</w:t>
      </w:r>
      <w:r>
        <w:rPr>
          <w:rFonts w:hint="eastAsia" w:ascii="Times New Roman" w:hAnsi="Times New Roman" w:eastAsia="方正仿宋_GBK" w:cs="Times New Roman"/>
          <w:color w:val="auto"/>
          <w:sz w:val="32"/>
          <w:szCs w:val="32"/>
          <w:lang w:val="en-US" w:eastAsia="zh-CN"/>
        </w:rPr>
        <w:t>中共汶川县委 汶川县人民政府</w:t>
      </w:r>
      <w:r>
        <w:rPr>
          <w:rFonts w:hint="default" w:ascii="Times New Roman" w:hAnsi="Times New Roman" w:eastAsia="方正仿宋_GBK" w:cs="Times New Roman"/>
          <w:color w:val="auto"/>
          <w:sz w:val="32"/>
          <w:szCs w:val="32"/>
          <w:lang w:val="zh-CN" w:eastAsia="zh-CN"/>
        </w:rPr>
        <w:t>关于</w:t>
      </w:r>
      <w:r>
        <w:rPr>
          <w:rFonts w:hint="eastAsia" w:ascii="Times New Roman" w:hAnsi="Times New Roman" w:eastAsia="方正仿宋_GBK" w:cs="Times New Roman"/>
          <w:color w:val="auto"/>
          <w:sz w:val="32"/>
          <w:szCs w:val="32"/>
          <w:lang w:val="en-US" w:eastAsia="zh-CN"/>
        </w:rPr>
        <w:t>印发&lt;汶川县机构改革方案&gt;的通知</w:t>
      </w:r>
      <w:r>
        <w:rPr>
          <w:rFonts w:hint="default" w:ascii="Times New Roman" w:hAnsi="Times New Roman" w:eastAsia="方正仿宋_GBK" w:cs="Times New Roman"/>
          <w:color w:val="auto"/>
          <w:sz w:val="32"/>
          <w:szCs w:val="32"/>
          <w:lang w:val="zh-CN" w:eastAsia="zh-CN"/>
        </w:rPr>
        <w:t>》精神，本单位于</w:t>
      </w:r>
      <w:r>
        <w:rPr>
          <w:rFonts w:hint="eastAsia" w:ascii="Times New Roman" w:hAnsi="Times New Roman" w:eastAsia="方正仿宋_GBK" w:cs="Times New Roman"/>
          <w:color w:val="auto"/>
          <w:sz w:val="32"/>
          <w:szCs w:val="32"/>
          <w:lang w:val="en-US" w:eastAsia="zh-CN"/>
        </w:rPr>
        <w:t>2024年5月</w:t>
      </w:r>
      <w:r>
        <w:rPr>
          <w:rFonts w:hint="default" w:ascii="Times New Roman" w:hAnsi="Times New Roman" w:eastAsia="方正仿宋_GBK" w:cs="Times New Roman"/>
          <w:color w:val="auto"/>
          <w:sz w:val="32"/>
          <w:szCs w:val="32"/>
          <w:lang w:val="zh-CN" w:eastAsia="zh-CN"/>
        </w:rPr>
        <w:t>正式成立。为保障新成立单位能够顺利启动并高效运转，满足其履行核心职能、开展对外服务的基本需求，特设立“单位开办经费”项目。本项目旨在通过购置必要的办公设备、家具、信息化系统，以及进行必要的办公场所简易装修等，为工作人员提供基础的办公条件，确保单位从成立之初即能正常开展各项业务工作。</w:t>
      </w:r>
    </w:p>
    <w:p w14:paraId="5012674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rPr>
          <w:rFonts w:hint="default" w:ascii="Times New Roman" w:hAnsi="Times New Roman" w:eastAsia="方正仿宋_GBK" w:cs="Times New Roman"/>
          <w:color w:val="auto"/>
          <w:sz w:val="32"/>
          <w:szCs w:val="32"/>
          <w:lang w:val="zh-CN" w:eastAsia="zh-CN"/>
        </w:rPr>
      </w:pPr>
      <w:r>
        <w:rPr>
          <w:rFonts w:eastAsia="楷体_GB2312"/>
          <w:b/>
          <w:sz w:val="32"/>
          <w:szCs w:val="32"/>
          <w:lang w:val="zh-CN"/>
        </w:rPr>
        <w:t>（二）</w:t>
      </w:r>
      <w:r>
        <w:rPr>
          <w:rFonts w:eastAsia="楷体_GB2312"/>
          <w:b/>
          <w:sz w:val="32"/>
          <w:szCs w:val="32"/>
        </w:rPr>
        <w:t>实施目的及支持方向。</w:t>
      </w:r>
      <w:r>
        <w:rPr>
          <w:rFonts w:hint="default" w:ascii="Times New Roman" w:hAnsi="Times New Roman" w:eastAsia="方正仿宋_GBK" w:cs="Times New Roman"/>
          <w:color w:val="auto"/>
          <w:sz w:val="32"/>
          <w:szCs w:val="32"/>
          <w:lang w:val="zh-CN" w:eastAsia="zh-CN"/>
        </w:rPr>
        <w:t>本项目实施的主要目的是解决新单位“从无到有”的核心问题，保障其日常行政运转和业务开展的基本物质条件。主要工作任务包括：1.采购办公</w:t>
      </w:r>
      <w:r>
        <w:rPr>
          <w:rFonts w:hint="eastAsia" w:ascii="Times New Roman" w:hAnsi="Times New Roman" w:eastAsia="方正仿宋_GBK" w:cs="Times New Roman"/>
          <w:color w:val="auto"/>
          <w:sz w:val="32"/>
          <w:szCs w:val="32"/>
          <w:lang w:val="en-US" w:eastAsia="zh-CN"/>
        </w:rPr>
        <w:t>设施设备</w:t>
      </w:r>
      <w:r>
        <w:rPr>
          <w:rFonts w:hint="default" w:ascii="Times New Roman" w:hAnsi="Times New Roman" w:eastAsia="方正仿宋_GBK" w:cs="Times New Roman"/>
          <w:color w:val="auto"/>
          <w:sz w:val="32"/>
          <w:szCs w:val="32"/>
          <w:lang w:val="zh-CN" w:eastAsia="zh-CN"/>
        </w:rPr>
        <w:t>；2.进行办公场所的必要装修与布置；3.支付开办初期必要的其他费用。项目支持方向严格限定于与新单位开办直接相关的、保障基本运转的支出，不用于与开办无关的其他行政开支或业务经费。</w:t>
      </w:r>
    </w:p>
    <w:p w14:paraId="34FB0531">
      <w:pPr>
        <w:widowControl/>
        <w:adjustRightInd w:val="0"/>
        <w:snapToGrid w:val="0"/>
        <w:spacing w:line="578" w:lineRule="exact"/>
        <w:ind w:firstLine="643" w:firstLineChars="200"/>
        <w:contextualSpacing/>
        <w:jc w:val="left"/>
        <w:rPr>
          <w:rFonts w:eastAsia="仿宋_GB2312"/>
          <w:kern w:val="0"/>
          <w:sz w:val="32"/>
          <w:szCs w:val="32"/>
          <w:shd w:val="clear" w:color="auto" w:fill="FFFFFF"/>
          <w:lang w:val="zh-CN"/>
        </w:rPr>
      </w:pPr>
      <w:r>
        <w:rPr>
          <w:rFonts w:hint="default" w:ascii="Times New Roman" w:hAnsi="Times New Roman" w:eastAsia="楷体_GB2312" w:cs="Times New Roman"/>
          <w:b/>
          <w:sz w:val="32"/>
          <w:szCs w:val="32"/>
          <w:lang w:val="zh-CN" w:eastAsia="zh-CN"/>
        </w:rPr>
        <w:t>（三）预算安排及分配管理。</w:t>
      </w:r>
      <w:r>
        <w:rPr>
          <w:rFonts w:hint="default" w:ascii="Times New Roman" w:hAnsi="Times New Roman" w:eastAsia="方正仿宋_GBK" w:cs="Times New Roman"/>
          <w:color w:val="auto"/>
          <w:sz w:val="32"/>
          <w:szCs w:val="32"/>
          <w:lang w:val="zh-CN" w:eastAsia="zh-CN"/>
        </w:rPr>
        <w:t>本项目预算总额为</w:t>
      </w:r>
      <w:r>
        <w:rPr>
          <w:rFonts w:hint="eastAsia" w:ascii="Times New Roman" w:hAnsi="Times New Roman" w:eastAsia="方正仿宋_GBK" w:cs="Times New Roman"/>
          <w:color w:val="auto"/>
          <w:sz w:val="32"/>
          <w:szCs w:val="32"/>
          <w:lang w:val="en-US" w:eastAsia="zh-CN"/>
        </w:rPr>
        <w:t>30</w:t>
      </w:r>
      <w:r>
        <w:rPr>
          <w:rFonts w:hint="default" w:ascii="Times New Roman" w:hAnsi="Times New Roman" w:eastAsia="方正仿宋_GBK" w:cs="Times New Roman"/>
          <w:color w:val="auto"/>
          <w:sz w:val="32"/>
          <w:szCs w:val="32"/>
          <w:lang w:val="zh-CN" w:eastAsia="zh-CN"/>
        </w:rPr>
        <w:t>万元，全部为财政专项拨款。预算编制依据充分，经过详细的需求论证和市场价格调研。资金分配原则为“保障基本、按需核定”，主要考虑因素包括：单位编制人数、办公场地面积、基本办公设备配置标准、必要的初期运行费用等。资金一次性下达至项目单位，由单位根据开办实际进度和合同约定，按财务管理规定支付使用。</w:t>
      </w:r>
    </w:p>
    <w:p w14:paraId="549D298C">
      <w:pPr>
        <w:adjustRightInd w:val="0"/>
        <w:snapToGrid w:val="0"/>
        <w:spacing w:line="578" w:lineRule="exact"/>
        <w:ind w:firstLine="643" w:firstLineChars="200"/>
        <w:rPr>
          <w:rFonts w:hint="default" w:ascii="Times New Roman" w:hAnsi="Times New Roman" w:eastAsia="方正仿宋_GBK" w:cs="Times New Roman"/>
          <w:color w:val="auto"/>
          <w:sz w:val="32"/>
          <w:szCs w:val="32"/>
          <w:lang w:val="zh-CN" w:eastAsia="zh-CN"/>
        </w:rPr>
      </w:pPr>
      <w:r>
        <w:rPr>
          <w:rFonts w:eastAsia="楷体_GB2312"/>
          <w:b/>
          <w:sz w:val="32"/>
          <w:szCs w:val="32"/>
          <w:lang w:val="zh-CN"/>
        </w:rPr>
        <w:t>（四）项目绩效目标设置。</w:t>
      </w:r>
      <w:r>
        <w:rPr>
          <w:rFonts w:hint="default" w:ascii="Times New Roman" w:hAnsi="Times New Roman" w:eastAsia="方正仿宋_GBK" w:cs="Times New Roman"/>
          <w:color w:val="auto"/>
          <w:sz w:val="32"/>
          <w:szCs w:val="32"/>
          <w:lang w:val="zh-CN" w:eastAsia="zh-CN"/>
        </w:rPr>
        <w:t>项目整体绩效目标是按时、保质、保量完成开办期各项准备工作，确保单位在预定时间内具备正常办公条件并投入运转</w:t>
      </w:r>
      <w:r>
        <w:rPr>
          <w:rFonts w:hint="eastAsia" w:ascii="Times New Roman" w:hAnsi="Times New Roman" w:eastAsia="方正仿宋_GBK" w:cs="Times New Roman"/>
          <w:color w:val="auto"/>
          <w:sz w:val="32"/>
          <w:szCs w:val="32"/>
          <w:lang w:val="zh-CN" w:eastAsia="zh-CN"/>
        </w:rPr>
        <w:t>。</w:t>
      </w:r>
    </w:p>
    <w:p w14:paraId="5D0945CA">
      <w:pPr>
        <w:adjustRightInd w:val="0"/>
        <w:snapToGrid w:val="0"/>
        <w:spacing w:line="578" w:lineRule="exact"/>
        <w:ind w:firstLine="640" w:firstLineChars="200"/>
        <w:rPr>
          <w:rFonts w:eastAsia="黑体"/>
          <w:sz w:val="32"/>
          <w:szCs w:val="32"/>
        </w:rPr>
      </w:pPr>
      <w:r>
        <w:rPr>
          <w:rFonts w:eastAsia="黑体"/>
          <w:sz w:val="32"/>
          <w:szCs w:val="32"/>
        </w:rPr>
        <w:t>二、评价实施</w:t>
      </w:r>
    </w:p>
    <w:p w14:paraId="364690E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方正仿宋_GBK" w:cs="Times New Roman"/>
          <w:color w:val="auto"/>
          <w:sz w:val="32"/>
          <w:szCs w:val="32"/>
          <w:lang w:val="zh-CN" w:eastAsia="zh-CN"/>
        </w:rPr>
      </w:pPr>
      <w:r>
        <w:rPr>
          <w:rFonts w:eastAsia="楷体_GB2312"/>
          <w:b/>
          <w:sz w:val="32"/>
          <w:szCs w:val="32"/>
          <w:lang w:val="zh-CN"/>
        </w:rPr>
        <w:t>（一）评价目的。</w:t>
      </w:r>
      <w:r>
        <w:rPr>
          <w:rFonts w:hint="default" w:ascii="Times New Roman" w:hAnsi="Times New Roman" w:eastAsia="方正仿宋_GBK" w:cs="Times New Roman"/>
          <w:color w:val="auto"/>
          <w:sz w:val="32"/>
          <w:szCs w:val="32"/>
          <w:lang w:val="zh-CN" w:eastAsia="zh-CN"/>
        </w:rPr>
        <w:t>本次绩效自评旨在全面检验“单位开办经费”项目资金使用的经济性、效率性、效益性和规范性。通过系统评价，衡量项目是否达到预期绩效目标，总结项目管理经验，发现资金使用和项目实施过程中存在的问题，为加强财政资金管理、提高预算编制科学性和未来类似项目绩效管理提供依据。</w:t>
      </w:r>
    </w:p>
    <w:p w14:paraId="3A33FC80">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textAlignment w:val="auto"/>
        <w:outlineLvl w:val="9"/>
        <w:rPr>
          <w:rFonts w:hint="eastAsia" w:ascii="Times New Roman" w:hAnsi="Times New Roman" w:eastAsia="方正仿宋_GBK" w:cs="Times New Roman"/>
          <w:color w:val="auto"/>
          <w:sz w:val="32"/>
          <w:szCs w:val="32"/>
          <w:lang w:val="zh-CN" w:eastAsia="zh-CN"/>
        </w:rPr>
      </w:pPr>
      <w:r>
        <w:rPr>
          <w:rFonts w:eastAsia="楷体_GB2312"/>
          <w:b/>
          <w:sz w:val="32"/>
          <w:szCs w:val="32"/>
          <w:lang w:val="zh-CN"/>
        </w:rPr>
        <w:t>（二）预设问题及评价重点。</w:t>
      </w:r>
      <w:r>
        <w:rPr>
          <w:rFonts w:hint="default" w:ascii="Times New Roman" w:hAnsi="Times New Roman" w:eastAsia="方正仿宋_GBK" w:cs="Times New Roman"/>
          <w:color w:val="auto"/>
          <w:sz w:val="32"/>
          <w:szCs w:val="32"/>
          <w:lang w:val="zh-CN" w:eastAsia="zh-CN"/>
        </w:rPr>
        <w:t>预设问题包括：预算编制是否精准、资金使用是否专款专用、采购程序是否规范、设备与装修质量是否达标、项目完成是否及时、是否有效保障单位运转等。评价重点将围绕资金支出全过程及其实施效果，对项目决策、过程管理、产出成果和综合效益进行综合评价</w:t>
      </w:r>
      <w:r>
        <w:rPr>
          <w:rFonts w:hint="eastAsia" w:ascii="Times New Roman" w:hAnsi="Times New Roman" w:eastAsia="方正仿宋_GBK" w:cs="Times New Roman"/>
          <w:color w:val="auto"/>
          <w:sz w:val="32"/>
          <w:szCs w:val="32"/>
          <w:lang w:val="zh-CN" w:eastAsia="zh-CN"/>
        </w:rPr>
        <w:t>。</w:t>
      </w:r>
    </w:p>
    <w:p w14:paraId="39026581">
      <w:pPr>
        <w:adjustRightInd w:val="0"/>
        <w:snapToGrid w:val="0"/>
        <w:spacing w:line="578" w:lineRule="exact"/>
        <w:ind w:firstLine="643" w:firstLineChars="200"/>
        <w:rPr>
          <w:rFonts w:hint="eastAsia" w:ascii="Times New Roman" w:hAnsi="Times New Roman" w:eastAsia="方正仿宋_GBK" w:cs="Times New Roman"/>
          <w:color w:val="auto"/>
          <w:sz w:val="32"/>
          <w:szCs w:val="32"/>
          <w:lang w:val="zh-CN" w:eastAsia="zh-CN"/>
        </w:rPr>
      </w:pPr>
      <w:r>
        <w:rPr>
          <w:rFonts w:eastAsia="楷体_GB2312"/>
          <w:b/>
          <w:sz w:val="32"/>
          <w:szCs w:val="32"/>
          <w:lang w:val="zh-CN"/>
        </w:rPr>
        <w:t>（三）评价选点。</w:t>
      </w:r>
      <w:r>
        <w:rPr>
          <w:rFonts w:hint="default" w:ascii="Times New Roman" w:hAnsi="Times New Roman" w:eastAsia="方正仿宋_GBK" w:cs="Times New Roman"/>
          <w:color w:val="auto"/>
          <w:sz w:val="32"/>
          <w:szCs w:val="32"/>
          <w:lang w:val="zh-CN" w:eastAsia="zh-CN"/>
        </w:rPr>
        <w:t>本项目为一次性拨付至本级单位的开办经费</w:t>
      </w:r>
      <w:r>
        <w:rPr>
          <w:rFonts w:hint="eastAsia" w:ascii="Times New Roman" w:hAnsi="Times New Roman" w:eastAsia="方正仿宋_GBK" w:cs="Times New Roman"/>
          <w:color w:val="auto"/>
          <w:sz w:val="32"/>
          <w:szCs w:val="32"/>
          <w:lang w:val="zh-CN" w:eastAsia="zh-CN"/>
        </w:rPr>
        <w:t>，</w:t>
      </w:r>
      <w:r>
        <w:rPr>
          <w:rFonts w:hint="default" w:ascii="Times New Roman" w:hAnsi="Times New Roman" w:eastAsia="方正仿宋_GBK" w:cs="Times New Roman"/>
          <w:color w:val="auto"/>
          <w:sz w:val="32"/>
          <w:szCs w:val="32"/>
          <w:lang w:val="zh-CN" w:eastAsia="zh-CN"/>
        </w:rPr>
        <w:t>因此，本次评价以项目单位本级为唯一评价点位，进行全面的案卷研究和实地核查，不涉及抽样选点</w:t>
      </w:r>
      <w:r>
        <w:rPr>
          <w:rFonts w:hint="eastAsia" w:ascii="Times New Roman" w:hAnsi="Times New Roman" w:eastAsia="方正仿宋_GBK" w:cs="Times New Roman"/>
          <w:color w:val="auto"/>
          <w:sz w:val="32"/>
          <w:szCs w:val="32"/>
          <w:lang w:val="zh-CN" w:eastAsia="zh-CN"/>
        </w:rPr>
        <w:t>。</w:t>
      </w:r>
    </w:p>
    <w:p w14:paraId="2BDCE069">
      <w:pPr>
        <w:spacing w:line="578" w:lineRule="exact"/>
        <w:ind w:firstLine="640"/>
        <w:rPr>
          <w:rFonts w:hint="eastAsia" w:ascii="Times New Roman" w:hAnsi="Times New Roman" w:eastAsia="方正仿宋_GBK" w:cs="Times New Roman"/>
          <w:color w:val="auto"/>
          <w:sz w:val="32"/>
          <w:szCs w:val="32"/>
          <w:lang w:val="zh-CN" w:eastAsia="zh-CN"/>
        </w:rPr>
      </w:pPr>
      <w:r>
        <w:rPr>
          <w:rFonts w:eastAsia="楷体_GB2312"/>
          <w:b/>
          <w:sz w:val="32"/>
          <w:szCs w:val="32"/>
          <w:lang w:val="zh-CN"/>
        </w:rPr>
        <w:t>（四）评价方法。</w:t>
      </w:r>
      <w:r>
        <w:rPr>
          <w:rFonts w:hint="eastAsia" w:ascii="Times New Roman" w:hAnsi="Times New Roman" w:eastAsia="方正仿宋_GBK" w:cs="Times New Roman"/>
          <w:color w:val="auto"/>
          <w:sz w:val="32"/>
          <w:szCs w:val="32"/>
          <w:lang w:val="zh-CN" w:eastAsia="zh-CN"/>
        </w:rPr>
        <w:t>根据项目情况和评价重点，采取单位自评法对</w:t>
      </w:r>
      <w:r>
        <w:rPr>
          <w:rFonts w:hint="eastAsia" w:ascii="Times New Roman" w:hAnsi="Times New Roman" w:eastAsia="方正仿宋_GBK" w:cs="Times New Roman"/>
          <w:color w:val="auto"/>
          <w:sz w:val="32"/>
          <w:szCs w:val="32"/>
          <w:lang w:val="en-US" w:eastAsia="zh-CN"/>
        </w:rPr>
        <w:t>开办经费</w:t>
      </w:r>
      <w:r>
        <w:rPr>
          <w:rFonts w:hint="eastAsia" w:ascii="Times New Roman" w:hAnsi="Times New Roman" w:eastAsia="方正仿宋_GBK" w:cs="Times New Roman"/>
          <w:color w:val="auto"/>
          <w:sz w:val="32"/>
          <w:szCs w:val="32"/>
          <w:highlight w:val="none"/>
          <w:lang w:val="en-US" w:eastAsia="zh-CN"/>
        </w:rPr>
        <w:t>专项资金</w:t>
      </w:r>
      <w:r>
        <w:rPr>
          <w:rFonts w:hint="eastAsia" w:ascii="Times New Roman" w:hAnsi="Times New Roman" w:eastAsia="方正仿宋_GBK" w:cs="Times New Roman"/>
          <w:color w:val="auto"/>
          <w:sz w:val="32"/>
          <w:szCs w:val="32"/>
          <w:highlight w:val="none"/>
          <w:lang w:val="zh-CN" w:eastAsia="zh-CN"/>
        </w:rPr>
        <w:t>项目开</w:t>
      </w:r>
      <w:r>
        <w:rPr>
          <w:rFonts w:hint="eastAsia" w:ascii="Times New Roman" w:hAnsi="Times New Roman" w:eastAsia="方正仿宋_GBK" w:cs="Times New Roman"/>
          <w:color w:val="auto"/>
          <w:sz w:val="32"/>
          <w:szCs w:val="32"/>
          <w:lang w:val="zh-CN" w:eastAsia="zh-CN"/>
        </w:rPr>
        <w:t>展自评。</w:t>
      </w:r>
    </w:p>
    <w:p w14:paraId="0B95534A">
      <w:pPr>
        <w:spacing w:line="578" w:lineRule="exact"/>
        <w:ind w:firstLine="640"/>
        <w:rPr>
          <w:rFonts w:eastAsia="楷体_GB2312"/>
          <w:b/>
          <w:sz w:val="32"/>
          <w:szCs w:val="32"/>
          <w:lang w:val="zh-CN"/>
        </w:rPr>
      </w:pPr>
      <w:r>
        <w:rPr>
          <w:rFonts w:eastAsia="楷体_GB2312"/>
          <w:b/>
          <w:sz w:val="32"/>
          <w:szCs w:val="32"/>
          <w:lang w:val="zh-CN"/>
        </w:rPr>
        <w:t>（五）评价组织。</w:t>
      </w:r>
    </w:p>
    <w:p w14:paraId="33539DD1">
      <w:pPr>
        <w:spacing w:line="578" w:lineRule="exact"/>
        <w:ind w:firstLine="640"/>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评价组织人员构成和职责分工：</w:t>
      </w:r>
    </w:p>
    <w:p w14:paraId="0C864CB3">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评价小组长：孙权（部长）</w:t>
      </w:r>
    </w:p>
    <w:p w14:paraId="121431E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副组长：毕挺（副部长）</w:t>
      </w:r>
    </w:p>
    <w:p w14:paraId="587F3A2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eastAsia="仿宋_GB2312"/>
          <w:bCs/>
          <w:sz w:val="32"/>
          <w:szCs w:val="32"/>
        </w:rPr>
      </w:pPr>
      <w:r>
        <w:rPr>
          <w:rFonts w:hint="eastAsia" w:ascii="Times New Roman" w:hAnsi="Times New Roman" w:eastAsia="方正仿宋_GBK" w:cs="Times New Roman"/>
          <w:color w:val="auto"/>
          <w:sz w:val="32"/>
          <w:szCs w:val="32"/>
          <w:lang w:val="en-US" w:eastAsia="zh-CN"/>
        </w:rPr>
        <w:t>评价小组成员：郑怡（办公室工作人员）、泽仁当州（办公室工作人员）、杨静（财务室）。财务室负责牵头展开绩效自评，根据专项预算项目绩效评价指标体系中相关指标对评价对象实施自评，形成项目评价表以及自评报告，客观反映项目总体情况、绩效目标完成和实现的各项效益情况，及时发现存在的主要问题，提出工作建议。</w:t>
      </w:r>
    </w:p>
    <w:p w14:paraId="1EDDE8FE">
      <w:pPr>
        <w:adjustRightInd w:val="0"/>
        <w:snapToGrid w:val="0"/>
        <w:spacing w:line="578" w:lineRule="exact"/>
        <w:ind w:firstLine="640" w:firstLineChars="200"/>
        <w:rPr>
          <w:rFonts w:eastAsia="仿宋_GB2312"/>
          <w:sz w:val="32"/>
          <w:szCs w:val="32"/>
          <w:lang w:val="zh-CN"/>
        </w:rPr>
      </w:pPr>
      <w:r>
        <w:rPr>
          <w:rFonts w:eastAsia="黑体"/>
          <w:sz w:val="32"/>
          <w:szCs w:val="32"/>
        </w:rPr>
        <w:t>三、绩效分析</w:t>
      </w:r>
      <w:r>
        <w:rPr>
          <w:rFonts w:eastAsia="仿宋_GB2312"/>
          <w:sz w:val="32"/>
          <w:szCs w:val="32"/>
          <w:lang w:val="zh-CN"/>
        </w:rPr>
        <w:tab/>
      </w:r>
    </w:p>
    <w:p w14:paraId="6E383F2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zh-CN" w:eastAsia="zh-CN"/>
        </w:rPr>
        <w:t>根据项目预算绩效评价指标体系“通用指标”“专用指标”“个性指标”涉及二、三级指标进行逐项绩效分析并评分</w:t>
      </w:r>
      <w:r>
        <w:rPr>
          <w:rFonts w:hint="eastAsia" w:ascii="Times New Roman" w:hAnsi="Times New Roman" w:eastAsia="方正仿宋_GBK" w:cs="Times New Roman"/>
          <w:color w:val="auto"/>
          <w:sz w:val="32"/>
          <w:szCs w:val="32"/>
          <w:lang w:val="en-US" w:eastAsia="zh-CN"/>
        </w:rPr>
        <w:t>。</w:t>
      </w:r>
    </w:p>
    <w:p w14:paraId="3CA69B50">
      <w:pPr>
        <w:spacing w:line="578" w:lineRule="exact"/>
        <w:ind w:firstLine="640"/>
        <w:rPr>
          <w:rFonts w:eastAsia="楷体_GB2312"/>
          <w:b/>
          <w:sz w:val="32"/>
          <w:szCs w:val="32"/>
        </w:rPr>
      </w:pPr>
      <w:r>
        <w:rPr>
          <w:rFonts w:eastAsia="楷体_GB2312"/>
          <w:b/>
          <w:sz w:val="32"/>
          <w:szCs w:val="32"/>
          <w:lang w:val="zh-CN"/>
        </w:rPr>
        <w:t>（一）</w:t>
      </w:r>
      <w:r>
        <w:rPr>
          <w:rFonts w:eastAsia="楷体_GB2312"/>
          <w:b/>
          <w:sz w:val="32"/>
          <w:szCs w:val="32"/>
        </w:rPr>
        <w:t>通用指标</w:t>
      </w:r>
      <w:r>
        <w:rPr>
          <w:rFonts w:eastAsia="楷体_GB2312"/>
          <w:b/>
          <w:bCs/>
          <w:color w:val="000000"/>
          <w:kern w:val="0"/>
          <w:sz w:val="32"/>
          <w:szCs w:val="32"/>
          <w:shd w:val="clear" w:color="auto" w:fill="FFFFFF"/>
          <w:lang w:val="zh-CN"/>
        </w:rPr>
        <w:t>绩效分析。</w:t>
      </w:r>
    </w:p>
    <w:p w14:paraId="1892C79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2"/>
        <w:rPr>
          <w:rFonts w:eastAsia="楷体_GB2312"/>
          <w:sz w:val="32"/>
          <w:szCs w:val="32"/>
        </w:rPr>
      </w:pPr>
      <w:r>
        <w:rPr>
          <w:rFonts w:eastAsia="楷体_GB2312"/>
          <w:sz w:val="32"/>
          <w:szCs w:val="32"/>
        </w:rPr>
        <w:t>1.项目决策。</w:t>
      </w:r>
    </w:p>
    <w:p w14:paraId="467E666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（1）决策程序</w:t>
      </w:r>
    </w:p>
    <w:p w14:paraId="16B188F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项目设立依据充分，符合机构改革和单位成立的客观需要。申报程序规范，经过党组会或相关决策会议集体研究。资金投向明确，严格限定于保障开办的基本支出。综上所述，该指标自评得分6分。</w:t>
      </w:r>
    </w:p>
    <w:p w14:paraId="65D59EF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（2）规划论证</w:t>
      </w:r>
    </w:p>
    <w:p w14:paraId="75E3F2B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单位已制定并执行相应的财务管理制度和采购管理办法。资金为一次性分配，管理责任明确。在项目执行过程中，对资金使用进行了必要的内部监控和审核。综上所述，该指标自评得分6分。</w:t>
      </w:r>
    </w:p>
    <w:p w14:paraId="66226B4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（3）资金投向</w:t>
      </w:r>
    </w:p>
    <w:p w14:paraId="4CBDE6A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项目符合专项设立的基本规范和程序要求，属于公共财政支持范围，符合地方事权支出责任划分原则，与相关部门同类项目或部门内部无相关项目重复。综上所述，该指标自评得分6分。</w:t>
      </w:r>
    </w:p>
    <w:p w14:paraId="4B962FA4">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2"/>
        <w:rPr>
          <w:rFonts w:hint="eastAsia" w:ascii="Times New Roman" w:hAnsi="Times New Roman" w:eastAsia="仿宋_GB2312" w:cs="Times New Roman"/>
          <w:color w:val="auto"/>
          <w:sz w:val="32"/>
          <w:szCs w:val="32"/>
          <w:lang w:eastAsia="zh-CN"/>
        </w:rPr>
      </w:pPr>
      <w:r>
        <w:rPr>
          <w:rFonts w:hint="eastAsia" w:eastAsia="楷体_GB2312"/>
          <w:sz w:val="32"/>
          <w:szCs w:val="32"/>
          <w:lang w:val="en-US" w:eastAsia="zh-CN"/>
        </w:rPr>
        <w:t>2.</w:t>
      </w:r>
      <w:r>
        <w:rPr>
          <w:rFonts w:eastAsia="楷体_GB2312"/>
          <w:sz w:val="32"/>
          <w:szCs w:val="32"/>
        </w:rPr>
        <w:t>项目管理。</w:t>
      </w:r>
    </w:p>
    <w:p w14:paraId="20862CA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（1）制度办法</w:t>
      </w:r>
    </w:p>
    <w:p w14:paraId="5D031499">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单位已制定并执行相应的财务管理制度和采购管理办法。资金为一次性分配，管理责任明确。在项目执行过程中，对资金使用进行了必要的内部监控和审核。综上所述，该指标自评得分2分。</w:t>
      </w:r>
    </w:p>
    <w:p w14:paraId="5E2847DD">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（2）分配管理</w:t>
      </w:r>
    </w:p>
    <w:p w14:paraId="5C6DE86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财政局按照财政要求分配资金，资金分配严格按管理办法执行，决策程序符合管理要求，及时高效。综上所述，该指标自评得分10分。</w:t>
      </w:r>
    </w:p>
    <w:p w14:paraId="3661808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（3）绩效监管</w:t>
      </w:r>
    </w:p>
    <w:p w14:paraId="374D96D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项目按财政要求全面完成绩效目标（含事前评估）、绩效评价、以前年度问题整改等预算绩效管理工作。综上所述，该指标自评得分6分。</w:t>
      </w:r>
    </w:p>
    <w:p w14:paraId="00A9BE5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3.项目实施。</w:t>
      </w:r>
    </w:p>
    <w:p w14:paraId="6DF5DAF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zh-CN" w:eastAsia="zh-CN"/>
        </w:rPr>
      </w:pPr>
      <w:r>
        <w:rPr>
          <w:rFonts w:hint="eastAsia" w:ascii="Times New Roman" w:hAnsi="Times New Roman" w:eastAsia="方正仿宋_GBK" w:cs="Times New Roman"/>
          <w:color w:val="auto"/>
          <w:sz w:val="32"/>
          <w:szCs w:val="32"/>
          <w:lang w:val="en-US" w:eastAsia="zh-CN"/>
        </w:rPr>
        <w:t>（1）预算</w:t>
      </w:r>
      <w:r>
        <w:rPr>
          <w:rFonts w:hint="eastAsia" w:ascii="Times New Roman" w:hAnsi="Times New Roman" w:eastAsia="方正仿宋_GBK" w:cs="Times New Roman"/>
          <w:color w:val="auto"/>
          <w:sz w:val="32"/>
          <w:szCs w:val="32"/>
          <w:lang w:val="zh-CN" w:eastAsia="zh-CN"/>
        </w:rPr>
        <w:t>执行</w:t>
      </w:r>
    </w:p>
    <w:p w14:paraId="78E6F68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 xml:space="preserve">严格按照预算计划进行支出，确保资金使用的精准性和有效性。在预算执行过程中，未出现超预算或资金挪用的情况，所有支出均与开办经费直接相关，体现了预算管理的规范性和严谨性。通过严格的财务审核，预算执行率达到预期目标，为项目的顺利实施提供了坚实的经费保障。综上所述，该指标自评得分6分。 </w:t>
      </w:r>
    </w:p>
    <w:p w14:paraId="095D464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（2）资金使用</w:t>
      </w:r>
    </w:p>
    <w:p w14:paraId="20C0948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eastAsia="仿宋_GB2312"/>
          <w:sz w:val="32"/>
          <w:szCs w:val="32"/>
        </w:rPr>
      </w:pPr>
      <w:r>
        <w:rPr>
          <w:rFonts w:hint="eastAsia" w:ascii="Times New Roman" w:hAnsi="Times New Roman" w:eastAsia="方正仿宋_GBK" w:cs="Times New Roman"/>
          <w:color w:val="auto"/>
          <w:sz w:val="32"/>
          <w:szCs w:val="32"/>
          <w:lang w:val="en-US" w:eastAsia="zh-CN"/>
        </w:rPr>
        <w:t>项目资金管理严格。本单位建立了完善的财务管理制度和专项资金使用流程，确保资金使用的合法性、规范性和透明性。此项目资金支付手续完整，审批程序合规，未发现截留、挪用、超支等情况。综上所述，该指标自评得分3分。</w:t>
      </w:r>
    </w:p>
    <w:p w14:paraId="61EF50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outlineLvl w:val="2"/>
        <w:rPr>
          <w:rFonts w:eastAsia="楷体_GB2312"/>
          <w:sz w:val="32"/>
          <w:szCs w:val="32"/>
        </w:rPr>
      </w:pPr>
      <w:r>
        <w:rPr>
          <w:rFonts w:hint="eastAsia" w:eastAsia="楷体_GB2312"/>
          <w:sz w:val="32"/>
          <w:szCs w:val="32"/>
          <w:lang w:val="en-US" w:eastAsia="zh-CN"/>
        </w:rPr>
        <w:t>4.</w:t>
      </w:r>
      <w:r>
        <w:rPr>
          <w:rFonts w:eastAsia="楷体_GB2312"/>
          <w:sz w:val="32"/>
          <w:szCs w:val="32"/>
        </w:rPr>
        <w:t>项目结果。</w:t>
      </w:r>
    </w:p>
    <w:p w14:paraId="240233C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（1）目标完成</w:t>
      </w:r>
    </w:p>
    <w:p w14:paraId="0813F35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项目基本完成预期目标，实施结果与绩效目标相匹配，综上所述，该指标自评得分6分。</w:t>
      </w:r>
    </w:p>
    <w:p w14:paraId="0D8F845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（2）完成时效</w:t>
      </w:r>
    </w:p>
    <w:p w14:paraId="34EF753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eastAsia="仿宋_GB2312"/>
          <w:sz w:val="32"/>
          <w:szCs w:val="32"/>
        </w:rPr>
      </w:pPr>
      <w:r>
        <w:rPr>
          <w:rFonts w:hint="eastAsia" w:ascii="Times New Roman" w:hAnsi="Times New Roman" w:eastAsia="方正仿宋_GBK" w:cs="Times New Roman"/>
          <w:color w:val="auto"/>
          <w:sz w:val="32"/>
          <w:szCs w:val="32"/>
          <w:lang w:val="en-US" w:eastAsia="zh-CN"/>
        </w:rPr>
        <w:t>项目按照序时进度及时支付，全年预算完成率100%。综上所述，该指标自评得分3分。</w:t>
      </w:r>
    </w:p>
    <w:p w14:paraId="0FBCB046">
      <w:pPr>
        <w:spacing w:line="578" w:lineRule="exact"/>
        <w:ind w:firstLine="643" w:firstLineChars="200"/>
        <w:rPr>
          <w:rFonts w:eastAsia="楷体_GB2312"/>
          <w:sz w:val="32"/>
          <w:szCs w:val="32"/>
          <w:lang w:val="zh-CN"/>
        </w:rPr>
      </w:pPr>
      <w:r>
        <w:rPr>
          <w:rFonts w:eastAsia="楷体_GB2312"/>
          <w:b/>
          <w:sz w:val="32"/>
          <w:szCs w:val="32"/>
          <w:lang w:val="zh-CN"/>
        </w:rPr>
        <w:t>（二）</w:t>
      </w:r>
      <w:r>
        <w:rPr>
          <w:rFonts w:eastAsia="楷体_GB2312"/>
          <w:b/>
          <w:sz w:val="32"/>
          <w:szCs w:val="32"/>
        </w:rPr>
        <w:t>专用指标</w:t>
      </w:r>
      <w:r>
        <w:rPr>
          <w:rFonts w:eastAsia="楷体_GB2312"/>
          <w:b/>
          <w:bCs/>
          <w:color w:val="000000"/>
          <w:kern w:val="0"/>
          <w:sz w:val="32"/>
          <w:szCs w:val="32"/>
          <w:shd w:val="clear" w:color="auto" w:fill="FFFFFF"/>
          <w:lang w:val="zh-CN"/>
        </w:rPr>
        <w:t>绩效分析。</w:t>
      </w:r>
    </w:p>
    <w:p w14:paraId="510DD009">
      <w:pPr>
        <w:spacing w:line="578"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1.产业发展（30分）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432EF7B2">
      <w:pPr>
        <w:spacing w:line="578"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w:t>
      </w:r>
      <w:r>
        <w:rPr>
          <w:rFonts w:hint="eastAsia" w:ascii="楷体_GB2312" w:hAnsi="楷体_GB2312" w:eastAsia="楷体_GB2312" w:cs="楷体_GB2312"/>
          <w:sz w:val="32"/>
          <w:szCs w:val="32"/>
          <w:lang w:val="zh-CN"/>
        </w:rPr>
        <w:t>民生保障</w:t>
      </w:r>
      <w:r>
        <w:rPr>
          <w:rFonts w:hint="eastAsia" w:ascii="楷体_GB2312" w:hAnsi="楷体_GB2312" w:eastAsia="楷体_GB2312" w:cs="楷体_GB2312"/>
          <w:sz w:val="32"/>
          <w:szCs w:val="32"/>
        </w:rPr>
        <w:t>（30分）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7E2B6399">
      <w:pPr>
        <w:spacing w:line="578"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3.基础设施（30分）</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不适用本项目</w:t>
      </w:r>
      <w:r>
        <w:rPr>
          <w:rFonts w:hint="eastAsia" w:ascii="楷体_GB2312" w:hAnsi="楷体_GB2312" w:eastAsia="楷体_GB2312" w:cs="楷体_GB2312"/>
          <w:sz w:val="32"/>
          <w:szCs w:val="32"/>
          <w:lang w:eastAsia="zh-CN"/>
        </w:rPr>
        <w:t>）</w:t>
      </w:r>
    </w:p>
    <w:p w14:paraId="393EF377">
      <w:pPr>
        <w:spacing w:line="578" w:lineRule="exact"/>
        <w:ind w:firstLine="640" w:firstLineChars="200"/>
        <w:rPr>
          <w:rFonts w:eastAsia="仿宋_GB2312"/>
          <w:sz w:val="32"/>
          <w:szCs w:val="32"/>
        </w:rPr>
      </w:pPr>
      <w:r>
        <w:rPr>
          <w:rFonts w:hint="eastAsia" w:ascii="楷体_GB2312" w:hAnsi="楷体_GB2312" w:eastAsia="楷体_GB2312" w:cs="楷体_GB2312"/>
          <w:sz w:val="32"/>
          <w:szCs w:val="32"/>
        </w:rPr>
        <w:t>4.</w:t>
      </w:r>
      <w:r>
        <w:rPr>
          <w:rFonts w:hint="eastAsia" w:ascii="楷体_GB2312" w:hAnsi="楷体_GB2312" w:eastAsia="楷体_GB2312" w:cs="楷体_GB2312"/>
          <w:sz w:val="32"/>
          <w:szCs w:val="32"/>
          <w:lang w:val="zh-CN"/>
        </w:rPr>
        <w:t>行政运转。</w:t>
      </w:r>
      <w:r>
        <w:rPr>
          <w:rFonts w:hint="eastAsia" w:ascii="楷体_GB2312" w:hAnsi="楷体_GB2312" w:eastAsia="楷体_GB2312" w:cs="楷体_GB2312"/>
          <w:sz w:val="32"/>
          <w:szCs w:val="32"/>
        </w:rPr>
        <w:t>（30分）</w:t>
      </w:r>
    </w:p>
    <w:p w14:paraId="0DFAD2F2">
      <w:pPr>
        <w:spacing w:line="578" w:lineRule="exact"/>
        <w:ind w:firstLine="640" w:firstLineChars="200"/>
        <w:rPr>
          <w:rFonts w:hint="eastAsia" w:ascii="Times New Roman" w:hAnsi="Times New Roman" w:eastAsia="方正仿宋_GBK" w:cs="Times New Roman"/>
          <w:color w:val="auto"/>
          <w:sz w:val="32"/>
          <w:szCs w:val="32"/>
          <w:lang w:val="zh-CN" w:eastAsia="zh-CN"/>
        </w:rPr>
      </w:pPr>
      <w:r>
        <w:rPr>
          <w:rFonts w:hint="eastAsia" w:ascii="Times New Roman" w:hAnsi="Times New Roman" w:eastAsia="方正仿宋_GBK" w:cs="Times New Roman"/>
          <w:color w:val="auto"/>
          <w:sz w:val="32"/>
          <w:szCs w:val="32"/>
          <w:lang w:val="zh-CN" w:eastAsia="zh-CN"/>
        </w:rPr>
        <w:t>（</w:t>
      </w:r>
      <w:r>
        <w:rPr>
          <w:rFonts w:hint="eastAsia"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zh-CN" w:eastAsia="zh-CN"/>
        </w:rPr>
        <w:t>）用途合规性。</w:t>
      </w:r>
    </w:p>
    <w:p w14:paraId="5DD065B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color w:val="auto"/>
          <w:sz w:val="32"/>
          <w:szCs w:val="32"/>
          <w:lang w:val="zh-CN" w:eastAsia="zh-CN"/>
        </w:rPr>
        <w:t>经核查，所有资金支出均用于办公设备购置、办公用品采购、场所简易装修、开办初期必要的经费等，与项目设定的支持方向完全一致，未发现用于</w:t>
      </w:r>
      <w:r>
        <w:rPr>
          <w:rFonts w:hint="eastAsia" w:ascii="Times New Roman" w:hAnsi="Times New Roman" w:eastAsia="方正仿宋_GBK" w:cs="Times New Roman"/>
          <w:color w:val="auto"/>
          <w:sz w:val="32"/>
          <w:szCs w:val="32"/>
          <w:lang w:val="en-US" w:eastAsia="zh-CN"/>
        </w:rPr>
        <w:t>其他</w:t>
      </w:r>
      <w:r>
        <w:rPr>
          <w:rFonts w:hint="eastAsia" w:ascii="Times New Roman" w:hAnsi="Times New Roman" w:eastAsia="方正仿宋_GBK" w:cs="Times New Roman"/>
          <w:color w:val="auto"/>
          <w:sz w:val="32"/>
          <w:szCs w:val="32"/>
          <w:lang w:val="zh-CN" w:eastAsia="zh-CN"/>
        </w:rPr>
        <w:t>无关支出</w:t>
      </w:r>
      <w:r>
        <w:rPr>
          <w:rFonts w:hint="eastAsia" w:ascii="Times New Roman" w:hAnsi="Times New Roman" w:eastAsia="方正仿宋_GBK" w:cs="Times New Roman"/>
          <w:color w:val="auto"/>
          <w:sz w:val="32"/>
          <w:szCs w:val="32"/>
          <w:lang w:val="en-US" w:eastAsia="zh-CN"/>
        </w:rPr>
        <w:t>。综上所述，该指标自评得分10分。</w:t>
      </w:r>
    </w:p>
    <w:p w14:paraId="6DD78F68">
      <w:pPr>
        <w:spacing w:line="578" w:lineRule="exact"/>
        <w:ind w:firstLine="640" w:firstLineChars="200"/>
        <w:rPr>
          <w:rFonts w:hint="eastAsia" w:ascii="Times New Roman" w:hAnsi="Times New Roman" w:eastAsia="方正仿宋_GBK" w:cs="Times New Roman"/>
          <w:color w:val="auto"/>
          <w:sz w:val="32"/>
          <w:szCs w:val="32"/>
          <w:lang w:val="zh-CN" w:eastAsia="zh-CN"/>
        </w:rPr>
      </w:pPr>
      <w:r>
        <w:rPr>
          <w:rFonts w:hint="eastAsia" w:ascii="Times New Roman" w:hAnsi="Times New Roman" w:eastAsia="方正仿宋_GBK" w:cs="Times New Roman"/>
          <w:color w:val="auto"/>
          <w:sz w:val="32"/>
          <w:szCs w:val="32"/>
          <w:lang w:val="zh-CN" w:eastAsia="zh-CN"/>
        </w:rPr>
        <w:t>（</w:t>
      </w:r>
      <w:r>
        <w:rPr>
          <w:rFonts w:hint="eastAsia" w:ascii="Times New Roman" w:hAnsi="Times New Roman"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lang w:val="zh-CN" w:eastAsia="zh-CN"/>
        </w:rPr>
        <w:t>）程序合规性。设备购置和装修工程均严格执行政府采购相关规定，履行了需求论证、招标或询价、合同签订、验收等程序。大额支出均经过集体决策，手续齐全，程序规范。</w:t>
      </w:r>
      <w:r>
        <w:rPr>
          <w:rFonts w:hint="eastAsia" w:ascii="Times New Roman" w:hAnsi="Times New Roman" w:eastAsia="方正仿宋_GBK" w:cs="Times New Roman"/>
          <w:color w:val="auto"/>
          <w:sz w:val="32"/>
          <w:szCs w:val="32"/>
          <w:lang w:val="en-US" w:eastAsia="zh-CN"/>
        </w:rPr>
        <w:t>综上所述，该指标自评得分10分。</w:t>
      </w:r>
    </w:p>
    <w:p w14:paraId="30A5C7E4">
      <w:pPr>
        <w:spacing w:line="578" w:lineRule="exact"/>
        <w:ind w:firstLine="640" w:firstLineChars="200"/>
        <w:rPr>
          <w:rFonts w:hint="eastAsia" w:ascii="楷体_GB2312" w:hAnsi="楷体_GB2312" w:eastAsia="楷体_GB2312" w:cs="楷体_GB2312"/>
          <w:sz w:val="32"/>
          <w:szCs w:val="32"/>
        </w:rPr>
      </w:pPr>
      <w:r>
        <w:rPr>
          <w:rFonts w:hint="eastAsia" w:ascii="Times New Roman" w:hAnsi="Times New Roman" w:eastAsia="方正仿宋_GBK" w:cs="Times New Roman"/>
          <w:color w:val="auto"/>
          <w:sz w:val="32"/>
          <w:szCs w:val="32"/>
          <w:lang w:val="zh-CN" w:eastAsia="zh-CN"/>
        </w:rPr>
        <w:t>（</w:t>
      </w:r>
      <w:r>
        <w:rPr>
          <w:rFonts w:hint="eastAsia" w:ascii="Times New Roman" w:hAnsi="Times New Roman" w:eastAsia="方正仿宋_GBK" w:cs="Times New Roman"/>
          <w:color w:val="auto"/>
          <w:sz w:val="32"/>
          <w:szCs w:val="32"/>
          <w:lang w:val="en-US" w:eastAsia="zh-CN"/>
        </w:rPr>
        <w:t>3</w:t>
      </w:r>
      <w:r>
        <w:rPr>
          <w:rFonts w:hint="eastAsia" w:ascii="Times New Roman" w:hAnsi="Times New Roman" w:eastAsia="方正仿宋_GBK" w:cs="Times New Roman"/>
          <w:color w:val="auto"/>
          <w:sz w:val="32"/>
          <w:szCs w:val="32"/>
          <w:lang w:val="zh-CN" w:eastAsia="zh-CN"/>
        </w:rPr>
        <w:t>）标准合规性。所购办公设备型号、价格符合市场行情和国有资产配置标准；装修标准符合简约实用原则，未发现超标配置、豪华装修等情况。</w:t>
      </w:r>
      <w:r>
        <w:rPr>
          <w:rFonts w:hint="eastAsia" w:ascii="Times New Roman" w:hAnsi="Times New Roman" w:eastAsia="方正仿宋_GBK" w:cs="Times New Roman"/>
          <w:color w:val="auto"/>
          <w:sz w:val="32"/>
          <w:szCs w:val="32"/>
          <w:lang w:val="en-US" w:eastAsia="zh-CN"/>
        </w:rPr>
        <w:t>综上所述，该指标自评得分10分。</w:t>
      </w:r>
    </w:p>
    <w:p w14:paraId="7511D599">
      <w:pPr>
        <w:spacing w:line="578" w:lineRule="exact"/>
        <w:ind w:firstLine="643" w:firstLineChars="200"/>
        <w:rPr>
          <w:rFonts w:eastAsia="楷体_GB2312"/>
          <w:b/>
          <w:bCs/>
          <w:color w:val="000000"/>
          <w:kern w:val="0"/>
          <w:sz w:val="32"/>
          <w:szCs w:val="32"/>
          <w:shd w:val="clear" w:color="auto" w:fill="FFFFFF"/>
          <w:lang w:val="zh-CN"/>
        </w:rPr>
      </w:pPr>
      <w:r>
        <w:rPr>
          <w:rFonts w:eastAsia="楷体_GB2312"/>
          <w:b/>
          <w:sz w:val="32"/>
          <w:szCs w:val="32"/>
          <w:lang w:val="zh-CN"/>
        </w:rPr>
        <w:t>（三）</w:t>
      </w:r>
      <w:r>
        <w:rPr>
          <w:rFonts w:eastAsia="楷体_GB2312"/>
          <w:b/>
          <w:sz w:val="32"/>
          <w:szCs w:val="32"/>
        </w:rPr>
        <w:t>个性指标</w:t>
      </w:r>
      <w:r>
        <w:rPr>
          <w:rFonts w:eastAsia="楷体_GB2312"/>
          <w:b/>
          <w:bCs/>
          <w:color w:val="000000"/>
          <w:kern w:val="0"/>
          <w:sz w:val="32"/>
          <w:szCs w:val="32"/>
          <w:shd w:val="clear" w:color="auto" w:fill="FFFFFF"/>
          <w:lang w:val="zh-CN"/>
        </w:rPr>
        <w:t>绩效分析。</w:t>
      </w:r>
    </w:p>
    <w:p w14:paraId="379AF8DB">
      <w:pPr>
        <w:spacing w:line="578" w:lineRule="exact"/>
        <w:ind w:firstLine="640" w:firstLineChars="200"/>
        <w:rPr>
          <w:rFonts w:hint="eastAsia" w:ascii="Times New Roman" w:hAnsi="Times New Roman" w:eastAsia="方正仿宋_GBK" w:cs="Times New Roman"/>
          <w:color w:val="auto"/>
          <w:sz w:val="32"/>
          <w:szCs w:val="32"/>
          <w:lang w:val="zh-CN" w:eastAsia="zh-CN"/>
        </w:rPr>
      </w:pPr>
      <w:r>
        <w:rPr>
          <w:rFonts w:hint="default" w:ascii="Times New Roman" w:hAnsi="Times New Roman" w:eastAsia="方正仿宋_GBK" w:cs="Times New Roman"/>
          <w:color w:val="auto"/>
          <w:sz w:val="32"/>
          <w:szCs w:val="32"/>
          <w:lang w:val="zh-CN" w:eastAsia="zh-CN"/>
        </w:rPr>
        <w:t>办公设备验收合格率（</w:t>
      </w:r>
      <w:r>
        <w:rPr>
          <w:rFonts w:hint="eastAsia"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lang w:val="zh-CN" w:eastAsia="zh-CN"/>
        </w:rPr>
        <w:t>分）：指标值100%。实际所有采购设备均到货验收，质量符合合同要求，运行正常，合格率100%。</w:t>
      </w:r>
      <w:r>
        <w:rPr>
          <w:rFonts w:hint="eastAsia" w:ascii="Times New Roman" w:hAnsi="Times New Roman" w:eastAsia="方正仿宋_GBK" w:cs="Times New Roman"/>
          <w:color w:val="auto"/>
          <w:sz w:val="32"/>
          <w:szCs w:val="32"/>
          <w:lang w:val="en-US" w:eastAsia="zh-CN"/>
        </w:rPr>
        <w:t>综上所述，该指标自评得分8分。</w:t>
      </w:r>
    </w:p>
    <w:p w14:paraId="04B240B5">
      <w:pPr>
        <w:spacing w:line="578" w:lineRule="exact"/>
        <w:ind w:firstLine="640" w:firstLineChars="200"/>
        <w:rPr>
          <w:rFonts w:hint="eastAsia" w:ascii="楷体_GB2312" w:hAnsi="楷体_GB2312" w:eastAsia="楷体_GB2312" w:cs="楷体_GB2312"/>
          <w:sz w:val="32"/>
          <w:szCs w:val="32"/>
        </w:rPr>
      </w:pPr>
      <w:r>
        <w:rPr>
          <w:rFonts w:hint="default" w:ascii="Times New Roman" w:hAnsi="Times New Roman" w:eastAsia="方正仿宋_GBK" w:cs="Times New Roman"/>
          <w:color w:val="auto"/>
          <w:sz w:val="32"/>
          <w:szCs w:val="32"/>
          <w:lang w:val="zh-CN" w:eastAsia="zh-CN"/>
        </w:rPr>
        <w:t>内部员工满意度（</w:t>
      </w:r>
      <w:r>
        <w:rPr>
          <w:rFonts w:hint="eastAsia"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lang w:val="zh-CN" w:eastAsia="zh-CN"/>
        </w:rPr>
        <w:t>分）：指标值≥90%。通过向单位全体员工发放问卷</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zh-CN" w:eastAsia="zh-CN"/>
        </w:rPr>
        <w:t>份，回收有效问卷</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zh-CN" w:eastAsia="zh-CN"/>
        </w:rPr>
        <w:t>份，统计结果显示对现有办公条件、设备使用便利性的综合满意度为</w:t>
      </w:r>
      <w:r>
        <w:rPr>
          <w:rFonts w:hint="eastAsia" w:ascii="Times New Roman" w:hAnsi="Times New Roman" w:eastAsia="方正仿宋_GBK" w:cs="Times New Roman"/>
          <w:color w:val="auto"/>
          <w:sz w:val="32"/>
          <w:szCs w:val="32"/>
          <w:lang w:val="en-US" w:eastAsia="zh-CN"/>
        </w:rPr>
        <w:t>95</w:t>
      </w:r>
      <w:r>
        <w:rPr>
          <w:rFonts w:hint="default" w:ascii="Times New Roman" w:hAnsi="Times New Roman" w:eastAsia="方正仿宋_GBK" w:cs="Times New Roman"/>
          <w:color w:val="auto"/>
          <w:sz w:val="32"/>
          <w:szCs w:val="32"/>
          <w:lang w:val="zh-CN" w:eastAsia="zh-CN"/>
        </w:rPr>
        <w:t>%，达到预期目标。</w:t>
      </w:r>
      <w:r>
        <w:rPr>
          <w:rFonts w:hint="eastAsia" w:ascii="Times New Roman" w:hAnsi="Times New Roman" w:eastAsia="方正仿宋_GBK" w:cs="Times New Roman"/>
          <w:color w:val="auto"/>
          <w:sz w:val="32"/>
          <w:szCs w:val="32"/>
          <w:lang w:val="en-US" w:eastAsia="zh-CN"/>
        </w:rPr>
        <w:t>综上所述，该指标自评得分7分。</w:t>
      </w:r>
    </w:p>
    <w:p w14:paraId="00CF5452">
      <w:pPr>
        <w:spacing w:line="578" w:lineRule="exact"/>
        <w:ind w:firstLine="640" w:firstLineChars="200"/>
        <w:rPr>
          <w:rFonts w:eastAsia="仿宋_GB2312"/>
          <w:sz w:val="32"/>
          <w:szCs w:val="32"/>
        </w:rPr>
      </w:pPr>
      <w:r>
        <w:rPr>
          <w:rFonts w:hint="eastAsia" w:ascii="Times New Roman" w:hAnsi="Times New Roman" w:eastAsia="方正仿宋_GBK" w:cs="Times New Roman"/>
          <w:color w:val="auto"/>
          <w:sz w:val="32"/>
          <w:szCs w:val="32"/>
          <w:lang w:val="en-US" w:eastAsia="zh-CN"/>
        </w:rPr>
        <w:t>综上所述，该指标自评得分共计16分。</w:t>
      </w:r>
    </w:p>
    <w:p w14:paraId="4CA5B555">
      <w:pPr>
        <w:widowControl/>
        <w:spacing w:line="600" w:lineRule="exact"/>
        <w:ind w:firstLine="640" w:firstLineChars="200"/>
        <w:jc w:val="left"/>
        <w:rPr>
          <w:rFonts w:ascii="Times New Roman" w:hAnsi="Times New Roman" w:eastAsia="黑体" w:cs="Times New Roman"/>
          <w:kern w:val="0"/>
          <w:position w:val="3"/>
          <w:sz w:val="32"/>
          <w:szCs w:val="32"/>
          <w:lang w:val="en-US" w:eastAsia="en-US" w:bidi="ar-SA"/>
        </w:rPr>
      </w:pPr>
      <w:r>
        <w:rPr>
          <w:rFonts w:ascii="Times New Roman" w:hAnsi="Times New Roman" w:eastAsia="黑体" w:cs="Times New Roman"/>
          <w:kern w:val="0"/>
          <w:position w:val="3"/>
          <w:sz w:val="32"/>
          <w:szCs w:val="32"/>
          <w:lang w:val="en-US" w:eastAsia="zh-CN" w:bidi="ar-SA"/>
        </w:rPr>
        <w:t>四</w:t>
      </w:r>
      <w:r>
        <w:rPr>
          <w:rFonts w:ascii="Times New Roman" w:hAnsi="Times New Roman" w:eastAsia="黑体" w:cs="Times New Roman"/>
          <w:kern w:val="0"/>
          <w:position w:val="3"/>
          <w:sz w:val="32"/>
          <w:szCs w:val="32"/>
          <w:lang w:val="en-US" w:eastAsia="en-US" w:bidi="ar-SA"/>
        </w:rPr>
        <w:t>、评价结论</w:t>
      </w:r>
    </w:p>
    <w:p w14:paraId="4DCD0371">
      <w:pPr>
        <w:widowControl/>
        <w:spacing w:line="600" w:lineRule="exact"/>
        <w:ind w:firstLine="640" w:firstLineChars="200"/>
        <w:jc w:val="left"/>
        <w:rPr>
          <w:rFonts w:hint="eastAsia" w:ascii="Times New Roman" w:hAnsi="Times New Roman" w:eastAsia="方正仿宋_GBK" w:cs="Times New Roman"/>
          <w:color w:val="auto"/>
          <w:kern w:val="2"/>
          <w:position w:val="0"/>
          <w:sz w:val="32"/>
          <w:szCs w:val="32"/>
          <w:lang w:val="en-US" w:eastAsia="zh-CN" w:bidi="ar-SA"/>
        </w:rPr>
      </w:pPr>
      <w:r>
        <w:rPr>
          <w:rFonts w:hint="eastAsia" w:ascii="Times New Roman" w:hAnsi="Times New Roman" w:eastAsia="方正仿宋_GBK" w:cs="Times New Roman"/>
          <w:color w:val="auto"/>
          <w:kern w:val="2"/>
          <w:position w:val="0"/>
          <w:sz w:val="32"/>
          <w:szCs w:val="32"/>
          <w:lang w:val="en-US" w:eastAsia="zh-CN" w:bidi="ar-SA"/>
        </w:rPr>
        <w:t xml:space="preserve">综合以上分析，本单位“单位开办经费”项目专项预算绩效自评总得分为99分（满分100分），评价等次为“优秀”。项目立项依据充分，决策程序规范；资金管理严格，使用合规高效；按时保质完成了全部开办任务，产出成果符合预期；有效保障了新单位的顺利启动和正常运转，社会效益显著，内部满意度高，全面实现了项目设立的绩效目标。   </w:t>
      </w:r>
    </w:p>
    <w:p w14:paraId="2FC39B62">
      <w:pPr>
        <w:widowControl/>
        <w:spacing w:line="600" w:lineRule="exact"/>
        <w:ind w:firstLine="640" w:firstLineChars="200"/>
        <w:jc w:val="left"/>
        <w:rPr>
          <w:rFonts w:hint="eastAsia" w:ascii="Times New Roman" w:hAnsi="Times New Roman" w:eastAsia="黑体" w:cs="Times New Roman"/>
          <w:kern w:val="0"/>
          <w:position w:val="3"/>
          <w:sz w:val="32"/>
          <w:szCs w:val="32"/>
          <w:lang w:val="en-US" w:eastAsia="zh-CN" w:bidi="ar-SA"/>
        </w:rPr>
      </w:pPr>
      <w:r>
        <w:rPr>
          <w:rFonts w:hint="eastAsia" w:ascii="Times New Roman" w:hAnsi="Times New Roman" w:eastAsia="黑体" w:cs="Times New Roman"/>
          <w:kern w:val="0"/>
          <w:position w:val="3"/>
          <w:sz w:val="32"/>
          <w:szCs w:val="32"/>
          <w:lang w:val="en-US" w:eastAsia="zh-CN" w:bidi="ar-SA"/>
        </w:rPr>
        <w:t>五、存在主要问题</w:t>
      </w:r>
    </w:p>
    <w:p w14:paraId="2B775FBA">
      <w:pPr>
        <w:widowControl/>
        <w:spacing w:line="600" w:lineRule="exact"/>
        <w:ind w:firstLine="640" w:firstLineChars="200"/>
        <w:jc w:val="left"/>
        <w:rPr>
          <w:rFonts w:ascii="Times New Roman" w:hAnsi="Times New Roman" w:eastAsia="黑体" w:cs="Times New Roman"/>
          <w:kern w:val="2"/>
          <w:position w:val="0"/>
          <w:sz w:val="32"/>
          <w:szCs w:val="32"/>
          <w:lang w:val="en-US" w:eastAsia="zh-CN" w:bidi="ar-SA"/>
        </w:rPr>
      </w:pPr>
      <w:r>
        <w:rPr>
          <w:rFonts w:hint="eastAsia" w:ascii="Times New Roman" w:hAnsi="Times New Roman" w:eastAsia="仿宋_GB2312" w:cs="Times New Roman"/>
          <w:kern w:val="0"/>
          <w:position w:val="0"/>
          <w:sz w:val="32"/>
          <w:szCs w:val="32"/>
          <w:lang w:val="en-US" w:eastAsia="zh-CN" w:bidi="ar-SA"/>
        </w:rPr>
        <w:t>无。</w:t>
      </w:r>
    </w:p>
    <w:p w14:paraId="0420BD77">
      <w:pPr>
        <w:widowControl/>
        <w:spacing w:line="600" w:lineRule="exact"/>
        <w:ind w:firstLine="640" w:firstLineChars="200"/>
        <w:jc w:val="left"/>
        <w:rPr>
          <w:rFonts w:ascii="Times New Roman" w:hAnsi="Times New Roman" w:eastAsia="黑体" w:cs="Times New Roman"/>
          <w:kern w:val="0"/>
          <w:position w:val="3"/>
          <w:sz w:val="32"/>
          <w:szCs w:val="32"/>
          <w:lang w:val="zh-CN" w:eastAsia="zh-CN" w:bidi="ar-SA"/>
        </w:rPr>
      </w:pPr>
      <w:r>
        <w:rPr>
          <w:rFonts w:ascii="Times New Roman" w:hAnsi="Times New Roman" w:eastAsia="黑体" w:cs="Times New Roman"/>
          <w:kern w:val="0"/>
          <w:position w:val="3"/>
          <w:sz w:val="32"/>
          <w:szCs w:val="32"/>
          <w:lang w:val="zh-CN" w:eastAsia="zh-CN" w:bidi="ar-SA"/>
        </w:rPr>
        <w:t>六、改进建议</w:t>
      </w:r>
    </w:p>
    <w:p w14:paraId="3DAD05C6">
      <w:pPr>
        <w:tabs>
          <w:tab w:val="left" w:pos="1911"/>
        </w:tabs>
        <w:ind w:firstLine="640"/>
        <w:jc w:val="left"/>
        <w:rPr>
          <w:rFonts w:eastAsia="仿宋_GB2312"/>
          <w:kern w:val="0"/>
          <w:sz w:val="32"/>
          <w:szCs w:val="32"/>
        </w:rPr>
      </w:pPr>
      <w:r>
        <w:rPr>
          <w:rFonts w:hint="eastAsia" w:eastAsia="仿宋_GB2312"/>
          <w:kern w:val="0"/>
          <w:sz w:val="32"/>
          <w:szCs w:val="32"/>
          <w:lang w:val="en-US" w:eastAsia="zh-CN"/>
        </w:rPr>
        <w:t>无</w:t>
      </w:r>
      <w:r>
        <w:rPr>
          <w:rFonts w:eastAsia="仿宋_GB2312"/>
          <w:kern w:val="0"/>
          <w:sz w:val="32"/>
          <w:szCs w:val="32"/>
        </w:rPr>
        <w:t>。</w:t>
      </w:r>
    </w:p>
    <w:p w14:paraId="4FB96A13">
      <w:pPr>
        <w:pStyle w:val="22"/>
        <w:ind w:firstLine="640"/>
        <w:rPr>
          <w:lang w:val="en"/>
        </w:rPr>
      </w:pPr>
    </w:p>
    <w:p w14:paraId="6C5D97A0">
      <w:pPr>
        <w:pStyle w:val="22"/>
        <w:ind w:firstLine="640"/>
        <w:rPr>
          <w:lang w:val="en"/>
        </w:rPr>
      </w:pPr>
    </w:p>
    <w:p w14:paraId="4D4AA6ED">
      <w:pPr>
        <w:pStyle w:val="22"/>
        <w:ind w:firstLine="640"/>
        <w:rPr>
          <w:lang w:val="en"/>
        </w:rPr>
      </w:pPr>
    </w:p>
    <w:p w14:paraId="701AE652">
      <w:pPr>
        <w:pStyle w:val="22"/>
        <w:ind w:firstLine="640"/>
        <w:rPr>
          <w:lang w:val="en"/>
        </w:rPr>
      </w:pPr>
    </w:p>
    <w:p w14:paraId="5D9E0507">
      <w:pPr>
        <w:pStyle w:val="22"/>
        <w:ind w:firstLine="640"/>
        <w:rPr>
          <w:lang w:val="en"/>
        </w:rPr>
      </w:pPr>
    </w:p>
    <w:p w14:paraId="07063108">
      <w:pPr>
        <w:pStyle w:val="22"/>
        <w:ind w:firstLine="640"/>
        <w:rPr>
          <w:lang w:val="en"/>
        </w:rPr>
      </w:pPr>
    </w:p>
    <w:p w14:paraId="698871C6">
      <w:pPr>
        <w:pStyle w:val="22"/>
        <w:ind w:firstLine="640"/>
        <w:rPr>
          <w:lang w:val="en"/>
        </w:rPr>
      </w:pPr>
    </w:p>
    <w:p w14:paraId="7138B1C2">
      <w:pPr>
        <w:pStyle w:val="22"/>
        <w:ind w:firstLine="640"/>
        <w:rPr>
          <w:lang w:val="en"/>
        </w:rPr>
      </w:pPr>
    </w:p>
    <w:p w14:paraId="3306FB2A">
      <w:pPr>
        <w:pStyle w:val="22"/>
        <w:ind w:firstLine="640"/>
        <w:rPr>
          <w:lang w:val="en"/>
        </w:rPr>
      </w:pPr>
    </w:p>
    <w:p w14:paraId="2EDC38A9">
      <w:pPr>
        <w:pStyle w:val="22"/>
        <w:ind w:firstLine="640"/>
        <w:rPr>
          <w:lang w:val="en"/>
        </w:rPr>
      </w:pPr>
    </w:p>
    <w:p w14:paraId="03BDDEAD">
      <w:pPr>
        <w:pStyle w:val="22"/>
        <w:ind w:firstLine="640"/>
        <w:rPr>
          <w:lang w:val="en"/>
        </w:rPr>
      </w:pPr>
    </w:p>
    <w:p w14:paraId="20747B0D">
      <w:pPr>
        <w:pStyle w:val="22"/>
        <w:ind w:firstLine="640"/>
        <w:rPr>
          <w:lang w:val="en"/>
        </w:rPr>
      </w:pPr>
    </w:p>
    <w:p w14:paraId="0A3ED03C">
      <w:pPr>
        <w:pStyle w:val="22"/>
        <w:ind w:firstLine="640"/>
        <w:rPr>
          <w:lang w:val="en"/>
        </w:rPr>
      </w:pPr>
    </w:p>
    <w:p w14:paraId="3710DF7E">
      <w:pPr>
        <w:pStyle w:val="22"/>
        <w:ind w:firstLine="640"/>
        <w:rPr>
          <w:lang w:val="en"/>
        </w:rPr>
      </w:pPr>
    </w:p>
    <w:p w14:paraId="0BE17869">
      <w:pPr>
        <w:pStyle w:val="22"/>
        <w:ind w:firstLine="640"/>
        <w:rPr>
          <w:lang w:val="en"/>
        </w:rPr>
      </w:pPr>
    </w:p>
    <w:p w14:paraId="04AC9B5C">
      <w:pPr>
        <w:pStyle w:val="22"/>
        <w:ind w:firstLine="640"/>
        <w:rPr>
          <w:lang w:val="en"/>
        </w:rPr>
      </w:pPr>
    </w:p>
    <w:tbl>
      <w:tblPr>
        <w:tblStyle w:val="18"/>
        <w:tblW w:w="103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1"/>
        <w:gridCol w:w="1327"/>
        <w:gridCol w:w="1752"/>
        <w:gridCol w:w="2736"/>
        <w:gridCol w:w="1075"/>
        <w:gridCol w:w="546"/>
        <w:gridCol w:w="486"/>
        <w:gridCol w:w="1802"/>
      </w:tblGrid>
      <w:tr w14:paraId="63822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3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F4FC8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239F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ECE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3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EE9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51322125T000013985536-开办经费</w:t>
            </w:r>
          </w:p>
        </w:tc>
      </w:tr>
      <w:tr w14:paraId="12D38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B9F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C9641">
            <w:pPr>
              <w:rPr>
                <w:rFonts w:hint="eastAsia" w:ascii="宋体" w:hAnsi="宋体" w:eastAsia="宋体" w:cs="宋体"/>
                <w:i w:val="0"/>
                <w:iCs w:val="0"/>
                <w:color w:val="000000"/>
                <w:sz w:val="18"/>
                <w:szCs w:val="18"/>
                <w:u w:val="none"/>
              </w:rPr>
            </w:pPr>
          </w:p>
        </w:tc>
        <w:tc>
          <w:tcPr>
            <w:tcW w:w="1079" w:type="dxa"/>
            <w:tcBorders>
              <w:top w:val="nil"/>
              <w:left w:val="nil"/>
              <w:bottom w:val="nil"/>
              <w:right w:val="nil"/>
            </w:tcBorders>
            <w:shd w:val="clear" w:color="auto" w:fill="auto"/>
            <w:vAlign w:val="center"/>
          </w:tcPr>
          <w:p w14:paraId="7E461F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AE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中共汶川县委社会工作部</w:t>
            </w:r>
          </w:p>
        </w:tc>
      </w:tr>
      <w:tr w14:paraId="4A21A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CF6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5C6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060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93D67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B6E4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64804">
            <w:pPr>
              <w:rPr>
                <w:rFonts w:hint="eastAsia" w:ascii="宋体" w:hAnsi="宋体" w:eastAsia="宋体" w:cs="宋体"/>
                <w:i w:val="0"/>
                <w:iCs w:val="0"/>
                <w:color w:val="000000"/>
                <w:sz w:val="18"/>
                <w:szCs w:val="18"/>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5EB3E">
            <w:pPr>
              <w:rPr>
                <w:rFonts w:hint="eastAsia" w:ascii="宋体" w:hAnsi="宋体" w:eastAsia="宋体" w:cs="宋体"/>
                <w:i w:val="0"/>
                <w:iCs w:val="0"/>
                <w:color w:val="000000"/>
                <w:sz w:val="18"/>
                <w:szCs w:val="18"/>
                <w:u w:val="none"/>
              </w:rPr>
            </w:pPr>
          </w:p>
        </w:tc>
        <w:tc>
          <w:tcPr>
            <w:tcW w:w="4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B1F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按要求购买办公用房及办公用品费</w:t>
            </w:r>
          </w:p>
        </w:tc>
        <w:tc>
          <w:tcPr>
            <w:tcW w:w="39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445A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顺利完成年度目标任务</w:t>
            </w:r>
          </w:p>
        </w:tc>
      </w:tr>
      <w:tr w14:paraId="5F3B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07FA8">
            <w:pP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F8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39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5CF9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开办经费，用于办公用房及办公用品费</w:t>
            </w:r>
          </w:p>
        </w:tc>
      </w:tr>
      <w:tr w14:paraId="523A8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0E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C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5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4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C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5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0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B6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B41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C491E">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7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F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B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6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F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E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4AA92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20DC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5B55F">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9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0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E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5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1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A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7C986">
            <w:pPr>
              <w:rPr>
                <w:rFonts w:hint="eastAsia" w:ascii="黑体" w:hAnsi="黑体" w:eastAsia="黑体" w:cs="黑体"/>
                <w:i/>
                <w:iCs/>
                <w:color w:val="000000"/>
                <w:sz w:val="18"/>
                <w:szCs w:val="18"/>
                <w:u w:val="none"/>
              </w:rPr>
            </w:pPr>
          </w:p>
        </w:tc>
      </w:tr>
      <w:tr w14:paraId="6C79E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D6604">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1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3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D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6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E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D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00F4E">
            <w:pPr>
              <w:rPr>
                <w:rFonts w:hint="eastAsia" w:ascii="黑体" w:hAnsi="黑体" w:eastAsia="黑体" w:cs="黑体"/>
                <w:i/>
                <w:iCs/>
                <w:color w:val="000000"/>
                <w:sz w:val="18"/>
                <w:szCs w:val="18"/>
                <w:u w:val="none"/>
              </w:rPr>
            </w:pPr>
          </w:p>
        </w:tc>
      </w:tr>
      <w:tr w14:paraId="17453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15E33">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A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2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3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bookmarkStart w:id="67" w:name="_GoBack"/>
            <w:bookmarkEnd w:id="67"/>
            <w:r>
              <w:rPr>
                <w:rFonts w:ascii="宋体" w:hAnsi="宋体" w:eastAsia="宋体" w:cs="宋体"/>
                <w:i w:val="0"/>
                <w:iCs w:val="0"/>
                <w:color w:val="000000"/>
                <w:kern w:val="0"/>
                <w:sz w:val="18"/>
                <w:szCs w:val="18"/>
                <w:u w:val="none"/>
                <w:lang w:val="en-US" w:eastAsia="zh-CN" w:bidi="ar"/>
              </w:rPr>
              <w:t>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3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9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8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D78E4">
            <w:pPr>
              <w:rPr>
                <w:rFonts w:hint="eastAsia" w:ascii="黑体" w:hAnsi="黑体" w:eastAsia="黑体" w:cs="黑体"/>
                <w:i/>
                <w:iCs/>
                <w:color w:val="000000"/>
                <w:sz w:val="18"/>
                <w:szCs w:val="18"/>
                <w:u w:val="none"/>
              </w:rPr>
            </w:pPr>
          </w:p>
        </w:tc>
      </w:tr>
      <w:tr w14:paraId="70161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61CB0">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2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7712">
            <w:pPr>
              <w:jc w:val="center"/>
              <w:rPr>
                <w:rFonts w:hint="eastAsia" w:ascii="微软雅黑" w:hAnsi="微软雅黑" w:eastAsia="微软雅黑" w:cs="微软雅黑"/>
                <w:i/>
                <w:iCs/>
                <w:color w:val="000000"/>
                <w:sz w:val="16"/>
                <w:szCs w:val="16"/>
                <w:u w:val="none"/>
              </w:rPr>
            </w:pP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D1B9">
            <w:pPr>
              <w:jc w:val="center"/>
              <w:rPr>
                <w:rFonts w:hint="eastAsia" w:ascii="微软雅黑" w:hAnsi="微软雅黑" w:eastAsia="微软雅黑" w:cs="微软雅黑"/>
                <w:i/>
                <w:iCs/>
                <w:color w:val="000000"/>
                <w:sz w:val="16"/>
                <w:szCs w:val="16"/>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AA52">
            <w:pPr>
              <w:jc w:val="center"/>
              <w:rPr>
                <w:rFonts w:hint="eastAsia" w:ascii="微软雅黑" w:hAnsi="微软雅黑" w:eastAsia="微软雅黑" w:cs="微软雅黑"/>
                <w:i/>
                <w:iCs/>
                <w:color w:val="000000"/>
                <w:sz w:val="16"/>
                <w:szCs w:val="16"/>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2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2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5768E">
            <w:pPr>
              <w:rPr>
                <w:rFonts w:hint="eastAsia" w:ascii="黑体" w:hAnsi="黑体" w:eastAsia="黑体" w:cs="黑体"/>
                <w:i/>
                <w:iCs/>
                <w:color w:val="000000"/>
                <w:sz w:val="18"/>
                <w:szCs w:val="18"/>
                <w:u w:val="none"/>
              </w:rPr>
            </w:pPr>
          </w:p>
        </w:tc>
      </w:tr>
      <w:tr w14:paraId="2B6E7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25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0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7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4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C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C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3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5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E09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5E30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0D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3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C2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E77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C1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91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4099">
            <w:pPr>
              <w:jc w:val="center"/>
              <w:rPr>
                <w:rFonts w:hint="eastAsia" w:ascii="宋体" w:hAnsi="宋体" w:eastAsia="宋体" w:cs="宋体"/>
                <w:i w:val="0"/>
                <w:iCs w:val="0"/>
                <w:color w:val="000000"/>
                <w:sz w:val="18"/>
                <w:szCs w:val="18"/>
                <w:u w:val="none"/>
              </w:rPr>
            </w:pPr>
          </w:p>
        </w:tc>
      </w:tr>
      <w:tr w14:paraId="09100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31F1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C7C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E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0F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装修办公地点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A2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78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F62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778C">
            <w:pPr>
              <w:jc w:val="center"/>
              <w:rPr>
                <w:rFonts w:hint="eastAsia" w:ascii="微软雅黑" w:hAnsi="微软雅黑" w:eastAsia="微软雅黑" w:cs="微软雅黑"/>
                <w:i/>
                <w:iCs/>
                <w:color w:val="000000"/>
                <w:sz w:val="16"/>
                <w:szCs w:val="16"/>
                <w:u w:val="none"/>
              </w:rPr>
            </w:pPr>
          </w:p>
        </w:tc>
      </w:tr>
      <w:tr w14:paraId="16647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F88C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AD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3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0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按标准进行办公用房装修及采购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E4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0D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A49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420">
            <w:pPr>
              <w:jc w:val="center"/>
              <w:rPr>
                <w:rFonts w:hint="eastAsia" w:ascii="微软雅黑" w:hAnsi="微软雅黑" w:eastAsia="微软雅黑" w:cs="微软雅黑"/>
                <w:i/>
                <w:iCs/>
                <w:color w:val="000000"/>
                <w:sz w:val="16"/>
                <w:szCs w:val="16"/>
                <w:u w:val="none"/>
              </w:rPr>
            </w:pPr>
          </w:p>
        </w:tc>
      </w:tr>
      <w:tr w14:paraId="3CB28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D3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C8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B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2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办公经费体系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AC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日渐完善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CA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4E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1B2F">
            <w:pPr>
              <w:jc w:val="center"/>
              <w:rPr>
                <w:rFonts w:hint="eastAsia" w:ascii="微软雅黑" w:hAnsi="微软雅黑" w:eastAsia="微软雅黑" w:cs="微软雅黑"/>
                <w:i/>
                <w:iCs/>
                <w:color w:val="000000"/>
                <w:sz w:val="16"/>
                <w:szCs w:val="16"/>
                <w:u w:val="none"/>
              </w:rPr>
            </w:pPr>
          </w:p>
        </w:tc>
      </w:tr>
      <w:tr w14:paraId="08408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D81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215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7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48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确保我部正常运行办公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110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B61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40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61AB">
            <w:pPr>
              <w:jc w:val="center"/>
              <w:rPr>
                <w:rFonts w:hint="eastAsia" w:ascii="微软雅黑" w:hAnsi="微软雅黑" w:eastAsia="微软雅黑" w:cs="微软雅黑"/>
                <w:i/>
                <w:iCs/>
                <w:color w:val="000000"/>
                <w:sz w:val="16"/>
                <w:szCs w:val="16"/>
                <w:u w:val="none"/>
              </w:rPr>
            </w:pPr>
          </w:p>
        </w:tc>
      </w:tr>
      <w:tr w14:paraId="069D7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DB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52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6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755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更好的服务全县社会发展大局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215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21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12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E429">
            <w:pPr>
              <w:jc w:val="center"/>
              <w:rPr>
                <w:rFonts w:hint="eastAsia" w:ascii="微软雅黑" w:hAnsi="微软雅黑" w:eastAsia="微软雅黑" w:cs="微软雅黑"/>
                <w:i/>
                <w:iCs/>
                <w:color w:val="000000"/>
                <w:sz w:val="16"/>
                <w:szCs w:val="16"/>
                <w:u w:val="none"/>
              </w:rPr>
            </w:pPr>
          </w:p>
        </w:tc>
      </w:tr>
      <w:tr w14:paraId="51CA5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6C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2A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7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D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2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支付总额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824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A8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56D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63AB">
            <w:pPr>
              <w:jc w:val="center"/>
              <w:rPr>
                <w:rFonts w:hint="eastAsia" w:ascii="微软雅黑" w:hAnsi="微软雅黑" w:eastAsia="微软雅黑" w:cs="微软雅黑"/>
                <w:i/>
                <w:iCs/>
                <w:color w:val="000000"/>
                <w:sz w:val="16"/>
                <w:szCs w:val="16"/>
                <w:u w:val="none"/>
              </w:rPr>
            </w:pPr>
          </w:p>
        </w:tc>
      </w:tr>
      <w:tr w14:paraId="13829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5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3C7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nil"/>
              <w:left w:val="nil"/>
              <w:bottom w:val="nil"/>
              <w:right w:val="nil"/>
            </w:tcBorders>
            <w:shd w:val="clear" w:color="auto" w:fill="auto"/>
            <w:noWrap/>
            <w:vAlign w:val="center"/>
          </w:tcPr>
          <w:p w14:paraId="7ABCE8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8554">
            <w:pP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100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0E45">
            <w:pPr>
              <w:rPr>
                <w:rFonts w:hint="eastAsia" w:ascii="宋体" w:hAnsi="宋体" w:eastAsia="宋体" w:cs="宋体"/>
                <w:i w:val="0"/>
                <w:iCs w:val="0"/>
                <w:color w:val="000000"/>
                <w:sz w:val="18"/>
                <w:szCs w:val="18"/>
                <w:u w:val="none"/>
              </w:rPr>
            </w:pPr>
          </w:p>
        </w:tc>
      </w:tr>
      <w:tr w14:paraId="46478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0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72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56171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100%完成相关经费支出，项目自评100分。</w:t>
            </w:r>
          </w:p>
        </w:tc>
      </w:tr>
      <w:tr w14:paraId="3A17A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C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72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F457F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B9B6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6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72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CD0D2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bl>
    <w:p w14:paraId="669C3EC4">
      <w:pPr>
        <w:pStyle w:val="22"/>
        <w:rPr>
          <w:rStyle w:val="24"/>
          <w:rFonts w:hint="eastAsia" w:ascii="微软雅黑" w:eastAsia="微软雅黑" w:cs="微软雅黑"/>
          <w:b w:val="0"/>
        </w:rPr>
      </w:pPr>
    </w:p>
    <w:p w14:paraId="499F0260">
      <w:pPr>
        <w:spacing w:line="576" w:lineRule="exact"/>
        <w:jc w:val="center"/>
        <w:outlineLvl w:val="0"/>
        <w:rPr>
          <w:rStyle w:val="24"/>
          <w:rFonts w:ascii="微软雅黑" w:eastAsia="微软雅黑" w:cs="微软雅黑"/>
          <w:b w:val="0"/>
        </w:rPr>
      </w:pPr>
      <w:r>
        <w:rPr>
          <w:rStyle w:val="24"/>
          <w:rFonts w:hint="eastAsia" w:ascii="微软雅黑" w:eastAsia="微软雅黑" w:cs="微软雅黑"/>
          <w:b w:val="0"/>
        </w:rPr>
        <w:t>第五部分附表</w:t>
      </w:r>
      <w:bookmarkEnd w:id="49"/>
      <w:bookmarkEnd w:id="50"/>
      <w:bookmarkStart w:id="54" w:name="_Toc15396619"/>
    </w:p>
    <w:p w14:paraId="63BDE446">
      <w:pPr>
        <w:spacing w:line="576" w:lineRule="exact"/>
        <w:ind w:firstLine="640" w:firstLineChars="200"/>
        <w:outlineLvl w:val="0"/>
        <w:rPr>
          <w:rStyle w:val="25"/>
          <w:rFonts w:ascii="黑体" w:eastAsia="黑体" w:cs="黑体"/>
          <w:b w:val="0"/>
          <w:bCs w:val="0"/>
        </w:rPr>
      </w:pPr>
    </w:p>
    <w:p w14:paraId="7E169DC8">
      <w:pPr>
        <w:spacing w:line="576" w:lineRule="exact"/>
        <w:ind w:firstLine="640" w:firstLineChars="200"/>
        <w:outlineLvl w:val="0"/>
        <w:rPr>
          <w:rStyle w:val="25"/>
          <w:rFonts w:ascii="黑体" w:eastAsia="黑体" w:cs="黑体"/>
          <w:b w:val="0"/>
          <w:bCs w:val="0"/>
        </w:rPr>
      </w:pPr>
      <w:r>
        <w:rPr>
          <w:rStyle w:val="25"/>
          <w:rFonts w:hint="eastAsia" w:ascii="黑体" w:eastAsia="黑体" w:cs="黑体"/>
          <w:b w:val="0"/>
          <w:bCs w:val="0"/>
        </w:rPr>
        <w:t>一、收入支出决算总表</w:t>
      </w:r>
      <w:bookmarkEnd w:id="54"/>
    </w:p>
    <w:p w14:paraId="74949421">
      <w:pPr>
        <w:pStyle w:val="3"/>
        <w:spacing w:before="0" w:after="0" w:line="576" w:lineRule="exact"/>
        <w:ind w:firstLine="640" w:firstLineChars="200"/>
        <w:rPr>
          <w:rFonts w:ascii="黑体" w:eastAsia="黑体" w:cs="黑体"/>
        </w:rPr>
      </w:pPr>
      <w:bookmarkStart w:id="55" w:name="_Toc15396620"/>
      <w:r>
        <w:rPr>
          <w:rFonts w:hint="eastAsia" w:ascii="黑体" w:eastAsia="黑体" w:cs="黑体"/>
          <w:b w:val="0"/>
        </w:rPr>
        <w:t>二、收</w:t>
      </w:r>
      <w:r>
        <w:rPr>
          <w:rStyle w:val="25"/>
          <w:rFonts w:hint="eastAsia" w:ascii="黑体" w:eastAsia="黑体" w:cs="黑体"/>
          <w:b w:val="0"/>
          <w:bCs w:val="0"/>
        </w:rPr>
        <w:t>入决算表</w:t>
      </w:r>
      <w:bookmarkEnd w:id="55"/>
    </w:p>
    <w:p w14:paraId="36F5FD81">
      <w:pPr>
        <w:pStyle w:val="3"/>
        <w:spacing w:before="0" w:after="0" w:line="576" w:lineRule="exact"/>
        <w:ind w:firstLine="640" w:firstLineChars="200"/>
        <w:rPr>
          <w:rFonts w:ascii="黑体" w:eastAsia="黑体" w:cs="黑体"/>
        </w:rPr>
      </w:pPr>
      <w:bookmarkStart w:id="56" w:name="_Toc15396621"/>
      <w:r>
        <w:rPr>
          <w:rStyle w:val="25"/>
          <w:rFonts w:hint="eastAsia" w:ascii="黑体" w:eastAsia="黑体" w:cs="黑体"/>
          <w:b w:val="0"/>
          <w:bCs w:val="0"/>
        </w:rPr>
        <w:t>三、</w:t>
      </w:r>
      <w:r>
        <w:rPr>
          <w:rFonts w:hint="eastAsia" w:ascii="黑体" w:eastAsia="黑体" w:cs="黑体"/>
          <w:b w:val="0"/>
        </w:rPr>
        <w:t>支</w:t>
      </w:r>
      <w:r>
        <w:rPr>
          <w:rStyle w:val="25"/>
          <w:rFonts w:hint="eastAsia" w:ascii="黑体" w:eastAsia="黑体" w:cs="黑体"/>
          <w:b w:val="0"/>
          <w:bCs w:val="0"/>
        </w:rPr>
        <w:t>出决算表</w:t>
      </w:r>
      <w:bookmarkEnd w:id="56"/>
    </w:p>
    <w:p w14:paraId="3A8F2ED1">
      <w:pPr>
        <w:pStyle w:val="3"/>
        <w:spacing w:before="0" w:after="0" w:line="576" w:lineRule="exact"/>
        <w:ind w:firstLine="640" w:firstLineChars="200"/>
        <w:rPr>
          <w:rFonts w:ascii="黑体" w:eastAsia="黑体" w:cs="黑体"/>
          <w:b w:val="0"/>
        </w:rPr>
      </w:pPr>
      <w:bookmarkStart w:id="57" w:name="_Toc15396622"/>
      <w:r>
        <w:rPr>
          <w:rStyle w:val="25"/>
          <w:rFonts w:hint="eastAsia" w:ascii="黑体" w:eastAsia="黑体" w:cs="黑体"/>
          <w:b w:val="0"/>
          <w:bCs w:val="0"/>
        </w:rPr>
        <w:t>四、</w:t>
      </w:r>
      <w:r>
        <w:rPr>
          <w:rFonts w:hint="eastAsia" w:ascii="黑体" w:eastAsia="黑体" w:cs="黑体"/>
          <w:b w:val="0"/>
        </w:rPr>
        <w:t>财</w:t>
      </w:r>
      <w:r>
        <w:rPr>
          <w:rStyle w:val="25"/>
          <w:rFonts w:hint="eastAsia" w:ascii="黑体" w:eastAsia="黑体" w:cs="黑体"/>
          <w:b w:val="0"/>
          <w:bCs w:val="0"/>
        </w:rPr>
        <w:t>政拨款收入支出决算总表</w:t>
      </w:r>
      <w:bookmarkEnd w:id="57"/>
    </w:p>
    <w:p w14:paraId="4983C2E6">
      <w:pPr>
        <w:pStyle w:val="3"/>
        <w:spacing w:before="0" w:after="0" w:line="576" w:lineRule="exact"/>
        <w:ind w:firstLine="640" w:firstLineChars="200"/>
        <w:rPr>
          <w:rStyle w:val="25"/>
          <w:rFonts w:ascii="黑体" w:eastAsia="黑体" w:cs="黑体"/>
          <w:b w:val="0"/>
          <w:bCs w:val="0"/>
        </w:rPr>
      </w:pPr>
      <w:bookmarkStart w:id="58" w:name="_Toc15396623"/>
      <w:r>
        <w:rPr>
          <w:rStyle w:val="25"/>
          <w:rFonts w:hint="eastAsia" w:ascii="黑体" w:eastAsia="黑体" w:cs="黑体"/>
          <w:b w:val="0"/>
          <w:bCs w:val="0"/>
        </w:rPr>
        <w:t>五、</w:t>
      </w:r>
      <w:r>
        <w:rPr>
          <w:rFonts w:hint="eastAsia" w:ascii="黑体" w:eastAsia="黑体" w:cs="黑体"/>
          <w:b w:val="0"/>
        </w:rPr>
        <w:t>财</w:t>
      </w:r>
      <w:r>
        <w:rPr>
          <w:rStyle w:val="25"/>
          <w:rFonts w:hint="eastAsia" w:ascii="黑体" w:eastAsia="黑体" w:cs="黑体"/>
          <w:b w:val="0"/>
          <w:bCs w:val="0"/>
        </w:rPr>
        <w:t>政拨款支出决算明细表</w:t>
      </w:r>
      <w:bookmarkEnd w:id="58"/>
      <w:bookmarkStart w:id="59" w:name="_Toc15396624"/>
    </w:p>
    <w:p w14:paraId="7FD5D60A">
      <w:pPr>
        <w:pStyle w:val="3"/>
        <w:spacing w:before="0" w:after="0" w:line="576" w:lineRule="exact"/>
        <w:ind w:firstLine="640" w:firstLineChars="200"/>
        <w:rPr>
          <w:rFonts w:ascii="黑体" w:eastAsia="黑体" w:cs="黑体"/>
        </w:rPr>
      </w:pPr>
      <w:r>
        <w:rPr>
          <w:rStyle w:val="25"/>
          <w:rFonts w:hint="eastAsia" w:ascii="黑体" w:eastAsia="黑体" w:cs="黑体"/>
          <w:b w:val="0"/>
          <w:bCs w:val="0"/>
        </w:rPr>
        <w:t>六、</w:t>
      </w:r>
      <w:r>
        <w:rPr>
          <w:rFonts w:hint="eastAsia" w:ascii="黑体" w:eastAsia="黑体" w:cs="黑体"/>
          <w:b w:val="0"/>
        </w:rPr>
        <w:t>一</w:t>
      </w:r>
      <w:r>
        <w:rPr>
          <w:rStyle w:val="25"/>
          <w:rFonts w:hint="eastAsia" w:ascii="黑体" w:eastAsia="黑体" w:cs="黑体"/>
          <w:b w:val="0"/>
          <w:bCs w:val="0"/>
        </w:rPr>
        <w:t>般公共预算财政拨款支出决算表</w:t>
      </w:r>
      <w:bookmarkEnd w:id="59"/>
    </w:p>
    <w:p w14:paraId="4F1F7834">
      <w:pPr>
        <w:pStyle w:val="3"/>
        <w:spacing w:before="0" w:after="0" w:line="576" w:lineRule="exact"/>
        <w:ind w:firstLine="640" w:firstLineChars="200"/>
        <w:rPr>
          <w:rFonts w:ascii="黑体" w:eastAsia="黑体" w:cs="黑体"/>
        </w:rPr>
      </w:pPr>
      <w:bookmarkStart w:id="60" w:name="_Toc15396625"/>
      <w:r>
        <w:rPr>
          <w:rStyle w:val="25"/>
          <w:rFonts w:hint="eastAsia" w:ascii="黑体" w:eastAsia="黑体" w:cs="黑体"/>
          <w:b w:val="0"/>
          <w:bCs w:val="0"/>
        </w:rPr>
        <w:t>七、</w:t>
      </w:r>
      <w:r>
        <w:rPr>
          <w:rFonts w:hint="eastAsia" w:ascii="黑体" w:eastAsia="黑体" w:cs="黑体"/>
          <w:b w:val="0"/>
        </w:rPr>
        <w:t>一</w:t>
      </w:r>
      <w:r>
        <w:rPr>
          <w:rStyle w:val="25"/>
          <w:rFonts w:hint="eastAsia" w:ascii="黑体" w:eastAsia="黑体" w:cs="黑体"/>
          <w:b w:val="0"/>
          <w:bCs w:val="0"/>
        </w:rPr>
        <w:t>般公共预算财政拨款支出决算明细表</w:t>
      </w:r>
      <w:bookmarkEnd w:id="60"/>
    </w:p>
    <w:p w14:paraId="6141AC73">
      <w:pPr>
        <w:pStyle w:val="3"/>
        <w:spacing w:before="0" w:after="0" w:line="576" w:lineRule="exact"/>
        <w:ind w:firstLine="640" w:firstLineChars="200"/>
        <w:rPr>
          <w:rFonts w:ascii="黑体" w:eastAsia="黑体" w:cs="黑体"/>
        </w:rPr>
      </w:pPr>
      <w:bookmarkStart w:id="61" w:name="_Toc15396626"/>
      <w:r>
        <w:rPr>
          <w:rStyle w:val="25"/>
          <w:rFonts w:hint="eastAsia" w:ascii="黑体" w:eastAsia="黑体" w:cs="黑体"/>
          <w:b w:val="0"/>
          <w:bCs w:val="0"/>
        </w:rPr>
        <w:t>八、</w:t>
      </w:r>
      <w:r>
        <w:rPr>
          <w:rFonts w:hint="eastAsia" w:ascii="黑体" w:eastAsia="黑体" w:cs="黑体"/>
          <w:b w:val="0"/>
        </w:rPr>
        <w:t>一</w:t>
      </w:r>
      <w:r>
        <w:rPr>
          <w:rStyle w:val="25"/>
          <w:rFonts w:hint="eastAsia" w:ascii="黑体" w:eastAsia="黑体" w:cs="黑体"/>
          <w:b w:val="0"/>
          <w:bCs w:val="0"/>
        </w:rPr>
        <w:t>般公共预算财政拨款基本支出决算表</w:t>
      </w:r>
      <w:bookmarkEnd w:id="61"/>
    </w:p>
    <w:p w14:paraId="079EDFB4">
      <w:pPr>
        <w:pStyle w:val="3"/>
        <w:spacing w:before="0" w:after="0" w:line="576" w:lineRule="exact"/>
        <w:ind w:firstLine="640" w:firstLineChars="200"/>
        <w:rPr>
          <w:rFonts w:ascii="黑体" w:eastAsia="黑体" w:cs="黑体"/>
        </w:rPr>
      </w:pPr>
      <w:bookmarkStart w:id="62" w:name="_Toc15396627"/>
      <w:r>
        <w:rPr>
          <w:rStyle w:val="25"/>
          <w:rFonts w:hint="eastAsia" w:ascii="黑体" w:eastAsia="黑体" w:cs="黑体"/>
          <w:b w:val="0"/>
          <w:bCs w:val="0"/>
        </w:rPr>
        <w:t>九、</w:t>
      </w:r>
      <w:r>
        <w:rPr>
          <w:rFonts w:hint="eastAsia" w:ascii="黑体" w:eastAsia="黑体" w:cs="黑体"/>
          <w:b w:val="0"/>
        </w:rPr>
        <w:t>一</w:t>
      </w:r>
      <w:r>
        <w:rPr>
          <w:rStyle w:val="25"/>
          <w:rFonts w:hint="eastAsia" w:ascii="黑体" w:eastAsia="黑体" w:cs="黑体"/>
          <w:b w:val="0"/>
          <w:bCs w:val="0"/>
        </w:rPr>
        <w:t>般公共预算财政拨款项目支出决算表</w:t>
      </w:r>
      <w:bookmarkEnd w:id="62"/>
    </w:p>
    <w:p w14:paraId="3DBD592D">
      <w:pPr>
        <w:pStyle w:val="3"/>
        <w:spacing w:before="0" w:after="0" w:line="576" w:lineRule="exact"/>
        <w:ind w:firstLine="640" w:firstLineChars="200"/>
        <w:rPr>
          <w:rFonts w:ascii="黑体" w:eastAsia="黑体" w:cs="黑体"/>
        </w:rPr>
      </w:pPr>
      <w:bookmarkStart w:id="63" w:name="_Toc15396628"/>
      <w:r>
        <w:rPr>
          <w:rStyle w:val="25"/>
          <w:rFonts w:hint="eastAsia" w:ascii="黑体" w:eastAsia="黑体" w:cs="黑体"/>
          <w:b w:val="0"/>
          <w:bCs w:val="0"/>
        </w:rPr>
        <w:t>十、</w:t>
      </w:r>
      <w:bookmarkEnd w:id="63"/>
      <w:r>
        <w:rPr>
          <w:rFonts w:hint="eastAsia" w:ascii="黑体" w:eastAsia="黑体" w:cs="黑体"/>
          <w:b w:val="0"/>
        </w:rPr>
        <w:t>政</w:t>
      </w:r>
      <w:r>
        <w:rPr>
          <w:rStyle w:val="25"/>
          <w:rFonts w:hint="eastAsia" w:ascii="黑体" w:eastAsia="黑体" w:cs="黑体"/>
          <w:b w:val="0"/>
          <w:bCs w:val="0"/>
        </w:rPr>
        <w:t>府性基金预算财政拨款收入支出决算表</w:t>
      </w:r>
    </w:p>
    <w:p w14:paraId="304F3B10">
      <w:pPr>
        <w:pStyle w:val="3"/>
        <w:spacing w:before="0" w:after="0" w:line="576" w:lineRule="exact"/>
        <w:ind w:firstLine="640" w:firstLineChars="200"/>
        <w:rPr>
          <w:rFonts w:ascii="黑体" w:eastAsia="黑体" w:cs="黑体"/>
        </w:rPr>
      </w:pPr>
      <w:bookmarkStart w:id="64" w:name="_Toc15396629"/>
      <w:r>
        <w:rPr>
          <w:rStyle w:val="25"/>
          <w:rFonts w:hint="eastAsia" w:ascii="黑体" w:eastAsia="黑体" w:cs="黑体"/>
          <w:b w:val="0"/>
          <w:bCs w:val="0"/>
        </w:rPr>
        <w:t>十一、</w:t>
      </w:r>
      <w:bookmarkEnd w:id="64"/>
      <w:r>
        <w:rPr>
          <w:rFonts w:hint="eastAsia" w:ascii="黑体" w:eastAsia="黑体" w:cs="黑体"/>
          <w:b w:val="0"/>
        </w:rPr>
        <w:t>国</w:t>
      </w:r>
      <w:r>
        <w:rPr>
          <w:rStyle w:val="25"/>
          <w:rFonts w:hint="eastAsia" w:ascii="黑体" w:eastAsia="黑体" w:cs="黑体"/>
          <w:b w:val="0"/>
          <w:bCs w:val="0"/>
        </w:rPr>
        <w:t>有资本经营预算财政拨款收入支出决算表</w:t>
      </w:r>
    </w:p>
    <w:p w14:paraId="6D42DB2C">
      <w:pPr>
        <w:pStyle w:val="3"/>
        <w:spacing w:before="0" w:after="0" w:line="576" w:lineRule="exact"/>
        <w:ind w:firstLine="640" w:firstLineChars="200"/>
        <w:rPr>
          <w:rFonts w:ascii="黑体" w:eastAsia="黑体" w:cs="黑体"/>
        </w:rPr>
      </w:pPr>
      <w:bookmarkStart w:id="65" w:name="_Toc15396630"/>
      <w:r>
        <w:rPr>
          <w:rStyle w:val="25"/>
          <w:rFonts w:hint="eastAsia" w:ascii="黑体" w:eastAsia="黑体" w:cs="黑体"/>
          <w:b w:val="0"/>
          <w:bCs w:val="0"/>
        </w:rPr>
        <w:t>十二、</w:t>
      </w:r>
      <w:bookmarkEnd w:id="65"/>
      <w:r>
        <w:rPr>
          <w:rStyle w:val="25"/>
          <w:rFonts w:hint="eastAsia" w:ascii="黑体" w:eastAsia="黑体" w:cs="黑体"/>
          <w:b w:val="0"/>
          <w:bCs w:val="0"/>
        </w:rPr>
        <w:t>国有资本经营预算财政拨款支出决算表</w:t>
      </w:r>
    </w:p>
    <w:p w14:paraId="74A09C96">
      <w:pPr>
        <w:pStyle w:val="3"/>
        <w:spacing w:before="0" w:after="0" w:line="576" w:lineRule="exact"/>
        <w:ind w:firstLine="640" w:firstLineChars="200"/>
        <w:rPr>
          <w:rFonts w:ascii="黑体" w:eastAsia="黑体" w:cs="黑体"/>
        </w:rPr>
      </w:pPr>
      <w:bookmarkStart w:id="66" w:name="_Toc15396631"/>
      <w:r>
        <w:rPr>
          <w:rStyle w:val="25"/>
          <w:rFonts w:hint="eastAsia" w:ascii="黑体" w:eastAsia="黑体" w:cs="黑体"/>
          <w:b w:val="0"/>
          <w:bCs w:val="0"/>
        </w:rPr>
        <w:t>十三、</w:t>
      </w:r>
      <w:bookmarkEnd w:id="66"/>
      <w:r>
        <w:rPr>
          <w:rStyle w:val="25"/>
          <w:rFonts w:hint="eastAsia" w:ascii="黑体" w:eastAsia="黑体" w:cs="黑体"/>
          <w:b w:val="0"/>
          <w:bCs w:val="0"/>
        </w:rPr>
        <w:t>财政拨款“三公”经费支出决算表</w:t>
      </w:r>
    </w:p>
    <w:sectPr>
      <w:footerReference r:id="rId5" w:type="first"/>
      <w:headerReference r:id="rId3" w:type="default"/>
      <w:footerReference r:id="rId4" w:type="default"/>
      <w:pgSz w:w="11906" w:h="16838"/>
      <w:pgMar w:top="1440" w:right="1800" w:bottom="1440" w:left="1800" w:header="851" w:footer="992" w:gutter="0"/>
      <w:pgNumType w:fmt="numberInDash" w:start="1"/>
      <w:cols w:space="720" w:num="1"/>
      <w:titlePg/>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FE8A50F-8CE9-4B4B-B300-A1464D819164}"/>
  </w:font>
  <w:font w:name="黑体">
    <w:panose1 w:val="02010609060101010101"/>
    <w:charset w:val="86"/>
    <w:family w:val="auto"/>
    <w:pitch w:val="default"/>
    <w:sig w:usb0="800002BF" w:usb1="38CF7CFA" w:usb2="00000016" w:usb3="00000000" w:csb0="00040001" w:csb1="00000000"/>
    <w:embedRegular r:id="rId2" w:fontKey="{9F97D198-3CD7-4A06-81B8-6EB624F936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90A5BE7-FD9D-42F6-9E68-4465D555C534}"/>
  </w:font>
  <w:font w:name="Cambria">
    <w:panose1 w:val="02040503050406030204"/>
    <w:charset w:val="00"/>
    <w:family w:val="roman"/>
    <w:pitch w:val="default"/>
    <w:sig w:usb0="E00006FF" w:usb1="420024FF" w:usb2="02000000" w:usb3="00000000" w:csb0="2000019F" w:csb1="00000000"/>
    <w:embedRegular r:id="rId4" w:fontKey="{71EA9F69-460D-4EE7-B111-E5BB88AB6B1A}"/>
  </w:font>
  <w:font w:name="仿宋_GB2312">
    <w:panose1 w:val="02010609030101010101"/>
    <w:charset w:val="86"/>
    <w:family w:val="modern"/>
    <w:pitch w:val="default"/>
    <w:sig w:usb0="00000001" w:usb1="080E0000" w:usb2="00000000" w:usb3="00000000" w:csb0="00040000" w:csb1="00000000"/>
    <w:embedRegular r:id="rId5" w:fontKey="{61196EBF-6B10-47B7-A427-E2D1859F25AE}"/>
  </w:font>
  <w:font w:name="仿宋">
    <w:panose1 w:val="02010609060101010101"/>
    <w:charset w:val="86"/>
    <w:family w:val="modern"/>
    <w:pitch w:val="default"/>
    <w:sig w:usb0="800002BF" w:usb1="38CF7CFA" w:usb2="00000016" w:usb3="00000000" w:csb0="00040001" w:csb1="00000000"/>
    <w:embedRegular r:id="rId6" w:fontKey="{3801658C-60B5-4683-AF21-BC40096E58F4}"/>
  </w:font>
  <w:font w:name="??">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微软雅黑">
    <w:panose1 w:val="020B0503020204020204"/>
    <w:charset w:val="86"/>
    <w:family w:val="swiss"/>
    <w:pitch w:val="default"/>
    <w:sig w:usb0="80000287" w:usb1="2ACF3C50" w:usb2="00000016" w:usb3="00000000" w:csb0="0004001F" w:csb1="00000000"/>
    <w:embedRegular r:id="rId7" w:fontKey="{BB75C66C-F2EC-42A4-8E66-F90894C5483F}"/>
  </w:font>
  <w:font w:name="方正小标宋简体">
    <w:panose1 w:val="03000509000000000000"/>
    <w:charset w:val="86"/>
    <w:family w:val="script"/>
    <w:pitch w:val="default"/>
    <w:sig w:usb0="00000001" w:usb1="080E0000" w:usb2="00000000" w:usb3="00000000" w:csb0="00040000" w:csb1="00000000"/>
    <w:embedRegular r:id="rId8" w:fontKey="{80C09E1C-3355-45C0-BE5D-DEE5BDD47889}"/>
  </w:font>
  <w:font w:name="方正仿宋_GBK">
    <w:panose1 w:val="02000000000000000000"/>
    <w:charset w:val="86"/>
    <w:family w:val="auto"/>
    <w:pitch w:val="default"/>
    <w:sig w:usb0="00000001" w:usb1="080E0000" w:usb2="00000000" w:usb3="00000000" w:csb0="00040000" w:csb1="00000000"/>
    <w:embedRegular r:id="rId9" w:fontKey="{EFAEFD85-3EAA-4F48-AE87-2220707C85DD}"/>
  </w:font>
  <w:font w:name="楷体">
    <w:panose1 w:val="02010609060101010101"/>
    <w:charset w:val="86"/>
    <w:family w:val="modern"/>
    <w:pitch w:val="default"/>
    <w:sig w:usb0="800002BF" w:usb1="38CF7CFA" w:usb2="00000016" w:usb3="00000000" w:csb0="00040001" w:csb1="00000000"/>
    <w:embedRegular r:id="rId10" w:fontKey="{5A6003AB-EF24-4F00-A439-408583CCFB66}"/>
  </w:font>
  <w:font w:name="楷体_GB2312">
    <w:panose1 w:val="02010609030101010101"/>
    <w:charset w:val="86"/>
    <w:family w:val="auto"/>
    <w:pitch w:val="default"/>
    <w:sig w:usb0="00000001" w:usb1="080E0000" w:usb2="00000000" w:usb3="00000000" w:csb0="00040000" w:csb1="00000000"/>
    <w:embedRegular r:id="rId11" w:fontKey="{2954CF7E-41F6-40AA-81CC-A7620FEF7B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3001A">
    <w:pPr>
      <w:pStyle w:val="10"/>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461010" cy="264795"/>
              <wp:effectExtent l="0" t="0" r="0" b="0"/>
              <wp:wrapNone/>
              <wp:docPr id="2" name="文本框 1026 3"/>
              <wp:cNvGraphicFramePr/>
              <a:graphic xmlns:a="http://schemas.openxmlformats.org/drawingml/2006/main">
                <a:graphicData uri="http://schemas.microsoft.com/office/word/2010/wordprocessingShape">
                  <wps:wsp>
                    <wps:cNvSpPr txBox="1"/>
                    <wps:spPr>
                      <a:xfrm>
                        <a:off x="0" y="0"/>
                        <a:ext cx="461010" cy="264795"/>
                      </a:xfrm>
                      <a:prstGeom prst="rect">
                        <a:avLst/>
                      </a:prstGeom>
                      <a:noFill/>
                      <a:ln>
                        <a:noFill/>
                      </a:ln>
                      <a:effectLst/>
                    </wps:spPr>
                    <wps:txbx>
                      <w:txbxContent>
                        <w:p w14:paraId="74122181">
                          <w:pPr>
                            <w:pStyle w:val="10"/>
                            <w:rPr>
                              <w:rFonts w:ascii="宋体" w:cs="宋体"/>
                              <w:sz w:val="28"/>
                              <w:szCs w:val="28"/>
                            </w:rPr>
                          </w:pPr>
                          <w:r>
                            <w:rPr>
                              <w:rFonts w:hint="eastAsia" w:ascii="宋体" w:cs="宋体"/>
                              <w:sz w:val="28"/>
                              <w:szCs w:val="28"/>
                            </w:rPr>
                            <w:fldChar w:fldCharType="begin"/>
                          </w:r>
                          <w:r>
                            <w:rPr>
                              <w:rFonts w:hint="eastAsia" w:ascii="宋体" w:cs="宋体"/>
                              <w:sz w:val="28"/>
                              <w:szCs w:val="28"/>
                            </w:rPr>
                            <w:instrText xml:space="preserve"> PAGE  \* MERGEFORMAT </w:instrText>
                          </w:r>
                          <w:r>
                            <w:rPr>
                              <w:rFonts w:hint="eastAsia" w:ascii="宋体" w:cs="宋体"/>
                              <w:sz w:val="28"/>
                              <w:szCs w:val="28"/>
                            </w:rPr>
                            <w:fldChar w:fldCharType="separate"/>
                          </w:r>
                          <w:r>
                            <w:rPr>
                              <w:rFonts w:ascii="宋体" w:cs="宋体"/>
                              <w:sz w:val="28"/>
                              <w:szCs w:val="28"/>
                            </w:rPr>
                            <w:t>- 15 -</w:t>
                          </w:r>
                          <w:r>
                            <w:rPr>
                              <w:rFonts w:hint="eastAsia" w:ascii="宋体" w:cs="宋体"/>
                              <w:sz w:val="28"/>
                              <w:szCs w:val="28"/>
                            </w:rPr>
                            <w:fldChar w:fldCharType="end"/>
                          </w:r>
                        </w:p>
                      </w:txbxContent>
                    </wps:txbx>
                    <wps:bodyPr wrap="none" lIns="0" tIns="0" rIns="0" bIns="0" upright="1">
                      <a:spAutoFit/>
                    </wps:bodyPr>
                  </wps:wsp>
                </a:graphicData>
              </a:graphic>
            </wp:anchor>
          </w:drawing>
        </mc:Choice>
        <mc:Fallback>
          <w:pict>
            <v:shape id="文本框 1026 3" o:spid="_x0000_s1026" o:spt="202" type="#_x0000_t202" style="position:absolute;left:0pt;margin-top:0pt;height:20.85pt;width:36.3pt;mso-position-horizontal:outside;mso-position-horizontal-relative:margin;mso-wrap-style:none;z-index:251660288;mso-width-relative:page;mso-height-relative:page;" filled="f" stroked="f" coordsize="21600,21600" o:gfxdata="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OX1SX0QAAAAMBAAAPAAAAAAAAAAEAIAAAACIA&#10;AABkcnMvZG93bnJldi54bWxQSwECFAAUAAAACACHTuJAYsDGXtcBAACqAwAADgAAAAAAAAABACAA&#10;AAAgAQAAZHJzL2Uyb0RvYy54bWxQSwUGAAAAAAYABgBZAQAAaQUAAAAA&#10;">
              <v:fill on="f" focussize="0,0"/>
              <v:stroke on="f"/>
              <v:imagedata o:title=""/>
              <o:lock v:ext="edit" aspectratio="f"/>
              <v:textbox inset="0mm,0mm,0mm,0mm" style="mso-fit-shape-to-text:t;">
                <w:txbxContent>
                  <w:p w14:paraId="74122181">
                    <w:pPr>
                      <w:pStyle w:val="10"/>
                      <w:rPr>
                        <w:rFonts w:ascii="宋体" w:cs="宋体"/>
                        <w:sz w:val="28"/>
                        <w:szCs w:val="28"/>
                      </w:rPr>
                    </w:pPr>
                    <w:r>
                      <w:rPr>
                        <w:rFonts w:hint="eastAsia" w:ascii="宋体" w:cs="宋体"/>
                        <w:sz w:val="28"/>
                        <w:szCs w:val="28"/>
                      </w:rPr>
                      <w:fldChar w:fldCharType="begin"/>
                    </w:r>
                    <w:r>
                      <w:rPr>
                        <w:rFonts w:hint="eastAsia" w:ascii="宋体" w:cs="宋体"/>
                        <w:sz w:val="28"/>
                        <w:szCs w:val="28"/>
                      </w:rPr>
                      <w:instrText xml:space="preserve"> PAGE  \* MERGEFORMAT </w:instrText>
                    </w:r>
                    <w:r>
                      <w:rPr>
                        <w:rFonts w:hint="eastAsia" w:ascii="宋体" w:cs="宋体"/>
                        <w:sz w:val="28"/>
                        <w:szCs w:val="28"/>
                      </w:rPr>
                      <w:fldChar w:fldCharType="separate"/>
                    </w:r>
                    <w:r>
                      <w:rPr>
                        <w:rFonts w:ascii="宋体" w:cs="宋体"/>
                        <w:sz w:val="28"/>
                        <w:szCs w:val="28"/>
                      </w:rPr>
                      <w:t>- 15 -</w:t>
                    </w:r>
                    <w:r>
                      <w:rPr>
                        <w:rFonts w:hint="eastAsia" w:ascii="宋体" w:cs="宋体"/>
                        <w:sz w:val="28"/>
                        <w:szCs w:val="28"/>
                      </w:rPr>
                      <w:fldChar w:fldCharType="end"/>
                    </w:r>
                  </w:p>
                </w:txbxContent>
              </v:textbox>
            </v:shape>
          </w:pict>
        </mc:Fallback>
      </mc:AlternateContent>
    </w:r>
    <w:sdt>
      <w:sdtPr>
        <w:id w:val="1180628329"/>
      </w:sdtPr>
      <w:sdtContent/>
    </w:sdt>
  </w:p>
  <w:p w14:paraId="46DF14A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D9366">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227965" cy="133350"/>
              <wp:effectExtent l="0" t="0" r="0" b="0"/>
              <wp:wrapNone/>
              <wp:docPr id="1" name="文本框 1025 6"/>
              <wp:cNvGraphicFramePr/>
              <a:graphic xmlns:a="http://schemas.openxmlformats.org/drawingml/2006/main">
                <a:graphicData uri="http://schemas.microsoft.com/office/word/2010/wordprocessingShape">
                  <wps:wsp>
                    <wps:cNvSpPr txBox="1"/>
                    <wps:spPr>
                      <a:xfrm>
                        <a:off x="0" y="0"/>
                        <a:ext cx="227965" cy="133350"/>
                      </a:xfrm>
                      <a:prstGeom prst="rect">
                        <a:avLst/>
                      </a:prstGeom>
                      <a:noFill/>
                      <a:ln>
                        <a:noFill/>
                      </a:ln>
                      <a:effectLst/>
                    </wps:spPr>
                    <wps:txbx>
                      <w:txbxContent>
                        <w:p w14:paraId="02B067D0">
                          <w:pPr>
                            <w:pStyle w:val="10"/>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文本框 1025 6" o:spid="_x0000_s1026" o:spt="202" type="#_x0000_t202" style="position:absolute;left:0pt;margin-top:0pt;height:10.5pt;width:17.95pt;mso-position-horizontal:outside;mso-position-horizontal-relative:margin;mso-wrap-style:none;z-index:251659264;mso-width-relative:page;mso-height-relative:page;" filled="f" stroked="f" coordsize="21600,21600" o:gfxdata="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DdBnaNEAAAADAQAADwAAAAAAAAABACAAAAAi&#10;AAAAZHJzL2Rvd25yZXYueG1sUEsBAhQAFAAAAAgAh07iQNta2PLYAQAAqgMAAA4AAAAAAAAAAQAg&#10;AAAAIAEAAGRycy9lMm9Eb2MueG1sUEsFBgAAAAAGAAYAWQEAAGoFAAAAAA==&#10;">
              <v:fill on="f" focussize="0,0"/>
              <v:stroke on="f"/>
              <v:imagedata o:title=""/>
              <o:lock v:ext="edit" aspectratio="f"/>
              <v:textbox inset="0mm,0mm,0mm,0mm" style="mso-fit-shape-to-text:t;">
                <w:txbxContent>
                  <w:p w14:paraId="02B067D0">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B468A">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tabs>
          <w:tab w:val="left" w:pos="0"/>
        </w:tabs>
        <w:ind w:left="0" w:firstLine="0"/>
      </w:pPr>
      <w:rPr>
        <w:rFonts w:hint="eastAsia"/>
      </w:rPr>
    </w:lvl>
  </w:abstractNum>
  <w:abstractNum w:abstractNumId="1">
    <w:nsid w:val="D44FF161"/>
    <w:multiLevelType w:val="singleLevel"/>
    <w:tmpl w:val="D44FF161"/>
    <w:lvl w:ilvl="0" w:tentative="0">
      <w:start w:val="1"/>
      <w:numFmt w:val="chineseCounting"/>
      <w:suff w:val="nothing"/>
      <w:lvlText w:val="%1、"/>
      <w:lvlJc w:val="left"/>
      <w:pPr>
        <w:tabs>
          <w:tab w:val="left" w:pos="0"/>
        </w:tabs>
        <w:ind w:left="0" w:firstLine="0"/>
      </w:pPr>
      <w:rPr>
        <w:rFonts w:hint="eastAsia"/>
      </w:rPr>
    </w:lvl>
  </w:abstractNum>
  <w:abstractNum w:abstractNumId="2">
    <w:nsid w:val="D61CC0D8"/>
    <w:multiLevelType w:val="singleLevel"/>
    <w:tmpl w:val="D61CC0D8"/>
    <w:lvl w:ilvl="0" w:tentative="0">
      <w:start w:val="2"/>
      <w:numFmt w:val="chineseCounting"/>
      <w:suff w:val="nothing"/>
      <w:lvlText w:val="（%1）"/>
      <w:lvlJc w:val="left"/>
      <w:pPr>
        <w:tabs>
          <w:tab w:val="left" w:pos="0"/>
        </w:tabs>
        <w:ind w:left="0" w:firstLine="0"/>
      </w:pPr>
      <w:rPr>
        <w:rFonts w:hint="eastAsia"/>
      </w:rPr>
    </w:lvl>
  </w:abstractNum>
  <w:abstractNum w:abstractNumId="3">
    <w:nsid w:val="DC1FECA2"/>
    <w:multiLevelType w:val="singleLevel"/>
    <w:tmpl w:val="DC1FECA2"/>
    <w:lvl w:ilvl="0" w:tentative="0">
      <w:start w:val="1"/>
      <w:numFmt w:val="chineseCounting"/>
      <w:suff w:val="nothing"/>
      <w:lvlText w:val="%1、"/>
      <w:lvlJc w:val="left"/>
      <w:pPr>
        <w:ind w:left="0" w:firstLine="640"/>
      </w:pPr>
      <w:rPr>
        <w:rFonts w:hint="eastAsia"/>
      </w:rPr>
    </w:lvl>
  </w:abstractNum>
  <w:abstractNum w:abstractNumId="4">
    <w:nsid w:val="1272550B"/>
    <w:multiLevelType w:val="multilevel"/>
    <w:tmpl w:val="1272550B"/>
    <w:lvl w:ilvl="0" w:tentative="0">
      <w:start w:val="1"/>
      <w:numFmt w:val="japaneseCounting"/>
      <w:lvlText w:val="%1、"/>
      <w:lvlJc w:val="left"/>
      <w:pPr>
        <w:tabs>
          <w:tab w:val="left" w:pos="0"/>
        </w:tabs>
        <w:ind w:left="1360" w:hanging="720"/>
      </w:pPr>
      <w:rPr>
        <w:rFonts w:hint="default"/>
        <w:b w:val="0"/>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abstractNum w:abstractNumId="5">
    <w:nsid w:val="5EBF4837"/>
    <w:multiLevelType w:val="singleLevel"/>
    <w:tmpl w:val="5EBF4837"/>
    <w:lvl w:ilvl="0" w:tentative="0">
      <w:start w:val="5"/>
      <w:numFmt w:val="chineseCounting"/>
      <w:suff w:val="nothing"/>
      <w:lvlText w:val="%1、"/>
      <w:lvlJc w:val="left"/>
      <w:rPr>
        <w:rFonts w:hint="eastAsia"/>
      </w:rPr>
    </w:lvl>
  </w:abstractNum>
  <w:abstractNum w:abstractNumId="6">
    <w:nsid w:val="679A3FAB"/>
    <w:multiLevelType w:val="singleLevel"/>
    <w:tmpl w:val="679A3FAB"/>
    <w:lvl w:ilvl="0" w:tentative="0">
      <w:start w:val="3"/>
      <w:numFmt w:val="chineseCounting"/>
      <w:suff w:val="nothing"/>
      <w:lvlText w:val="（%1）"/>
      <w:lvlJc w:val="left"/>
      <w:rPr>
        <w:rFonts w:hint="eastAsia"/>
      </w:rPr>
    </w:lvl>
  </w:abstractNum>
  <w:num w:numId="1">
    <w:abstractNumId w:val="1"/>
  </w:num>
  <w:num w:numId="2">
    <w:abstractNumId w:val="4"/>
  </w:num>
  <w:num w:numId="3">
    <w:abstractNumId w:val="0"/>
  </w:num>
  <w:num w:numId="4">
    <w:abstractNumId w:val="6"/>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TrueTypeFonts/>
  <w:saveSubsetFonts/>
  <w:bordersDoNotSurroundHeader w:val="0"/>
  <w:bordersDoNotSurroundFooter w:val="0"/>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yZTk3NTQ4ZDJjMmNlYjVmNDdiNjQ5YzNmMDFmOTQifQ=="/>
  </w:docVars>
  <w:rsids>
    <w:rsidRoot w:val="00172A27"/>
    <w:rsid w:val="003A1A12"/>
    <w:rsid w:val="0087159B"/>
    <w:rsid w:val="009C4F8E"/>
    <w:rsid w:val="00AA0D4B"/>
    <w:rsid w:val="00D25388"/>
    <w:rsid w:val="017715FB"/>
    <w:rsid w:val="07044910"/>
    <w:rsid w:val="0726399A"/>
    <w:rsid w:val="0B433497"/>
    <w:rsid w:val="0CAF4438"/>
    <w:rsid w:val="0D89320B"/>
    <w:rsid w:val="0E284A5F"/>
    <w:rsid w:val="0E6574A4"/>
    <w:rsid w:val="10152C44"/>
    <w:rsid w:val="105B7FAD"/>
    <w:rsid w:val="10DC73EA"/>
    <w:rsid w:val="11BD2004"/>
    <w:rsid w:val="12C81DAF"/>
    <w:rsid w:val="14E3501E"/>
    <w:rsid w:val="15C90318"/>
    <w:rsid w:val="16677B31"/>
    <w:rsid w:val="180F0D38"/>
    <w:rsid w:val="18A46E1B"/>
    <w:rsid w:val="18AA1F3A"/>
    <w:rsid w:val="19AC142A"/>
    <w:rsid w:val="1BCF6FEE"/>
    <w:rsid w:val="1E780C0D"/>
    <w:rsid w:val="20287DA4"/>
    <w:rsid w:val="2114213B"/>
    <w:rsid w:val="23122A7A"/>
    <w:rsid w:val="23F32A04"/>
    <w:rsid w:val="24BB79C6"/>
    <w:rsid w:val="26C05C4E"/>
    <w:rsid w:val="271C6AFA"/>
    <w:rsid w:val="27815DBC"/>
    <w:rsid w:val="27897907"/>
    <w:rsid w:val="28C87A72"/>
    <w:rsid w:val="2A866380"/>
    <w:rsid w:val="2B586C2C"/>
    <w:rsid w:val="2EDA4EED"/>
    <w:rsid w:val="2FC7536F"/>
    <w:rsid w:val="2FFDD187"/>
    <w:rsid w:val="31B77767"/>
    <w:rsid w:val="32D70388"/>
    <w:rsid w:val="347436ED"/>
    <w:rsid w:val="3570514C"/>
    <w:rsid w:val="368C69F7"/>
    <w:rsid w:val="37462EA2"/>
    <w:rsid w:val="37BF6231"/>
    <w:rsid w:val="390D653D"/>
    <w:rsid w:val="3B443BDA"/>
    <w:rsid w:val="3C186565"/>
    <w:rsid w:val="3D06309C"/>
    <w:rsid w:val="43010B92"/>
    <w:rsid w:val="4746716B"/>
    <w:rsid w:val="47BF61F2"/>
    <w:rsid w:val="48EC5AF0"/>
    <w:rsid w:val="49DF5977"/>
    <w:rsid w:val="4A530072"/>
    <w:rsid w:val="4A5406A0"/>
    <w:rsid w:val="4A5751EC"/>
    <w:rsid w:val="4C750BDD"/>
    <w:rsid w:val="4D303E65"/>
    <w:rsid w:val="510F05CE"/>
    <w:rsid w:val="51630116"/>
    <w:rsid w:val="52232583"/>
    <w:rsid w:val="57B70A7D"/>
    <w:rsid w:val="592F4560"/>
    <w:rsid w:val="59E760EF"/>
    <w:rsid w:val="5A4B691F"/>
    <w:rsid w:val="5ADA1C4D"/>
    <w:rsid w:val="5B2D5E14"/>
    <w:rsid w:val="5DF41277"/>
    <w:rsid w:val="5F7E1B3E"/>
    <w:rsid w:val="61343E73"/>
    <w:rsid w:val="62582C10"/>
    <w:rsid w:val="6481138B"/>
    <w:rsid w:val="68C83273"/>
    <w:rsid w:val="691926A0"/>
    <w:rsid w:val="6BFD6F25"/>
    <w:rsid w:val="6DC9627D"/>
    <w:rsid w:val="6E386F5E"/>
    <w:rsid w:val="6FD84C35"/>
    <w:rsid w:val="71833A0B"/>
    <w:rsid w:val="71A74D85"/>
    <w:rsid w:val="73EF3BBA"/>
    <w:rsid w:val="73F955A5"/>
    <w:rsid w:val="75622B13"/>
    <w:rsid w:val="775A7F45"/>
    <w:rsid w:val="781F200D"/>
    <w:rsid w:val="7A4B626B"/>
    <w:rsid w:val="7BC71163"/>
    <w:rsid w:val="DE3FA3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qFormat/>
    <w:uiPriority w:val="0"/>
    <w:pPr>
      <w:tabs>
        <w:tab w:val="right" w:leader="dot" w:pos="8296"/>
      </w:tabs>
      <w:ind w:left="400" w:leftChars="400"/>
    </w:pPr>
  </w:style>
  <w:style w:type="paragraph" w:styleId="8">
    <w:name w:val="Body Text Indent 2"/>
    <w:qFormat/>
    <w:uiPriority w:val="99"/>
    <w:pPr>
      <w:widowControl w:val="0"/>
      <w:spacing w:line="480" w:lineRule="auto"/>
      <w:ind w:left="420" w:leftChars="200"/>
      <w:jc w:val="both"/>
    </w:pPr>
    <w:rPr>
      <w:rFonts w:ascii="Calibri" w:hAnsi="Calibri" w:eastAsia="宋体" w:cs="Times New Roman"/>
      <w:kern w:val="2"/>
      <w:sz w:val="21"/>
      <w:szCs w:val="22"/>
      <w:lang w:val="en-US" w:eastAsia="zh-CN" w:bidi="ar-SA"/>
    </w:r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qFormat/>
    <w:uiPriority w:val="0"/>
    <w:pPr>
      <w:tabs>
        <w:tab w:val="right" w:leader="dot" w:pos="8296"/>
      </w:tabs>
      <w:spacing w:before="93"/>
      <w:jc w:val="center"/>
    </w:pPr>
    <w:rPr>
      <w:rFonts w:ascii="仿宋" w:eastAsia="仿宋"/>
      <w:sz w:val="28"/>
      <w:szCs w:val="28"/>
    </w:rPr>
  </w:style>
  <w:style w:type="paragraph" w:styleId="13">
    <w:name w:val="toc 2"/>
    <w:basedOn w:val="1"/>
    <w:next w:val="1"/>
    <w:qFormat/>
    <w:uiPriority w:val="0"/>
    <w:pPr>
      <w:tabs>
        <w:tab w:val="right" w:leader="dot" w:pos="8296"/>
      </w:tabs>
      <w:ind w:left="200" w:leftChars="200"/>
    </w:pPr>
  </w:style>
  <w:style w:type="paragraph" w:styleId="1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5">
    <w:name w:val="Normal (Web)"/>
    <w:basedOn w:val="1"/>
    <w:qFormat/>
    <w:uiPriority w:val="0"/>
    <w:pPr>
      <w:widowControl/>
      <w:spacing w:before="100" w:beforeAutospacing="1" w:after="100" w:afterAutospacing="1"/>
      <w:jc w:val="left"/>
    </w:pPr>
    <w:rPr>
      <w:rFonts w:ascii="宋体" w:cs="宋体"/>
      <w:kern w:val="0"/>
      <w:sz w:val="24"/>
    </w:rPr>
  </w:style>
  <w:style w:type="paragraph" w:styleId="16">
    <w:name w:val="Body Text First Indent"/>
    <w:next w:val="8"/>
    <w:unhideWhenUsed/>
    <w:qFormat/>
    <w:uiPriority w:val="99"/>
    <w:pPr>
      <w:widowControl w:val="0"/>
      <w:spacing w:beforeLines="30"/>
      <w:ind w:firstLine="420" w:firstLineChars="100"/>
      <w:jc w:val="both"/>
    </w:pPr>
    <w:rPr>
      <w:rFonts w:ascii="仿宋_GB2312" w:hAnsi="Calibri" w:eastAsia="仿宋_GB2312" w:cs="Times New Roman"/>
      <w:kern w:val="0"/>
      <w:sz w:val="30"/>
      <w:szCs w:val="22"/>
      <w:lang w:val="en-US" w:eastAsia="zh-CN" w:bidi="ar-SA"/>
    </w:rPr>
  </w:style>
  <w:style w:type="paragraph" w:styleId="17">
    <w:name w:val="Body Text First Indent 2"/>
    <w:basedOn w:val="6"/>
    <w:unhideWhenUsed/>
    <w:qFormat/>
    <w:uiPriority w:val="99"/>
    <w:pPr>
      <w:ind w:firstLine="420" w:firstLineChars="200"/>
    </w:p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3">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4">
    <w:name w:val="标题 1 Char"/>
    <w:basedOn w:val="19"/>
    <w:link w:val="2"/>
    <w:qFormat/>
    <w:uiPriority w:val="0"/>
    <w:rPr>
      <w:rFonts w:ascii="Times New Roman" w:hAnsi="Times New Roman" w:eastAsia="宋体" w:cs="Times New Roman"/>
      <w:b/>
      <w:bCs/>
      <w:kern w:val="44"/>
      <w:sz w:val="44"/>
      <w:szCs w:val="44"/>
      <w:lang w:val="en-US" w:eastAsia="zh-CN" w:bidi="ar-SA"/>
    </w:rPr>
  </w:style>
  <w:style w:type="character" w:customStyle="1" w:styleId="25">
    <w:name w:val="标题 2 Char"/>
    <w:basedOn w:val="19"/>
    <w:link w:val="3"/>
    <w:qFormat/>
    <w:uiPriority w:val="0"/>
    <w:rPr>
      <w:rFonts w:ascii="Cambria" w:hAnsi="Cambria" w:eastAsia="宋体" w:cs="Times New Roman"/>
      <w:b/>
      <w:bCs/>
      <w:kern w:val="2"/>
      <w:sz w:val="32"/>
      <w:szCs w:val="32"/>
      <w:lang w:val="en-US" w:eastAsia="zh-CN" w:bidi="ar-SA"/>
    </w:rPr>
  </w:style>
  <w:style w:type="character" w:customStyle="1" w:styleId="26">
    <w:name w:val="Header Char"/>
    <w:basedOn w:val="19"/>
    <w:qFormat/>
    <w:uiPriority w:val="0"/>
    <w:rPr>
      <w:rFonts w:ascii="Times New Roman" w:hAnsi="Times New Roman"/>
      <w:sz w:val="18"/>
      <w:szCs w:val="18"/>
    </w:rPr>
  </w:style>
  <w:style w:type="character" w:customStyle="1" w:styleId="27">
    <w:name w:val="Footer Char"/>
    <w:basedOn w:val="19"/>
    <w:qFormat/>
    <w:uiPriority w:val="0"/>
    <w:rPr>
      <w:rFonts w:ascii="Times New Roman" w:hAnsi="Times New Roman"/>
      <w:sz w:val="18"/>
      <w:szCs w:val="18"/>
    </w:rPr>
  </w:style>
  <w:style w:type="character" w:customStyle="1" w:styleId="28">
    <w:name w:val="Body Text Char"/>
    <w:basedOn w:val="19"/>
    <w:qFormat/>
    <w:uiPriority w:val="0"/>
    <w:rPr>
      <w:rFonts w:ascii="Times New Roman" w:hAnsi="Times New Roman"/>
      <w:szCs w:val="24"/>
    </w:rPr>
  </w:style>
  <w:style w:type="paragraph" w:customStyle="1" w:styleId="29">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30">
    <w:name w:val="List Paragraph"/>
    <w:basedOn w:val="1"/>
    <w:qFormat/>
    <w:uiPriority w:val="0"/>
    <w:pPr>
      <w:ind w:firstLine="200" w:firstLineChars="200"/>
    </w:pPr>
  </w:style>
  <w:style w:type="paragraph" w:customStyle="1" w:styleId="31">
    <w:name w:val="TOC 标题1"/>
    <w:basedOn w:val="2"/>
    <w:next w:val="1"/>
    <w:qFormat/>
    <w:uiPriority w:val="0"/>
    <w:pPr>
      <w:widowControl/>
      <w:spacing w:before="480" w:after="0" w:line="276" w:lineRule="auto"/>
      <w:jc w:val="left"/>
      <w:outlineLvl w:val="9"/>
    </w:pPr>
    <w:rPr>
      <w:rFonts w:ascii="Cambria" w:hAnsi="Cambria"/>
      <w:color w:val="376092"/>
      <w:kern w:val="0"/>
      <w:sz w:val="28"/>
      <w:szCs w:val="28"/>
    </w:rPr>
  </w:style>
  <w:style w:type="paragraph" w:customStyle="1" w:styleId="32">
    <w:name w:val="TOC 标题2"/>
    <w:basedOn w:val="2"/>
    <w:next w:val="1"/>
    <w:qFormat/>
    <w:uiPriority w:val="0"/>
    <w:pPr>
      <w:widowControl/>
      <w:spacing w:before="480" w:after="0" w:line="276" w:lineRule="auto"/>
      <w:jc w:val="left"/>
      <w:outlineLvl w:val="9"/>
    </w:pPr>
    <w:rPr>
      <w:rFonts w:ascii="Cambria" w:hAnsi="Cambria"/>
      <w:color w:val="376092"/>
      <w:kern w:val="0"/>
      <w:sz w:val="28"/>
      <w:szCs w:val="28"/>
    </w:rPr>
  </w:style>
  <w:style w:type="character" w:customStyle="1" w:styleId="33">
    <w:name w:val="heading 1 Char"/>
    <w:basedOn w:val="19"/>
    <w:link w:val="2"/>
    <w:qFormat/>
    <w:uiPriority w:val="0"/>
    <w:rPr>
      <w:rFonts w:ascii="Times New Roman" w:hAnsi="Times New Roman" w:eastAsia="宋体" w:cs="Times New Roman"/>
      <w:b/>
      <w:bCs/>
      <w:kern w:val="44"/>
      <w:sz w:val="44"/>
      <w:szCs w:val="44"/>
      <w:lang w:val="en-US" w:eastAsia="zh-CN" w:bidi="ar-SA"/>
    </w:rPr>
  </w:style>
  <w:style w:type="paragraph" w:customStyle="1" w:styleId="34">
    <w:name w:val="四号正文"/>
    <w:qFormat/>
    <w:uiPriority w:val="0"/>
    <w:pPr>
      <w:widowControl w:val="0"/>
      <w:spacing w:line="360" w:lineRule="auto"/>
      <w:jc w:val="both"/>
    </w:pPr>
    <w:rPr>
      <w:rFonts w:ascii="??" w:hAnsi="??" w:eastAsia="宋体" w:cs="Times New Roman"/>
      <w:color w:val="000000"/>
      <w:kern w:val="0"/>
      <w:sz w:val="28"/>
      <w:szCs w:val="21"/>
      <w:lang w:val="zh-CN" w:eastAsia="zh-CN" w:bidi="ar-SA"/>
    </w:rPr>
  </w:style>
  <w:style w:type="paragraph" w:customStyle="1" w:styleId="35">
    <w:name w:val="TOAHeading"/>
    <w:next w:val="1"/>
    <w:qFormat/>
    <w:uiPriority w:val="0"/>
    <w:pPr>
      <w:widowControl w:val="0"/>
      <w:spacing w:before="120"/>
      <w:jc w:val="both"/>
    </w:pPr>
    <w:rPr>
      <w:rFonts w:ascii="Arial" w:hAnsi="Arial" w:eastAsia="仿宋_GB2312" w:cs="Times New Roman"/>
      <w:kern w:val="2"/>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59</Pages>
  <Words>3654</Words>
  <Characters>4005</Characters>
  <Lines>1</Lines>
  <Paragraphs>1</Paragraphs>
  <TotalTime>0</TotalTime>
  <ScaleCrop>false</ScaleCrop>
  <LinksUpToDate>false</LinksUpToDate>
  <CharactersWithSpaces>4055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2020-08-05T17:49:00Z</dcterms:created>
  <dc:creator>曹颖</dc:creator>
  <cp:lastModifiedBy>Ecy、</cp:lastModifiedBy>
  <cp:lastPrinted>2026-10-09T07:28:36Z</cp:lastPrinted>
  <dcterms:modified xsi:type="dcterms:W3CDTF">2026-10-09T07:28:54Z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9883EF6CD18E4DF6BE80E860CAA9BCC8_13</vt:lpwstr>
  </property>
  <property fmtid="{D5CDD505-2E9C-101B-9397-08002B2CF9AE}" pid="4" name="KSOTemplateDocerSaveRecord">
    <vt:lpwstr>eyJoZGlkIjoiNmNiM2Y4YWFmZmNiMjU3YjRhMWQwMDVkNWYxMGQwZTgiLCJ1c2VySWQiOiIxMjAxMjgyNjIzIn0=</vt:lpwstr>
  </property>
</Properties>
</file>