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600" w:lineRule="exact"/>
        <w:jc w:val="left"/>
        <w:outlineLvl w:val="9"/>
        <w:rPr>
          <w:rFonts w:ascii="黑体" w:eastAsia="黑体" w:cs="黑体" w:hint="eastAsia"/>
          <w:color w:val="auto"/>
          <w:sz w:val="32"/>
          <w:szCs w:val="32"/>
          <w:lang w:val="en-US" w:eastAsia="zh-CN"/>
        </w:rPr>
      </w:pPr>
      <w:bookmarkStart w:id="0" w:name="_Toc31988"/>
      <w:bookmarkStart w:id="1" w:name="_Toc15306267"/>
      <w:r>
        <w:rPr>
          <w:rFonts w:ascii="黑体" w:eastAsia="黑体" w:cs="黑体" w:hint="eastAsia"/>
          <w:color w:val="auto"/>
          <w:sz w:val="32"/>
          <w:szCs w:val="32"/>
          <w:lang w:val="en-US" w:eastAsia="zh-CN"/>
        </w:rPr>
        <w:t>附件3</w:t>
      </w:r>
      <w:bookmarkEnd w:id="0"/>
    </w:p>
    <w:p>
      <w:pPr>
        <w:spacing w:line="600" w:lineRule="exact"/>
        <w:jc w:val="center"/>
        <w:outlineLvl w:val="0"/>
        <w:rPr>
          <w:rFonts w:ascii="方正小标宋简体" w:eastAsia="方正小标宋简体"/>
          <w:color w:val="auto"/>
          <w:sz w:val="72"/>
          <w:szCs w:val="72"/>
        </w:rPr>
      </w:pPr>
    </w:p>
    <w:p>
      <w:pPr>
        <w:spacing w:line="600" w:lineRule="exact"/>
        <w:jc w:val="center"/>
        <w:outlineLvl w:val="0"/>
        <w:rPr>
          <w:rFonts w:ascii="方正小标宋简体" w:eastAsia="方正小标宋简体"/>
          <w:color w:val="auto"/>
          <w:sz w:val="72"/>
          <w:szCs w:val="72"/>
        </w:rPr>
      </w:pPr>
    </w:p>
    <w:p>
      <w:pPr>
        <w:jc w:val="center"/>
        <w:rPr>
          <w:rFonts w:ascii="方正小标宋简体" w:eastAsia="方正小标宋简体" w:cs="方正小标宋简体"/>
          <w:color w:val="auto"/>
          <w:sz w:val="72"/>
          <w:szCs w:val="72"/>
        </w:rPr>
      </w:pPr>
      <w:bookmarkStart w:id="2" w:name="_Toc15377193"/>
      <w:bookmarkStart w:id="3" w:name="_Toc15396475"/>
      <w:bookmarkStart w:id="4" w:name="_Toc15377425"/>
      <w:bookmarkStart w:id="5" w:name="_Toc15396597"/>
      <w:bookmarkStart w:id="6" w:name="_Toc15378441"/>
      <w:bookmarkStart w:id="7" w:name="_Toc15377194"/>
      <w:bookmarkStart w:id="8" w:name="_Toc15378442"/>
      <w:bookmarkStart w:id="9" w:name="_Toc15306268"/>
      <w:bookmarkStart w:id="10" w:name="_Toc15377426"/>
      <w:bookmarkStart w:id="11" w:name="_Toc15396598"/>
      <w:bookmarkStart w:id="12" w:name="_Toc15396476"/>
      <w:bookmarkEnd w:id="1"/>
      <w:r>
        <w:rPr>
          <w:rFonts w:ascii="方正小标宋简体" w:eastAsia="方正小标宋简体" w:cs="方正小标宋简体" w:hint="eastAsia"/>
          <w:color w:val="auto"/>
          <w:sz w:val="72"/>
          <w:szCs w:val="72"/>
        </w:rPr>
        <w:t>2025年度</w:t>
      </w:r>
      <w:bookmarkEnd w:id="2"/>
      <w:bookmarkEnd w:id="3"/>
      <w:bookmarkEnd w:id="4"/>
      <w:bookmarkEnd w:id="5"/>
      <w:bookmarkEnd w:id="6"/>
    </w:p>
    <w:p>
      <w:pPr>
        <w:jc w:val="center"/>
        <w:rPr>
          <w:rFonts w:ascii="方正小标宋简体" w:eastAsia="方正小标宋简体" w:cs="方正小标宋简体"/>
          <w:color w:val="auto"/>
          <w:sz w:val="72"/>
          <w:szCs w:val="72"/>
        </w:rPr>
      </w:pPr>
      <w:r>
        <w:rPr>
          <w:rFonts w:ascii="方正小标宋简体" w:eastAsia="方正小标宋简体" w:cs="方正小标宋简体" w:hint="eastAsia"/>
          <w:color w:val="auto"/>
          <w:sz w:val="72"/>
          <w:szCs w:val="72"/>
        </w:rPr>
        <w:t>四川省阿坝州</w:t>
      </w:r>
      <w:r>
        <w:rPr>
          <w:rFonts w:ascii="方正小标宋简体" w:eastAsia="方正小标宋简体" w:cs="方正小标宋简体" w:hint="eastAsia"/>
          <w:color w:val="auto"/>
          <w:sz w:val="72"/>
          <w:szCs w:val="72"/>
          <w:lang w:val="en-US" w:eastAsia="zh-CN"/>
        </w:rPr>
        <w:t>汶川县三江镇中心卫生院</w:t>
      </w:r>
      <w:r>
        <w:rPr>
          <w:rFonts w:ascii="方正小标宋简体" w:eastAsia="方正小标宋简体" w:cs="方正小标宋简体" w:hint="eastAsia"/>
          <w:color w:val="auto"/>
          <w:sz w:val="72"/>
          <w:szCs w:val="72"/>
        </w:rPr>
        <w:t>单位决算</w:t>
      </w:r>
      <w:bookmarkEnd w:id="7"/>
      <w:bookmarkEnd w:id="8"/>
      <w:bookmarkEnd w:id="9"/>
      <w:bookmarkEnd w:id="10"/>
      <w:bookmarkEnd w:id="11"/>
      <w:bookmarkEnd w:id="12"/>
    </w:p>
    <w:p>
      <w:pPr>
        <w:autoSpaceDE w:val="0"/>
        <w:autoSpaceDN w:val="0"/>
        <w:adjustRightInd w:val="0"/>
        <w:ind w:leftChars="200" w:left="420"/>
        <w:jc w:val="left"/>
        <w:rPr>
          <w:rFonts w:ascii="宋体" w:cs="仿宋_GB2312"/>
          <w:color w:val="auto"/>
          <w:sz w:val="32"/>
          <w:szCs w:val="32"/>
        </w:rPr>
      </w:pPr>
    </w:p>
    <w:p>
      <w:pPr>
        <w:autoSpaceDE w:val="0"/>
        <w:autoSpaceDN w:val="0"/>
        <w:adjustRightInd w:val="0"/>
        <w:ind w:leftChars="200" w:left="420"/>
        <w:jc w:val="left"/>
        <w:rPr>
          <w:rFonts w:ascii="宋体" w:cs="仿宋_GB2312"/>
          <w:color w:val="auto"/>
          <w:sz w:val="32"/>
          <w:szCs w:val="32"/>
        </w:rPr>
      </w:pPr>
    </w:p>
    <w:p>
      <w:pPr>
        <w:autoSpaceDE w:val="0"/>
        <w:autoSpaceDN w:val="0"/>
        <w:adjustRightInd w:val="0"/>
        <w:ind w:leftChars="200" w:left="420"/>
        <w:jc w:val="left"/>
        <w:rPr>
          <w:rFonts w:ascii="宋体" w:cs="仿宋_GB2312"/>
          <w:color w:val="auto"/>
          <w:sz w:val="32"/>
          <w:szCs w:val="32"/>
        </w:rPr>
      </w:pPr>
    </w:p>
    <w:p>
      <w:pPr>
        <w:autoSpaceDE w:val="0"/>
        <w:autoSpaceDN w:val="0"/>
        <w:adjustRightInd w:val="0"/>
        <w:ind w:leftChars="200" w:left="420"/>
        <w:jc w:val="left"/>
        <w:rPr>
          <w:rFonts w:ascii="宋体" w:cs="仿宋_GB2312"/>
          <w:color w:val="auto"/>
          <w:sz w:val="32"/>
          <w:szCs w:val="32"/>
        </w:rPr>
      </w:pPr>
    </w:p>
    <w:p>
      <w:pPr>
        <w:autoSpaceDE w:val="0"/>
        <w:autoSpaceDN w:val="0"/>
        <w:adjustRightInd w:val="0"/>
        <w:ind w:leftChars="200" w:left="420"/>
        <w:jc w:val="left"/>
        <w:rPr>
          <w:rFonts w:ascii="宋体" w:cs="仿宋_GB2312"/>
          <w:color w:val="auto"/>
          <w:sz w:val="32"/>
          <w:szCs w:val="32"/>
        </w:rPr>
      </w:pPr>
    </w:p>
    <w:p>
      <w:pPr>
        <w:autoSpaceDE w:val="0"/>
        <w:autoSpaceDN w:val="0"/>
        <w:adjustRightInd w:val="0"/>
        <w:ind w:leftChars="200" w:left="420"/>
        <w:jc w:val="left"/>
        <w:rPr>
          <w:rFonts w:ascii="宋体" w:cs="仿宋_GB2312"/>
          <w:color w:val="auto"/>
          <w:sz w:val="32"/>
          <w:szCs w:val="32"/>
        </w:rPr>
      </w:pPr>
    </w:p>
    <w:p>
      <w:pPr>
        <w:autoSpaceDE w:val="0"/>
        <w:autoSpaceDN w:val="0"/>
        <w:adjustRightInd w:val="0"/>
        <w:ind w:leftChars="200" w:left="420"/>
        <w:jc w:val="left"/>
        <w:rPr>
          <w:rFonts w:ascii="宋体" w:cs="仿宋_GB2312"/>
          <w:color w:val="auto"/>
          <w:sz w:val="32"/>
          <w:szCs w:val="32"/>
        </w:rPr>
      </w:pPr>
    </w:p>
    <w:p>
      <w:pPr>
        <w:autoSpaceDE w:val="0"/>
        <w:autoSpaceDN w:val="0"/>
        <w:adjustRightInd w:val="0"/>
        <w:ind w:leftChars="200" w:left="420"/>
        <w:jc w:val="left"/>
        <w:rPr>
          <w:rFonts w:ascii="宋体" w:cs="仿宋_GB2312"/>
          <w:color w:val="auto"/>
          <w:sz w:val="32"/>
          <w:szCs w:val="32"/>
        </w:rPr>
      </w:pPr>
    </w:p>
    <w:p>
      <w:pPr>
        <w:autoSpaceDE w:val="0"/>
        <w:autoSpaceDN w:val="0"/>
        <w:adjustRightInd w:val="0"/>
        <w:ind w:leftChars="200" w:left="420"/>
        <w:jc w:val="left"/>
        <w:rPr>
          <w:rFonts w:ascii="宋体" w:cs="仿宋_GB2312"/>
          <w:color w:val="auto"/>
          <w:sz w:val="32"/>
          <w:szCs w:val="32"/>
        </w:rPr>
      </w:pPr>
    </w:p>
    <w:p>
      <w:pPr>
        <w:autoSpaceDE w:val="0"/>
        <w:autoSpaceDN w:val="0"/>
        <w:adjustRightInd w:val="0"/>
        <w:ind w:leftChars="200" w:left="420"/>
        <w:jc w:val="left"/>
        <w:rPr>
          <w:rFonts w:ascii="宋体" w:cs="仿宋_GB2312"/>
          <w:color w:val="auto"/>
          <w:sz w:val="32"/>
          <w:szCs w:val="32"/>
        </w:rPr>
      </w:pPr>
    </w:p>
    <w:p>
      <w:pPr>
        <w:autoSpaceDE w:val="0"/>
        <w:autoSpaceDN w:val="0"/>
        <w:adjustRightInd w:val="0"/>
        <w:ind w:leftChars="200" w:left="420"/>
        <w:jc w:val="left"/>
        <w:rPr>
          <w:rFonts w:ascii="宋体" w:cs="仿宋_GB2312"/>
          <w:color w:val="auto"/>
          <w:sz w:val="32"/>
          <w:szCs w:val="32"/>
        </w:rPr>
      </w:pPr>
    </w:p>
    <w:p>
      <w:pPr>
        <w:autoSpaceDE w:val="0"/>
        <w:autoSpaceDN w:val="0"/>
        <w:adjustRightInd w:val="0"/>
        <w:ind w:leftChars="200" w:left="420"/>
        <w:jc w:val="left"/>
        <w:rPr>
          <w:rFonts w:ascii="宋体"/>
          <w:color w:val="auto"/>
          <w:sz w:val="32"/>
          <w:szCs w:val="32"/>
        </w:rPr>
      </w:pPr>
      <w:r>
        <w:rPr>
          <w:rFonts w:ascii="宋体" w:cs="仿宋_GB2312" w:hint="eastAsia"/>
          <w:color w:val="auto"/>
          <w:sz w:val="32"/>
          <w:szCs w:val="32"/>
        </w:rPr>
        <w:t>保密审查情况：已审查，内容审定</w:t>
      </w:r>
    </w:p>
    <w:p>
      <w:pPr>
        <w:autoSpaceDE w:val="0"/>
        <w:autoSpaceDN w:val="0"/>
        <w:adjustRightInd w:val="0"/>
        <w:ind w:leftChars="200" w:left="420"/>
        <w:jc w:val="left"/>
        <w:rPr>
          <w:rFonts w:ascii="宋体" w:cs="仿宋_GB2312" w:hint="eastAsia"/>
          <w:color w:val="auto"/>
          <w:sz w:val="32"/>
          <w:szCs w:val="32"/>
        </w:rPr>
      </w:pPr>
      <w:r>
        <w:rPr>
          <w:rFonts w:ascii="宋体" w:cs="仿宋_GB2312" w:hint="eastAsia"/>
          <w:color w:val="auto"/>
          <w:sz w:val="32"/>
          <w:szCs w:val="32"/>
        </w:rPr>
        <w:t>部门主要负责人审签情况：已审签，同意对外公开</w:t>
      </w:r>
    </w:p>
    <w:p>
      <w:pPr>
        <w:rPr>
          <w:rFonts w:ascii="宋体" w:cs="仿宋_GB2312" w:hint="eastAsia"/>
          <w:color w:val="auto"/>
          <w:sz w:val="32"/>
          <w:szCs w:val="32"/>
        </w:rPr>
      </w:pPr>
      <w:r>
        <w:rPr>
          <w:rFonts w:ascii="宋体" w:cs="仿宋_GB2312" w:hint="eastAsia"/>
          <w:color w:val="auto"/>
          <w:sz w:val="32"/>
          <w:szCs w:val="32"/>
        </w:rPr>
        <w:br w:type="page"/>
      </w:r>
    </w:p>
    <w:p>
      <w:pPr>
        <w:pStyle w:val="15"/>
        <w:rPr>
          <w:color w:val="auto"/>
          <w:sz w:val="56"/>
          <w:szCs w:val="60"/>
        </w:rPr>
      </w:pPr>
    </w:p>
    <w:sdt>
      <w:sdtPr>
        <w:rPr>
          <w:rFonts w:ascii="宋体" w:eastAsia="宋体" w:cs="Times New Roman"/>
          <w:color w:val="auto"/>
          <w:kern w:val="2"/>
          <w:sz w:val="48"/>
          <w:szCs w:val="56"/>
          <w:lang w:val="en-US" w:eastAsia="zh-CN" w:bidi="ar-SA"/>
        </w:rPr>
        <w:id w:val="83885262"/>
        <w15:color w:val="DBDBDB"/>
        <w:docPartObj>
          <w:docPartGallery w:val="Table of Contents"/>
          <w:docPartUnique/>
        </w:docPartObj>
      </w:sdtPr>
      <w:sdtEndPr>
        <w:rPr>
          <w:rFonts w:cs="宋体" w:hint="eastAsia"/>
          <w:sz w:val="18"/>
          <w:szCs w:val="18"/>
        </w:rPr>
      </w:sdtEndPr>
      <w:sdtContent>
        <w:bookmarkStart w:id="13" w:name="_Toc15377196" w:displacedByCustomXml="prev"/>
        <w:bookmarkStart w:id="14" w:name="_Toc15396599" w:displacedByCustomXml="prev"/>
        <w:p>
          <w:pPr>
            <w:spacing w:before="0" w:after="0" w:line="240" w:lineRule="auto"/>
            <w:ind w:left="0" w:right="0" w:firstLine="0"/>
            <w:jc w:val="center"/>
            <w:rPr>
              <w:rFonts w:ascii="宋体" w:eastAsia="宋体"/>
              <w:color w:val="auto"/>
              <w:sz w:val="48"/>
              <w:szCs w:val="56"/>
            </w:rPr>
          </w:pPr>
          <w:r>
            <w:rPr>
              <w:rFonts w:ascii="宋体" w:eastAsia="宋体"/>
              <w:color w:val="auto"/>
              <w:sz w:val="48"/>
              <w:szCs w:val="56"/>
            </w:rPr>
            <w:t>目录</w:t>
          </w:r>
        </w:p>
        <w:p>
          <w:pPr>
            <w:pStyle w:val="27"/>
            <w:ind w:firstLineChars="800" w:firstLine="1920"/>
            <w:rPr>
              <w:rFonts w:hint="eastAsia"/>
              <w:color w:val="auto"/>
            </w:rPr>
          </w:pPr>
        </w:p>
        <w:p>
          <w:pPr>
            <w:pStyle w:val="27"/>
            <w:ind w:firstLineChars="800" w:firstLine="1920"/>
            <w:rPr>
              <w:rFonts w:hint="eastAsia"/>
              <w:color w:val="auto"/>
            </w:rPr>
          </w:pPr>
          <w:r>
            <w:rPr>
              <w:rFonts w:hint="eastAsia"/>
              <w:color w:val="auto"/>
            </w:rPr>
            <w:t>公开时间：202</w:t>
          </w:r>
          <w:r>
            <w:rPr>
              <w:rFonts w:hint="eastAsia"/>
              <w:color w:val="auto"/>
              <w:lang w:val="en-US" w:eastAsia="zh-CN"/>
            </w:rPr>
            <w:t>6</w:t>
          </w:r>
          <w:r>
            <w:rPr>
              <w:rFonts w:hint="eastAsia"/>
              <w:color w:val="auto"/>
            </w:rPr>
            <w:t>年</w:t>
          </w:r>
          <w:r>
            <w:rPr>
              <w:rFonts w:hint="eastAsia"/>
              <w:color w:val="auto"/>
              <w:lang w:val="en-US" w:eastAsia="zh-CN"/>
            </w:rPr>
            <w:t>10</w:t>
          </w:r>
          <w:r>
            <w:rPr>
              <w:rFonts w:hint="eastAsia"/>
              <w:color w:val="auto"/>
            </w:rPr>
            <w:t xml:space="preserve"> 月</w:t>
          </w:r>
          <w:r>
            <w:rPr>
              <w:rFonts w:hint="eastAsia"/>
              <w:color w:val="auto"/>
              <w:lang w:val="en-US" w:eastAsia="zh-CN"/>
            </w:rPr>
            <w:t>09</w:t>
          </w:r>
          <w:r>
            <w:rPr>
              <w:rFonts w:hint="eastAsia"/>
              <w:color w:val="auto"/>
            </w:rPr>
            <w:t xml:space="preserve"> 日</w:t>
          </w:r>
        </w:p>
        <w:p>
          <w:pPr>
            <w:pStyle w:val="27"/>
            <w:ind w:firstLineChars="800" w:firstLine="1920"/>
            <w:rPr>
              <w:rFonts w:hint="eastAsia"/>
              <w:color w:val="auto"/>
            </w:rPr>
          </w:pPr>
        </w:p>
        <w:p>
          <w:pPr>
            <w:pStyle w:val="22"/>
            <w:tabs>
              <w:tab w:val="clear" w:pos="8296"/>
              <w:tab w:val="right" w:leader="dot" w:pos="8306"/>
            </w:tabs>
            <w:rPr>
              <w:color w:val="auto"/>
              <w:sz w:val="24"/>
              <w:szCs w:val="24"/>
            </w:rPr>
          </w:pPr>
          <w:r>
            <w:rPr>
              <w:rFonts w:ascii="宋体" w:eastAsia="宋体" w:cs="宋体" w:hint="eastAsia"/>
              <w:color w:val="auto"/>
              <w:sz w:val="24"/>
              <w:szCs w:val="24"/>
            </w:rPr>
            <w:fldChar w:fldCharType="begin"/>
          </w:r>
          <w:r>
            <w:rPr>
              <w:rFonts w:ascii="宋体" w:eastAsia="宋体" w:cs="宋体" w:hint="eastAsia"/>
              <w:color w:val="auto"/>
              <w:sz w:val="24"/>
              <w:szCs w:val="24"/>
            </w:rPr>
            <w:instrText xml:space="preserve">TOC \o "1-2" \h \u </w:instrText>
          </w:r>
          <w:r>
            <w:rPr>
              <w:rFonts w:ascii="宋体" w:eastAsia="宋体" w:cs="宋体" w:hint="eastAsia"/>
              <w:color w:val="auto"/>
              <w:sz w:val="24"/>
              <w:szCs w:val="24"/>
            </w:rPr>
            <w:fldChar w:fldCharType="separate"/>
          </w:r>
          <w:r>
            <w:rPr>
              <w:rFonts w:ascii="宋体" w:eastAsia="宋体" w:cs="宋体" w:hint="eastAsia"/>
              <w:color w:val="auto"/>
              <w:sz w:val="24"/>
              <w:szCs w:val="22"/>
            </w:rPr>
            <w:fldChar w:fldCharType="begin"/>
          </w:r>
          <w:r>
            <w:rPr>
              <w:rFonts w:ascii="宋体" w:eastAsia="宋体" w:cs="宋体" w:hint="eastAsia"/>
              <w:color w:val="auto"/>
              <w:sz w:val="24"/>
              <w:szCs w:val="22"/>
            </w:rPr>
            <w:instrText xml:space="preserve"> HYPERLINK \l _Toc11632 </w:instrText>
          </w:r>
          <w:r>
            <w:rPr>
              <w:rFonts w:ascii="宋体" w:eastAsia="宋体" w:cs="宋体" w:hint="eastAsia"/>
              <w:color w:val="auto"/>
              <w:sz w:val="24"/>
              <w:szCs w:val="22"/>
            </w:rPr>
            <w:fldChar w:fldCharType="separate"/>
          </w:r>
          <w:r>
            <w:rPr>
              <w:rFonts w:ascii="黑体" w:eastAsia="黑体" w:hint="eastAsia"/>
              <w:color w:val="auto"/>
              <w:sz w:val="24"/>
              <w:szCs w:val="24"/>
            </w:rPr>
            <w:t>第一部分 单位</w:t>
          </w:r>
          <w:r>
            <w:rPr>
              <w:rFonts w:ascii="黑体" w:eastAsia="黑体" w:hint="eastAsia"/>
              <w:bCs w:val="0"/>
              <w:color w:val="auto"/>
              <w:sz w:val="24"/>
              <w:szCs w:val="24"/>
            </w:rPr>
            <w:t>概况</w:t>
          </w:r>
          <w:r>
            <w:rPr>
              <w:color w:val="auto"/>
              <w:sz w:val="24"/>
              <w:szCs w:val="24"/>
            </w:rPr>
            <w:tab/>
          </w:r>
          <w:r>
            <w:rPr>
              <w:color w:val="auto"/>
              <w:sz w:val="24"/>
              <w:szCs w:val="24"/>
            </w:rPr>
            <w:fldChar w:fldCharType="begin"/>
          </w:r>
          <w:r>
            <w:rPr>
              <w:color w:val="auto"/>
              <w:sz w:val="24"/>
              <w:szCs w:val="24"/>
            </w:rPr>
            <w:instrText xml:space="preserve"> PAGEREF _Toc11632 \h </w:instrText>
          </w:r>
          <w:r>
            <w:rPr>
              <w:color w:val="auto"/>
              <w:sz w:val="24"/>
              <w:szCs w:val="24"/>
            </w:rPr>
            <w:fldChar w:fldCharType="separate"/>
          </w:r>
          <w:r>
            <w:rPr>
              <w:color w:val="auto"/>
              <w:sz w:val="24"/>
              <w:szCs w:val="24"/>
            </w:rPr>
            <w:t>3</w:t>
          </w:r>
          <w:r>
            <w:rPr>
              <w:color w:val="auto"/>
              <w:sz w:val="24"/>
              <w:szCs w:val="24"/>
            </w:rPr>
            <w:fldChar w:fldCharType="end"/>
          </w:r>
          <w:r>
            <w:rPr>
              <w:rFonts w:ascii="宋体" w:eastAsia="宋体" w:cs="宋体" w:hint="eastAsia"/>
              <w:color w:val="auto"/>
              <w:sz w:val="24"/>
              <w:szCs w:val="22"/>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_Toc30177 </w:instrText>
          </w:r>
          <w:r>
            <w:rPr>
              <w:rFonts w:ascii="宋体" w:eastAsia="宋体" w:cs="宋体" w:hint="eastAsia"/>
              <w:color w:val="auto"/>
              <w:sz w:val="20"/>
              <w:szCs w:val="16"/>
            </w:rPr>
            <w:fldChar w:fldCharType="separate"/>
          </w:r>
          <w:r>
            <w:rPr>
              <w:rFonts w:ascii="黑体" w:eastAsia="黑体" w:hint="eastAsia"/>
              <w:bCs w:val="0"/>
              <w:color w:val="auto"/>
              <w:sz w:val="20"/>
              <w:szCs w:val="22"/>
            </w:rPr>
            <w:t>一、 主要职责</w:t>
          </w:r>
          <w:r>
            <w:rPr>
              <w:color w:val="auto"/>
              <w:sz w:val="20"/>
              <w:szCs w:val="22"/>
            </w:rPr>
            <w:tab/>
          </w:r>
          <w:r>
            <w:rPr>
              <w:color w:val="auto"/>
              <w:sz w:val="20"/>
              <w:szCs w:val="22"/>
            </w:rPr>
            <w:fldChar w:fldCharType="begin"/>
          </w:r>
          <w:r>
            <w:rPr>
              <w:color w:val="auto"/>
              <w:sz w:val="20"/>
              <w:szCs w:val="22"/>
            </w:rPr>
            <w:instrText xml:space="preserve"> PAGEREF _Toc30177 \h </w:instrText>
          </w:r>
          <w:r>
            <w:rPr>
              <w:color w:val="auto"/>
              <w:sz w:val="20"/>
              <w:szCs w:val="22"/>
            </w:rPr>
            <w:fldChar w:fldCharType="separate"/>
          </w:r>
          <w:r>
            <w:rPr>
              <w:color w:val="auto"/>
              <w:sz w:val="20"/>
              <w:szCs w:val="22"/>
            </w:rPr>
            <w:t>3</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_Toc12715 </w:instrText>
          </w:r>
          <w:r>
            <w:rPr>
              <w:rFonts w:ascii="宋体" w:eastAsia="宋体" w:cs="宋体" w:hint="eastAsia"/>
              <w:color w:val="auto"/>
              <w:sz w:val="20"/>
              <w:szCs w:val="16"/>
            </w:rPr>
            <w:fldChar w:fldCharType="separate"/>
          </w:r>
          <w:r>
            <w:rPr>
              <w:rFonts w:ascii="黑体" w:eastAsia="黑体" w:hint="eastAsia"/>
              <w:color w:val="auto"/>
              <w:sz w:val="20"/>
              <w:szCs w:val="22"/>
            </w:rPr>
            <w:t>二、机构设置</w:t>
          </w:r>
          <w:r>
            <w:rPr>
              <w:color w:val="auto"/>
              <w:sz w:val="20"/>
              <w:szCs w:val="22"/>
            </w:rPr>
            <w:tab/>
          </w:r>
          <w:r>
            <w:rPr>
              <w:color w:val="auto"/>
              <w:sz w:val="20"/>
              <w:szCs w:val="22"/>
            </w:rPr>
            <w:fldChar w:fldCharType="begin"/>
          </w:r>
          <w:r>
            <w:rPr>
              <w:color w:val="auto"/>
              <w:sz w:val="20"/>
              <w:szCs w:val="22"/>
            </w:rPr>
            <w:instrText xml:space="preserve"> PAGEREF _Toc12715 \h </w:instrText>
          </w:r>
          <w:r>
            <w:rPr>
              <w:color w:val="auto"/>
              <w:sz w:val="20"/>
              <w:szCs w:val="22"/>
            </w:rPr>
            <w:fldChar w:fldCharType="separate"/>
          </w:r>
          <w:r>
            <w:rPr>
              <w:color w:val="auto"/>
              <w:sz w:val="20"/>
              <w:szCs w:val="22"/>
            </w:rPr>
            <w:t>3</w:t>
          </w:r>
          <w:r>
            <w:rPr>
              <w:color w:val="auto"/>
              <w:sz w:val="20"/>
              <w:szCs w:val="22"/>
            </w:rPr>
            <w:fldChar w:fldCharType="end"/>
          </w:r>
          <w:r>
            <w:rPr>
              <w:rFonts w:ascii="宋体" w:eastAsia="宋体" w:cs="宋体" w:hint="eastAsia"/>
              <w:color w:val="auto"/>
              <w:sz w:val="20"/>
              <w:szCs w:val="16"/>
            </w:rPr>
            <w:fldChar w:fldCharType="end"/>
          </w:r>
        </w:p>
        <w:p>
          <w:pPr>
            <w:pStyle w:val="22"/>
            <w:tabs>
              <w:tab w:val="clear" w:pos="8296"/>
              <w:tab w:val="right" w:leader="dot" w:pos="8306"/>
            </w:tabs>
            <w:rPr>
              <w:color w:val="auto"/>
              <w:sz w:val="24"/>
              <w:szCs w:val="24"/>
            </w:rPr>
          </w:pPr>
          <w:r>
            <w:rPr>
              <w:rFonts w:ascii="宋体" w:eastAsia="宋体" w:cs="宋体" w:hint="eastAsia"/>
              <w:color w:val="auto"/>
              <w:sz w:val="24"/>
              <w:szCs w:val="16"/>
            </w:rPr>
            <w:fldChar w:fldCharType="begin"/>
          </w:r>
          <w:r>
            <w:rPr>
              <w:rFonts w:ascii="宋体" w:eastAsia="宋体" w:cs="宋体" w:hint="eastAsia"/>
              <w:color w:val="auto"/>
              <w:sz w:val="24"/>
              <w:szCs w:val="16"/>
            </w:rPr>
            <w:instrText xml:space="preserve"> HYPERLINK \l _Toc28075 </w:instrText>
          </w:r>
          <w:r>
            <w:rPr>
              <w:rFonts w:ascii="宋体" w:eastAsia="宋体" w:cs="宋体" w:hint="eastAsia"/>
              <w:color w:val="auto"/>
              <w:sz w:val="24"/>
              <w:szCs w:val="16"/>
            </w:rPr>
            <w:fldChar w:fldCharType="separate"/>
          </w:r>
          <w:r>
            <w:rPr>
              <w:rFonts w:ascii="黑体" w:eastAsia="黑体" w:hint="eastAsia"/>
              <w:color w:val="auto"/>
              <w:sz w:val="24"/>
              <w:szCs w:val="24"/>
            </w:rPr>
            <w:t>第二部分 2025年度</w:t>
          </w:r>
          <w:r>
            <w:rPr>
              <w:rFonts w:ascii="黑体" w:eastAsia="黑体" w:hint="eastAsia"/>
              <w:bCs/>
              <w:color w:val="auto"/>
              <w:sz w:val="24"/>
              <w:szCs w:val="24"/>
            </w:rPr>
            <w:t>单位决算情况说明</w:t>
          </w:r>
          <w:r>
            <w:rPr>
              <w:color w:val="auto"/>
              <w:sz w:val="24"/>
              <w:szCs w:val="24"/>
            </w:rPr>
            <w:tab/>
          </w:r>
          <w:r>
            <w:rPr>
              <w:color w:val="auto"/>
              <w:sz w:val="24"/>
              <w:szCs w:val="24"/>
            </w:rPr>
            <w:fldChar w:fldCharType="begin"/>
          </w:r>
          <w:r>
            <w:rPr>
              <w:color w:val="auto"/>
              <w:sz w:val="24"/>
              <w:szCs w:val="24"/>
            </w:rPr>
            <w:instrText xml:space="preserve"> PAGEREF _Toc28075 \h </w:instrText>
          </w:r>
          <w:r>
            <w:rPr>
              <w:color w:val="auto"/>
              <w:sz w:val="24"/>
              <w:szCs w:val="24"/>
            </w:rPr>
            <w:fldChar w:fldCharType="separate"/>
          </w:r>
          <w:r>
            <w:rPr>
              <w:color w:val="auto"/>
              <w:sz w:val="24"/>
              <w:szCs w:val="24"/>
            </w:rPr>
            <w:t>4</w:t>
          </w:r>
          <w:r>
            <w:rPr>
              <w:color w:val="auto"/>
              <w:sz w:val="24"/>
              <w:szCs w:val="24"/>
            </w:rPr>
            <w:fldChar w:fldCharType="end"/>
          </w:r>
          <w:r>
            <w:rPr>
              <w:rFonts w:ascii="宋体" w:eastAsia="宋体" w:cs="宋体" w:hint="eastAsia"/>
              <w:color w:val="auto"/>
              <w:sz w:val="24"/>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_Toc8069 </w:instrText>
          </w:r>
          <w:r>
            <w:rPr>
              <w:rFonts w:ascii="宋体" w:eastAsia="宋体" w:cs="宋体" w:hint="eastAsia"/>
              <w:color w:val="auto"/>
              <w:sz w:val="20"/>
              <w:szCs w:val="16"/>
            </w:rPr>
            <w:fldChar w:fldCharType="separate"/>
          </w:r>
          <w:r>
            <w:rPr>
              <w:rFonts w:ascii="黑体" w:eastAsia="黑体"/>
              <w:color w:val="auto"/>
              <w:sz w:val="20"/>
              <w:szCs w:val="22"/>
            </w:rPr>
            <w:t xml:space="preserve">一、 </w:t>
          </w:r>
          <w:r>
            <w:rPr>
              <w:rFonts w:ascii="黑体" w:eastAsia="黑体" w:hint="eastAsia"/>
              <w:color w:val="auto"/>
              <w:sz w:val="20"/>
              <w:szCs w:val="28"/>
            </w:rPr>
            <w:t>收</w:t>
          </w:r>
          <w:r>
            <w:rPr>
              <w:rFonts w:ascii="黑体" w:eastAsia="黑体" w:hint="eastAsia"/>
              <w:color w:val="auto"/>
              <w:sz w:val="20"/>
              <w:szCs w:val="22"/>
            </w:rPr>
            <w:t>入支出决算总体情况说明</w:t>
          </w:r>
          <w:r>
            <w:rPr>
              <w:color w:val="auto"/>
              <w:sz w:val="20"/>
              <w:szCs w:val="22"/>
            </w:rPr>
            <w:tab/>
          </w:r>
          <w:r>
            <w:rPr>
              <w:color w:val="auto"/>
              <w:sz w:val="20"/>
              <w:szCs w:val="22"/>
            </w:rPr>
            <w:fldChar w:fldCharType="begin"/>
          </w:r>
          <w:r>
            <w:rPr>
              <w:color w:val="auto"/>
              <w:sz w:val="20"/>
              <w:szCs w:val="22"/>
            </w:rPr>
            <w:instrText xml:space="preserve"> PAGEREF _Toc8069 \h </w:instrText>
          </w:r>
          <w:r>
            <w:rPr>
              <w:color w:val="auto"/>
              <w:sz w:val="20"/>
              <w:szCs w:val="22"/>
            </w:rPr>
            <w:fldChar w:fldCharType="separate"/>
          </w:r>
          <w:r>
            <w:rPr>
              <w:color w:val="auto"/>
              <w:sz w:val="20"/>
              <w:szCs w:val="22"/>
            </w:rPr>
            <w:t>4</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_Toc24830 </w:instrText>
          </w:r>
          <w:r>
            <w:rPr>
              <w:rFonts w:ascii="宋体" w:eastAsia="宋体" w:cs="宋体" w:hint="eastAsia"/>
              <w:color w:val="auto"/>
              <w:sz w:val="20"/>
              <w:szCs w:val="16"/>
            </w:rPr>
            <w:fldChar w:fldCharType="separate"/>
          </w:r>
          <w:r>
            <w:rPr>
              <w:rFonts w:ascii="黑体" w:eastAsia="黑体"/>
              <w:color w:val="auto"/>
              <w:sz w:val="20"/>
              <w:szCs w:val="22"/>
            </w:rPr>
            <w:t xml:space="preserve">二、 </w:t>
          </w:r>
          <w:r>
            <w:rPr>
              <w:rFonts w:ascii="黑体" w:eastAsia="黑体" w:hint="eastAsia"/>
              <w:color w:val="auto"/>
              <w:sz w:val="20"/>
              <w:szCs w:val="28"/>
            </w:rPr>
            <w:t>收</w:t>
          </w:r>
          <w:r>
            <w:rPr>
              <w:rFonts w:ascii="黑体" w:eastAsia="黑体" w:hint="eastAsia"/>
              <w:color w:val="auto"/>
              <w:sz w:val="20"/>
              <w:szCs w:val="22"/>
            </w:rPr>
            <w:t>入决算情况说明</w:t>
          </w:r>
          <w:r>
            <w:rPr>
              <w:color w:val="auto"/>
              <w:sz w:val="20"/>
              <w:szCs w:val="22"/>
            </w:rPr>
            <w:tab/>
          </w:r>
          <w:r>
            <w:rPr>
              <w:color w:val="auto"/>
              <w:sz w:val="20"/>
              <w:szCs w:val="22"/>
            </w:rPr>
            <w:fldChar w:fldCharType="begin"/>
          </w:r>
          <w:r>
            <w:rPr>
              <w:color w:val="auto"/>
              <w:sz w:val="20"/>
              <w:szCs w:val="22"/>
            </w:rPr>
            <w:instrText xml:space="preserve"> PAGEREF _Toc24830 \h </w:instrText>
          </w:r>
          <w:r>
            <w:rPr>
              <w:color w:val="auto"/>
              <w:sz w:val="20"/>
              <w:szCs w:val="22"/>
            </w:rPr>
            <w:fldChar w:fldCharType="separate"/>
          </w:r>
          <w:r>
            <w:rPr>
              <w:color w:val="auto"/>
              <w:sz w:val="20"/>
              <w:szCs w:val="22"/>
            </w:rPr>
            <w:t>4</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_Toc1712 </w:instrText>
          </w:r>
          <w:r>
            <w:rPr>
              <w:rFonts w:ascii="宋体" w:eastAsia="宋体" w:cs="宋体" w:hint="eastAsia"/>
              <w:color w:val="auto"/>
              <w:sz w:val="20"/>
              <w:szCs w:val="16"/>
            </w:rPr>
            <w:fldChar w:fldCharType="separate"/>
          </w:r>
          <w:r>
            <w:rPr>
              <w:rFonts w:ascii="黑体" w:eastAsia="黑体"/>
              <w:color w:val="auto"/>
              <w:sz w:val="20"/>
              <w:szCs w:val="22"/>
            </w:rPr>
            <w:t xml:space="preserve">三、 </w:t>
          </w:r>
          <w:r>
            <w:rPr>
              <w:rFonts w:ascii="黑体" w:eastAsia="黑体" w:hint="eastAsia"/>
              <w:color w:val="auto"/>
              <w:sz w:val="20"/>
              <w:szCs w:val="28"/>
            </w:rPr>
            <w:t>支</w:t>
          </w:r>
          <w:r>
            <w:rPr>
              <w:rFonts w:ascii="黑体" w:eastAsia="黑体" w:hint="eastAsia"/>
              <w:color w:val="auto"/>
              <w:sz w:val="20"/>
              <w:szCs w:val="22"/>
            </w:rPr>
            <w:t>出决算情况说明</w:t>
          </w:r>
          <w:r>
            <w:rPr>
              <w:color w:val="auto"/>
              <w:sz w:val="20"/>
              <w:szCs w:val="22"/>
            </w:rPr>
            <w:tab/>
          </w:r>
          <w:r>
            <w:rPr>
              <w:color w:val="auto"/>
              <w:sz w:val="20"/>
              <w:szCs w:val="22"/>
            </w:rPr>
            <w:fldChar w:fldCharType="begin"/>
          </w:r>
          <w:r>
            <w:rPr>
              <w:color w:val="auto"/>
              <w:sz w:val="20"/>
              <w:szCs w:val="22"/>
            </w:rPr>
            <w:instrText xml:space="preserve"> PAGEREF _Toc1712 \h </w:instrText>
          </w:r>
          <w:r>
            <w:rPr>
              <w:color w:val="auto"/>
              <w:sz w:val="20"/>
              <w:szCs w:val="22"/>
            </w:rPr>
            <w:fldChar w:fldCharType="separate"/>
          </w:r>
          <w:r>
            <w:rPr>
              <w:color w:val="auto"/>
              <w:sz w:val="20"/>
              <w:szCs w:val="22"/>
            </w:rPr>
            <w:t>5</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_Toc3004 </w:instrText>
          </w:r>
          <w:r>
            <w:rPr>
              <w:rFonts w:ascii="宋体" w:eastAsia="宋体" w:cs="宋体" w:hint="eastAsia"/>
              <w:color w:val="auto"/>
              <w:sz w:val="20"/>
              <w:szCs w:val="16"/>
            </w:rPr>
            <w:fldChar w:fldCharType="separate"/>
          </w:r>
          <w:r>
            <w:rPr>
              <w:rFonts w:ascii="黑体" w:eastAsia="黑体" w:hint="eastAsia"/>
              <w:color w:val="auto"/>
              <w:sz w:val="20"/>
              <w:szCs w:val="28"/>
            </w:rPr>
            <w:t>四、财</w:t>
          </w:r>
          <w:r>
            <w:rPr>
              <w:rFonts w:ascii="黑体" w:eastAsia="黑体" w:hint="eastAsia"/>
              <w:color w:val="auto"/>
              <w:sz w:val="20"/>
              <w:szCs w:val="22"/>
            </w:rPr>
            <w:t>政拨款收入支出决算总体情况说明</w:t>
          </w:r>
          <w:r>
            <w:rPr>
              <w:color w:val="auto"/>
              <w:sz w:val="20"/>
              <w:szCs w:val="22"/>
            </w:rPr>
            <w:tab/>
          </w:r>
          <w:r>
            <w:rPr>
              <w:color w:val="auto"/>
              <w:sz w:val="20"/>
              <w:szCs w:val="22"/>
            </w:rPr>
            <w:fldChar w:fldCharType="begin"/>
          </w:r>
          <w:r>
            <w:rPr>
              <w:color w:val="auto"/>
              <w:sz w:val="20"/>
              <w:szCs w:val="22"/>
            </w:rPr>
            <w:instrText xml:space="preserve"> PAGEREF _Toc3004 \h </w:instrText>
          </w:r>
          <w:r>
            <w:rPr>
              <w:color w:val="auto"/>
              <w:sz w:val="20"/>
              <w:szCs w:val="22"/>
            </w:rPr>
            <w:fldChar w:fldCharType="separate"/>
          </w:r>
          <w:r>
            <w:rPr>
              <w:color w:val="auto"/>
              <w:sz w:val="20"/>
              <w:szCs w:val="22"/>
            </w:rPr>
            <w:t>6</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_Toc3422 </w:instrText>
          </w:r>
          <w:r>
            <w:rPr>
              <w:rFonts w:ascii="宋体" w:eastAsia="宋体" w:cs="宋体" w:hint="eastAsia"/>
              <w:color w:val="auto"/>
              <w:sz w:val="20"/>
              <w:szCs w:val="16"/>
            </w:rPr>
            <w:fldChar w:fldCharType="separate"/>
          </w:r>
          <w:r>
            <w:rPr>
              <w:rFonts w:ascii="黑体" w:eastAsia="黑体" w:hint="eastAsia"/>
              <w:color w:val="auto"/>
              <w:sz w:val="20"/>
              <w:szCs w:val="28"/>
            </w:rPr>
            <w:t>五、一</w:t>
          </w:r>
          <w:r>
            <w:rPr>
              <w:rFonts w:ascii="黑体" w:eastAsia="黑体" w:hint="eastAsia"/>
              <w:color w:val="auto"/>
              <w:sz w:val="20"/>
              <w:szCs w:val="22"/>
            </w:rPr>
            <w:t>般公共预算财政拨款支出决算情况说明</w:t>
          </w:r>
          <w:r>
            <w:rPr>
              <w:color w:val="auto"/>
              <w:sz w:val="20"/>
              <w:szCs w:val="22"/>
            </w:rPr>
            <w:tab/>
          </w:r>
          <w:r>
            <w:rPr>
              <w:color w:val="auto"/>
              <w:sz w:val="20"/>
              <w:szCs w:val="22"/>
            </w:rPr>
            <w:fldChar w:fldCharType="begin"/>
          </w:r>
          <w:r>
            <w:rPr>
              <w:color w:val="auto"/>
              <w:sz w:val="20"/>
              <w:szCs w:val="22"/>
            </w:rPr>
            <w:instrText xml:space="preserve"> PAGEREF _Toc3422 \h </w:instrText>
          </w:r>
          <w:r>
            <w:rPr>
              <w:color w:val="auto"/>
              <w:sz w:val="20"/>
              <w:szCs w:val="22"/>
            </w:rPr>
            <w:fldChar w:fldCharType="separate"/>
          </w:r>
          <w:r>
            <w:rPr>
              <w:color w:val="auto"/>
              <w:sz w:val="20"/>
              <w:szCs w:val="22"/>
            </w:rPr>
            <w:t>6</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_Toc15509 </w:instrText>
          </w:r>
          <w:r>
            <w:rPr>
              <w:rFonts w:ascii="宋体" w:eastAsia="宋体" w:cs="宋体" w:hint="eastAsia"/>
              <w:color w:val="auto"/>
              <w:sz w:val="20"/>
              <w:szCs w:val="16"/>
            </w:rPr>
            <w:fldChar w:fldCharType="separate"/>
          </w:r>
          <w:r>
            <w:rPr>
              <w:rFonts w:ascii="黑体" w:eastAsia="黑体" w:hint="eastAsia"/>
              <w:color w:val="auto"/>
              <w:sz w:val="20"/>
              <w:szCs w:val="28"/>
            </w:rPr>
            <w:t>六、一</w:t>
          </w:r>
          <w:r>
            <w:rPr>
              <w:rFonts w:ascii="黑体" w:eastAsia="黑体" w:hint="eastAsia"/>
              <w:color w:val="auto"/>
              <w:sz w:val="20"/>
              <w:szCs w:val="22"/>
            </w:rPr>
            <w:t>般公共预算财政拨款基本支出决算情况说明</w:t>
          </w:r>
          <w:r>
            <w:rPr>
              <w:color w:val="auto"/>
              <w:sz w:val="20"/>
              <w:szCs w:val="22"/>
            </w:rPr>
            <w:tab/>
          </w:r>
          <w:r>
            <w:rPr>
              <w:color w:val="auto"/>
              <w:sz w:val="20"/>
              <w:szCs w:val="22"/>
            </w:rPr>
            <w:fldChar w:fldCharType="begin"/>
          </w:r>
          <w:r>
            <w:rPr>
              <w:color w:val="auto"/>
              <w:sz w:val="20"/>
              <w:szCs w:val="22"/>
            </w:rPr>
            <w:instrText xml:space="preserve"> PAGEREF _Toc15509 \h </w:instrText>
          </w:r>
          <w:r>
            <w:rPr>
              <w:color w:val="auto"/>
              <w:sz w:val="20"/>
              <w:szCs w:val="22"/>
            </w:rPr>
            <w:fldChar w:fldCharType="separate"/>
          </w:r>
          <w:r>
            <w:rPr>
              <w:color w:val="auto"/>
              <w:sz w:val="20"/>
              <w:szCs w:val="22"/>
            </w:rPr>
            <w:t>9</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_Toc8014 </w:instrText>
          </w:r>
          <w:r>
            <w:rPr>
              <w:rFonts w:ascii="宋体" w:eastAsia="宋体" w:cs="宋体" w:hint="eastAsia"/>
              <w:color w:val="auto"/>
              <w:sz w:val="20"/>
              <w:szCs w:val="16"/>
            </w:rPr>
            <w:fldChar w:fldCharType="separate"/>
          </w:r>
          <w:r>
            <w:rPr>
              <w:rFonts w:ascii="黑体" w:eastAsia="黑体" w:hint="eastAsia"/>
              <w:color w:val="auto"/>
              <w:sz w:val="20"/>
              <w:szCs w:val="28"/>
            </w:rPr>
            <w:t>七、</w:t>
          </w:r>
          <w:r>
            <w:rPr>
              <w:rFonts w:ascii="黑体" w:eastAsia="黑体" w:hint="eastAsia"/>
              <w:color w:val="auto"/>
              <w:sz w:val="20"/>
              <w:szCs w:val="22"/>
            </w:rPr>
            <w:t>财政拨款“三公”经费支出决算情况说明</w:t>
          </w:r>
          <w:r>
            <w:rPr>
              <w:color w:val="auto"/>
              <w:sz w:val="20"/>
              <w:szCs w:val="22"/>
            </w:rPr>
            <w:tab/>
          </w:r>
          <w:r>
            <w:rPr>
              <w:color w:val="auto"/>
              <w:sz w:val="20"/>
              <w:szCs w:val="22"/>
            </w:rPr>
            <w:fldChar w:fldCharType="begin"/>
          </w:r>
          <w:r>
            <w:rPr>
              <w:color w:val="auto"/>
              <w:sz w:val="20"/>
              <w:szCs w:val="22"/>
            </w:rPr>
            <w:instrText xml:space="preserve"> PAGEREF _Toc8014 \h </w:instrText>
          </w:r>
          <w:r>
            <w:rPr>
              <w:color w:val="auto"/>
              <w:sz w:val="20"/>
              <w:szCs w:val="22"/>
            </w:rPr>
            <w:fldChar w:fldCharType="separate"/>
          </w:r>
          <w:r>
            <w:rPr>
              <w:color w:val="auto"/>
              <w:sz w:val="20"/>
              <w:szCs w:val="22"/>
            </w:rPr>
            <w:t>10</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_Toc16376 </w:instrText>
          </w:r>
          <w:r>
            <w:rPr>
              <w:rFonts w:ascii="宋体" w:eastAsia="宋体" w:cs="宋体" w:hint="eastAsia"/>
              <w:color w:val="auto"/>
              <w:sz w:val="20"/>
              <w:szCs w:val="16"/>
            </w:rPr>
            <w:fldChar w:fldCharType="separate"/>
          </w:r>
          <w:r>
            <w:rPr>
              <w:rFonts w:ascii="黑体" w:eastAsia="黑体" w:hint="eastAsia"/>
              <w:color w:val="auto"/>
              <w:sz w:val="20"/>
              <w:szCs w:val="28"/>
            </w:rPr>
            <w:t>八、</w:t>
          </w:r>
          <w:r>
            <w:rPr>
              <w:rFonts w:ascii="黑体" w:eastAsia="黑体" w:hint="eastAsia"/>
              <w:color w:val="auto"/>
              <w:sz w:val="20"/>
              <w:szCs w:val="22"/>
            </w:rPr>
            <w:t>政府性基金预算支出决算情况说明</w:t>
          </w:r>
          <w:r>
            <w:rPr>
              <w:color w:val="auto"/>
              <w:sz w:val="20"/>
              <w:szCs w:val="22"/>
            </w:rPr>
            <w:tab/>
          </w:r>
          <w:r>
            <w:rPr>
              <w:color w:val="auto"/>
              <w:sz w:val="20"/>
              <w:szCs w:val="22"/>
            </w:rPr>
            <w:fldChar w:fldCharType="begin"/>
          </w:r>
          <w:r>
            <w:rPr>
              <w:color w:val="auto"/>
              <w:sz w:val="20"/>
              <w:szCs w:val="22"/>
            </w:rPr>
            <w:instrText xml:space="preserve"> PAGEREF _Toc16376 \h </w:instrText>
          </w:r>
          <w:r>
            <w:rPr>
              <w:color w:val="auto"/>
              <w:sz w:val="20"/>
              <w:szCs w:val="22"/>
            </w:rPr>
            <w:fldChar w:fldCharType="separate"/>
          </w:r>
          <w:r>
            <w:rPr>
              <w:color w:val="auto"/>
              <w:sz w:val="20"/>
              <w:szCs w:val="22"/>
            </w:rPr>
            <w:t>12</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_Toc30119 </w:instrText>
          </w:r>
          <w:r>
            <w:rPr>
              <w:rFonts w:ascii="宋体" w:eastAsia="宋体" w:cs="宋体" w:hint="eastAsia"/>
              <w:color w:val="auto"/>
              <w:sz w:val="20"/>
              <w:szCs w:val="16"/>
            </w:rPr>
            <w:fldChar w:fldCharType="separate"/>
          </w:r>
          <w:r>
            <w:rPr>
              <w:rFonts w:ascii="黑体" w:eastAsia="黑体" w:hint="eastAsia"/>
              <w:color w:val="auto"/>
              <w:sz w:val="20"/>
              <w:szCs w:val="22"/>
            </w:rPr>
            <w:t>九、 国有资本经营预算支出决算情况说明</w:t>
          </w:r>
          <w:r>
            <w:rPr>
              <w:color w:val="auto"/>
              <w:sz w:val="20"/>
              <w:szCs w:val="22"/>
            </w:rPr>
            <w:tab/>
          </w:r>
          <w:r>
            <w:rPr>
              <w:color w:val="auto"/>
              <w:sz w:val="20"/>
              <w:szCs w:val="22"/>
            </w:rPr>
            <w:fldChar w:fldCharType="begin"/>
          </w:r>
          <w:r>
            <w:rPr>
              <w:color w:val="auto"/>
              <w:sz w:val="20"/>
              <w:szCs w:val="22"/>
            </w:rPr>
            <w:instrText xml:space="preserve"> PAGEREF _Toc30119 \h </w:instrText>
          </w:r>
          <w:r>
            <w:rPr>
              <w:color w:val="auto"/>
              <w:sz w:val="20"/>
              <w:szCs w:val="22"/>
            </w:rPr>
            <w:fldChar w:fldCharType="separate"/>
          </w:r>
          <w:r>
            <w:rPr>
              <w:color w:val="auto"/>
              <w:sz w:val="20"/>
              <w:szCs w:val="22"/>
            </w:rPr>
            <w:t>12</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_Toc30470 </w:instrText>
          </w:r>
          <w:r>
            <w:rPr>
              <w:rFonts w:ascii="宋体" w:eastAsia="宋体" w:cs="宋体" w:hint="eastAsia"/>
              <w:color w:val="auto"/>
              <w:sz w:val="20"/>
              <w:szCs w:val="16"/>
            </w:rPr>
            <w:fldChar w:fldCharType="separate"/>
          </w:r>
          <w:r>
            <w:rPr>
              <w:rFonts w:ascii="黑体" w:eastAsia="黑体" w:hint="eastAsia"/>
              <w:color w:val="auto"/>
              <w:sz w:val="20"/>
              <w:szCs w:val="22"/>
            </w:rPr>
            <w:t>十、 其他重要事项的情况说明</w:t>
          </w:r>
          <w:r>
            <w:rPr>
              <w:color w:val="auto"/>
              <w:sz w:val="20"/>
              <w:szCs w:val="22"/>
            </w:rPr>
            <w:tab/>
          </w:r>
          <w:r>
            <w:rPr>
              <w:color w:val="auto"/>
              <w:sz w:val="20"/>
              <w:szCs w:val="22"/>
            </w:rPr>
            <w:fldChar w:fldCharType="begin"/>
          </w:r>
          <w:r>
            <w:rPr>
              <w:color w:val="auto"/>
              <w:sz w:val="20"/>
              <w:szCs w:val="22"/>
            </w:rPr>
            <w:instrText xml:space="preserve"> PAGEREF _Toc30470 \h </w:instrText>
          </w:r>
          <w:r>
            <w:rPr>
              <w:color w:val="auto"/>
              <w:sz w:val="20"/>
              <w:szCs w:val="22"/>
            </w:rPr>
            <w:fldChar w:fldCharType="separate"/>
          </w:r>
          <w:r>
            <w:rPr>
              <w:color w:val="auto"/>
              <w:sz w:val="20"/>
              <w:szCs w:val="22"/>
            </w:rPr>
            <w:t>12</w:t>
          </w:r>
          <w:r>
            <w:rPr>
              <w:color w:val="auto"/>
              <w:sz w:val="20"/>
              <w:szCs w:val="22"/>
            </w:rPr>
            <w:fldChar w:fldCharType="end"/>
          </w:r>
          <w:r>
            <w:rPr>
              <w:rFonts w:ascii="宋体" w:eastAsia="宋体" w:cs="宋体" w:hint="eastAsia"/>
              <w:color w:val="auto"/>
              <w:sz w:val="20"/>
              <w:szCs w:val="16"/>
            </w:rPr>
            <w:fldChar w:fldCharType="end"/>
          </w:r>
        </w:p>
        <w:p>
          <w:pPr>
            <w:pStyle w:val="22"/>
            <w:tabs>
              <w:tab w:val="clear" w:pos="8296"/>
              <w:tab w:val="right" w:leader="dot" w:pos="8306"/>
            </w:tabs>
            <w:rPr>
              <w:color w:val="auto"/>
              <w:sz w:val="24"/>
              <w:szCs w:val="24"/>
            </w:rPr>
          </w:pPr>
          <w:r>
            <w:rPr>
              <w:rFonts w:ascii="宋体" w:eastAsia="宋体" w:cs="宋体" w:hint="eastAsia"/>
              <w:color w:val="auto"/>
              <w:sz w:val="24"/>
              <w:szCs w:val="16"/>
            </w:rPr>
            <w:fldChar w:fldCharType="begin"/>
          </w:r>
          <w:r>
            <w:rPr>
              <w:rFonts w:ascii="宋体" w:eastAsia="宋体" w:cs="宋体" w:hint="eastAsia"/>
              <w:color w:val="auto"/>
              <w:sz w:val="24"/>
              <w:szCs w:val="16"/>
            </w:rPr>
            <w:instrText xml:space="preserve"> HYPERLINK \l _Toc3922 </w:instrText>
          </w:r>
          <w:r>
            <w:rPr>
              <w:rFonts w:ascii="宋体" w:eastAsia="宋体" w:cs="宋体" w:hint="eastAsia"/>
              <w:color w:val="auto"/>
              <w:sz w:val="24"/>
              <w:szCs w:val="16"/>
            </w:rPr>
            <w:fldChar w:fldCharType="separate"/>
          </w:r>
          <w:r>
            <w:rPr>
              <w:rFonts w:ascii="黑体" w:eastAsia="黑体" w:cs="黑体" w:hint="eastAsia"/>
              <w:color w:val="auto"/>
              <w:sz w:val="24"/>
              <w:szCs w:val="40"/>
            </w:rPr>
            <w:t xml:space="preserve">第三部分 </w:t>
          </w:r>
          <w:r>
            <w:rPr>
              <w:rFonts w:ascii="黑体" w:eastAsia="黑体" w:hint="eastAsia"/>
              <w:color w:val="auto"/>
              <w:sz w:val="24"/>
              <w:szCs w:val="40"/>
            </w:rPr>
            <w:t>名</w:t>
          </w:r>
          <w:r>
            <w:rPr>
              <w:rFonts w:ascii="黑体" w:eastAsia="黑体" w:hint="eastAsia"/>
              <w:color w:val="auto"/>
              <w:sz w:val="24"/>
              <w:szCs w:val="24"/>
            </w:rPr>
            <w:t>词解释</w:t>
          </w:r>
          <w:r>
            <w:rPr>
              <w:color w:val="auto"/>
              <w:sz w:val="24"/>
              <w:szCs w:val="24"/>
            </w:rPr>
            <w:tab/>
          </w:r>
          <w:r>
            <w:rPr>
              <w:color w:val="auto"/>
              <w:sz w:val="24"/>
              <w:szCs w:val="24"/>
            </w:rPr>
            <w:fldChar w:fldCharType="begin"/>
          </w:r>
          <w:r>
            <w:rPr>
              <w:color w:val="auto"/>
              <w:sz w:val="24"/>
              <w:szCs w:val="24"/>
            </w:rPr>
            <w:instrText xml:space="preserve"> PAGEREF _Toc3922 \h </w:instrText>
          </w:r>
          <w:r>
            <w:rPr>
              <w:color w:val="auto"/>
              <w:sz w:val="24"/>
              <w:szCs w:val="24"/>
            </w:rPr>
            <w:fldChar w:fldCharType="separate"/>
          </w:r>
          <w:r>
            <w:rPr>
              <w:color w:val="auto"/>
              <w:sz w:val="24"/>
              <w:szCs w:val="24"/>
            </w:rPr>
            <w:t>14</w:t>
          </w:r>
          <w:r>
            <w:rPr>
              <w:color w:val="auto"/>
              <w:sz w:val="24"/>
              <w:szCs w:val="24"/>
            </w:rPr>
            <w:fldChar w:fldCharType="end"/>
          </w:r>
          <w:r>
            <w:rPr>
              <w:rFonts w:ascii="宋体" w:eastAsia="宋体" w:cs="宋体" w:hint="eastAsia"/>
              <w:color w:val="auto"/>
              <w:sz w:val="24"/>
              <w:szCs w:val="16"/>
            </w:rPr>
            <w:fldChar w:fldCharType="end"/>
          </w:r>
        </w:p>
        <w:p>
          <w:pPr>
            <w:pStyle w:val="22"/>
            <w:tabs>
              <w:tab w:val="clear" w:pos="8296"/>
              <w:tab w:val="right" w:leader="dot" w:pos="8306"/>
            </w:tabs>
            <w:rPr>
              <w:color w:val="auto"/>
              <w:sz w:val="24"/>
              <w:szCs w:val="24"/>
            </w:rPr>
          </w:pPr>
          <w:r>
            <w:rPr>
              <w:rFonts w:ascii="宋体" w:eastAsia="宋体" w:cs="宋体" w:hint="eastAsia"/>
              <w:color w:val="auto"/>
              <w:sz w:val="24"/>
              <w:szCs w:val="16"/>
            </w:rPr>
            <w:fldChar w:fldCharType="begin"/>
          </w:r>
          <w:r>
            <w:rPr>
              <w:rFonts w:ascii="宋体" w:eastAsia="宋体" w:cs="宋体" w:hint="eastAsia"/>
              <w:color w:val="auto"/>
              <w:sz w:val="24"/>
              <w:szCs w:val="16"/>
            </w:rPr>
            <w:instrText xml:space="preserve"> HYPERLINK \l _Toc9763 </w:instrText>
          </w:r>
          <w:r>
            <w:rPr>
              <w:rFonts w:ascii="宋体" w:eastAsia="宋体" w:cs="宋体" w:hint="eastAsia"/>
              <w:color w:val="auto"/>
              <w:sz w:val="24"/>
              <w:szCs w:val="16"/>
            </w:rPr>
            <w:fldChar w:fldCharType="separate"/>
          </w:r>
          <w:r>
            <w:rPr>
              <w:rFonts w:ascii="黑体" w:eastAsia="黑体" w:cs="Times New Roman" w:hint="eastAsia"/>
              <w:bCs/>
              <w:color w:val="auto"/>
              <w:kern w:val="44"/>
              <w:sz w:val="24"/>
              <w:szCs w:val="40"/>
              <w:lang w:val="en-US" w:eastAsia="zh-CN" w:bidi="ar-SA"/>
            </w:rPr>
            <w:t>第四部分 附件</w:t>
          </w:r>
          <w:r>
            <w:rPr>
              <w:color w:val="auto"/>
              <w:sz w:val="24"/>
              <w:szCs w:val="24"/>
            </w:rPr>
            <w:tab/>
          </w:r>
          <w:r>
            <w:rPr>
              <w:color w:val="auto"/>
              <w:sz w:val="24"/>
              <w:szCs w:val="24"/>
            </w:rPr>
            <w:fldChar w:fldCharType="begin"/>
          </w:r>
          <w:r>
            <w:rPr>
              <w:color w:val="auto"/>
              <w:sz w:val="24"/>
              <w:szCs w:val="24"/>
            </w:rPr>
            <w:instrText xml:space="preserve"> PAGEREF _Toc9763 \h </w:instrText>
          </w:r>
          <w:r>
            <w:rPr>
              <w:color w:val="auto"/>
              <w:sz w:val="24"/>
              <w:szCs w:val="24"/>
            </w:rPr>
            <w:fldChar w:fldCharType="separate"/>
          </w:r>
          <w:r>
            <w:rPr>
              <w:color w:val="auto"/>
              <w:sz w:val="24"/>
              <w:szCs w:val="24"/>
            </w:rPr>
            <w:t>18</w:t>
          </w:r>
          <w:r>
            <w:rPr>
              <w:color w:val="auto"/>
              <w:sz w:val="24"/>
              <w:szCs w:val="24"/>
            </w:rPr>
            <w:fldChar w:fldCharType="end"/>
          </w:r>
          <w:r>
            <w:rPr>
              <w:rFonts w:ascii="宋体" w:eastAsia="宋体" w:cs="宋体" w:hint="eastAsia"/>
              <w:color w:val="auto"/>
              <w:sz w:val="24"/>
              <w:szCs w:val="16"/>
            </w:rPr>
            <w:fldChar w:fldCharType="end"/>
          </w:r>
        </w:p>
        <w:p>
          <w:pPr>
            <w:pStyle w:val="22"/>
            <w:tabs>
              <w:tab w:val="clear" w:pos="8296"/>
              <w:tab w:val="right" w:leader="dot" w:pos="8306"/>
            </w:tabs>
            <w:rPr>
              <w:color w:val="auto"/>
              <w:sz w:val="24"/>
              <w:szCs w:val="24"/>
            </w:rPr>
          </w:pPr>
          <w:r>
            <w:rPr>
              <w:rFonts w:ascii="宋体" w:eastAsia="宋体" w:cs="宋体" w:hint="eastAsia"/>
              <w:color w:val="auto"/>
              <w:sz w:val="24"/>
              <w:szCs w:val="16"/>
            </w:rPr>
            <w:fldChar w:fldCharType="begin"/>
          </w:r>
          <w:r>
            <w:rPr>
              <w:rFonts w:ascii="宋体" w:eastAsia="宋体" w:cs="宋体" w:hint="eastAsia"/>
              <w:color w:val="auto"/>
              <w:sz w:val="24"/>
              <w:szCs w:val="16"/>
            </w:rPr>
            <w:instrText xml:space="preserve"> HYPERLINK \l _Toc25533 </w:instrText>
          </w:r>
          <w:r>
            <w:rPr>
              <w:rFonts w:ascii="宋体" w:eastAsia="宋体" w:cs="宋体" w:hint="eastAsia"/>
              <w:color w:val="auto"/>
              <w:sz w:val="24"/>
              <w:szCs w:val="16"/>
            </w:rPr>
            <w:fldChar w:fldCharType="separate"/>
          </w:r>
          <w:r>
            <w:rPr>
              <w:rFonts w:ascii="黑体" w:eastAsia="黑体" w:hint="eastAsia"/>
              <w:color w:val="auto"/>
              <w:sz w:val="24"/>
              <w:szCs w:val="40"/>
            </w:rPr>
            <w:t>第</w:t>
          </w:r>
          <w:r>
            <w:rPr>
              <w:rFonts w:ascii="黑体" w:eastAsia="黑体" w:hint="eastAsia"/>
              <w:color w:val="auto"/>
              <w:sz w:val="24"/>
              <w:szCs w:val="24"/>
            </w:rPr>
            <w:t>五部分 附表</w:t>
          </w:r>
          <w:r>
            <w:rPr>
              <w:color w:val="auto"/>
              <w:sz w:val="24"/>
              <w:szCs w:val="24"/>
            </w:rPr>
            <w:tab/>
          </w:r>
          <w:r>
            <w:rPr>
              <w:color w:val="auto"/>
              <w:sz w:val="24"/>
              <w:szCs w:val="24"/>
            </w:rPr>
            <w:fldChar w:fldCharType="begin"/>
          </w:r>
          <w:r>
            <w:rPr>
              <w:color w:val="auto"/>
              <w:sz w:val="24"/>
              <w:szCs w:val="24"/>
            </w:rPr>
            <w:instrText xml:space="preserve"> PAGEREF _Toc25533 \h </w:instrText>
          </w:r>
          <w:r>
            <w:rPr>
              <w:color w:val="auto"/>
              <w:sz w:val="24"/>
              <w:szCs w:val="24"/>
            </w:rPr>
            <w:fldChar w:fldCharType="separate"/>
          </w:r>
          <w:r>
            <w:rPr>
              <w:color w:val="auto"/>
              <w:sz w:val="24"/>
              <w:szCs w:val="24"/>
            </w:rPr>
            <w:t>51</w:t>
          </w:r>
          <w:r>
            <w:rPr>
              <w:color w:val="auto"/>
              <w:sz w:val="24"/>
              <w:szCs w:val="24"/>
            </w:rPr>
            <w:fldChar w:fldCharType="end"/>
          </w:r>
          <w:r>
            <w:rPr>
              <w:rFonts w:ascii="宋体" w:eastAsia="宋体" w:cs="宋体" w:hint="eastAsia"/>
              <w:color w:val="auto"/>
              <w:sz w:val="24"/>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_Toc316 </w:instrText>
          </w:r>
          <w:r>
            <w:rPr>
              <w:rFonts w:ascii="宋体" w:eastAsia="宋体" w:cs="宋体" w:hint="eastAsia"/>
              <w:color w:val="auto"/>
              <w:sz w:val="20"/>
              <w:szCs w:val="16"/>
            </w:rPr>
            <w:fldChar w:fldCharType="separate"/>
          </w:r>
          <w:r>
            <w:rPr>
              <w:rFonts w:ascii="仿宋" w:eastAsia="仿宋" w:hint="eastAsia"/>
              <w:bCs w:val="0"/>
              <w:color w:val="auto"/>
              <w:sz w:val="20"/>
              <w:szCs w:val="22"/>
            </w:rPr>
            <w:t>一、收入支出决算总表</w:t>
          </w:r>
          <w:r>
            <w:rPr>
              <w:color w:val="auto"/>
              <w:sz w:val="20"/>
              <w:szCs w:val="22"/>
            </w:rPr>
            <w:tab/>
          </w:r>
          <w:r>
            <w:rPr>
              <w:color w:val="auto"/>
              <w:sz w:val="20"/>
              <w:szCs w:val="22"/>
            </w:rPr>
            <w:fldChar w:fldCharType="begin"/>
          </w:r>
          <w:r>
            <w:rPr>
              <w:color w:val="auto"/>
              <w:sz w:val="20"/>
              <w:szCs w:val="22"/>
            </w:rPr>
            <w:instrText xml:space="preserve"> PAGEREF _Toc316 \h </w:instrText>
          </w:r>
          <w:r>
            <w:rPr>
              <w:color w:val="auto"/>
              <w:sz w:val="20"/>
              <w:szCs w:val="22"/>
            </w:rPr>
            <w:fldChar w:fldCharType="separate"/>
          </w:r>
          <w:r>
            <w:rPr>
              <w:color w:val="auto"/>
              <w:sz w:val="20"/>
              <w:szCs w:val="22"/>
            </w:rPr>
            <w:t>51</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_Toc20622 </w:instrText>
          </w:r>
          <w:r>
            <w:rPr>
              <w:rFonts w:ascii="宋体" w:eastAsia="宋体" w:cs="宋体" w:hint="eastAsia"/>
              <w:color w:val="auto"/>
              <w:sz w:val="20"/>
              <w:szCs w:val="16"/>
            </w:rPr>
            <w:fldChar w:fldCharType="separate"/>
          </w:r>
          <w:r>
            <w:rPr>
              <w:rFonts w:ascii="仿宋" w:eastAsia="仿宋" w:hint="eastAsia"/>
              <w:bCs w:val="0"/>
              <w:color w:val="auto"/>
              <w:sz w:val="20"/>
              <w:szCs w:val="22"/>
            </w:rPr>
            <w:t>二、收入决算表</w:t>
          </w:r>
          <w:r>
            <w:rPr>
              <w:color w:val="auto"/>
              <w:sz w:val="20"/>
              <w:szCs w:val="22"/>
            </w:rPr>
            <w:tab/>
          </w:r>
          <w:r>
            <w:rPr>
              <w:color w:val="auto"/>
              <w:sz w:val="20"/>
              <w:szCs w:val="22"/>
            </w:rPr>
            <w:fldChar w:fldCharType="begin"/>
          </w:r>
          <w:r>
            <w:rPr>
              <w:color w:val="auto"/>
              <w:sz w:val="20"/>
              <w:szCs w:val="22"/>
            </w:rPr>
            <w:instrText xml:space="preserve"> PAGEREF _Toc20622 \h </w:instrText>
          </w:r>
          <w:r>
            <w:rPr>
              <w:color w:val="auto"/>
              <w:sz w:val="20"/>
              <w:szCs w:val="22"/>
            </w:rPr>
            <w:fldChar w:fldCharType="separate"/>
          </w:r>
          <w:r>
            <w:rPr>
              <w:color w:val="auto"/>
              <w:sz w:val="20"/>
              <w:szCs w:val="22"/>
            </w:rPr>
            <w:t>51</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_Toc11032 </w:instrText>
          </w:r>
          <w:r>
            <w:rPr>
              <w:rFonts w:ascii="宋体" w:eastAsia="宋体" w:cs="宋体" w:hint="eastAsia"/>
              <w:color w:val="auto"/>
              <w:sz w:val="20"/>
              <w:szCs w:val="16"/>
            </w:rPr>
            <w:fldChar w:fldCharType="separate"/>
          </w:r>
          <w:r>
            <w:rPr>
              <w:rFonts w:ascii="仿宋" w:eastAsia="仿宋" w:hint="eastAsia"/>
              <w:bCs w:val="0"/>
              <w:color w:val="auto"/>
              <w:sz w:val="20"/>
              <w:szCs w:val="22"/>
            </w:rPr>
            <w:t>三、支出决算表</w:t>
          </w:r>
          <w:r>
            <w:rPr>
              <w:color w:val="auto"/>
              <w:sz w:val="20"/>
              <w:szCs w:val="22"/>
            </w:rPr>
            <w:tab/>
          </w:r>
          <w:r>
            <w:rPr>
              <w:color w:val="auto"/>
              <w:sz w:val="20"/>
              <w:szCs w:val="22"/>
            </w:rPr>
            <w:fldChar w:fldCharType="begin"/>
          </w:r>
          <w:r>
            <w:rPr>
              <w:color w:val="auto"/>
              <w:sz w:val="20"/>
              <w:szCs w:val="22"/>
            </w:rPr>
            <w:instrText xml:space="preserve"> PAGEREF _Toc11032 \h </w:instrText>
          </w:r>
          <w:r>
            <w:rPr>
              <w:color w:val="auto"/>
              <w:sz w:val="20"/>
              <w:szCs w:val="22"/>
            </w:rPr>
            <w:fldChar w:fldCharType="separate"/>
          </w:r>
          <w:r>
            <w:rPr>
              <w:color w:val="auto"/>
              <w:sz w:val="20"/>
              <w:szCs w:val="22"/>
            </w:rPr>
            <w:t>51</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_Toc16931 </w:instrText>
          </w:r>
          <w:r>
            <w:rPr>
              <w:rFonts w:ascii="宋体" w:eastAsia="宋体" w:cs="宋体" w:hint="eastAsia"/>
              <w:color w:val="auto"/>
              <w:sz w:val="20"/>
              <w:szCs w:val="16"/>
            </w:rPr>
            <w:fldChar w:fldCharType="separate"/>
          </w:r>
          <w:r>
            <w:rPr>
              <w:rFonts w:ascii="仿宋" w:eastAsia="仿宋" w:hint="eastAsia"/>
              <w:bCs w:val="0"/>
              <w:color w:val="auto"/>
              <w:sz w:val="20"/>
              <w:szCs w:val="22"/>
            </w:rPr>
            <w:t>四、财政拨款收入支出决算总表</w:t>
          </w:r>
          <w:r>
            <w:rPr>
              <w:color w:val="auto"/>
              <w:sz w:val="20"/>
              <w:szCs w:val="22"/>
            </w:rPr>
            <w:tab/>
          </w:r>
          <w:r>
            <w:rPr>
              <w:color w:val="auto"/>
              <w:sz w:val="20"/>
              <w:szCs w:val="22"/>
            </w:rPr>
            <w:fldChar w:fldCharType="begin"/>
          </w:r>
          <w:r>
            <w:rPr>
              <w:color w:val="auto"/>
              <w:sz w:val="20"/>
              <w:szCs w:val="22"/>
            </w:rPr>
            <w:instrText xml:space="preserve"> PAGEREF _Toc16931 \h </w:instrText>
          </w:r>
          <w:r>
            <w:rPr>
              <w:color w:val="auto"/>
              <w:sz w:val="20"/>
              <w:szCs w:val="22"/>
            </w:rPr>
            <w:fldChar w:fldCharType="separate"/>
          </w:r>
          <w:r>
            <w:rPr>
              <w:color w:val="auto"/>
              <w:sz w:val="20"/>
              <w:szCs w:val="22"/>
            </w:rPr>
            <w:t>51</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_Toc18551 </w:instrText>
          </w:r>
          <w:r>
            <w:rPr>
              <w:rFonts w:ascii="宋体" w:eastAsia="宋体" w:cs="宋体" w:hint="eastAsia"/>
              <w:color w:val="auto"/>
              <w:sz w:val="20"/>
              <w:szCs w:val="16"/>
            </w:rPr>
            <w:fldChar w:fldCharType="separate"/>
          </w:r>
          <w:r>
            <w:rPr>
              <w:rFonts w:ascii="仿宋" w:eastAsia="仿宋" w:hint="eastAsia"/>
              <w:bCs w:val="0"/>
              <w:color w:val="auto"/>
              <w:sz w:val="20"/>
              <w:szCs w:val="22"/>
            </w:rPr>
            <w:t>五、财政拨款支出决算明细表</w:t>
          </w:r>
          <w:r>
            <w:rPr>
              <w:color w:val="auto"/>
              <w:sz w:val="20"/>
              <w:szCs w:val="22"/>
            </w:rPr>
            <w:tab/>
          </w:r>
          <w:r>
            <w:rPr>
              <w:color w:val="auto"/>
              <w:sz w:val="20"/>
              <w:szCs w:val="22"/>
            </w:rPr>
            <w:fldChar w:fldCharType="begin"/>
          </w:r>
          <w:r>
            <w:rPr>
              <w:color w:val="auto"/>
              <w:sz w:val="20"/>
              <w:szCs w:val="22"/>
            </w:rPr>
            <w:instrText xml:space="preserve"> PAGEREF _Toc18551 \h </w:instrText>
          </w:r>
          <w:r>
            <w:rPr>
              <w:color w:val="auto"/>
              <w:sz w:val="20"/>
              <w:szCs w:val="22"/>
            </w:rPr>
            <w:fldChar w:fldCharType="separate"/>
          </w:r>
          <w:r>
            <w:rPr>
              <w:color w:val="auto"/>
              <w:sz w:val="20"/>
              <w:szCs w:val="22"/>
            </w:rPr>
            <w:t>51</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_Toc21711 </w:instrText>
          </w:r>
          <w:r>
            <w:rPr>
              <w:rFonts w:ascii="宋体" w:eastAsia="宋体" w:cs="宋体" w:hint="eastAsia"/>
              <w:color w:val="auto"/>
              <w:sz w:val="20"/>
              <w:szCs w:val="16"/>
            </w:rPr>
            <w:fldChar w:fldCharType="separate"/>
          </w:r>
          <w:r>
            <w:rPr>
              <w:rFonts w:ascii="仿宋" w:eastAsia="仿宋" w:hint="eastAsia"/>
              <w:bCs w:val="0"/>
              <w:color w:val="auto"/>
              <w:sz w:val="20"/>
              <w:szCs w:val="22"/>
            </w:rPr>
            <w:t>六、一般公共预算财政拨款支出决算表</w:t>
          </w:r>
          <w:r>
            <w:rPr>
              <w:color w:val="auto"/>
              <w:sz w:val="20"/>
              <w:szCs w:val="22"/>
            </w:rPr>
            <w:tab/>
          </w:r>
          <w:r>
            <w:rPr>
              <w:color w:val="auto"/>
              <w:sz w:val="20"/>
              <w:szCs w:val="22"/>
            </w:rPr>
            <w:fldChar w:fldCharType="begin"/>
          </w:r>
          <w:r>
            <w:rPr>
              <w:color w:val="auto"/>
              <w:sz w:val="20"/>
              <w:szCs w:val="22"/>
            </w:rPr>
            <w:instrText xml:space="preserve"> PAGEREF _Toc21711 \h </w:instrText>
          </w:r>
          <w:r>
            <w:rPr>
              <w:color w:val="auto"/>
              <w:sz w:val="20"/>
              <w:szCs w:val="22"/>
            </w:rPr>
            <w:fldChar w:fldCharType="separate"/>
          </w:r>
          <w:r>
            <w:rPr>
              <w:color w:val="auto"/>
              <w:sz w:val="20"/>
              <w:szCs w:val="22"/>
            </w:rPr>
            <w:t>51</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_Toc3265 </w:instrText>
          </w:r>
          <w:r>
            <w:rPr>
              <w:rFonts w:ascii="宋体" w:eastAsia="宋体" w:cs="宋体" w:hint="eastAsia"/>
              <w:color w:val="auto"/>
              <w:sz w:val="20"/>
              <w:szCs w:val="16"/>
            </w:rPr>
            <w:fldChar w:fldCharType="separate"/>
          </w:r>
          <w:r>
            <w:rPr>
              <w:rFonts w:ascii="仿宋" w:eastAsia="仿宋" w:hint="eastAsia"/>
              <w:bCs w:val="0"/>
              <w:color w:val="auto"/>
              <w:sz w:val="20"/>
              <w:szCs w:val="22"/>
            </w:rPr>
            <w:t>七、一般公共预算财政拨款支出决算明细表</w:t>
          </w:r>
          <w:r>
            <w:rPr>
              <w:color w:val="auto"/>
              <w:sz w:val="20"/>
              <w:szCs w:val="22"/>
            </w:rPr>
            <w:tab/>
          </w:r>
          <w:r>
            <w:rPr>
              <w:color w:val="auto"/>
              <w:sz w:val="20"/>
              <w:szCs w:val="22"/>
            </w:rPr>
            <w:fldChar w:fldCharType="begin"/>
          </w:r>
          <w:r>
            <w:rPr>
              <w:color w:val="auto"/>
              <w:sz w:val="20"/>
              <w:szCs w:val="22"/>
            </w:rPr>
            <w:instrText xml:space="preserve"> PAGEREF _Toc3265 \h </w:instrText>
          </w:r>
          <w:r>
            <w:rPr>
              <w:color w:val="auto"/>
              <w:sz w:val="20"/>
              <w:szCs w:val="22"/>
            </w:rPr>
            <w:fldChar w:fldCharType="separate"/>
          </w:r>
          <w:r>
            <w:rPr>
              <w:color w:val="auto"/>
              <w:sz w:val="20"/>
              <w:szCs w:val="22"/>
            </w:rPr>
            <w:t>51</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_Toc23853 </w:instrText>
          </w:r>
          <w:r>
            <w:rPr>
              <w:rFonts w:ascii="宋体" w:eastAsia="宋体" w:cs="宋体" w:hint="eastAsia"/>
              <w:color w:val="auto"/>
              <w:sz w:val="20"/>
              <w:szCs w:val="16"/>
            </w:rPr>
            <w:fldChar w:fldCharType="separate"/>
          </w:r>
          <w:r>
            <w:rPr>
              <w:rFonts w:ascii="仿宋" w:eastAsia="仿宋" w:hint="eastAsia"/>
              <w:bCs w:val="0"/>
              <w:color w:val="auto"/>
              <w:sz w:val="20"/>
              <w:szCs w:val="22"/>
            </w:rPr>
            <w:t>八、一般公共预算财政拨款基本支出决算表</w:t>
          </w:r>
          <w:r>
            <w:rPr>
              <w:color w:val="auto"/>
              <w:sz w:val="20"/>
              <w:szCs w:val="22"/>
            </w:rPr>
            <w:tab/>
          </w:r>
          <w:r>
            <w:rPr>
              <w:color w:val="auto"/>
              <w:sz w:val="20"/>
              <w:szCs w:val="22"/>
            </w:rPr>
            <w:fldChar w:fldCharType="begin"/>
          </w:r>
          <w:r>
            <w:rPr>
              <w:color w:val="auto"/>
              <w:sz w:val="20"/>
              <w:szCs w:val="22"/>
            </w:rPr>
            <w:instrText xml:space="preserve"> PAGEREF _Toc23853 \h </w:instrText>
          </w:r>
          <w:r>
            <w:rPr>
              <w:color w:val="auto"/>
              <w:sz w:val="20"/>
              <w:szCs w:val="22"/>
            </w:rPr>
            <w:fldChar w:fldCharType="separate"/>
          </w:r>
          <w:r>
            <w:rPr>
              <w:color w:val="auto"/>
              <w:sz w:val="20"/>
              <w:szCs w:val="22"/>
            </w:rPr>
            <w:t>51</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_Toc5524 </w:instrText>
          </w:r>
          <w:r>
            <w:rPr>
              <w:rFonts w:ascii="宋体" w:eastAsia="宋体" w:cs="宋体" w:hint="eastAsia"/>
              <w:color w:val="auto"/>
              <w:sz w:val="20"/>
              <w:szCs w:val="16"/>
            </w:rPr>
            <w:fldChar w:fldCharType="separate"/>
          </w:r>
          <w:r>
            <w:rPr>
              <w:rFonts w:ascii="仿宋" w:eastAsia="仿宋" w:hint="eastAsia"/>
              <w:bCs w:val="0"/>
              <w:color w:val="auto"/>
              <w:sz w:val="20"/>
              <w:szCs w:val="22"/>
            </w:rPr>
            <w:t>九、一般公共预算财政拨款项目支出决算表</w:t>
          </w:r>
          <w:r>
            <w:rPr>
              <w:color w:val="auto"/>
              <w:sz w:val="20"/>
              <w:szCs w:val="22"/>
            </w:rPr>
            <w:tab/>
          </w:r>
          <w:r>
            <w:rPr>
              <w:color w:val="auto"/>
              <w:sz w:val="20"/>
              <w:szCs w:val="22"/>
            </w:rPr>
            <w:fldChar w:fldCharType="begin"/>
          </w:r>
          <w:r>
            <w:rPr>
              <w:color w:val="auto"/>
              <w:sz w:val="20"/>
              <w:szCs w:val="22"/>
            </w:rPr>
            <w:instrText xml:space="preserve"> PAGEREF _Toc5524 \h </w:instrText>
          </w:r>
          <w:r>
            <w:rPr>
              <w:color w:val="auto"/>
              <w:sz w:val="20"/>
              <w:szCs w:val="22"/>
            </w:rPr>
            <w:fldChar w:fldCharType="separate"/>
          </w:r>
          <w:r>
            <w:rPr>
              <w:color w:val="auto"/>
              <w:sz w:val="20"/>
              <w:szCs w:val="22"/>
            </w:rPr>
            <w:t>51</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_Toc30735 </w:instrText>
          </w:r>
          <w:r>
            <w:rPr>
              <w:rFonts w:ascii="宋体" w:eastAsia="宋体" w:cs="宋体" w:hint="eastAsia"/>
              <w:color w:val="auto"/>
              <w:sz w:val="20"/>
              <w:szCs w:val="16"/>
            </w:rPr>
            <w:fldChar w:fldCharType="separate"/>
          </w:r>
          <w:r>
            <w:rPr>
              <w:rFonts w:ascii="仿宋" w:eastAsia="仿宋" w:hint="eastAsia"/>
              <w:bCs w:val="0"/>
              <w:color w:val="auto"/>
              <w:sz w:val="20"/>
              <w:szCs w:val="22"/>
            </w:rPr>
            <w:t>十、政府性基金预算财政拨款收入支出决算表</w:t>
          </w:r>
          <w:r>
            <w:rPr>
              <w:color w:val="auto"/>
              <w:sz w:val="20"/>
              <w:szCs w:val="22"/>
            </w:rPr>
            <w:tab/>
          </w:r>
          <w:r>
            <w:rPr>
              <w:color w:val="auto"/>
              <w:sz w:val="20"/>
              <w:szCs w:val="22"/>
            </w:rPr>
            <w:fldChar w:fldCharType="begin"/>
          </w:r>
          <w:r>
            <w:rPr>
              <w:color w:val="auto"/>
              <w:sz w:val="20"/>
              <w:szCs w:val="22"/>
            </w:rPr>
            <w:instrText xml:space="preserve"> PAGEREF _Toc30735 \h </w:instrText>
          </w:r>
          <w:r>
            <w:rPr>
              <w:color w:val="auto"/>
              <w:sz w:val="20"/>
              <w:szCs w:val="22"/>
            </w:rPr>
            <w:fldChar w:fldCharType="separate"/>
          </w:r>
          <w:r>
            <w:rPr>
              <w:color w:val="auto"/>
              <w:sz w:val="20"/>
              <w:szCs w:val="22"/>
            </w:rPr>
            <w:t>51</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_Toc21372 </w:instrText>
          </w:r>
          <w:r>
            <w:rPr>
              <w:rFonts w:ascii="宋体" w:eastAsia="宋体" w:cs="宋体" w:hint="eastAsia"/>
              <w:color w:val="auto"/>
              <w:sz w:val="20"/>
              <w:szCs w:val="16"/>
            </w:rPr>
            <w:fldChar w:fldCharType="separate"/>
          </w:r>
          <w:r>
            <w:rPr>
              <w:rFonts w:ascii="仿宋" w:eastAsia="仿宋" w:hint="eastAsia"/>
              <w:bCs w:val="0"/>
              <w:color w:val="auto"/>
              <w:sz w:val="20"/>
              <w:szCs w:val="22"/>
            </w:rPr>
            <w:t>十一、国有资本经营预算财政拨款收入支出决算表</w:t>
          </w:r>
          <w:r>
            <w:rPr>
              <w:color w:val="auto"/>
              <w:sz w:val="20"/>
              <w:szCs w:val="22"/>
            </w:rPr>
            <w:tab/>
          </w:r>
          <w:r>
            <w:rPr>
              <w:color w:val="auto"/>
              <w:sz w:val="20"/>
              <w:szCs w:val="22"/>
            </w:rPr>
            <w:fldChar w:fldCharType="begin"/>
          </w:r>
          <w:r>
            <w:rPr>
              <w:color w:val="auto"/>
              <w:sz w:val="20"/>
              <w:szCs w:val="22"/>
            </w:rPr>
            <w:instrText xml:space="preserve"> PAGEREF _Toc21372 \h </w:instrText>
          </w:r>
          <w:r>
            <w:rPr>
              <w:color w:val="auto"/>
              <w:sz w:val="20"/>
              <w:szCs w:val="22"/>
            </w:rPr>
            <w:fldChar w:fldCharType="separate"/>
          </w:r>
          <w:r>
            <w:rPr>
              <w:color w:val="auto"/>
              <w:sz w:val="20"/>
              <w:szCs w:val="22"/>
            </w:rPr>
            <w:t>51</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sz w:val="20"/>
              <w:szCs w:val="22"/>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_Toc1737 </w:instrText>
          </w:r>
          <w:r>
            <w:rPr>
              <w:rFonts w:ascii="宋体" w:eastAsia="宋体" w:cs="宋体" w:hint="eastAsia"/>
              <w:color w:val="auto"/>
              <w:sz w:val="20"/>
              <w:szCs w:val="16"/>
            </w:rPr>
            <w:fldChar w:fldCharType="separate"/>
          </w:r>
          <w:r>
            <w:rPr>
              <w:rFonts w:ascii="仿宋" w:eastAsia="仿宋" w:hint="eastAsia"/>
              <w:bCs w:val="0"/>
              <w:color w:val="auto"/>
              <w:sz w:val="20"/>
              <w:szCs w:val="22"/>
            </w:rPr>
            <w:t>十二、国有资本经营预算财政拨款支出决算表</w:t>
          </w:r>
          <w:r>
            <w:rPr>
              <w:color w:val="auto"/>
              <w:sz w:val="20"/>
              <w:szCs w:val="22"/>
            </w:rPr>
            <w:tab/>
          </w:r>
          <w:r>
            <w:rPr>
              <w:color w:val="auto"/>
              <w:sz w:val="20"/>
              <w:szCs w:val="22"/>
            </w:rPr>
            <w:fldChar w:fldCharType="begin"/>
          </w:r>
          <w:r>
            <w:rPr>
              <w:color w:val="auto"/>
              <w:sz w:val="20"/>
              <w:szCs w:val="22"/>
            </w:rPr>
            <w:instrText xml:space="preserve"> PAGEREF _Toc1737 \h </w:instrText>
          </w:r>
          <w:r>
            <w:rPr>
              <w:color w:val="auto"/>
              <w:sz w:val="20"/>
              <w:szCs w:val="22"/>
            </w:rPr>
            <w:fldChar w:fldCharType="separate"/>
          </w:r>
          <w:r>
            <w:rPr>
              <w:color w:val="auto"/>
              <w:sz w:val="20"/>
              <w:szCs w:val="22"/>
            </w:rPr>
            <w:t>51</w:t>
          </w:r>
          <w:r>
            <w:rPr>
              <w:color w:val="auto"/>
              <w:sz w:val="20"/>
              <w:szCs w:val="22"/>
            </w:rPr>
            <w:fldChar w:fldCharType="end"/>
          </w:r>
          <w:r>
            <w:rPr>
              <w:rFonts w:ascii="宋体" w:eastAsia="宋体" w:cs="宋体" w:hint="eastAsia"/>
              <w:color w:val="auto"/>
              <w:sz w:val="20"/>
              <w:szCs w:val="16"/>
            </w:rPr>
            <w:fldChar w:fldCharType="end"/>
          </w:r>
        </w:p>
        <w:p>
          <w:pPr>
            <w:pStyle w:val="23"/>
            <w:tabs>
              <w:tab w:val="clear" w:pos="8296"/>
              <w:tab w:val="right" w:leader="dot" w:pos="8306"/>
            </w:tabs>
            <w:rPr>
              <w:color w:val="auto"/>
            </w:rPr>
          </w:pPr>
          <w:r>
            <w:rPr>
              <w:rFonts w:ascii="宋体" w:eastAsia="宋体" w:cs="宋体" w:hint="eastAsia"/>
              <w:color w:val="auto"/>
              <w:sz w:val="20"/>
              <w:szCs w:val="16"/>
            </w:rPr>
            <w:fldChar w:fldCharType="begin"/>
          </w:r>
          <w:r>
            <w:rPr>
              <w:rFonts w:ascii="宋体" w:eastAsia="宋体" w:cs="宋体" w:hint="eastAsia"/>
              <w:color w:val="auto"/>
              <w:sz w:val="20"/>
              <w:szCs w:val="16"/>
            </w:rPr>
            <w:instrText xml:space="preserve"> HYPERLINK \l _Toc29071 </w:instrText>
          </w:r>
          <w:r>
            <w:rPr>
              <w:rFonts w:ascii="宋体" w:eastAsia="宋体" w:cs="宋体" w:hint="eastAsia"/>
              <w:color w:val="auto"/>
              <w:sz w:val="20"/>
              <w:szCs w:val="16"/>
            </w:rPr>
            <w:fldChar w:fldCharType="separate"/>
          </w:r>
          <w:r>
            <w:rPr>
              <w:rFonts w:ascii="仿宋" w:eastAsia="仿宋" w:hint="eastAsia"/>
              <w:bCs w:val="0"/>
              <w:color w:val="auto"/>
              <w:sz w:val="20"/>
              <w:szCs w:val="22"/>
            </w:rPr>
            <w:t>十三、财政拨款“三公”经费支出决算表</w:t>
          </w:r>
          <w:r>
            <w:rPr>
              <w:color w:val="auto"/>
              <w:sz w:val="20"/>
              <w:szCs w:val="22"/>
            </w:rPr>
            <w:tab/>
          </w:r>
          <w:r>
            <w:rPr>
              <w:color w:val="auto"/>
              <w:sz w:val="20"/>
              <w:szCs w:val="22"/>
            </w:rPr>
            <w:fldChar w:fldCharType="begin"/>
          </w:r>
          <w:r>
            <w:rPr>
              <w:color w:val="auto"/>
              <w:sz w:val="20"/>
              <w:szCs w:val="22"/>
            </w:rPr>
            <w:instrText xml:space="preserve"> PAGEREF _Toc29071 \h </w:instrText>
          </w:r>
          <w:r>
            <w:rPr>
              <w:color w:val="auto"/>
              <w:sz w:val="20"/>
              <w:szCs w:val="22"/>
            </w:rPr>
            <w:fldChar w:fldCharType="separate"/>
          </w:r>
          <w:r>
            <w:rPr>
              <w:color w:val="auto"/>
              <w:sz w:val="20"/>
              <w:szCs w:val="22"/>
            </w:rPr>
            <w:t>51</w:t>
          </w:r>
          <w:r>
            <w:rPr>
              <w:color w:val="auto"/>
              <w:sz w:val="20"/>
              <w:szCs w:val="22"/>
            </w:rPr>
            <w:fldChar w:fldCharType="end"/>
          </w:r>
          <w:r>
            <w:rPr>
              <w:rFonts w:ascii="宋体" w:eastAsia="宋体" w:cs="宋体" w:hint="eastAsia"/>
              <w:color w:val="auto"/>
              <w:sz w:val="20"/>
              <w:szCs w:val="16"/>
            </w:rPr>
            <w:fldChar w:fldCharType="end"/>
          </w:r>
        </w:p>
        <w:p>
          <w:pPr>
            <w:rPr>
              <w:rFonts w:ascii="宋体" w:eastAsia="宋体" w:cs="宋体" w:hint="eastAsia"/>
              <w:color w:val="auto"/>
              <w:sz w:val="18"/>
              <w:szCs w:val="18"/>
            </w:rPr>
          </w:pPr>
          <w:r>
            <w:rPr>
              <w:rFonts w:ascii="宋体" w:eastAsia="宋体" w:cs="宋体" w:hint="eastAsia"/>
              <w:color w:val="auto"/>
              <w:szCs w:val="18"/>
            </w:rPr>
            <w:fldChar w:fldCharType="end"/>
          </w:r>
        </w:p>
      </w:sdtContent>
    </w:sdt>
    <w:p>
      <w:pPr>
        <w:rPr>
          <w:color w:val="auto"/>
        </w:rPr>
      </w:pPr>
    </w:p>
    <w:p>
      <w:pPr>
        <w:widowControl/>
        <w:spacing w:line="440" w:lineRule="exact"/>
        <w:jc w:val="left"/>
        <w:rPr>
          <w:rFonts w:ascii="仿宋" w:eastAsia="仿宋"/>
          <w:bCs/>
          <w:color w:val="auto"/>
          <w:kern w:val="44"/>
          <w:sz w:val="24"/>
        </w:rPr>
      </w:pPr>
      <w:r>
        <w:rPr>
          <w:rFonts w:ascii="仿宋" w:eastAsia="仿宋"/>
          <w:b/>
          <w:color w:val="auto"/>
          <w:sz w:val="24"/>
        </w:rPr>
        <w:br w:type="page"/>
      </w:r>
    </w:p>
    <w:p>
      <w:pPr>
        <w:pStyle w:val="1"/>
        <w:jc w:val="center"/>
        <w:rPr>
          <w:rFonts w:ascii="黑体" w:eastAsia="黑体"/>
          <w:color w:val="auto"/>
          <w:sz w:val="32"/>
          <w:szCs w:val="32"/>
        </w:rPr>
      </w:pPr>
      <w:bookmarkStart w:id="15" w:name="_Toc11632"/>
      <w:r>
        <w:rPr>
          <w:rFonts w:ascii="黑体" w:eastAsia="黑体" w:hint="eastAsia"/>
          <w:b w:val="0"/>
          <w:color w:val="auto"/>
        </w:rPr>
        <w:t>第一部分 单位</w:t>
      </w:r>
      <w:r>
        <w:rPr>
          <w:rStyle w:val="1Char"/>
          <w:rFonts w:ascii="黑体" w:eastAsia="黑体" w:hint="eastAsia"/>
          <w:b w:val="0"/>
          <w:bCs w:val="0"/>
          <w:color w:val="auto"/>
        </w:rPr>
        <w:t>概况</w:t>
      </w:r>
      <w:bookmarkEnd w:id="13"/>
      <w:bookmarkEnd w:id="14"/>
      <w:bookmarkEnd w:id="15"/>
    </w:p>
    <w:p>
      <w:pPr>
        <w:pStyle w:val="2"/>
        <w:numPr>
          <w:ilvl w:val="0"/>
          <w:numId w:val="1"/>
        </w:numPr>
        <w:rPr>
          <w:rStyle w:val="2Char"/>
          <w:rFonts w:ascii="黑体" w:eastAsia="黑体"/>
          <w:b w:val="0"/>
          <w:bCs w:val="0"/>
          <w:color w:val="auto"/>
        </w:rPr>
      </w:pPr>
      <w:bookmarkStart w:id="16" w:name="_Toc30177"/>
      <w:bookmarkStart w:id="17" w:name="_Toc15396600"/>
      <w:bookmarkStart w:id="18" w:name="_Toc15377197"/>
      <w:r>
        <w:rPr>
          <w:rStyle w:val="2Char"/>
          <w:rFonts w:ascii="黑体" w:eastAsia="黑体" w:hint="eastAsia"/>
          <w:b w:val="0"/>
          <w:bCs w:val="0"/>
          <w:color w:val="auto"/>
        </w:rPr>
        <w:t>主要职责</w:t>
      </w:r>
      <w:bookmarkEnd w:id="16"/>
    </w:p>
    <w:p>
      <w:pPr>
        <w:pStyle w:val="36"/>
        <w:rPr>
          <w:rFonts w:ascii="仿宋_GB2312" w:eastAsia="仿宋_GB2312" w:cs="Times New Roman" w:hint="eastAsia"/>
          <w:color w:val="auto"/>
          <w:kern w:val="2"/>
          <w:sz w:val="32"/>
          <w:szCs w:val="32"/>
          <w:lang w:val="en-US" w:eastAsia="zh-CN" w:bidi="ar-SA"/>
          <w:highlight w:val="auto"/>
        </w:rPr>
      </w:pPr>
      <w:bookmarkStart w:id="19" w:name="_Toc12715"/>
      <w:r>
        <w:rPr>
          <w:rFonts w:ascii="仿宋_GB2312" w:eastAsia="仿宋_GB2312" w:cs="Times New Roman" w:hint="eastAsia"/>
          <w:color w:val="auto"/>
          <w:kern w:val="2"/>
          <w:sz w:val="32"/>
          <w:szCs w:val="32"/>
          <w:lang w:val="en-US" w:eastAsia="zh-CN" w:bidi="ar-SA"/>
          <w:highlight w:val="auto"/>
        </w:rPr>
        <w:t>为人民身体健康提供医疗与预防健康服务，常见病多发病护理，预防保健，恢复期病人康复诊治。我卫生院坚持为人民服务的宗旨，坚持以预防为主、以农村为重点，中西医并重的方针，全面推进深化医药卫生体制改革的各项工作，始终坚持“生命至上、仁爱奉献”的服务理念，不断加强医院管理水平，努力提高医疗质量，加强医院各项医疗卫生服务能力，切实做好辖区医疗卫生服务各项工作。</w:t>
      </w:r>
    </w:p>
    <w:p>
      <w:pPr>
        <w:pStyle w:val="2"/>
        <w:rPr>
          <w:rFonts w:ascii="黑体" w:eastAsia="黑体"/>
          <w:b w:val="0"/>
          <w:color w:val="auto"/>
        </w:rPr>
      </w:pPr>
      <w:r>
        <w:rPr>
          <w:rFonts w:ascii="黑体" w:eastAsia="黑体" w:hint="eastAsia"/>
          <w:b w:val="0"/>
          <w:color w:val="auto"/>
        </w:rPr>
        <w:t>二、机构设置</w:t>
      </w:r>
      <w:bookmarkEnd w:id="19"/>
    </w:p>
    <w:p>
      <w:pPr>
        <w:pStyle w:val="36"/>
        <w:rPr>
          <w:rFonts w:ascii="仿宋_GB2312" w:eastAsia="仿宋_GB2312" w:cs="Times New Roman" w:hint="eastAsia"/>
          <w:color w:val="auto"/>
          <w:kern w:val="2"/>
          <w:sz w:val="32"/>
          <w:szCs w:val="32"/>
          <w:lang w:val="en-US" w:eastAsia="zh-CN" w:bidi="ar-SA"/>
          <w:highlight w:val="auto"/>
        </w:rPr>
      </w:pPr>
      <w:bookmarkEnd w:id="17"/>
      <w:bookmarkEnd w:id="18"/>
      <w:r>
        <w:rPr>
          <w:rFonts w:ascii="仿宋_GB2312" w:eastAsia="仿宋_GB2312" w:cs="Times New Roman" w:hint="eastAsia"/>
          <w:color w:val="auto"/>
          <w:kern w:val="2"/>
          <w:sz w:val="32"/>
          <w:szCs w:val="32"/>
          <w:lang w:val="en-US" w:eastAsia="zh-CN" w:bidi="ar-SA"/>
          <w:highlight w:val="auto"/>
        </w:rPr>
        <w:t xml:space="preserve">单位机构数 </w:t>
      </w:r>
      <w:r>
        <w:rPr>
          <w:rFonts w:ascii="仿宋_GB2312" w:eastAsia="仿宋_GB2312" w:cs="Times New Roman" w:hint="eastAsia"/>
          <w:color w:val="auto"/>
          <w:kern w:val="2"/>
          <w:sz w:val="32"/>
          <w:szCs w:val="32"/>
          <w:u w:val="single"/>
          <w:lang w:val="en-US" w:eastAsia="zh-CN" w:bidi="ar-SA"/>
          <w:highlight w:val="auto"/>
        </w:rPr>
        <w:t xml:space="preserve"> 1  </w:t>
      </w:r>
      <w:r>
        <w:rPr>
          <w:rFonts w:ascii="仿宋_GB2312" w:eastAsia="仿宋_GB2312" w:cs="Times New Roman" w:hint="eastAsia"/>
          <w:color w:val="auto"/>
          <w:kern w:val="2"/>
          <w:sz w:val="32"/>
          <w:szCs w:val="32"/>
          <w:lang w:val="en-US" w:eastAsia="zh-CN" w:bidi="ar-SA"/>
          <w:highlight w:val="auto"/>
        </w:rPr>
        <w:t xml:space="preserve">个，独立编制机构数 </w:t>
      </w:r>
      <w:r>
        <w:rPr>
          <w:rFonts w:ascii="仿宋_GB2312" w:eastAsia="仿宋_GB2312" w:cs="Times New Roman" w:hint="eastAsia"/>
          <w:color w:val="auto"/>
          <w:kern w:val="2"/>
          <w:sz w:val="32"/>
          <w:szCs w:val="32"/>
          <w:u w:val="single"/>
          <w:lang w:val="en-US" w:eastAsia="zh-CN" w:bidi="ar-SA"/>
          <w:highlight w:val="auto"/>
        </w:rPr>
        <w:t xml:space="preserve"> 1  </w:t>
      </w:r>
      <w:r>
        <w:rPr>
          <w:rFonts w:ascii="仿宋_GB2312" w:eastAsia="仿宋_GB2312" w:cs="Times New Roman" w:hint="eastAsia"/>
          <w:color w:val="auto"/>
          <w:kern w:val="2"/>
          <w:sz w:val="32"/>
          <w:szCs w:val="32"/>
          <w:lang w:val="en-US" w:eastAsia="zh-CN" w:bidi="ar-SA"/>
          <w:highlight w:val="auto"/>
        </w:rPr>
        <w:t xml:space="preserve">个，独立核算机构数 </w:t>
      </w:r>
      <w:r>
        <w:rPr>
          <w:rFonts w:ascii="仿宋_GB2312" w:eastAsia="仿宋_GB2312" w:cs="Times New Roman" w:hint="eastAsia"/>
          <w:color w:val="auto"/>
          <w:kern w:val="2"/>
          <w:sz w:val="32"/>
          <w:szCs w:val="32"/>
          <w:u w:val="single"/>
          <w:lang w:val="en-US" w:eastAsia="zh-CN" w:bidi="ar-SA"/>
          <w:highlight w:val="auto"/>
        </w:rPr>
        <w:t xml:space="preserve"> 1  </w:t>
      </w:r>
      <w:r>
        <w:rPr>
          <w:rFonts w:ascii="仿宋_GB2312" w:eastAsia="仿宋_GB2312" w:cs="Times New Roman" w:hint="eastAsia"/>
          <w:color w:val="auto"/>
          <w:kern w:val="2"/>
          <w:sz w:val="32"/>
          <w:szCs w:val="32"/>
          <w:lang w:val="en-US" w:eastAsia="zh-CN" w:bidi="ar-SA"/>
          <w:highlight w:val="auto"/>
        </w:rPr>
        <w:t>个。</w:t>
      </w:r>
    </w:p>
    <w:p>
      <w:pPr>
        <w:pStyle w:val="36"/>
        <w:rPr>
          <w:rFonts w:ascii="仿宋_GB2312" w:eastAsia="仿宋_GB2312" w:cs="Times New Roman" w:hint="eastAsia"/>
          <w:color w:val="auto"/>
          <w:kern w:val="2"/>
          <w:sz w:val="32"/>
          <w:szCs w:val="32"/>
          <w:lang w:val="en-US" w:eastAsia="zh-CN" w:bidi="ar-SA"/>
          <w:highlight w:val="auto"/>
        </w:rPr>
      </w:pPr>
      <w:r>
        <w:rPr>
          <w:rFonts w:ascii="仿宋_GB2312" w:eastAsia="仿宋_GB2312" w:cs="Times New Roman" w:hint="eastAsia"/>
          <w:color w:val="auto"/>
          <w:kern w:val="2"/>
          <w:sz w:val="32"/>
          <w:szCs w:val="32"/>
          <w:lang w:val="en-US" w:eastAsia="zh-CN" w:bidi="ar-SA"/>
          <w:highlight w:val="auto"/>
        </w:rPr>
        <w:t xml:space="preserve">总编制 </w:t>
      </w:r>
      <w:r>
        <w:rPr>
          <w:rFonts w:ascii="仿宋_GB2312" w:eastAsia="仿宋_GB2312" w:cs="Times New Roman" w:hint="eastAsia"/>
          <w:color w:val="auto"/>
          <w:kern w:val="2"/>
          <w:sz w:val="32"/>
          <w:szCs w:val="32"/>
          <w:u w:val="single"/>
          <w:lang w:val="en-US" w:eastAsia="zh-CN" w:bidi="ar-SA"/>
          <w:highlight w:val="auto"/>
        </w:rPr>
        <w:t>15</w:t>
      </w:r>
      <w:r>
        <w:rPr>
          <w:rFonts w:ascii="仿宋_GB2312" w:eastAsia="仿宋_GB2312" w:cs="Times New Roman" w:hint="eastAsia"/>
          <w:color w:val="auto"/>
          <w:kern w:val="2"/>
          <w:sz w:val="32"/>
          <w:szCs w:val="32"/>
          <w:lang w:val="en-US" w:eastAsia="zh-CN" w:bidi="ar-SA"/>
          <w:highlight w:val="auto"/>
        </w:rPr>
        <w:t xml:space="preserve"> 名,其中:事业编制 </w:t>
      </w:r>
      <w:r>
        <w:rPr>
          <w:rFonts w:ascii="仿宋_GB2312" w:eastAsia="仿宋_GB2312" w:cs="Times New Roman" w:hint="eastAsia"/>
          <w:color w:val="auto"/>
          <w:kern w:val="2"/>
          <w:sz w:val="32"/>
          <w:szCs w:val="32"/>
          <w:u w:val="single"/>
          <w:lang w:val="en-US" w:eastAsia="zh-CN" w:bidi="ar-SA"/>
          <w:highlight w:val="auto"/>
        </w:rPr>
        <w:t xml:space="preserve">14 </w:t>
      </w:r>
      <w:r>
        <w:rPr>
          <w:rFonts w:ascii="仿宋_GB2312" w:eastAsia="仿宋_GB2312" w:cs="Times New Roman" w:hint="eastAsia"/>
          <w:color w:val="auto"/>
          <w:kern w:val="2"/>
          <w:sz w:val="32"/>
          <w:szCs w:val="32"/>
          <w:lang w:val="en-US" w:eastAsia="zh-CN" w:bidi="ar-SA"/>
          <w:highlight w:val="auto"/>
        </w:rPr>
        <w:t xml:space="preserve">名,工勤编制 </w:t>
      </w:r>
      <w:r>
        <w:rPr>
          <w:rFonts w:ascii="仿宋_GB2312" w:eastAsia="仿宋_GB2312" w:cs="Times New Roman" w:hint="eastAsia"/>
          <w:color w:val="auto"/>
          <w:kern w:val="2"/>
          <w:sz w:val="32"/>
          <w:szCs w:val="32"/>
          <w:u w:val="single"/>
          <w:lang w:val="en-US" w:eastAsia="zh-CN" w:bidi="ar-SA"/>
          <w:highlight w:val="auto"/>
        </w:rPr>
        <w:t xml:space="preserve">1 </w:t>
      </w:r>
      <w:r>
        <w:rPr>
          <w:rFonts w:ascii="仿宋_GB2312" w:eastAsia="仿宋_GB2312" w:cs="Times New Roman" w:hint="eastAsia"/>
          <w:color w:val="auto"/>
          <w:kern w:val="2"/>
          <w:sz w:val="32"/>
          <w:szCs w:val="32"/>
          <w:lang w:val="en-US" w:eastAsia="zh-CN" w:bidi="ar-SA"/>
          <w:highlight w:val="auto"/>
        </w:rPr>
        <w:t>名。</w:t>
      </w:r>
    </w:p>
    <w:p>
      <w:pPr>
        <w:snapToGrid w:val="0"/>
        <w:spacing w:line="520" w:lineRule="exact"/>
        <w:ind w:firstLineChars="200" w:firstLine="640"/>
        <w:rPr>
          <w:rFonts w:ascii="仿宋_GB2312" w:eastAsia="仿宋_GB2312" w:cs="Times New Roman" w:hint="eastAsia"/>
          <w:color w:val="auto"/>
          <w:kern w:val="2"/>
          <w:sz w:val="32"/>
          <w:szCs w:val="32"/>
          <w:lang w:val="en-US" w:eastAsia="zh-CN" w:bidi="ar-SA"/>
          <w:highlight w:val="auto"/>
        </w:rPr>
      </w:pPr>
      <w:r>
        <w:rPr>
          <w:rFonts w:ascii="仿宋_GB2312" w:eastAsia="仿宋_GB2312" w:cs="Times New Roman" w:hint="eastAsia"/>
          <w:color w:val="auto"/>
          <w:kern w:val="2"/>
          <w:sz w:val="32"/>
          <w:szCs w:val="32"/>
          <w:lang w:val="en-US" w:eastAsia="zh-CN" w:bidi="ar-SA"/>
          <w:highlight w:val="auto"/>
        </w:rPr>
        <w:t>年末在职人员总数</w:t>
      </w:r>
      <w:r>
        <w:rPr>
          <w:rFonts w:ascii="仿宋_GB2312" w:eastAsia="仿宋_GB2312" w:cs="Times New Roman" w:hint="eastAsia"/>
          <w:color w:val="auto"/>
          <w:kern w:val="2"/>
          <w:sz w:val="32"/>
          <w:szCs w:val="32"/>
          <w:u w:val="single"/>
          <w:lang w:val="en-US" w:eastAsia="zh-CN" w:bidi="ar-SA"/>
          <w:highlight w:val="auto"/>
        </w:rPr>
        <w:t>16</w:t>
      </w:r>
      <w:r>
        <w:rPr>
          <w:rFonts w:ascii="仿宋_GB2312" w:eastAsia="仿宋_GB2312" w:cs="Times New Roman" w:hint="eastAsia"/>
          <w:color w:val="auto"/>
          <w:kern w:val="2"/>
          <w:sz w:val="32"/>
          <w:szCs w:val="32"/>
          <w:lang w:val="en-US" w:eastAsia="zh-CN" w:bidi="ar-SA"/>
          <w:highlight w:val="auto"/>
        </w:rPr>
        <w:t>名，特岗人员</w:t>
      </w:r>
      <w:r>
        <w:rPr>
          <w:rFonts w:ascii="仿宋_GB2312" w:eastAsia="仿宋_GB2312" w:cs="Times New Roman" w:hint="eastAsia"/>
          <w:color w:val="auto"/>
          <w:kern w:val="2"/>
          <w:sz w:val="32"/>
          <w:szCs w:val="32"/>
          <w:u w:val="single"/>
          <w:lang w:val="en-US" w:eastAsia="zh-CN" w:bidi="ar-SA"/>
          <w:highlight w:val="auto"/>
        </w:rPr>
        <w:t>1</w:t>
      </w:r>
      <w:r>
        <w:rPr>
          <w:rFonts w:ascii="仿宋_GB2312" w:eastAsia="仿宋_GB2312" w:cs="Times New Roman" w:hint="eastAsia"/>
          <w:color w:val="auto"/>
          <w:kern w:val="2"/>
          <w:sz w:val="32"/>
          <w:szCs w:val="32"/>
          <w:lang w:val="en-US" w:eastAsia="zh-CN" w:bidi="ar-SA"/>
          <w:highlight w:val="auto"/>
        </w:rPr>
        <w:t>名，</w:t>
      </w:r>
      <w:r>
        <w:rPr>
          <w:rFonts w:ascii="仿宋_GB2312" w:eastAsia="仿宋_GB2312" w:cs="Times New Roman" w:hint="eastAsia"/>
          <w:color w:val="auto"/>
          <w:kern w:val="2"/>
          <w:sz w:val="32"/>
          <w:szCs w:val="32"/>
          <w:lang w:val="en-US" w:eastAsia="zh-CN" w:bidi="ar-SA"/>
        </w:rPr>
        <w:t>““三支一扶””</w:t>
      </w:r>
      <w:r>
        <w:rPr>
          <w:rFonts w:ascii="仿宋_GB2312" w:eastAsia="仿宋_GB2312" w:cs="Times New Roman" w:hint="eastAsia"/>
          <w:color w:val="auto"/>
          <w:kern w:val="2"/>
          <w:sz w:val="32"/>
          <w:szCs w:val="32"/>
          <w:u w:val="single"/>
          <w:lang w:val="en-US" w:eastAsia="zh-CN" w:bidi="ar-SA"/>
          <w:highlight w:val="auto"/>
        </w:rPr>
        <w:t>2</w:t>
      </w:r>
      <w:r>
        <w:rPr>
          <w:rFonts w:ascii="仿宋_GB2312" w:eastAsia="仿宋_GB2312" w:cs="Times New Roman" w:hint="eastAsia"/>
          <w:color w:val="auto"/>
          <w:kern w:val="2"/>
          <w:sz w:val="32"/>
          <w:szCs w:val="32"/>
          <w:lang w:val="en-US" w:eastAsia="zh-CN" w:bidi="ar-SA"/>
          <w:highlight w:val="auto"/>
        </w:rPr>
        <w:t>名，新进人员</w:t>
      </w:r>
      <w:r>
        <w:rPr>
          <w:rFonts w:ascii="仿宋_GB2312" w:eastAsia="仿宋_GB2312" w:cs="Times New Roman" w:hint="eastAsia"/>
          <w:color w:val="auto"/>
          <w:kern w:val="2"/>
          <w:sz w:val="32"/>
          <w:szCs w:val="32"/>
          <w:u w:val="single"/>
          <w:lang w:val="en-US" w:eastAsia="zh-CN" w:bidi="ar-SA"/>
          <w:highlight w:val="auto"/>
        </w:rPr>
        <w:t>2</w:t>
      </w:r>
      <w:r>
        <w:rPr>
          <w:rFonts w:ascii="仿宋_GB2312" w:eastAsia="仿宋_GB2312" w:cs="Times New Roman" w:hint="eastAsia"/>
          <w:color w:val="auto"/>
          <w:kern w:val="2"/>
          <w:sz w:val="32"/>
          <w:szCs w:val="32"/>
          <w:lang w:val="en-US" w:eastAsia="zh-CN" w:bidi="ar-SA"/>
          <w:highlight w:val="auto"/>
        </w:rPr>
        <w:t>名，调入</w:t>
      </w:r>
      <w:r>
        <w:rPr>
          <w:rFonts w:ascii="仿宋_GB2312" w:eastAsia="仿宋_GB2312" w:cs="Times New Roman" w:hint="eastAsia"/>
          <w:color w:val="auto"/>
          <w:kern w:val="2"/>
          <w:sz w:val="32"/>
          <w:szCs w:val="32"/>
          <w:u w:val="single"/>
          <w:lang w:val="en-US" w:eastAsia="zh-CN" w:bidi="ar-SA"/>
          <w:highlight w:val="auto"/>
        </w:rPr>
        <w:t>0</w:t>
      </w:r>
      <w:r>
        <w:rPr>
          <w:rFonts w:ascii="仿宋_GB2312" w:eastAsia="仿宋_GB2312" w:cs="Times New Roman" w:hint="eastAsia"/>
          <w:color w:val="auto"/>
          <w:kern w:val="2"/>
          <w:sz w:val="32"/>
          <w:szCs w:val="32"/>
          <w:lang w:val="en-US" w:eastAsia="zh-CN" w:bidi="ar-SA"/>
          <w:highlight w:val="auto"/>
        </w:rPr>
        <w:t>名，调出</w:t>
      </w:r>
      <w:r>
        <w:rPr>
          <w:rFonts w:ascii="仿宋_GB2312" w:eastAsia="仿宋_GB2312" w:cs="Times New Roman" w:hint="eastAsia"/>
          <w:color w:val="auto"/>
          <w:kern w:val="2"/>
          <w:sz w:val="32"/>
          <w:szCs w:val="32"/>
          <w:u w:val="single"/>
          <w:lang w:val="en-US" w:eastAsia="zh-CN" w:bidi="ar-SA"/>
          <w:highlight w:val="auto"/>
        </w:rPr>
        <w:t>1</w:t>
      </w:r>
      <w:r>
        <w:rPr>
          <w:rFonts w:ascii="仿宋_GB2312" w:eastAsia="仿宋_GB2312" w:cs="Times New Roman" w:hint="eastAsia"/>
          <w:color w:val="auto"/>
          <w:kern w:val="2"/>
          <w:sz w:val="32"/>
          <w:szCs w:val="32"/>
          <w:lang w:val="en-US" w:eastAsia="zh-CN" w:bidi="ar-SA"/>
          <w:highlight w:val="auto"/>
        </w:rPr>
        <w:t>名，辞职</w:t>
      </w:r>
      <w:r>
        <w:rPr>
          <w:rFonts w:ascii="仿宋_GB2312" w:eastAsia="仿宋_GB2312" w:cs="Times New Roman" w:hint="eastAsia"/>
          <w:color w:val="auto"/>
          <w:kern w:val="2"/>
          <w:sz w:val="32"/>
          <w:szCs w:val="32"/>
          <w:u w:val="single"/>
          <w:lang w:val="en-US" w:eastAsia="zh-CN" w:bidi="ar-SA"/>
          <w:highlight w:val="auto"/>
        </w:rPr>
        <w:t>1</w:t>
      </w:r>
      <w:r>
        <w:rPr>
          <w:rFonts w:ascii="仿宋_GB2312" w:eastAsia="仿宋_GB2312" w:cs="Times New Roman" w:hint="eastAsia"/>
          <w:color w:val="auto"/>
          <w:kern w:val="2"/>
          <w:sz w:val="32"/>
          <w:szCs w:val="32"/>
          <w:lang w:val="en-US" w:eastAsia="zh-CN" w:bidi="ar-SA"/>
          <w:highlight w:val="auto"/>
        </w:rPr>
        <w:t>名。</w:t>
      </w:r>
    </w:p>
    <w:p>
      <w:pPr>
        <w:pStyle w:val="36"/>
        <w:rPr>
          <w:rFonts w:ascii="仿宋_GB2312" w:eastAsia="仿宋_GB2312" w:cs="Times New Roman" w:hint="eastAsia"/>
          <w:color w:val="auto"/>
          <w:kern w:val="2"/>
          <w:sz w:val="32"/>
          <w:szCs w:val="32"/>
          <w:lang w:val="en-US" w:eastAsia="zh-CN" w:bidi="ar-SA"/>
          <w:highlight w:val="auto"/>
        </w:rPr>
      </w:pPr>
      <w:r>
        <w:rPr>
          <w:rFonts w:ascii="仿宋_GB2312" w:eastAsia="仿宋_GB2312" w:cs="Times New Roman" w:hint="eastAsia"/>
          <w:color w:val="auto"/>
          <w:kern w:val="2"/>
          <w:sz w:val="32"/>
          <w:szCs w:val="32"/>
          <w:lang w:val="en-US" w:eastAsia="zh-CN" w:bidi="ar-SA"/>
          <w:highlight w:val="auto"/>
        </w:rPr>
        <w:br w:type="page"/>
      </w:r>
    </w:p>
    <w:p>
      <w:pPr>
        <w:pStyle w:val="1"/>
        <w:ind w:right="440"/>
        <w:jc w:val="center"/>
        <w:rPr>
          <w:color w:val="auto"/>
        </w:rPr>
      </w:pPr>
      <w:bookmarkStart w:id="20" w:name="_Toc15396602"/>
      <w:bookmarkStart w:id="21" w:name="_Toc28075"/>
      <w:bookmarkStart w:id="22" w:name="_Toc15377204"/>
      <w:r>
        <w:rPr>
          <w:rFonts w:ascii="黑体" w:eastAsia="黑体" w:hint="eastAsia"/>
          <w:b w:val="0"/>
          <w:color w:val="auto"/>
        </w:rPr>
        <w:t>第二部分 2025年度</w:t>
      </w:r>
      <w:r>
        <w:rPr>
          <w:rStyle w:val="1Char"/>
          <w:rFonts w:ascii="黑体" w:eastAsia="黑体" w:hint="eastAsia"/>
          <w:b w:val="0"/>
          <w:bCs/>
          <w:color w:val="auto"/>
        </w:rPr>
        <w:t>单位决算情况说明</w:t>
      </w:r>
      <w:bookmarkEnd w:id="20"/>
      <w:bookmarkEnd w:id="21"/>
      <w:bookmarkEnd w:id="22"/>
    </w:p>
    <w:p>
      <w:pPr>
        <w:pStyle w:val="32"/>
        <w:numPr>
          <w:ilvl w:val="0"/>
          <w:numId w:val="2"/>
        </w:numPr>
        <w:spacing w:line="600" w:lineRule="exact"/>
        <w:ind w:firstLineChars="0"/>
        <w:outlineLvl w:val="1"/>
        <w:rPr>
          <w:rStyle w:val="2Char"/>
          <w:rFonts w:ascii="黑体" w:eastAsia="黑体"/>
          <w:b w:val="0"/>
          <w:color w:val="auto"/>
        </w:rPr>
      </w:pPr>
      <w:bookmarkStart w:id="23" w:name="_Toc15396603"/>
      <w:bookmarkStart w:id="24" w:name="_Toc15377205"/>
      <w:bookmarkStart w:id="25" w:name="_Toc8069"/>
      <w:r>
        <w:rPr>
          <w:rFonts w:ascii="黑体" w:eastAsia="黑体" w:hint="eastAsia"/>
          <w:color w:val="auto"/>
          <w:sz w:val="32"/>
          <w:szCs w:val="32"/>
        </w:rPr>
        <w:t>收</w:t>
      </w:r>
      <w:r>
        <w:rPr>
          <w:rStyle w:val="2Char"/>
          <w:rFonts w:ascii="黑体" w:eastAsia="黑体" w:hint="eastAsia"/>
          <w:b w:val="0"/>
          <w:color w:val="auto"/>
        </w:rPr>
        <w:t>入支出决算总体情况说明</w:t>
      </w:r>
      <w:bookmarkEnd w:id="23"/>
      <w:bookmarkEnd w:id="24"/>
      <w:bookmarkEnd w:id="25"/>
    </w:p>
    <w:p>
      <w:pPr>
        <w:pStyle w:val="36"/>
        <w:rPr>
          <w:rFonts w:ascii="仿宋" w:eastAsia="仿宋" w:cs="Times New Roman" w:hint="eastAsia"/>
          <w:color w:val="auto"/>
          <w:kern w:val="2"/>
          <w:sz w:val="32"/>
          <w:szCs w:val="32"/>
          <w:lang w:val="en-US" w:eastAsia="zh-CN" w:bidi="ar-SA"/>
        </w:rPr>
      </w:pPr>
      <w:r>
        <w:rPr>
          <w:rFonts w:ascii="仿宋" w:eastAsia="仿宋" w:cs="Times New Roman" w:hint="eastAsia"/>
          <w:color w:val="auto"/>
          <w:kern w:val="2"/>
          <w:sz w:val="32"/>
          <w:szCs w:val="32"/>
          <w:lang w:val="en-US" w:eastAsia="zh-CN" w:bidi="ar-SA"/>
        </w:rPr>
        <w:t>2025年度收入总计为386.86万元、支出总计为374.03万元（含上年结转结余资金5.98万元）。与上年度相比，收入增加了17.68万元，增加4.6%、支出总计增加14.41万元，增加3.8%。收入主要变动原因是2025年年初在编在职人员增加，年底新增1名在编在职人员，综合来看经费增加少，工资支出、保险公积金缴费增加。支出主要变动原因是2025年年初在编在职人员增加，年底新增1名在编在职人员，综合来看经费增加少，工资支出、保险公积金缴费增加，导致本年支出增加。</w:t>
      </w:r>
    </w:p>
    <w:p>
      <w:pPr>
        <w:spacing w:line="600" w:lineRule="exact"/>
        <w:outlineLvl w:val="1"/>
        <w:rPr>
          <w:rFonts w:ascii="仿宋_GB2312" w:eastAsia="仿宋_GB2312" w:cs="Times New Roman" w:hint="eastAsia"/>
          <w:color w:val="auto"/>
          <w:kern w:val="2"/>
          <w:sz w:val="32"/>
          <w:szCs w:val="32"/>
          <w:lang w:val="en-US" w:eastAsia="zh-CN" w:bidi="ar-SA"/>
          <w:highlight w:val="auto"/>
        </w:rPr>
      </w:pPr>
      <w:r>
        <w:rPr>
          <w:color w:val="auto"/>
        </w:rPr>
        <w:drawing>
          <wp:anchor distT="0" distB="0" distL="114300" distR="114300" simplePos="0" relativeHeight="29" behindDoc="0" locked="0" layoutInCell="1" hidden="0" allowOverlap="1">
            <wp:simplePos x="0" y="0"/>
            <wp:positionH relativeFrom="column">
              <wp:posOffset>149860</wp:posOffset>
            </wp:positionH>
            <wp:positionV relativeFrom="paragraph">
              <wp:posOffset>60960</wp:posOffset>
            </wp:positionV>
            <wp:extent cx="5127625" cy="2240279"/>
            <wp:effectExtent l="0" t="0" r="0" b="0"/>
            <wp:wrapTopAndBottom/>
            <wp:docPr id="1" name="图表 4"/>
            <wp:cNvGraphicFramePr>
              <a:graphicFrameLocks noChangeAspect="0"/>
            </wp:cNvGraphicFramePr>
            <a:graphic>
              <a:graphicData uri="http://schemas.openxmlformats.org/drawingml/2006/chart">
                <c:chart xmlns:c="http://schemas.openxmlformats.org/drawingml/2006/chart" r:id="rId4"/>
              </a:graphicData>
            </a:graphic>
          </wp:anchor>
        </w:drawing>
      </w:r>
      <w:r>
        <w:rPr>
          <w:rFonts w:hint="eastAsia"/>
          <w:color w:val="auto"/>
          <w:lang w:val="en-US" w:eastAsia="zh-CN"/>
        </w:rPr>
        <w:t xml:space="preserve">      </w:t>
      </w:r>
      <w:r>
        <w:rPr>
          <w:rFonts w:ascii="仿宋" w:eastAsia="仿宋" w:cs="Times New Roman" w:hint="eastAsia"/>
          <w:color w:val="auto"/>
          <w:kern w:val="2"/>
          <w:sz w:val="32"/>
          <w:szCs w:val="32"/>
          <w:lang w:val="en-US" w:eastAsia="zh-CN"/>
          <w:highlight w:val="auto"/>
        </w:rPr>
        <w:t>（图1：收入、支出决算总计变动情况图）</w:t>
      </w:r>
    </w:p>
    <w:p>
      <w:pPr>
        <w:pStyle w:val="32"/>
        <w:numPr>
          <w:ilvl w:val="0"/>
          <w:numId w:val="2"/>
        </w:numPr>
        <w:spacing w:line="600" w:lineRule="exact"/>
        <w:ind w:firstLineChars="0"/>
        <w:outlineLvl w:val="1"/>
        <w:rPr>
          <w:rStyle w:val="2Char"/>
          <w:rFonts w:ascii="黑体" w:eastAsia="黑体"/>
          <w:b w:val="0"/>
          <w:color w:val="auto"/>
        </w:rPr>
      </w:pPr>
      <w:bookmarkStart w:id="26" w:name="_Toc15377206"/>
      <w:bookmarkStart w:id="27" w:name="_Toc24830"/>
      <w:bookmarkStart w:id="28" w:name="_Toc15396604"/>
      <w:r>
        <w:rPr>
          <w:rFonts w:ascii="黑体" w:eastAsia="黑体" w:hint="eastAsia"/>
          <w:color w:val="auto"/>
          <w:sz w:val="32"/>
          <w:szCs w:val="32"/>
        </w:rPr>
        <w:t>收</w:t>
      </w:r>
      <w:r>
        <w:rPr>
          <w:rStyle w:val="2Char"/>
          <w:rFonts w:ascii="黑体" w:eastAsia="黑体" w:hint="eastAsia"/>
          <w:b w:val="0"/>
          <w:color w:val="auto"/>
        </w:rPr>
        <w:t>入决算情况说明</w:t>
      </w:r>
      <w:bookmarkEnd w:id="26"/>
      <w:bookmarkEnd w:id="27"/>
      <w:bookmarkEnd w:id="28"/>
    </w:p>
    <w:p>
      <w:pPr>
        <w:pStyle w:val="36"/>
        <w:rPr>
          <w:rFonts w:ascii="仿宋" w:eastAsia="仿宋" w:cs="Times New Roman" w:hint="eastAsia"/>
          <w:color w:val="auto"/>
          <w:kern w:val="2"/>
          <w:sz w:val="32"/>
          <w:szCs w:val="32"/>
          <w:lang w:val="en-US" w:eastAsia="zh-CN" w:bidi="ar-SA"/>
        </w:rPr>
      </w:pPr>
      <w:r>
        <w:rPr>
          <w:rFonts w:ascii="仿宋" w:eastAsia="仿宋" w:cs="Times New Roman" w:hint="eastAsia"/>
          <w:color w:val="auto"/>
          <w:kern w:val="2"/>
          <w:sz w:val="32"/>
          <w:szCs w:val="32"/>
          <w:lang w:val="en-US" w:eastAsia="zh-CN" w:bidi="ar-SA"/>
        </w:rPr>
        <w:t>2025年度本年收入合计386.86万元，其中：一般公共预算财政拨款收入327.85万元，占84.7%；政府性基金预算财政拨款收入0万元，占0%；国有资本经营预算财政拨款收入0万元，占0%；上级补助收入0万元，占0%；事业收入59.01万元，占15.7%；经营收入0万元，占0%；附属单位上缴收入0万元，占0%；其他收入0万元，占0%。</w:t>
      </w:r>
    </w:p>
    <w:p>
      <w:pPr>
        <w:pStyle w:val="36"/>
        <w:rPr>
          <w:rFonts w:ascii="仿宋_GB2312" w:eastAsia="仿宋_GB2312" w:cs="Times New Roman" w:hint="eastAsia"/>
          <w:color w:val="auto"/>
          <w:kern w:val="2"/>
          <w:sz w:val="32"/>
          <w:szCs w:val="32"/>
          <w:lang w:val="en-US" w:eastAsia="zh-CN" w:bidi="ar-SA"/>
          <w:highlight w:val="auto"/>
        </w:rPr>
      </w:pPr>
      <w:r>
        <w:rPr>
          <w:color w:val="auto"/>
        </w:rPr>
        <w:drawing>
          <wp:inline distT="0" distB="0" distL="114300" distR="114300">
            <wp:extent cx="5042534" cy="1982469"/>
            <wp:effectExtent l="0" t="0" r="0" b="0"/>
            <wp:docPr id="2" name="图表 3"/>
            <wp:cNvGraphicFramePr>
              <a:graphicFrameLocks noChangeAspect="0"/>
            </wp:cNvGraphicFramePr>
            <a:graphic>
              <a:graphicData uri="http://schemas.openxmlformats.org/drawingml/2006/chart">
                <c:chart xmlns:c="http://schemas.openxmlformats.org/drawingml/2006/chart" r:id="rId5"/>
              </a:graphicData>
            </a:graphic>
          </wp:inline>
        </w:drawing>
      </w:r>
    </w:p>
    <w:p>
      <w:pPr>
        <w:pStyle w:val="36"/>
        <w:rPr>
          <w:rFonts w:ascii="仿宋_GB2312" w:eastAsia="仿宋_GB2312" w:cs="Times New Roman" w:hint="eastAsia"/>
          <w:color w:val="auto"/>
          <w:kern w:val="2"/>
          <w:sz w:val="32"/>
          <w:szCs w:val="32"/>
          <w:lang w:val="en-US" w:eastAsia="zh-CN" w:bidi="ar-SA"/>
          <w:highlight w:val="auto"/>
        </w:rPr>
      </w:pPr>
      <w:r>
        <w:rPr>
          <w:rFonts w:ascii="仿宋_GB2312" w:eastAsia="仿宋_GB2312" w:cs="Times New Roman" w:hint="eastAsia"/>
          <w:color w:val="auto"/>
          <w:kern w:val="2"/>
          <w:sz w:val="32"/>
          <w:szCs w:val="32"/>
          <w:lang w:val="en-US" w:eastAsia="zh-CN" w:bidi="ar-SA"/>
          <w:highlight w:val="auto"/>
        </w:rPr>
        <w:t xml:space="preserve">            （图2：收入决算结构图）</w:t>
      </w:r>
    </w:p>
    <w:p>
      <w:pPr>
        <w:pStyle w:val="32"/>
        <w:numPr>
          <w:ilvl w:val="0"/>
          <w:numId w:val="2"/>
        </w:numPr>
        <w:spacing w:line="600" w:lineRule="exact"/>
        <w:ind w:firstLineChars="0"/>
        <w:outlineLvl w:val="1"/>
        <w:rPr>
          <w:rStyle w:val="2Char"/>
          <w:rFonts w:ascii="黑体" w:eastAsia="黑体"/>
          <w:b w:val="0"/>
          <w:color w:val="auto"/>
        </w:rPr>
      </w:pPr>
      <w:bookmarkStart w:id="29" w:name="_Toc15396605"/>
      <w:bookmarkStart w:id="30" w:name="_Toc15377207"/>
      <w:bookmarkStart w:id="31" w:name="_Toc1712"/>
      <w:r>
        <w:rPr>
          <w:rFonts w:ascii="黑体" w:eastAsia="黑体" w:hint="eastAsia"/>
          <w:color w:val="auto"/>
          <w:sz w:val="32"/>
          <w:szCs w:val="32"/>
        </w:rPr>
        <w:t>支</w:t>
      </w:r>
      <w:r>
        <w:rPr>
          <w:rStyle w:val="2Char"/>
          <w:rFonts w:ascii="黑体" w:eastAsia="黑体" w:hint="eastAsia"/>
          <w:b w:val="0"/>
          <w:color w:val="auto"/>
        </w:rPr>
        <w:t>出决算情况说明</w:t>
      </w:r>
      <w:bookmarkEnd w:id="29"/>
      <w:bookmarkEnd w:id="30"/>
      <w:bookmarkEnd w:id="31"/>
    </w:p>
    <w:p>
      <w:pPr>
        <w:pStyle w:val="36"/>
        <w:rPr>
          <w:rFonts w:ascii="仿宋" w:eastAsia="仿宋" w:cs="Times New Roman" w:hint="eastAsia"/>
          <w:color w:val="auto"/>
          <w:kern w:val="2"/>
          <w:sz w:val="32"/>
          <w:szCs w:val="32"/>
          <w:lang w:val="en-US" w:eastAsia="zh-CN" w:bidi="ar-SA"/>
        </w:rPr>
      </w:pPr>
      <w:r>
        <w:rPr>
          <w:rFonts w:ascii="仿宋" w:eastAsia="仿宋" w:cs="Times New Roman" w:hint="eastAsia"/>
          <w:color w:val="auto"/>
          <w:kern w:val="2"/>
          <w:sz w:val="32"/>
          <w:szCs w:val="32"/>
          <w:lang w:val="en-US" w:eastAsia="zh-CN" w:bidi="ar-SA"/>
        </w:rPr>
        <w:t>2025年度本年支出合计374.03万元，其中：基本支出311.72万元，占83.3%；项目支出62.31万元，占16.7%；上缴上级支出0万元，占0%；经营支出0万元，占0%；对附属单位补助支出0万元，占0%。</w:t>
      </w:r>
    </w:p>
    <w:p>
      <w:pPr>
        <w:pStyle w:val="36"/>
        <w:ind w:left="0" w:firstLineChars="0" w:firstLine="0"/>
        <w:rPr>
          <w:rFonts w:ascii="仿宋_GB2312" w:eastAsia="仿宋_GB2312" w:cs="Times New Roman" w:hint="eastAsia"/>
          <w:color w:val="auto"/>
          <w:kern w:val="2"/>
          <w:sz w:val="32"/>
          <w:szCs w:val="32"/>
          <w:lang w:val="en-US" w:eastAsia="zh-CN" w:bidi="ar-SA"/>
          <w:highlight w:val="auto"/>
        </w:rPr>
      </w:pPr>
      <w:r>
        <w:rPr>
          <w:color w:val="auto"/>
        </w:rPr>
        <w:drawing>
          <wp:inline distT="0" distB="0" distL="114300" distR="114300">
            <wp:extent cx="5165090" cy="2331720"/>
            <wp:effectExtent l="0" t="0" r="0" b="0"/>
            <wp:docPr id="3" name="图表 5"/>
            <wp:cNvGraphicFramePr>
              <a:graphicFrameLocks noChangeAspect="0"/>
            </wp:cNvGraphicFramePr>
            <a:graphic>
              <a:graphicData uri="http://schemas.openxmlformats.org/drawingml/2006/chart">
                <c:chart xmlns:c="http://schemas.openxmlformats.org/drawingml/2006/chart" r:id="rId6"/>
              </a:graphicData>
            </a:graphic>
          </wp:inline>
        </w:drawing>
      </w:r>
    </w:p>
    <w:p>
      <w:pPr>
        <w:pStyle w:val="36"/>
        <w:rPr>
          <w:rFonts w:ascii="仿宋_GB2312" w:eastAsia="仿宋_GB2312" w:cs="Times New Roman" w:hint="eastAsia"/>
          <w:color w:val="auto"/>
          <w:kern w:val="2"/>
          <w:sz w:val="32"/>
          <w:szCs w:val="32"/>
          <w:lang w:val="en-US" w:eastAsia="zh-CN" w:bidi="ar-SA"/>
          <w:highlight w:val="auto"/>
        </w:rPr>
      </w:pPr>
      <w:r>
        <w:rPr>
          <w:rFonts w:ascii="仿宋_GB2312" w:eastAsia="仿宋_GB2312" w:cs="Times New Roman" w:hint="eastAsia"/>
          <w:color w:val="auto"/>
          <w:kern w:val="2"/>
          <w:sz w:val="32"/>
          <w:szCs w:val="32"/>
          <w:lang w:val="en-US" w:eastAsia="zh-CN" w:bidi="ar-SA"/>
          <w:highlight w:val="auto"/>
        </w:rPr>
        <w:t xml:space="preserve">              （图3：支出决算结构图）</w:t>
      </w:r>
    </w:p>
    <w:p>
      <w:pPr>
        <w:spacing w:line="600" w:lineRule="exact"/>
        <w:ind w:firstLineChars="200" w:firstLine="640"/>
        <w:outlineLvl w:val="1"/>
        <w:rPr>
          <w:rStyle w:val="2Char"/>
          <w:rFonts w:ascii="黑体" w:eastAsia="黑体"/>
          <w:b w:val="0"/>
          <w:color w:val="auto"/>
        </w:rPr>
      </w:pPr>
      <w:bookmarkStart w:id="32" w:name="_Toc15396606"/>
      <w:bookmarkStart w:id="33" w:name="_Toc3004"/>
      <w:bookmarkStart w:id="34" w:name="_Toc15377208"/>
      <w:r>
        <w:rPr>
          <w:rFonts w:ascii="黑体" w:eastAsia="黑体" w:hint="eastAsia"/>
          <w:color w:val="auto"/>
          <w:sz w:val="32"/>
          <w:szCs w:val="32"/>
        </w:rPr>
        <w:t>四、财</w:t>
      </w:r>
      <w:r>
        <w:rPr>
          <w:rStyle w:val="2Char"/>
          <w:rFonts w:ascii="黑体" w:eastAsia="黑体" w:hint="eastAsia"/>
          <w:b w:val="0"/>
          <w:color w:val="auto"/>
        </w:rPr>
        <w:t>政拨款收入支出决算总体情况说明</w:t>
      </w:r>
      <w:bookmarkEnd w:id="32"/>
      <w:bookmarkEnd w:id="33"/>
      <w:bookmarkEnd w:id="34"/>
    </w:p>
    <w:p>
      <w:pPr>
        <w:pStyle w:val="36"/>
        <w:rPr>
          <w:rFonts w:ascii="仿宋" w:eastAsia="仿宋" w:cs="Times New Roman" w:hint="eastAsia"/>
          <w:color w:val="auto"/>
          <w:kern w:val="2"/>
          <w:sz w:val="32"/>
          <w:szCs w:val="32"/>
          <w:lang w:val="en-US" w:eastAsia="zh-CN" w:bidi="ar-SA"/>
        </w:rPr>
      </w:pPr>
      <w:r>
        <w:rPr>
          <w:rFonts w:ascii="仿宋" w:eastAsia="仿宋" w:cs="Times New Roman" w:hint="eastAsia"/>
          <w:color w:val="auto"/>
          <w:kern w:val="2"/>
          <w:sz w:val="32"/>
          <w:szCs w:val="32"/>
          <w:lang w:val="en-US" w:eastAsia="zh-CN" w:bidi="ar-SA"/>
        </w:rPr>
        <w:t>2025年度财政拨款收入、支出总计均为327.85万元。与上年度相比，财政拨款收入、支出总计各增加27.33万元，增长8.3%。主要变动原因是2025年年初在编在职人员增加，年底新增1名在编在职人员，综合来看经费增加少，工资支出、保险公积金缴费增加。</w:t>
      </w:r>
    </w:p>
    <w:p>
      <w:pPr>
        <w:rPr>
          <w:rFonts w:hint="eastAsia"/>
          <w:color w:val="auto"/>
          <w:lang w:val="en-US" w:eastAsia="zh-CN"/>
        </w:rPr>
      </w:pPr>
      <w:r>
        <w:rPr>
          <w:color w:val="auto"/>
        </w:rPr>
        <w:drawing>
          <wp:inline distT="0" distB="0" distL="114300" distR="114300">
            <wp:extent cx="5234305" cy="2197735"/>
            <wp:effectExtent l="0" t="0" r="0" b="0"/>
            <wp:docPr id="4" name="图表 6"/>
            <wp:cNvGraphicFramePr>
              <a:graphicFrameLocks noChangeAspect="0"/>
            </wp:cNvGraphicFramePr>
            <a:graphic>
              <a:graphicData uri="http://schemas.openxmlformats.org/drawingml/2006/chart">
                <c:chart xmlns:c="http://schemas.openxmlformats.org/drawingml/2006/chart" r:id="rId7"/>
              </a:graphicData>
            </a:graphic>
          </wp:inline>
        </w:drawing>
      </w:r>
    </w:p>
    <w:p>
      <w:pPr>
        <w:pStyle w:val="36"/>
        <w:rPr>
          <w:rFonts w:ascii="仿宋_GB2312" w:eastAsia="仿宋_GB2312" w:cs="Times New Roman" w:hint="eastAsia"/>
          <w:color w:val="auto"/>
          <w:kern w:val="2"/>
          <w:sz w:val="32"/>
          <w:szCs w:val="32"/>
          <w:lang w:val="en-US" w:eastAsia="zh-CN" w:bidi="ar-SA"/>
          <w:highlight w:val="auto"/>
        </w:rPr>
      </w:pPr>
      <w:r>
        <w:rPr>
          <w:rFonts w:ascii="仿宋_GB2312" w:eastAsia="仿宋_GB2312" w:cs="Times New Roman" w:hint="eastAsia"/>
          <w:color w:val="auto"/>
          <w:kern w:val="2"/>
          <w:sz w:val="32"/>
          <w:szCs w:val="32"/>
          <w:lang w:val="en-US" w:eastAsia="zh-CN" w:bidi="ar-SA"/>
          <w:highlight w:val="auto"/>
        </w:rPr>
        <w:t>（图4：财政拨款收、支决算总计变动情况）</w:t>
      </w:r>
    </w:p>
    <w:p>
      <w:pPr>
        <w:spacing w:line="600" w:lineRule="exact"/>
        <w:ind w:firstLineChars="200" w:firstLine="640"/>
        <w:outlineLvl w:val="1"/>
        <w:rPr>
          <w:rStyle w:val="2Char"/>
          <w:rFonts w:ascii="黑体" w:eastAsia="黑体"/>
          <w:b w:val="0"/>
          <w:color w:val="auto"/>
        </w:rPr>
      </w:pPr>
      <w:bookmarkStart w:id="35" w:name="_Toc15377209"/>
      <w:bookmarkStart w:id="36" w:name="_Toc15396607"/>
      <w:bookmarkStart w:id="37" w:name="_Toc3422"/>
      <w:r>
        <w:rPr>
          <w:rFonts w:ascii="黑体" w:eastAsia="黑体" w:hint="eastAsia"/>
          <w:color w:val="auto"/>
          <w:sz w:val="32"/>
          <w:szCs w:val="32"/>
        </w:rPr>
        <w:t>五、</w:t>
      </w:r>
      <w:r>
        <w:rPr>
          <w:rFonts w:ascii="黑体" w:eastAsia="黑体" w:hint="eastAsia"/>
          <w:b/>
          <w:color w:val="auto"/>
          <w:sz w:val="32"/>
          <w:szCs w:val="32"/>
        </w:rPr>
        <w:t>一</w:t>
      </w:r>
      <w:r>
        <w:rPr>
          <w:rStyle w:val="2Char"/>
          <w:rFonts w:ascii="黑体" w:eastAsia="黑体" w:hint="eastAsia"/>
          <w:b w:val="0"/>
          <w:color w:val="auto"/>
        </w:rPr>
        <w:t>般公共预算财政拨款支出决算情况说明</w:t>
      </w:r>
      <w:bookmarkEnd w:id="35"/>
      <w:bookmarkEnd w:id="36"/>
      <w:bookmarkEnd w:id="37"/>
    </w:p>
    <w:p>
      <w:pPr>
        <w:spacing w:line="600" w:lineRule="exact"/>
        <w:ind w:firstLineChars="200" w:firstLine="640"/>
        <w:outlineLvl w:val="2"/>
        <w:rPr>
          <w:rFonts w:ascii="仿宋" w:eastAsia="仿宋"/>
          <w:b/>
          <w:color w:val="auto"/>
          <w:sz w:val="32"/>
          <w:szCs w:val="32"/>
        </w:rPr>
      </w:pPr>
      <w:bookmarkStart w:id="38" w:name="_Toc15377210"/>
      <w:r>
        <w:rPr>
          <w:rFonts w:ascii="仿宋" w:eastAsia="仿宋" w:hint="eastAsia"/>
          <w:b/>
          <w:color w:val="auto"/>
          <w:sz w:val="32"/>
          <w:szCs w:val="32"/>
        </w:rPr>
        <w:t>（一）一般公共预算财政拨款支出决算总体情况</w:t>
      </w:r>
      <w:bookmarkEnd w:id="38"/>
    </w:p>
    <w:p>
      <w:pPr>
        <w:pStyle w:val="36"/>
        <w:rPr>
          <w:rFonts w:ascii="仿宋" w:eastAsia="仿宋" w:cs="Times New Roman" w:hint="eastAsia"/>
          <w:color w:val="auto"/>
          <w:kern w:val="2"/>
          <w:sz w:val="32"/>
          <w:szCs w:val="32"/>
          <w:lang w:val="en-US" w:eastAsia="zh-CN" w:bidi="ar-SA"/>
        </w:rPr>
      </w:pPr>
      <w:r>
        <w:rPr>
          <w:rFonts w:ascii="仿宋" w:eastAsia="仿宋" w:cs="Times New Roman" w:hint="eastAsia"/>
          <w:color w:val="auto"/>
          <w:kern w:val="2"/>
          <w:sz w:val="32"/>
          <w:szCs w:val="32"/>
          <w:lang w:val="en-US" w:eastAsia="zh-CN" w:bidi="ar-SA"/>
        </w:rPr>
        <w:t>2025年度一般公共预算财政拨款支出327.85万元，占本年支出合计的87.6%。与上年度相比，一般公共预算财政拨款支出增加27.33万元，增加8.3%。主要变动原是2025年年初在编在职人员增加，年底新增1名在编在职人员，综合来看经费增加少，工资支出、保险公积金缴费增加。</w:t>
      </w:r>
    </w:p>
    <w:p>
      <w:pPr>
        <w:ind w:firstLineChars="200" w:firstLine="420"/>
        <w:rPr>
          <w:rFonts w:ascii="仿宋_GB2312" w:eastAsia="仿宋_GB2312" w:cs="Times New Roman" w:hint="eastAsia"/>
          <w:color w:val="auto"/>
          <w:kern w:val="2"/>
          <w:sz w:val="32"/>
          <w:szCs w:val="32"/>
          <w:lang w:val="en-US" w:eastAsia="zh-CN" w:bidi="ar-SA"/>
          <w:highlight w:val="auto"/>
        </w:rPr>
      </w:pPr>
      <w:r>
        <w:rPr>
          <w:color w:val="auto"/>
        </w:rPr>
        <w:drawing>
          <wp:inline distT="0" distB="0" distL="114300" distR="114300">
            <wp:extent cx="5271134" cy="2136140"/>
            <wp:effectExtent l="0" t="0" r="0" b="0"/>
            <wp:docPr id="5" name="图表 7"/>
            <wp:cNvGraphicFramePr>
              <a:graphicFrameLocks noChangeAspect="0"/>
            </wp:cNvGraphicFramePr>
            <a:graphic>
              <a:graphicData uri="http://schemas.openxmlformats.org/drawingml/2006/chart">
                <c:chart xmlns:c="http://schemas.openxmlformats.org/drawingml/2006/chart" r:id="rId8"/>
              </a:graphicData>
            </a:graphic>
          </wp:inline>
        </w:drawing>
      </w:r>
    </w:p>
    <w:p>
      <w:pPr>
        <w:pStyle w:val="36"/>
        <w:rPr>
          <w:rFonts w:ascii="仿宋_GB2312" w:eastAsia="仿宋_GB2312" w:cs="Times New Roman" w:hint="eastAsia"/>
          <w:color w:val="auto"/>
          <w:kern w:val="2"/>
          <w:sz w:val="32"/>
          <w:szCs w:val="32"/>
          <w:lang w:val="en-US" w:eastAsia="zh-CN" w:bidi="ar-SA"/>
          <w:highlight w:val="auto"/>
        </w:rPr>
      </w:pPr>
      <w:r>
        <w:rPr>
          <w:rFonts w:ascii="仿宋_GB2312" w:eastAsia="仿宋_GB2312" w:cs="Times New Roman" w:hint="eastAsia"/>
          <w:color w:val="auto"/>
          <w:kern w:val="2"/>
          <w:sz w:val="32"/>
          <w:szCs w:val="32"/>
          <w:lang w:val="en-US" w:eastAsia="zh-CN" w:bidi="ar-SA"/>
          <w:highlight w:val="auto"/>
        </w:rPr>
        <w:t>（图5：一般公共预算财政拨款支出决算变动情况）</w:t>
      </w:r>
    </w:p>
    <w:p>
      <w:pPr>
        <w:spacing w:line="600" w:lineRule="exact"/>
        <w:ind w:firstLineChars="200" w:firstLine="640"/>
        <w:outlineLvl w:val="2"/>
        <w:rPr>
          <w:rFonts w:ascii="仿宋" w:eastAsia="仿宋"/>
          <w:b/>
          <w:color w:val="auto"/>
          <w:sz w:val="32"/>
          <w:szCs w:val="32"/>
        </w:rPr>
      </w:pPr>
      <w:bookmarkStart w:id="39" w:name="_Toc15377211"/>
      <w:r>
        <w:rPr>
          <w:rFonts w:ascii="仿宋" w:eastAsia="仿宋" w:hint="eastAsia"/>
          <w:b/>
          <w:color w:val="auto"/>
          <w:sz w:val="32"/>
          <w:szCs w:val="32"/>
        </w:rPr>
        <w:t>（二）一般公共预算财政拨款支出决算结构情况</w:t>
      </w:r>
      <w:bookmarkEnd w:id="39"/>
    </w:p>
    <w:p>
      <w:pPr>
        <w:spacing w:line="600" w:lineRule="exact"/>
        <w:ind w:firstLine="640"/>
        <w:rPr>
          <w:rFonts w:ascii="仿宋" w:eastAsia="仿宋"/>
          <w:color w:val="auto"/>
          <w:sz w:val="32"/>
          <w:szCs w:val="32"/>
        </w:rPr>
      </w:pPr>
      <w:r>
        <w:rPr>
          <w:rFonts w:ascii="仿宋_GB2312" w:eastAsia="仿宋_GB2312" w:cs="Times New Roman" w:hint="eastAsia"/>
          <w:color w:val="auto"/>
          <w:kern w:val="2"/>
          <w:sz w:val="32"/>
          <w:szCs w:val="32"/>
          <w:lang w:val="en-US" w:eastAsia="zh-CN" w:bidi="ar-SA"/>
          <w:highlight w:val="auto"/>
        </w:rPr>
        <w:t>2025年一般公共预算财政拨款支出327.85万元，主要用于以下方面:</w:t>
      </w:r>
      <w:r>
        <w:rPr>
          <w:rFonts w:ascii="仿宋" w:eastAsia="仿宋" w:hint="eastAsia"/>
          <w:b/>
          <w:color w:val="auto"/>
          <w:sz w:val="32"/>
          <w:szCs w:val="32"/>
        </w:rPr>
        <w:t>一般公共服务</w:t>
      </w:r>
      <w:r>
        <w:rPr>
          <w:rFonts w:ascii="仿宋" w:eastAsia="仿宋" w:hint="eastAsia"/>
          <w:b/>
          <w:bCs/>
          <w:color w:val="auto"/>
          <w:sz w:val="32"/>
          <w:szCs w:val="32"/>
        </w:rPr>
        <w:t>支出</w:t>
      </w:r>
      <w:r>
        <w:rPr>
          <w:rFonts w:ascii="仿宋" w:eastAsia="仿宋" w:hint="eastAsia"/>
          <w:b/>
          <w:bCs/>
          <w:color w:val="auto"/>
          <w:sz w:val="32"/>
          <w:szCs w:val="32"/>
          <w:lang w:val="en-US" w:eastAsia="zh-CN"/>
        </w:rPr>
        <w:t>0</w:t>
      </w:r>
      <w:r>
        <w:rPr>
          <w:rFonts w:ascii="仿宋_GB2312" w:eastAsia="仿宋_GB2312" w:cs="Times New Roman" w:hint="eastAsia"/>
          <w:color w:val="auto"/>
          <w:kern w:val="2"/>
          <w:sz w:val="32"/>
          <w:szCs w:val="32"/>
          <w:lang w:val="en-US" w:eastAsia="zh-CN" w:bidi="ar-SA"/>
          <w:highlight w:val="auto"/>
        </w:rPr>
        <w:t>万元，占0%；</w:t>
      </w:r>
      <w:r>
        <w:rPr>
          <w:rFonts w:ascii="仿宋" w:eastAsia="仿宋" w:hint="eastAsia"/>
          <w:b/>
          <w:color w:val="auto"/>
          <w:sz w:val="32"/>
          <w:szCs w:val="32"/>
        </w:rPr>
        <w:t>教育支出</w:t>
      </w:r>
      <w:r>
        <w:rPr>
          <w:rFonts w:ascii="仿宋" w:eastAsia="仿宋" w:hint="eastAsia"/>
          <w:b/>
          <w:color w:val="auto"/>
          <w:sz w:val="32"/>
          <w:szCs w:val="32"/>
          <w:lang w:val="en-US" w:eastAsia="zh-CN"/>
        </w:rPr>
        <w:t>0</w:t>
      </w:r>
      <w:r>
        <w:rPr>
          <w:rFonts w:ascii="仿宋_GB2312" w:eastAsia="仿宋_GB2312" w:cs="Times New Roman" w:hint="eastAsia"/>
          <w:color w:val="auto"/>
          <w:kern w:val="2"/>
          <w:sz w:val="32"/>
          <w:szCs w:val="32"/>
          <w:lang w:val="en-US" w:eastAsia="zh-CN" w:bidi="ar-SA"/>
          <w:highlight w:val="auto"/>
        </w:rPr>
        <w:t>万元，占0%；</w:t>
      </w:r>
      <w:r>
        <w:rPr>
          <w:rFonts w:ascii="仿宋" w:eastAsia="仿宋" w:hint="eastAsia"/>
          <w:b/>
          <w:color w:val="auto"/>
          <w:sz w:val="32"/>
          <w:szCs w:val="32"/>
        </w:rPr>
        <w:t>科学技术</w:t>
      </w:r>
      <w:r>
        <w:rPr>
          <w:rFonts w:ascii="仿宋" w:eastAsia="仿宋" w:hint="eastAsia"/>
          <w:b/>
          <w:bCs/>
          <w:color w:val="auto"/>
          <w:sz w:val="32"/>
          <w:szCs w:val="32"/>
        </w:rPr>
        <w:t>支出</w:t>
      </w:r>
      <w:r>
        <w:rPr>
          <w:rFonts w:ascii="仿宋" w:eastAsia="仿宋" w:hint="eastAsia"/>
          <w:b/>
          <w:bCs/>
          <w:color w:val="auto"/>
          <w:sz w:val="32"/>
          <w:szCs w:val="32"/>
          <w:lang w:val="en-US" w:eastAsia="zh-CN"/>
        </w:rPr>
        <w:t>0</w:t>
      </w:r>
      <w:r>
        <w:rPr>
          <w:rFonts w:ascii="仿宋_GB2312" w:eastAsia="仿宋_GB2312" w:cs="Times New Roman" w:hint="eastAsia"/>
          <w:color w:val="auto"/>
          <w:kern w:val="2"/>
          <w:sz w:val="32"/>
          <w:szCs w:val="32"/>
          <w:lang w:val="en-US" w:eastAsia="zh-CN" w:bidi="ar-SA"/>
          <w:highlight w:val="auto"/>
        </w:rPr>
        <w:t>万元，占0%</w:t>
      </w:r>
      <w:r>
        <w:rPr>
          <w:rFonts w:ascii="仿宋" w:eastAsia="仿宋" w:hint="eastAsia"/>
          <w:color w:val="auto"/>
          <w:sz w:val="32"/>
          <w:szCs w:val="32"/>
        </w:rPr>
        <w:t>；</w:t>
      </w:r>
      <w:r>
        <w:rPr>
          <w:rFonts w:ascii="仿宋" w:eastAsia="仿宋" w:hint="eastAsia"/>
          <w:b/>
          <w:bCs/>
          <w:color w:val="auto"/>
          <w:sz w:val="32"/>
          <w:szCs w:val="32"/>
        </w:rPr>
        <w:t>文化旅游体育与传媒支出</w:t>
      </w:r>
      <w:r>
        <w:rPr>
          <w:rFonts w:ascii="仿宋" w:eastAsia="仿宋" w:hint="eastAsia"/>
          <w:b/>
          <w:bCs/>
          <w:color w:val="auto"/>
          <w:sz w:val="32"/>
          <w:szCs w:val="32"/>
          <w:lang w:val="en-US" w:eastAsia="zh-CN"/>
        </w:rPr>
        <w:t>0</w:t>
      </w:r>
      <w:r>
        <w:rPr>
          <w:rFonts w:ascii="仿宋_GB2312" w:eastAsia="仿宋_GB2312" w:cs="Times New Roman" w:hint="eastAsia"/>
          <w:color w:val="auto"/>
          <w:kern w:val="2"/>
          <w:sz w:val="32"/>
          <w:szCs w:val="32"/>
          <w:lang w:val="en-US" w:eastAsia="zh-CN" w:bidi="ar-SA"/>
          <w:highlight w:val="auto"/>
        </w:rPr>
        <w:t>万元</w:t>
      </w:r>
      <w:r>
        <w:rPr>
          <w:rFonts w:ascii="仿宋" w:eastAsia="仿宋" w:hint="eastAsia"/>
          <w:b/>
          <w:bCs/>
          <w:color w:val="auto"/>
          <w:sz w:val="32"/>
          <w:szCs w:val="32"/>
        </w:rPr>
        <w:t>，占</w:t>
      </w:r>
      <w:r>
        <w:rPr>
          <w:rFonts w:ascii="仿宋" w:eastAsia="仿宋" w:cs="Times New Roman" w:hint="eastAsia"/>
          <w:color w:val="auto"/>
          <w:sz w:val="32"/>
          <w:szCs w:val="32"/>
          <w:lang w:val="en-US" w:eastAsia="zh-CN"/>
        </w:rPr>
        <w:t>0</w:t>
      </w:r>
      <w:r>
        <w:rPr>
          <w:rFonts w:ascii="仿宋" w:eastAsia="仿宋"/>
          <w:b/>
          <w:bCs/>
          <w:color w:val="auto"/>
          <w:sz w:val="32"/>
          <w:szCs w:val="32"/>
        </w:rPr>
        <w:t>%</w:t>
      </w:r>
      <w:r>
        <w:rPr>
          <w:rFonts w:ascii="仿宋" w:eastAsia="仿宋" w:hint="eastAsia"/>
          <w:color w:val="auto"/>
          <w:sz w:val="32"/>
          <w:szCs w:val="32"/>
        </w:rPr>
        <w:t>；</w:t>
      </w:r>
      <w:r>
        <w:rPr>
          <w:rFonts w:ascii="仿宋" w:eastAsia="仿宋" w:hint="eastAsia"/>
          <w:b/>
          <w:color w:val="auto"/>
          <w:sz w:val="32"/>
          <w:szCs w:val="32"/>
        </w:rPr>
        <w:t>社会保障和就业</w:t>
      </w:r>
      <w:r>
        <w:rPr>
          <w:rFonts w:ascii="仿宋" w:eastAsia="仿宋" w:hint="eastAsia"/>
          <w:b/>
          <w:bCs/>
          <w:color w:val="auto"/>
          <w:sz w:val="32"/>
          <w:szCs w:val="32"/>
        </w:rPr>
        <w:t>支出</w:t>
      </w:r>
      <w:r>
        <w:rPr>
          <w:rFonts w:ascii="仿宋" w:eastAsia="仿宋" w:hint="eastAsia"/>
          <w:b/>
          <w:bCs/>
          <w:color w:val="auto"/>
          <w:sz w:val="32"/>
          <w:szCs w:val="32"/>
          <w:lang w:val="en-US" w:eastAsia="zh-CN"/>
        </w:rPr>
        <w:t>37.83</w:t>
      </w:r>
      <w:r>
        <w:rPr>
          <w:rFonts w:ascii="仿宋_GB2312" w:eastAsia="仿宋_GB2312" w:cs="Times New Roman" w:hint="eastAsia"/>
          <w:color w:val="auto"/>
          <w:kern w:val="2"/>
          <w:sz w:val="32"/>
          <w:szCs w:val="32"/>
          <w:lang w:val="en-US" w:eastAsia="zh-CN" w:bidi="ar-SA"/>
          <w:highlight w:val="auto"/>
        </w:rPr>
        <w:t>万元</w:t>
      </w:r>
      <w:r>
        <w:rPr>
          <w:rFonts w:ascii="仿宋" w:eastAsia="仿宋" w:hint="eastAsia"/>
          <w:color w:val="auto"/>
          <w:sz w:val="32"/>
          <w:szCs w:val="32"/>
        </w:rPr>
        <w:t>，占</w:t>
      </w:r>
      <w:r>
        <w:rPr>
          <w:rFonts w:ascii="仿宋" w:eastAsia="仿宋" w:hint="eastAsia"/>
          <w:color w:val="auto"/>
          <w:sz w:val="32"/>
          <w:szCs w:val="32"/>
          <w:lang w:val="en-US" w:eastAsia="zh-CN"/>
        </w:rPr>
        <w:t>11.5</w:t>
      </w:r>
      <w:r>
        <w:rPr>
          <w:rFonts w:ascii="仿宋" w:eastAsia="仿宋"/>
          <w:color w:val="auto"/>
          <w:sz w:val="32"/>
          <w:szCs w:val="32"/>
        </w:rPr>
        <w:t>%</w:t>
      </w:r>
      <w:r>
        <w:rPr>
          <w:rFonts w:ascii="仿宋" w:eastAsia="仿宋" w:hint="eastAsia"/>
          <w:color w:val="auto"/>
          <w:sz w:val="32"/>
          <w:szCs w:val="32"/>
        </w:rPr>
        <w:t>；</w:t>
      </w:r>
      <w:r>
        <w:rPr>
          <w:rFonts w:ascii="仿宋" w:eastAsia="仿宋" w:hint="eastAsia"/>
          <w:b/>
          <w:bCs/>
          <w:color w:val="auto"/>
          <w:sz w:val="32"/>
          <w:szCs w:val="32"/>
        </w:rPr>
        <w:t>卫生健康支出</w:t>
      </w:r>
      <w:r>
        <w:rPr>
          <w:rFonts w:ascii="仿宋" w:eastAsia="仿宋" w:hint="eastAsia"/>
          <w:color w:val="auto"/>
          <w:sz w:val="32"/>
          <w:szCs w:val="32"/>
          <w:lang w:val="en-US" w:eastAsia="zh-CN"/>
        </w:rPr>
        <w:t>270.72</w:t>
      </w:r>
      <w:r>
        <w:rPr>
          <w:rFonts w:ascii="仿宋" w:eastAsia="仿宋" w:hint="eastAsia"/>
          <w:color w:val="auto"/>
          <w:sz w:val="32"/>
          <w:szCs w:val="32"/>
        </w:rPr>
        <w:t>万元，占</w:t>
      </w:r>
      <w:r>
        <w:rPr>
          <w:rFonts w:ascii="仿宋" w:eastAsia="仿宋" w:hint="eastAsia"/>
          <w:color w:val="auto"/>
          <w:sz w:val="32"/>
          <w:szCs w:val="32"/>
          <w:lang w:val="en-US" w:eastAsia="zh-CN"/>
        </w:rPr>
        <w:t>82.6</w:t>
      </w:r>
      <w:r>
        <w:rPr>
          <w:rFonts w:ascii="仿宋" w:eastAsia="仿宋"/>
          <w:color w:val="auto"/>
          <w:sz w:val="32"/>
          <w:szCs w:val="32"/>
        </w:rPr>
        <w:t>%</w:t>
      </w:r>
      <w:r>
        <w:rPr>
          <w:rFonts w:ascii="仿宋" w:eastAsia="仿宋" w:hint="eastAsia"/>
          <w:color w:val="auto"/>
          <w:sz w:val="32"/>
          <w:szCs w:val="32"/>
        </w:rPr>
        <w:t>；</w:t>
      </w:r>
      <w:r>
        <w:rPr>
          <w:rFonts w:ascii="仿宋" w:eastAsia="仿宋" w:hint="eastAsia"/>
          <w:b/>
          <w:bCs/>
          <w:color w:val="auto"/>
          <w:sz w:val="32"/>
          <w:szCs w:val="32"/>
        </w:rPr>
        <w:t>住房保障支出</w:t>
      </w:r>
      <w:r>
        <w:rPr>
          <w:rFonts w:ascii="仿宋" w:eastAsia="仿宋" w:hint="eastAsia"/>
          <w:color w:val="auto"/>
          <w:sz w:val="32"/>
          <w:szCs w:val="32"/>
          <w:lang w:val="en-US" w:eastAsia="zh-CN"/>
        </w:rPr>
        <w:t>19.3</w:t>
      </w:r>
      <w:r>
        <w:rPr>
          <w:rFonts w:ascii="仿宋" w:eastAsia="仿宋" w:hint="eastAsia"/>
          <w:color w:val="auto"/>
          <w:sz w:val="32"/>
          <w:szCs w:val="32"/>
        </w:rPr>
        <w:t>万元，占</w:t>
      </w:r>
      <w:r>
        <w:rPr>
          <w:rFonts w:ascii="仿宋" w:eastAsia="仿宋" w:hint="eastAsia"/>
          <w:color w:val="auto"/>
          <w:sz w:val="32"/>
          <w:szCs w:val="32"/>
          <w:lang w:val="en-US" w:eastAsia="zh-CN"/>
        </w:rPr>
        <w:t>5.9</w:t>
      </w:r>
      <w:r>
        <w:rPr>
          <w:rFonts w:ascii="仿宋" w:eastAsia="仿宋"/>
          <w:color w:val="auto"/>
          <w:sz w:val="32"/>
          <w:szCs w:val="32"/>
        </w:rPr>
        <w:t>%</w:t>
      </w:r>
      <w:r>
        <w:rPr>
          <w:rFonts w:ascii="仿宋" w:eastAsia="仿宋" w:hint="eastAsia"/>
          <w:color w:val="auto"/>
          <w:sz w:val="32"/>
          <w:szCs w:val="32"/>
        </w:rPr>
        <w:t>。</w:t>
      </w:r>
    </w:p>
    <w:p>
      <w:pPr>
        <w:spacing w:line="600" w:lineRule="exact"/>
        <w:rPr>
          <w:rFonts w:ascii="仿宋_GB2312" w:eastAsia="仿宋_GB2312" w:cs="Times New Roman" w:hint="eastAsia"/>
          <w:color w:val="auto"/>
          <w:kern w:val="2"/>
          <w:sz w:val="32"/>
          <w:szCs w:val="32"/>
          <w:lang w:val="en-US" w:eastAsia="zh-CN" w:bidi="ar-SA"/>
          <w:highlight w:val="auto"/>
        </w:rPr>
      </w:pPr>
      <w:r>
        <w:rPr>
          <w:color w:val="auto"/>
        </w:rPr>
        <w:drawing>
          <wp:anchor distT="0" distB="0" distL="114300" distR="114300" simplePos="0" relativeHeight="31" behindDoc="0" locked="0" layoutInCell="1" hidden="0" allowOverlap="1">
            <wp:simplePos x="0" y="0"/>
            <wp:positionH relativeFrom="column">
              <wp:posOffset>271145</wp:posOffset>
            </wp:positionH>
            <wp:positionV relativeFrom="paragraph">
              <wp:posOffset>320040</wp:posOffset>
            </wp:positionV>
            <wp:extent cx="4937760" cy="2133600"/>
            <wp:effectExtent l="0" t="0" r="0" b="0"/>
            <wp:wrapTopAndBottom/>
            <wp:docPr id="6" name="图表 8"/>
            <wp:cNvGraphicFramePr>
              <a:graphicFrameLocks noChangeAspect="0"/>
            </wp:cNvGraphicFramePr>
            <a:graphic>
              <a:graphicData uri="http://schemas.openxmlformats.org/drawingml/2006/chart">
                <c:chart xmlns:c="http://schemas.openxmlformats.org/drawingml/2006/chart" r:id="rId9"/>
              </a:graphicData>
            </a:graphic>
          </wp:anchor>
        </w:drawing>
      </w:r>
      <w:r>
        <w:rPr>
          <w:rFonts w:hint="eastAsia"/>
          <w:color w:val="auto"/>
          <w:lang w:val="en-US" w:eastAsia="zh-CN"/>
        </w:rPr>
        <w:t xml:space="preserve">       </w:t>
      </w:r>
      <w:r>
        <w:rPr>
          <w:rFonts w:ascii="仿宋_GB2312" w:eastAsia="仿宋_GB2312" w:cs="Times New Roman" w:hint="eastAsia"/>
          <w:color w:val="auto"/>
          <w:kern w:val="2"/>
          <w:sz w:val="32"/>
          <w:szCs w:val="32"/>
          <w:lang w:val="en-US" w:eastAsia="zh-CN" w:bidi="ar-SA"/>
          <w:highlight w:val="auto"/>
        </w:rPr>
        <w:t>（图6：一般公共预算财政拨款支出决算结构）</w:t>
      </w:r>
    </w:p>
    <w:p>
      <w:pPr>
        <w:spacing w:line="600" w:lineRule="exact"/>
        <w:ind w:firstLineChars="200" w:firstLine="640"/>
        <w:outlineLvl w:val="2"/>
        <w:rPr>
          <w:rFonts w:ascii="仿宋" w:eastAsia="仿宋"/>
          <w:b/>
          <w:color w:val="auto"/>
          <w:sz w:val="32"/>
          <w:szCs w:val="32"/>
        </w:rPr>
      </w:pPr>
      <w:bookmarkStart w:id="40" w:name="_Toc15377212"/>
      <w:r>
        <w:rPr>
          <w:rFonts w:ascii="仿宋" w:eastAsia="仿宋" w:hint="eastAsia"/>
          <w:b/>
          <w:color w:val="auto"/>
          <w:sz w:val="32"/>
          <w:szCs w:val="32"/>
        </w:rPr>
        <w:t>（三）一般公共预算财政拨款支出决算具体情况</w:t>
      </w:r>
      <w:bookmarkEnd w:id="40"/>
    </w:p>
    <w:p>
      <w:pPr>
        <w:spacing w:line="600" w:lineRule="exact"/>
        <w:ind w:firstLineChars="200" w:firstLine="640"/>
        <w:outlineLvl w:val="2"/>
        <w:rPr>
          <w:rFonts w:ascii="仿宋" w:eastAsia="仿宋"/>
          <w:color w:val="auto"/>
          <w:sz w:val="32"/>
          <w:szCs w:val="32"/>
        </w:rPr>
      </w:pPr>
      <w:bookmarkStart w:id="41" w:name="_Toc15378460"/>
      <w:bookmarkStart w:id="42" w:name="_Toc15377444"/>
      <w:bookmarkStart w:id="43" w:name="_Toc15377213"/>
      <w:r>
        <w:rPr>
          <w:rFonts w:ascii="仿宋" w:eastAsia="仿宋" w:hint="eastAsia"/>
          <w:b/>
          <w:color w:val="auto"/>
          <w:sz w:val="32"/>
          <w:szCs w:val="32"/>
        </w:rPr>
        <w:t>2025年一般公共预算支出决算数为</w:t>
      </w:r>
      <w:r>
        <w:rPr>
          <w:rFonts w:ascii="仿宋" w:eastAsia="仿宋" w:hint="eastAsia"/>
          <w:b/>
          <w:color w:val="auto"/>
          <w:sz w:val="32"/>
          <w:szCs w:val="32"/>
          <w:lang w:val="en-US" w:eastAsia="zh-CN"/>
        </w:rPr>
        <w:t>327.85万元</w:t>
      </w:r>
      <w:r>
        <w:rPr>
          <w:rFonts w:ascii="仿宋" w:eastAsia="仿宋" w:hint="eastAsia"/>
          <w:color w:val="auto"/>
          <w:sz w:val="32"/>
          <w:szCs w:val="32"/>
        </w:rPr>
        <w:t>，</w:t>
      </w:r>
      <w:r>
        <w:rPr>
          <w:rStyle w:val="25"/>
          <w:rFonts w:ascii="仿宋" w:eastAsia="仿宋" w:hint="eastAsia"/>
          <w:bCs/>
          <w:color w:val="auto"/>
          <w:sz w:val="32"/>
          <w:szCs w:val="32"/>
        </w:rPr>
        <w:t>完成预算</w:t>
      </w:r>
      <w:r>
        <w:rPr>
          <w:rStyle w:val="25"/>
          <w:rFonts w:ascii="仿宋" w:eastAsia="仿宋" w:hint="eastAsia"/>
          <w:bCs/>
          <w:color w:val="auto"/>
          <w:sz w:val="32"/>
          <w:szCs w:val="32"/>
          <w:lang w:val="en-US" w:eastAsia="zh-CN"/>
        </w:rPr>
        <w:t>100</w:t>
      </w:r>
      <w:r>
        <w:rPr>
          <w:rStyle w:val="25"/>
          <w:rFonts w:ascii="仿宋" w:eastAsia="仿宋"/>
          <w:bCs/>
          <w:color w:val="auto"/>
          <w:sz w:val="32"/>
          <w:szCs w:val="32"/>
        </w:rPr>
        <w:t>%</w:t>
      </w:r>
      <w:r>
        <w:rPr>
          <w:rStyle w:val="25"/>
          <w:rFonts w:ascii="仿宋" w:eastAsia="仿宋" w:hint="eastAsia"/>
          <w:bCs/>
          <w:color w:val="auto"/>
          <w:sz w:val="32"/>
          <w:szCs w:val="32"/>
        </w:rPr>
        <w:t>。</w:t>
      </w:r>
      <w:r>
        <w:rPr>
          <w:rStyle w:val="25"/>
          <w:rFonts w:ascii="仿宋" w:eastAsia="仿宋" w:hint="eastAsia"/>
          <w:bCs/>
          <w:color w:val="auto"/>
          <w:sz w:val="32"/>
          <w:szCs w:val="32"/>
          <w:lang w:val="en-US" w:eastAsia="zh-CN"/>
        </w:rPr>
        <w:t>预算数与决算数持平，</w:t>
      </w:r>
      <w:r>
        <w:rPr>
          <w:rStyle w:val="25"/>
          <w:rFonts w:ascii="仿宋" w:eastAsia="仿宋" w:hint="eastAsia"/>
          <w:bCs/>
          <w:color w:val="auto"/>
          <w:sz w:val="32"/>
          <w:szCs w:val="32"/>
        </w:rPr>
        <w:t>其中：</w:t>
      </w:r>
      <w:bookmarkEnd w:id="41"/>
      <w:bookmarkEnd w:id="42"/>
      <w:bookmarkEnd w:id="43"/>
    </w:p>
    <w:p>
      <w:pPr>
        <w:spacing w:line="600" w:lineRule="exact"/>
        <w:ind w:firstLineChars="200" w:firstLine="640"/>
        <w:rPr>
          <w:rStyle w:val="25"/>
          <w:rFonts w:ascii="仿宋" w:eastAsia="仿宋" w:hint="eastAsia"/>
          <w:b w:val="0"/>
          <w:bCs/>
          <w:color w:val="auto"/>
          <w:sz w:val="32"/>
          <w:szCs w:val="32"/>
        </w:rPr>
      </w:pPr>
      <w:r>
        <w:rPr>
          <w:rStyle w:val="25"/>
          <w:rFonts w:ascii="仿宋" w:eastAsia="仿宋" w:hint="eastAsia"/>
          <w:bCs/>
          <w:color w:val="auto"/>
          <w:sz w:val="32"/>
          <w:szCs w:val="32"/>
          <w:lang w:val="en-US" w:eastAsia="zh-CN"/>
        </w:rPr>
        <w:t>1</w:t>
      </w:r>
      <w:r>
        <w:rPr>
          <w:rStyle w:val="25"/>
          <w:rFonts w:ascii="仿宋" w:eastAsia="仿宋"/>
          <w:bCs/>
          <w:color w:val="auto"/>
          <w:sz w:val="32"/>
          <w:szCs w:val="32"/>
        </w:rPr>
        <w:t>.</w:t>
      </w:r>
      <w:r>
        <w:rPr>
          <w:rStyle w:val="25"/>
          <w:rFonts w:ascii="仿宋" w:eastAsia="仿宋" w:hint="eastAsia"/>
          <w:bCs/>
          <w:color w:val="auto"/>
          <w:sz w:val="32"/>
          <w:szCs w:val="32"/>
        </w:rPr>
        <w:t>社会保障和就业（类）人力资源和社会保障管理事务（款）其他人力资源和社会保障管理事务（项）</w:t>
      </w:r>
      <w:r>
        <w:rPr>
          <w:rStyle w:val="25"/>
          <w:rFonts w:ascii="仿宋" w:eastAsia="仿宋"/>
          <w:bCs/>
          <w:color w:val="auto"/>
          <w:sz w:val="32"/>
          <w:szCs w:val="32"/>
        </w:rPr>
        <w:t>:</w:t>
      </w:r>
      <w:r>
        <w:rPr>
          <w:rStyle w:val="25"/>
          <w:rFonts w:ascii="仿宋" w:eastAsia="仿宋"/>
          <w:b w:val="0"/>
          <w:bCs/>
          <w:color w:val="auto"/>
          <w:sz w:val="32"/>
          <w:szCs w:val="32"/>
        </w:rPr>
        <w:t xml:space="preserve"> </w:t>
      </w:r>
      <w:r>
        <w:rPr>
          <w:rStyle w:val="25"/>
          <w:rFonts w:ascii="仿宋" w:eastAsia="仿宋" w:hint="eastAsia"/>
          <w:b w:val="0"/>
          <w:bCs/>
          <w:color w:val="auto"/>
          <w:sz w:val="32"/>
          <w:szCs w:val="32"/>
        </w:rPr>
        <w:t>支出决算为</w:t>
      </w:r>
      <w:r>
        <w:rPr>
          <w:rStyle w:val="25"/>
          <w:rFonts w:ascii="仿宋" w:eastAsia="仿宋" w:hint="eastAsia"/>
          <w:b w:val="0"/>
          <w:bCs/>
          <w:color w:val="auto"/>
          <w:sz w:val="32"/>
          <w:szCs w:val="32"/>
          <w:lang w:val="en-US" w:eastAsia="zh-CN"/>
        </w:rPr>
        <w:t>6.35</w:t>
      </w:r>
      <w:r>
        <w:rPr>
          <w:rStyle w:val="25"/>
          <w:rFonts w:ascii="仿宋" w:eastAsia="仿宋" w:hint="eastAsia"/>
          <w:b w:val="0"/>
          <w:bCs/>
          <w:color w:val="auto"/>
          <w:sz w:val="32"/>
          <w:szCs w:val="32"/>
        </w:rPr>
        <w:t>万元，完成预算</w:t>
      </w:r>
      <w:r>
        <w:rPr>
          <w:rStyle w:val="25"/>
          <w:rFonts w:ascii="仿宋" w:eastAsia="仿宋" w:hint="eastAsia"/>
          <w:b w:val="0"/>
          <w:bCs/>
          <w:color w:val="auto"/>
          <w:sz w:val="32"/>
          <w:szCs w:val="32"/>
          <w:lang w:val="en-US" w:eastAsia="zh-CN"/>
        </w:rPr>
        <w:t>100</w:t>
      </w:r>
      <w:r>
        <w:rPr>
          <w:rStyle w:val="25"/>
          <w:rFonts w:ascii="仿宋" w:eastAsia="仿宋"/>
          <w:b w:val="0"/>
          <w:bCs/>
          <w:color w:val="auto"/>
          <w:sz w:val="32"/>
          <w:szCs w:val="32"/>
        </w:rPr>
        <w:t>%</w:t>
      </w:r>
      <w:r>
        <w:rPr>
          <w:rStyle w:val="25"/>
          <w:rFonts w:ascii="仿宋" w:eastAsia="仿宋" w:hint="eastAsia"/>
          <w:b w:val="0"/>
          <w:bCs/>
          <w:color w:val="auto"/>
          <w:sz w:val="32"/>
          <w:szCs w:val="32"/>
        </w:rPr>
        <w:t>，</w:t>
      </w:r>
      <w:r>
        <w:rPr>
          <w:rStyle w:val="25"/>
          <w:rFonts w:ascii="仿宋" w:eastAsia="仿宋" w:hint="eastAsia"/>
          <w:bCs/>
          <w:color w:val="auto"/>
          <w:sz w:val="32"/>
          <w:szCs w:val="32"/>
          <w:lang w:val="en-US" w:eastAsia="zh-CN"/>
        </w:rPr>
        <w:t>预算数与决算数持平</w:t>
      </w:r>
      <w:r>
        <w:rPr>
          <w:rStyle w:val="25"/>
          <w:rFonts w:ascii="仿宋" w:eastAsia="仿宋" w:hint="eastAsia"/>
          <w:b w:val="0"/>
          <w:bCs/>
          <w:color w:val="auto"/>
          <w:sz w:val="32"/>
          <w:szCs w:val="32"/>
        </w:rPr>
        <w:t>。</w:t>
      </w:r>
    </w:p>
    <w:p>
      <w:pPr>
        <w:spacing w:line="600" w:lineRule="exact"/>
        <w:ind w:firstLineChars="200" w:firstLine="640"/>
        <w:rPr>
          <w:rStyle w:val="25"/>
          <w:rFonts w:ascii="仿宋" w:eastAsia="仿宋" w:hint="eastAsia"/>
          <w:b w:val="0"/>
          <w:bCs/>
          <w:color w:val="auto"/>
          <w:sz w:val="32"/>
          <w:szCs w:val="32"/>
        </w:rPr>
      </w:pPr>
      <w:r>
        <w:rPr>
          <w:rStyle w:val="25"/>
          <w:rFonts w:ascii="仿宋" w:eastAsia="仿宋" w:hint="eastAsia"/>
          <w:bCs/>
          <w:color w:val="auto"/>
          <w:sz w:val="32"/>
          <w:szCs w:val="32"/>
          <w:lang w:val="en-US" w:eastAsia="zh-CN"/>
        </w:rPr>
        <w:t>2.</w:t>
      </w:r>
      <w:r>
        <w:rPr>
          <w:rStyle w:val="25"/>
          <w:rFonts w:ascii="仿宋" w:eastAsia="仿宋" w:hint="eastAsia"/>
          <w:bCs/>
          <w:color w:val="auto"/>
          <w:sz w:val="32"/>
          <w:szCs w:val="32"/>
        </w:rPr>
        <w:t>行政事业单位养老（类）机关事业单位基本养老保险缴费（款）机关事业单位职业年金缴费（项）</w:t>
      </w:r>
      <w:r>
        <w:rPr>
          <w:rStyle w:val="25"/>
          <w:rFonts w:ascii="仿宋" w:eastAsia="仿宋"/>
          <w:bCs/>
          <w:color w:val="auto"/>
          <w:sz w:val="32"/>
          <w:szCs w:val="32"/>
        </w:rPr>
        <w:t>:</w:t>
      </w:r>
      <w:r>
        <w:rPr>
          <w:rStyle w:val="25"/>
          <w:rFonts w:ascii="仿宋" w:eastAsia="仿宋" w:hint="eastAsia"/>
          <w:b w:val="0"/>
          <w:bCs/>
          <w:color w:val="auto"/>
          <w:sz w:val="32"/>
          <w:szCs w:val="32"/>
        </w:rPr>
        <w:t>支出决算为</w:t>
      </w:r>
      <w:r>
        <w:rPr>
          <w:rStyle w:val="25"/>
          <w:rFonts w:ascii="仿宋" w:eastAsia="仿宋" w:hint="eastAsia"/>
          <w:b w:val="0"/>
          <w:bCs/>
          <w:color w:val="auto"/>
          <w:sz w:val="32"/>
          <w:szCs w:val="32"/>
          <w:lang w:val="en-US" w:eastAsia="zh-CN"/>
        </w:rPr>
        <w:t>10.49</w:t>
      </w:r>
      <w:r>
        <w:rPr>
          <w:rStyle w:val="25"/>
          <w:rFonts w:ascii="仿宋" w:eastAsia="仿宋" w:hint="eastAsia"/>
          <w:b w:val="0"/>
          <w:bCs/>
          <w:color w:val="auto"/>
          <w:sz w:val="32"/>
          <w:szCs w:val="32"/>
        </w:rPr>
        <w:t>万元，完成预算</w:t>
      </w:r>
      <w:r>
        <w:rPr>
          <w:rStyle w:val="25"/>
          <w:rFonts w:ascii="仿宋" w:eastAsia="仿宋" w:hint="eastAsia"/>
          <w:b w:val="0"/>
          <w:bCs/>
          <w:color w:val="auto"/>
          <w:sz w:val="32"/>
          <w:szCs w:val="32"/>
          <w:lang w:val="en-US" w:eastAsia="zh-CN"/>
        </w:rPr>
        <w:t>100</w:t>
      </w:r>
      <w:r>
        <w:rPr>
          <w:rStyle w:val="25"/>
          <w:rFonts w:ascii="仿宋" w:eastAsia="仿宋"/>
          <w:b w:val="0"/>
          <w:bCs/>
          <w:color w:val="auto"/>
          <w:sz w:val="32"/>
          <w:szCs w:val="32"/>
        </w:rPr>
        <w:t>%</w:t>
      </w:r>
      <w:r>
        <w:rPr>
          <w:rStyle w:val="25"/>
          <w:rFonts w:ascii="仿宋" w:eastAsia="仿宋" w:hint="eastAsia"/>
          <w:b w:val="0"/>
          <w:bCs/>
          <w:color w:val="auto"/>
          <w:sz w:val="32"/>
          <w:szCs w:val="32"/>
        </w:rPr>
        <w:t>，</w:t>
      </w:r>
      <w:r>
        <w:rPr>
          <w:rStyle w:val="25"/>
          <w:rFonts w:ascii="仿宋" w:eastAsia="仿宋" w:hint="eastAsia"/>
          <w:bCs/>
          <w:color w:val="auto"/>
          <w:sz w:val="32"/>
          <w:szCs w:val="32"/>
          <w:lang w:val="en-US" w:eastAsia="zh-CN"/>
        </w:rPr>
        <w:t>预算数与决算数持平</w:t>
      </w:r>
      <w:r>
        <w:rPr>
          <w:rStyle w:val="25"/>
          <w:rFonts w:ascii="仿宋" w:eastAsia="仿宋" w:hint="eastAsia"/>
          <w:b w:val="0"/>
          <w:bCs/>
          <w:color w:val="auto"/>
          <w:sz w:val="32"/>
          <w:szCs w:val="32"/>
        </w:rPr>
        <w:t>。</w:t>
      </w:r>
    </w:p>
    <w:p>
      <w:pPr>
        <w:pStyle w:val="36"/>
        <w:rPr>
          <w:rFonts w:hint="eastAsia"/>
          <w:color w:val="auto"/>
          <w:lang w:val="en-US" w:eastAsia="zh-CN"/>
        </w:rPr>
      </w:pPr>
      <w:r>
        <w:rPr>
          <w:rStyle w:val="25"/>
          <w:rFonts w:ascii="仿宋" w:eastAsia="仿宋" w:hint="eastAsia"/>
          <w:bCs/>
          <w:color w:val="auto"/>
          <w:sz w:val="32"/>
          <w:szCs w:val="32"/>
        </w:rPr>
        <w:t>行政事业单位养老（类）机关事业单位基本养老保险缴费（款）机关事业单位职业年金缴费（项）</w:t>
      </w:r>
      <w:r>
        <w:rPr>
          <w:rStyle w:val="25"/>
          <w:rFonts w:ascii="仿宋" w:eastAsia="仿宋"/>
          <w:bCs/>
          <w:color w:val="auto"/>
          <w:sz w:val="32"/>
          <w:szCs w:val="32"/>
        </w:rPr>
        <w:t>:</w:t>
      </w:r>
      <w:r>
        <w:rPr>
          <w:rStyle w:val="25"/>
          <w:rFonts w:ascii="仿宋" w:eastAsia="仿宋" w:hint="eastAsia"/>
          <w:b w:val="0"/>
          <w:bCs/>
          <w:color w:val="auto"/>
          <w:sz w:val="32"/>
          <w:szCs w:val="32"/>
        </w:rPr>
        <w:t>支出决算为</w:t>
      </w:r>
      <w:r>
        <w:rPr>
          <w:rStyle w:val="25"/>
          <w:rFonts w:ascii="仿宋" w:eastAsia="仿宋" w:hint="eastAsia"/>
          <w:b w:val="0"/>
          <w:bCs/>
          <w:color w:val="auto"/>
          <w:sz w:val="32"/>
          <w:szCs w:val="32"/>
          <w:lang w:val="en-US" w:eastAsia="zh-CN"/>
        </w:rPr>
        <w:t>20.98</w:t>
      </w:r>
      <w:r>
        <w:rPr>
          <w:rStyle w:val="25"/>
          <w:rFonts w:ascii="仿宋" w:eastAsia="仿宋" w:hint="eastAsia"/>
          <w:b w:val="0"/>
          <w:bCs/>
          <w:color w:val="auto"/>
          <w:sz w:val="32"/>
          <w:szCs w:val="32"/>
        </w:rPr>
        <w:t>万元，完成预算</w:t>
      </w:r>
      <w:r>
        <w:rPr>
          <w:rStyle w:val="25"/>
          <w:rFonts w:ascii="仿宋" w:eastAsia="仿宋" w:hint="eastAsia"/>
          <w:b w:val="0"/>
          <w:bCs/>
          <w:color w:val="auto"/>
          <w:sz w:val="32"/>
          <w:szCs w:val="32"/>
          <w:lang w:val="en-US" w:eastAsia="zh-CN"/>
        </w:rPr>
        <w:t>100</w:t>
      </w:r>
      <w:r>
        <w:rPr>
          <w:rStyle w:val="25"/>
          <w:rFonts w:ascii="仿宋" w:eastAsia="仿宋"/>
          <w:b w:val="0"/>
          <w:bCs/>
          <w:color w:val="auto"/>
          <w:sz w:val="32"/>
          <w:szCs w:val="32"/>
        </w:rPr>
        <w:t>%</w:t>
      </w:r>
      <w:r>
        <w:rPr>
          <w:rStyle w:val="25"/>
          <w:rFonts w:ascii="仿宋" w:eastAsia="仿宋" w:hint="eastAsia"/>
          <w:b w:val="0"/>
          <w:bCs/>
          <w:color w:val="auto"/>
          <w:sz w:val="32"/>
          <w:szCs w:val="32"/>
        </w:rPr>
        <w:t>，</w:t>
      </w:r>
      <w:r>
        <w:rPr>
          <w:rStyle w:val="25"/>
          <w:rFonts w:ascii="仿宋" w:eastAsia="仿宋" w:hint="eastAsia"/>
          <w:bCs/>
          <w:color w:val="auto"/>
          <w:sz w:val="32"/>
          <w:szCs w:val="32"/>
          <w:lang w:val="en-US" w:eastAsia="zh-CN"/>
        </w:rPr>
        <w:t>预算数与决算数持平</w:t>
      </w:r>
      <w:r>
        <w:rPr>
          <w:rStyle w:val="25"/>
          <w:rFonts w:ascii="仿宋" w:eastAsia="仿宋" w:hint="eastAsia"/>
          <w:b w:val="0"/>
          <w:bCs/>
          <w:color w:val="auto"/>
          <w:sz w:val="32"/>
          <w:szCs w:val="32"/>
        </w:rPr>
        <w:t>。</w:t>
      </w:r>
    </w:p>
    <w:p>
      <w:pPr>
        <w:spacing w:line="600" w:lineRule="exact"/>
        <w:ind w:firstLineChars="200" w:firstLine="640"/>
        <w:rPr>
          <w:rStyle w:val="25"/>
          <w:rFonts w:ascii="仿宋" w:eastAsia="仿宋" w:hint="eastAsia"/>
          <w:b w:val="0"/>
          <w:bCs/>
          <w:color w:val="auto"/>
          <w:sz w:val="32"/>
          <w:szCs w:val="32"/>
        </w:rPr>
      </w:pPr>
      <w:r>
        <w:rPr>
          <w:rStyle w:val="25"/>
          <w:rFonts w:ascii="仿宋" w:eastAsia="仿宋" w:hint="eastAsia"/>
          <w:bCs/>
          <w:color w:val="auto"/>
          <w:sz w:val="32"/>
          <w:szCs w:val="32"/>
          <w:lang w:val="en-US" w:eastAsia="zh-CN"/>
        </w:rPr>
        <w:t>3</w:t>
      </w:r>
      <w:r>
        <w:rPr>
          <w:rStyle w:val="25"/>
          <w:rFonts w:ascii="仿宋" w:eastAsia="仿宋"/>
          <w:bCs/>
          <w:color w:val="auto"/>
          <w:sz w:val="32"/>
          <w:szCs w:val="32"/>
        </w:rPr>
        <w:t>.</w:t>
      </w:r>
      <w:r>
        <w:rPr>
          <w:rFonts w:ascii="仿宋" w:eastAsia="仿宋" w:hint="eastAsia"/>
          <w:b/>
          <w:bCs/>
          <w:color w:val="auto"/>
          <w:sz w:val="32"/>
          <w:szCs w:val="32"/>
        </w:rPr>
        <w:t>卫生健康</w:t>
      </w:r>
      <w:r>
        <w:rPr>
          <w:rStyle w:val="25"/>
          <w:rFonts w:ascii="仿宋" w:eastAsia="仿宋" w:hint="eastAsia"/>
          <w:bCs/>
          <w:color w:val="auto"/>
          <w:sz w:val="32"/>
          <w:szCs w:val="32"/>
        </w:rPr>
        <w:t>（类）基层医疗卫生机构（款）乡镇卫生院（项）</w:t>
      </w:r>
      <w:r>
        <w:rPr>
          <w:rStyle w:val="25"/>
          <w:rFonts w:ascii="仿宋" w:eastAsia="仿宋"/>
          <w:bCs/>
          <w:color w:val="auto"/>
          <w:sz w:val="32"/>
          <w:szCs w:val="32"/>
        </w:rPr>
        <w:t>:</w:t>
      </w:r>
      <w:r>
        <w:rPr>
          <w:rStyle w:val="25"/>
          <w:rFonts w:ascii="仿宋" w:eastAsia="仿宋" w:hint="eastAsia"/>
          <w:b w:val="0"/>
          <w:bCs/>
          <w:color w:val="auto"/>
          <w:sz w:val="32"/>
          <w:szCs w:val="32"/>
        </w:rPr>
        <w:t>支出决算为194万元，完成预算</w:t>
      </w:r>
      <w:r>
        <w:rPr>
          <w:rStyle w:val="25"/>
          <w:rFonts w:ascii="仿宋" w:eastAsia="仿宋" w:hint="eastAsia"/>
          <w:b w:val="0"/>
          <w:bCs/>
          <w:color w:val="auto"/>
          <w:sz w:val="32"/>
          <w:szCs w:val="32"/>
          <w:lang w:val="en-US" w:eastAsia="zh-CN"/>
        </w:rPr>
        <w:t>100</w:t>
      </w:r>
      <w:r>
        <w:rPr>
          <w:rStyle w:val="25"/>
          <w:rFonts w:ascii="仿宋" w:eastAsia="仿宋"/>
          <w:b w:val="0"/>
          <w:bCs/>
          <w:color w:val="auto"/>
          <w:sz w:val="32"/>
          <w:szCs w:val="32"/>
        </w:rPr>
        <w:t>%</w:t>
      </w:r>
      <w:r>
        <w:rPr>
          <w:rStyle w:val="25"/>
          <w:rFonts w:ascii="仿宋" w:eastAsia="仿宋" w:hint="eastAsia"/>
          <w:b w:val="0"/>
          <w:bCs/>
          <w:color w:val="auto"/>
          <w:sz w:val="32"/>
          <w:szCs w:val="32"/>
        </w:rPr>
        <w:t>，</w:t>
      </w:r>
      <w:r>
        <w:rPr>
          <w:rStyle w:val="25"/>
          <w:rFonts w:ascii="仿宋" w:eastAsia="仿宋" w:hint="eastAsia"/>
          <w:bCs/>
          <w:color w:val="auto"/>
          <w:sz w:val="32"/>
          <w:szCs w:val="32"/>
          <w:lang w:val="en-US" w:eastAsia="zh-CN"/>
        </w:rPr>
        <w:t>预算数与决算数持平</w:t>
      </w:r>
      <w:r>
        <w:rPr>
          <w:rStyle w:val="25"/>
          <w:rFonts w:ascii="仿宋" w:eastAsia="仿宋" w:hint="eastAsia"/>
          <w:b w:val="0"/>
          <w:bCs/>
          <w:color w:val="auto"/>
          <w:sz w:val="32"/>
          <w:szCs w:val="32"/>
        </w:rPr>
        <w:t>。</w:t>
      </w:r>
    </w:p>
    <w:p>
      <w:pPr>
        <w:spacing w:line="600" w:lineRule="exact"/>
        <w:ind w:firstLineChars="200" w:firstLine="640"/>
        <w:rPr>
          <w:rStyle w:val="25"/>
          <w:rFonts w:ascii="仿宋" w:eastAsia="仿宋" w:hint="eastAsia"/>
          <w:b w:val="0"/>
          <w:bCs/>
          <w:color w:val="auto"/>
          <w:sz w:val="32"/>
          <w:szCs w:val="32"/>
        </w:rPr>
      </w:pPr>
      <w:r>
        <w:rPr>
          <w:rFonts w:ascii="仿宋" w:eastAsia="仿宋" w:hint="eastAsia"/>
          <w:b/>
          <w:bCs/>
          <w:color w:val="auto"/>
          <w:sz w:val="32"/>
          <w:szCs w:val="32"/>
        </w:rPr>
        <w:t>卫生健康</w:t>
      </w:r>
      <w:r>
        <w:rPr>
          <w:rStyle w:val="25"/>
          <w:rFonts w:ascii="仿宋" w:eastAsia="仿宋" w:hint="eastAsia"/>
          <w:bCs/>
          <w:color w:val="auto"/>
          <w:sz w:val="32"/>
          <w:szCs w:val="32"/>
        </w:rPr>
        <w:t>（类）基层医疗卫生机构（款）其他基层医疗卫生机构（项）</w:t>
      </w:r>
      <w:r>
        <w:rPr>
          <w:rStyle w:val="25"/>
          <w:rFonts w:ascii="仿宋" w:eastAsia="仿宋"/>
          <w:bCs/>
          <w:color w:val="auto"/>
          <w:sz w:val="32"/>
          <w:szCs w:val="32"/>
        </w:rPr>
        <w:t>:</w:t>
      </w:r>
      <w:r>
        <w:rPr>
          <w:rStyle w:val="25"/>
          <w:rFonts w:ascii="仿宋" w:eastAsia="仿宋" w:hint="eastAsia"/>
          <w:b w:val="0"/>
          <w:bCs/>
          <w:color w:val="auto"/>
          <w:sz w:val="32"/>
          <w:szCs w:val="32"/>
        </w:rPr>
        <w:t>支出决算为26.29万元，完成预算</w:t>
      </w:r>
      <w:r>
        <w:rPr>
          <w:rStyle w:val="25"/>
          <w:rFonts w:ascii="仿宋" w:eastAsia="仿宋" w:hint="eastAsia"/>
          <w:b w:val="0"/>
          <w:bCs/>
          <w:color w:val="auto"/>
          <w:sz w:val="32"/>
          <w:szCs w:val="32"/>
          <w:lang w:val="en-US" w:eastAsia="zh-CN"/>
        </w:rPr>
        <w:t>100</w:t>
      </w:r>
      <w:r>
        <w:rPr>
          <w:rStyle w:val="25"/>
          <w:rFonts w:ascii="仿宋" w:eastAsia="仿宋"/>
          <w:b w:val="0"/>
          <w:bCs/>
          <w:color w:val="auto"/>
          <w:sz w:val="32"/>
          <w:szCs w:val="32"/>
        </w:rPr>
        <w:t>%</w:t>
      </w:r>
      <w:r>
        <w:rPr>
          <w:rStyle w:val="25"/>
          <w:rFonts w:ascii="仿宋" w:eastAsia="仿宋" w:hint="eastAsia"/>
          <w:b w:val="0"/>
          <w:bCs/>
          <w:color w:val="auto"/>
          <w:sz w:val="32"/>
          <w:szCs w:val="32"/>
        </w:rPr>
        <w:t>，</w:t>
      </w:r>
      <w:r>
        <w:rPr>
          <w:rStyle w:val="25"/>
          <w:rFonts w:ascii="仿宋" w:eastAsia="仿宋" w:hint="eastAsia"/>
          <w:bCs/>
          <w:color w:val="auto"/>
          <w:sz w:val="32"/>
          <w:szCs w:val="32"/>
          <w:lang w:val="en-US" w:eastAsia="zh-CN"/>
        </w:rPr>
        <w:t>预算数与决算数持平</w:t>
      </w:r>
      <w:r>
        <w:rPr>
          <w:rStyle w:val="25"/>
          <w:rFonts w:ascii="仿宋" w:eastAsia="仿宋" w:hint="eastAsia"/>
          <w:b w:val="0"/>
          <w:bCs/>
          <w:color w:val="auto"/>
          <w:sz w:val="32"/>
          <w:szCs w:val="32"/>
        </w:rPr>
        <w:t>。</w:t>
      </w:r>
    </w:p>
    <w:p>
      <w:pPr>
        <w:spacing w:line="600" w:lineRule="exact"/>
        <w:ind w:firstLineChars="200" w:firstLine="640"/>
        <w:rPr>
          <w:rStyle w:val="25"/>
          <w:rFonts w:ascii="仿宋" w:eastAsia="仿宋" w:hint="eastAsia"/>
          <w:b w:val="0"/>
          <w:bCs/>
          <w:color w:val="auto"/>
          <w:sz w:val="32"/>
          <w:szCs w:val="32"/>
        </w:rPr>
      </w:pPr>
      <w:r>
        <w:rPr>
          <w:rFonts w:ascii="仿宋" w:eastAsia="仿宋" w:hint="eastAsia"/>
          <w:b/>
          <w:bCs/>
          <w:color w:val="auto"/>
          <w:sz w:val="32"/>
          <w:szCs w:val="32"/>
        </w:rPr>
        <w:t>卫生健康</w:t>
      </w:r>
      <w:r>
        <w:rPr>
          <w:rStyle w:val="25"/>
          <w:rFonts w:ascii="仿宋" w:eastAsia="仿宋" w:hint="eastAsia"/>
          <w:bCs/>
          <w:color w:val="auto"/>
          <w:sz w:val="32"/>
          <w:szCs w:val="32"/>
        </w:rPr>
        <w:t>（类）公共卫生（款）基本公共卫生服务（项）</w:t>
      </w:r>
      <w:r>
        <w:rPr>
          <w:rStyle w:val="25"/>
          <w:rFonts w:ascii="仿宋" w:eastAsia="仿宋"/>
          <w:bCs/>
          <w:color w:val="auto"/>
          <w:sz w:val="32"/>
          <w:szCs w:val="32"/>
        </w:rPr>
        <w:t>:</w:t>
      </w:r>
      <w:r>
        <w:rPr>
          <w:rStyle w:val="25"/>
          <w:rFonts w:ascii="仿宋" w:eastAsia="仿宋" w:hint="eastAsia"/>
          <w:b w:val="0"/>
          <w:bCs/>
          <w:color w:val="auto"/>
          <w:sz w:val="32"/>
          <w:szCs w:val="32"/>
        </w:rPr>
        <w:t>支出决算为35.3万元，完成预算</w:t>
      </w:r>
      <w:r>
        <w:rPr>
          <w:rStyle w:val="25"/>
          <w:rFonts w:ascii="仿宋" w:eastAsia="仿宋" w:hint="eastAsia"/>
          <w:b w:val="0"/>
          <w:bCs/>
          <w:color w:val="auto"/>
          <w:sz w:val="32"/>
          <w:szCs w:val="32"/>
          <w:lang w:val="en-US" w:eastAsia="zh-CN"/>
        </w:rPr>
        <w:t>100</w:t>
      </w:r>
      <w:r>
        <w:rPr>
          <w:rStyle w:val="25"/>
          <w:rFonts w:ascii="仿宋" w:eastAsia="仿宋"/>
          <w:b w:val="0"/>
          <w:bCs/>
          <w:color w:val="auto"/>
          <w:sz w:val="32"/>
          <w:szCs w:val="32"/>
        </w:rPr>
        <w:t>%</w:t>
      </w:r>
      <w:r>
        <w:rPr>
          <w:rStyle w:val="25"/>
          <w:rFonts w:ascii="仿宋" w:eastAsia="仿宋" w:hint="eastAsia"/>
          <w:b w:val="0"/>
          <w:bCs/>
          <w:color w:val="auto"/>
          <w:sz w:val="32"/>
          <w:szCs w:val="32"/>
        </w:rPr>
        <w:t>，</w:t>
      </w:r>
      <w:r>
        <w:rPr>
          <w:rStyle w:val="25"/>
          <w:rFonts w:ascii="仿宋" w:eastAsia="仿宋" w:hint="eastAsia"/>
          <w:bCs/>
          <w:color w:val="auto"/>
          <w:sz w:val="32"/>
          <w:szCs w:val="32"/>
          <w:lang w:val="en-US" w:eastAsia="zh-CN"/>
        </w:rPr>
        <w:t>预算数与决算数持平</w:t>
      </w:r>
      <w:r>
        <w:rPr>
          <w:rStyle w:val="25"/>
          <w:rFonts w:ascii="仿宋" w:eastAsia="仿宋" w:hint="eastAsia"/>
          <w:b w:val="0"/>
          <w:bCs/>
          <w:color w:val="auto"/>
          <w:sz w:val="32"/>
          <w:szCs w:val="32"/>
        </w:rPr>
        <w:t>。</w:t>
      </w:r>
    </w:p>
    <w:p>
      <w:pPr>
        <w:spacing w:line="600" w:lineRule="exact"/>
        <w:ind w:firstLineChars="200" w:firstLine="640"/>
        <w:rPr>
          <w:rFonts w:hint="eastAsia"/>
          <w:color w:val="auto"/>
        </w:rPr>
      </w:pPr>
      <w:r>
        <w:rPr>
          <w:rFonts w:ascii="仿宋" w:eastAsia="仿宋" w:hint="eastAsia"/>
          <w:b/>
          <w:bCs/>
          <w:color w:val="auto"/>
          <w:sz w:val="32"/>
          <w:szCs w:val="32"/>
        </w:rPr>
        <w:t>卫生健康</w:t>
      </w:r>
      <w:r>
        <w:rPr>
          <w:rStyle w:val="25"/>
          <w:rFonts w:ascii="仿宋" w:eastAsia="仿宋" w:hint="eastAsia"/>
          <w:bCs/>
          <w:color w:val="auto"/>
          <w:sz w:val="32"/>
          <w:szCs w:val="32"/>
        </w:rPr>
        <w:t>（类）公共卫生（款）重大公共卫生服务（项）</w:t>
      </w:r>
      <w:r>
        <w:rPr>
          <w:rStyle w:val="25"/>
          <w:rFonts w:ascii="仿宋" w:eastAsia="仿宋"/>
          <w:bCs/>
          <w:color w:val="auto"/>
          <w:sz w:val="32"/>
          <w:szCs w:val="32"/>
        </w:rPr>
        <w:t>:</w:t>
      </w:r>
      <w:r>
        <w:rPr>
          <w:rStyle w:val="25"/>
          <w:rFonts w:ascii="仿宋" w:eastAsia="仿宋" w:hint="eastAsia"/>
          <w:b w:val="0"/>
          <w:bCs/>
          <w:color w:val="auto"/>
          <w:sz w:val="32"/>
          <w:szCs w:val="32"/>
        </w:rPr>
        <w:t>支出决算为0.12万元，完成预算</w:t>
      </w:r>
      <w:r>
        <w:rPr>
          <w:rStyle w:val="25"/>
          <w:rFonts w:ascii="仿宋" w:eastAsia="仿宋" w:hint="eastAsia"/>
          <w:b w:val="0"/>
          <w:bCs/>
          <w:color w:val="auto"/>
          <w:sz w:val="32"/>
          <w:szCs w:val="32"/>
          <w:lang w:val="en-US" w:eastAsia="zh-CN"/>
        </w:rPr>
        <w:t>100</w:t>
      </w:r>
      <w:r>
        <w:rPr>
          <w:rStyle w:val="25"/>
          <w:rFonts w:ascii="仿宋" w:eastAsia="仿宋"/>
          <w:b w:val="0"/>
          <w:bCs/>
          <w:color w:val="auto"/>
          <w:sz w:val="32"/>
          <w:szCs w:val="32"/>
        </w:rPr>
        <w:t>%</w:t>
      </w:r>
      <w:r>
        <w:rPr>
          <w:rStyle w:val="25"/>
          <w:rFonts w:ascii="仿宋" w:eastAsia="仿宋" w:hint="eastAsia"/>
          <w:b w:val="0"/>
          <w:bCs/>
          <w:color w:val="auto"/>
          <w:sz w:val="32"/>
          <w:szCs w:val="32"/>
        </w:rPr>
        <w:t>，</w:t>
      </w:r>
      <w:r>
        <w:rPr>
          <w:rStyle w:val="25"/>
          <w:rFonts w:ascii="仿宋" w:eastAsia="仿宋" w:hint="eastAsia"/>
          <w:bCs/>
          <w:color w:val="auto"/>
          <w:sz w:val="32"/>
          <w:szCs w:val="32"/>
          <w:lang w:val="en-US" w:eastAsia="zh-CN"/>
        </w:rPr>
        <w:t>预算数与决算数持平</w:t>
      </w:r>
      <w:r>
        <w:rPr>
          <w:rStyle w:val="25"/>
          <w:rFonts w:ascii="仿宋" w:eastAsia="仿宋" w:hint="eastAsia"/>
          <w:b w:val="0"/>
          <w:bCs/>
          <w:color w:val="auto"/>
          <w:sz w:val="32"/>
          <w:szCs w:val="32"/>
        </w:rPr>
        <w:t>。</w:t>
      </w:r>
    </w:p>
    <w:p>
      <w:pPr>
        <w:spacing w:line="600" w:lineRule="exact"/>
        <w:ind w:firstLineChars="200" w:firstLine="640"/>
        <w:rPr>
          <w:rStyle w:val="25"/>
          <w:rFonts w:ascii="仿宋" w:eastAsia="仿宋" w:hint="eastAsia"/>
          <w:b w:val="0"/>
          <w:bCs/>
          <w:color w:val="auto"/>
          <w:sz w:val="32"/>
          <w:szCs w:val="32"/>
        </w:rPr>
      </w:pPr>
      <w:r>
        <w:rPr>
          <w:rFonts w:ascii="仿宋" w:eastAsia="仿宋" w:hint="eastAsia"/>
          <w:b/>
          <w:bCs/>
          <w:color w:val="auto"/>
          <w:sz w:val="32"/>
          <w:szCs w:val="32"/>
        </w:rPr>
        <w:t>卫生健康</w:t>
      </w:r>
      <w:r>
        <w:rPr>
          <w:rStyle w:val="25"/>
          <w:rFonts w:ascii="仿宋" w:eastAsia="仿宋" w:hint="eastAsia"/>
          <w:bCs/>
          <w:color w:val="auto"/>
          <w:sz w:val="32"/>
          <w:szCs w:val="32"/>
        </w:rPr>
        <w:t>（类）公共卫生（款）其他公共卫生（项）</w:t>
      </w:r>
      <w:r>
        <w:rPr>
          <w:rStyle w:val="25"/>
          <w:rFonts w:ascii="仿宋" w:eastAsia="仿宋"/>
          <w:bCs/>
          <w:color w:val="auto"/>
          <w:sz w:val="32"/>
          <w:szCs w:val="32"/>
        </w:rPr>
        <w:t>:</w:t>
      </w:r>
      <w:r>
        <w:rPr>
          <w:rStyle w:val="25"/>
          <w:rFonts w:ascii="仿宋" w:eastAsia="仿宋" w:hint="eastAsia"/>
          <w:b w:val="0"/>
          <w:bCs/>
          <w:color w:val="auto"/>
          <w:sz w:val="32"/>
          <w:szCs w:val="32"/>
        </w:rPr>
        <w:t>支出决算为0.6万元，完成预算</w:t>
      </w:r>
      <w:r>
        <w:rPr>
          <w:rStyle w:val="25"/>
          <w:rFonts w:ascii="仿宋" w:eastAsia="仿宋" w:hint="eastAsia"/>
          <w:b w:val="0"/>
          <w:bCs/>
          <w:color w:val="auto"/>
          <w:sz w:val="32"/>
          <w:szCs w:val="32"/>
          <w:lang w:val="en-US" w:eastAsia="zh-CN"/>
        </w:rPr>
        <w:t>100</w:t>
      </w:r>
      <w:r>
        <w:rPr>
          <w:rStyle w:val="25"/>
          <w:rFonts w:ascii="仿宋" w:eastAsia="仿宋"/>
          <w:b w:val="0"/>
          <w:bCs/>
          <w:color w:val="auto"/>
          <w:sz w:val="32"/>
          <w:szCs w:val="32"/>
        </w:rPr>
        <w:t>%</w:t>
      </w:r>
      <w:r>
        <w:rPr>
          <w:rStyle w:val="25"/>
          <w:rFonts w:ascii="仿宋" w:eastAsia="仿宋" w:hint="eastAsia"/>
          <w:b w:val="0"/>
          <w:bCs/>
          <w:color w:val="auto"/>
          <w:sz w:val="32"/>
          <w:szCs w:val="32"/>
        </w:rPr>
        <w:t>，</w:t>
      </w:r>
      <w:r>
        <w:rPr>
          <w:rStyle w:val="25"/>
          <w:rFonts w:ascii="仿宋" w:eastAsia="仿宋" w:hint="eastAsia"/>
          <w:bCs/>
          <w:color w:val="auto"/>
          <w:sz w:val="32"/>
          <w:szCs w:val="32"/>
          <w:lang w:val="en-US" w:eastAsia="zh-CN"/>
        </w:rPr>
        <w:t>预算数与决算数持平</w:t>
      </w:r>
      <w:r>
        <w:rPr>
          <w:rStyle w:val="25"/>
          <w:rFonts w:ascii="仿宋" w:eastAsia="仿宋" w:hint="eastAsia"/>
          <w:b w:val="0"/>
          <w:bCs/>
          <w:color w:val="auto"/>
          <w:sz w:val="32"/>
          <w:szCs w:val="32"/>
        </w:rPr>
        <w:t>。</w:t>
      </w:r>
    </w:p>
    <w:p>
      <w:pPr>
        <w:spacing w:line="600" w:lineRule="exact"/>
        <w:ind w:firstLineChars="200" w:firstLine="640"/>
        <w:rPr>
          <w:rStyle w:val="25"/>
          <w:rFonts w:ascii="仿宋" w:eastAsia="仿宋" w:hint="eastAsia"/>
          <w:b w:val="0"/>
          <w:bCs/>
          <w:color w:val="auto"/>
          <w:sz w:val="32"/>
          <w:szCs w:val="32"/>
        </w:rPr>
      </w:pPr>
      <w:r>
        <w:rPr>
          <w:rFonts w:ascii="仿宋" w:eastAsia="仿宋" w:hint="eastAsia"/>
          <w:b/>
          <w:bCs/>
          <w:color w:val="auto"/>
          <w:sz w:val="32"/>
          <w:szCs w:val="32"/>
        </w:rPr>
        <w:t>卫生健康</w:t>
      </w:r>
      <w:r>
        <w:rPr>
          <w:rStyle w:val="25"/>
          <w:rFonts w:ascii="仿宋" w:eastAsia="仿宋" w:hint="eastAsia"/>
          <w:bCs/>
          <w:color w:val="auto"/>
          <w:sz w:val="32"/>
          <w:szCs w:val="32"/>
        </w:rPr>
        <w:t>（类）行政事业单位医疗（款）事业单位医疗（项）</w:t>
      </w:r>
      <w:r>
        <w:rPr>
          <w:rStyle w:val="25"/>
          <w:rFonts w:ascii="仿宋" w:eastAsia="仿宋"/>
          <w:bCs/>
          <w:color w:val="auto"/>
          <w:sz w:val="32"/>
          <w:szCs w:val="32"/>
        </w:rPr>
        <w:t>:</w:t>
      </w:r>
      <w:r>
        <w:rPr>
          <w:rStyle w:val="25"/>
          <w:rFonts w:ascii="仿宋" w:eastAsia="仿宋" w:hint="eastAsia"/>
          <w:b w:val="0"/>
          <w:bCs/>
          <w:color w:val="auto"/>
          <w:sz w:val="32"/>
          <w:szCs w:val="32"/>
        </w:rPr>
        <w:t>支出决算为11.86万元，完成预算</w:t>
      </w:r>
      <w:r>
        <w:rPr>
          <w:rStyle w:val="25"/>
          <w:rFonts w:ascii="仿宋" w:eastAsia="仿宋" w:hint="eastAsia"/>
          <w:b w:val="0"/>
          <w:bCs/>
          <w:color w:val="auto"/>
          <w:sz w:val="32"/>
          <w:szCs w:val="32"/>
          <w:lang w:val="en-US" w:eastAsia="zh-CN"/>
        </w:rPr>
        <w:t>100</w:t>
      </w:r>
      <w:r>
        <w:rPr>
          <w:rStyle w:val="25"/>
          <w:rFonts w:ascii="仿宋" w:eastAsia="仿宋"/>
          <w:b w:val="0"/>
          <w:bCs/>
          <w:color w:val="auto"/>
          <w:sz w:val="32"/>
          <w:szCs w:val="32"/>
        </w:rPr>
        <w:t>%</w:t>
      </w:r>
      <w:r>
        <w:rPr>
          <w:rStyle w:val="25"/>
          <w:rFonts w:ascii="仿宋" w:eastAsia="仿宋" w:hint="eastAsia"/>
          <w:b w:val="0"/>
          <w:bCs/>
          <w:color w:val="auto"/>
          <w:sz w:val="32"/>
          <w:szCs w:val="32"/>
        </w:rPr>
        <w:t>，</w:t>
      </w:r>
      <w:r>
        <w:rPr>
          <w:rStyle w:val="25"/>
          <w:rFonts w:ascii="仿宋" w:eastAsia="仿宋" w:hint="eastAsia"/>
          <w:bCs/>
          <w:color w:val="auto"/>
          <w:sz w:val="32"/>
          <w:szCs w:val="32"/>
          <w:lang w:val="en-US" w:eastAsia="zh-CN"/>
        </w:rPr>
        <w:t>预算数与决算数持平</w:t>
      </w:r>
      <w:r>
        <w:rPr>
          <w:rStyle w:val="25"/>
          <w:rFonts w:ascii="仿宋" w:eastAsia="仿宋" w:hint="eastAsia"/>
          <w:b w:val="0"/>
          <w:bCs/>
          <w:color w:val="auto"/>
          <w:sz w:val="32"/>
          <w:szCs w:val="32"/>
        </w:rPr>
        <w:t>。</w:t>
      </w:r>
    </w:p>
    <w:p>
      <w:pPr>
        <w:spacing w:line="600" w:lineRule="exact"/>
        <w:ind w:firstLineChars="200" w:firstLine="640"/>
        <w:rPr>
          <w:rStyle w:val="25"/>
          <w:rFonts w:ascii="仿宋" w:eastAsia="仿宋" w:hint="eastAsia"/>
          <w:b w:val="0"/>
          <w:bCs/>
          <w:color w:val="auto"/>
          <w:sz w:val="32"/>
          <w:szCs w:val="32"/>
        </w:rPr>
      </w:pPr>
      <w:r>
        <w:rPr>
          <w:rFonts w:ascii="仿宋" w:eastAsia="仿宋" w:hint="eastAsia"/>
          <w:b/>
          <w:bCs/>
          <w:color w:val="auto"/>
          <w:sz w:val="32"/>
          <w:szCs w:val="32"/>
        </w:rPr>
        <w:t>卫生健康</w:t>
      </w:r>
      <w:r>
        <w:rPr>
          <w:rStyle w:val="25"/>
          <w:rFonts w:ascii="仿宋" w:eastAsia="仿宋" w:hint="eastAsia"/>
          <w:bCs/>
          <w:color w:val="auto"/>
          <w:sz w:val="32"/>
          <w:szCs w:val="32"/>
        </w:rPr>
        <w:t>（类）行政事业单位医疗（款）其他行政事业单位医疗（项）</w:t>
      </w:r>
      <w:r>
        <w:rPr>
          <w:rStyle w:val="25"/>
          <w:rFonts w:ascii="仿宋" w:eastAsia="仿宋"/>
          <w:bCs/>
          <w:color w:val="auto"/>
          <w:sz w:val="32"/>
          <w:szCs w:val="32"/>
        </w:rPr>
        <w:t>:</w:t>
      </w:r>
      <w:r>
        <w:rPr>
          <w:rStyle w:val="25"/>
          <w:rFonts w:ascii="仿宋" w:eastAsia="仿宋" w:hint="eastAsia"/>
          <w:b w:val="0"/>
          <w:bCs/>
          <w:color w:val="auto"/>
          <w:sz w:val="32"/>
          <w:szCs w:val="32"/>
        </w:rPr>
        <w:t>支出决算为2.55万元，完成预算</w:t>
      </w:r>
      <w:r>
        <w:rPr>
          <w:rStyle w:val="25"/>
          <w:rFonts w:ascii="仿宋" w:eastAsia="仿宋" w:hint="eastAsia"/>
          <w:b w:val="0"/>
          <w:bCs/>
          <w:color w:val="auto"/>
          <w:sz w:val="32"/>
          <w:szCs w:val="32"/>
          <w:lang w:val="en-US" w:eastAsia="zh-CN"/>
        </w:rPr>
        <w:t>100</w:t>
      </w:r>
      <w:r>
        <w:rPr>
          <w:rStyle w:val="25"/>
          <w:rFonts w:ascii="仿宋" w:eastAsia="仿宋"/>
          <w:b w:val="0"/>
          <w:bCs/>
          <w:color w:val="auto"/>
          <w:sz w:val="32"/>
          <w:szCs w:val="32"/>
        </w:rPr>
        <w:t>%</w:t>
      </w:r>
      <w:r>
        <w:rPr>
          <w:rStyle w:val="25"/>
          <w:rFonts w:ascii="仿宋" w:eastAsia="仿宋" w:hint="eastAsia"/>
          <w:b w:val="0"/>
          <w:bCs/>
          <w:color w:val="auto"/>
          <w:sz w:val="32"/>
          <w:szCs w:val="32"/>
        </w:rPr>
        <w:t>，</w:t>
      </w:r>
      <w:r>
        <w:rPr>
          <w:rStyle w:val="25"/>
          <w:rFonts w:ascii="仿宋" w:eastAsia="仿宋" w:hint="eastAsia"/>
          <w:bCs/>
          <w:color w:val="auto"/>
          <w:sz w:val="32"/>
          <w:szCs w:val="32"/>
          <w:lang w:val="en-US" w:eastAsia="zh-CN"/>
        </w:rPr>
        <w:t>预算数与决算数持平</w:t>
      </w:r>
      <w:r>
        <w:rPr>
          <w:rStyle w:val="25"/>
          <w:rFonts w:ascii="仿宋" w:eastAsia="仿宋" w:hint="eastAsia"/>
          <w:b w:val="0"/>
          <w:bCs/>
          <w:color w:val="auto"/>
          <w:sz w:val="32"/>
          <w:szCs w:val="32"/>
        </w:rPr>
        <w:t>。</w:t>
      </w:r>
    </w:p>
    <w:p>
      <w:pPr>
        <w:spacing w:line="600" w:lineRule="exact"/>
        <w:ind w:firstLineChars="200" w:firstLine="640"/>
        <w:rPr>
          <w:rFonts w:ascii="仿宋" w:eastAsia="仿宋" w:hint="eastAsia"/>
          <w:b/>
          <w:color w:val="auto"/>
          <w:sz w:val="32"/>
          <w:szCs w:val="32"/>
        </w:rPr>
      </w:pPr>
      <w:r>
        <w:rPr>
          <w:rStyle w:val="25"/>
          <w:rFonts w:ascii="仿宋" w:eastAsia="仿宋" w:cs="Times New Roman" w:hint="eastAsia"/>
          <w:bCs/>
          <w:color w:val="auto"/>
          <w:sz w:val="32"/>
          <w:szCs w:val="32"/>
          <w:lang w:val="en-US" w:eastAsia="zh-CN"/>
        </w:rPr>
        <w:t>4.</w:t>
      </w:r>
      <w:r>
        <w:rPr>
          <w:rFonts w:ascii="仿宋" w:eastAsia="仿宋" w:hint="eastAsia"/>
          <w:b/>
          <w:bCs/>
          <w:color w:val="auto"/>
          <w:sz w:val="32"/>
          <w:szCs w:val="32"/>
        </w:rPr>
        <w:t>住房保障</w:t>
      </w:r>
      <w:r>
        <w:rPr>
          <w:rStyle w:val="25"/>
          <w:rFonts w:ascii="仿宋" w:eastAsia="仿宋" w:hint="eastAsia"/>
          <w:bCs/>
          <w:color w:val="auto"/>
          <w:sz w:val="32"/>
          <w:szCs w:val="32"/>
        </w:rPr>
        <w:t>（类）住房改革（款）住房公积金（项）</w:t>
      </w:r>
      <w:r>
        <w:rPr>
          <w:rStyle w:val="25"/>
          <w:rFonts w:ascii="仿宋" w:eastAsia="仿宋"/>
          <w:bCs/>
          <w:color w:val="auto"/>
          <w:sz w:val="32"/>
          <w:szCs w:val="32"/>
        </w:rPr>
        <w:t>:</w:t>
      </w:r>
      <w:r>
        <w:rPr>
          <w:rStyle w:val="25"/>
          <w:rFonts w:ascii="仿宋" w:eastAsia="仿宋" w:hint="eastAsia"/>
          <w:b w:val="0"/>
          <w:bCs/>
          <w:color w:val="auto"/>
          <w:sz w:val="32"/>
          <w:szCs w:val="32"/>
        </w:rPr>
        <w:t>支出决算为19.3万元，完成预算</w:t>
      </w:r>
      <w:r>
        <w:rPr>
          <w:rStyle w:val="25"/>
          <w:rFonts w:ascii="仿宋" w:eastAsia="仿宋" w:hint="eastAsia"/>
          <w:b w:val="0"/>
          <w:bCs/>
          <w:color w:val="auto"/>
          <w:sz w:val="32"/>
          <w:szCs w:val="32"/>
          <w:lang w:val="en-US" w:eastAsia="zh-CN"/>
        </w:rPr>
        <w:t>100</w:t>
      </w:r>
      <w:r>
        <w:rPr>
          <w:rStyle w:val="25"/>
          <w:rFonts w:ascii="仿宋" w:eastAsia="仿宋"/>
          <w:b w:val="0"/>
          <w:bCs/>
          <w:color w:val="auto"/>
          <w:sz w:val="32"/>
          <w:szCs w:val="32"/>
        </w:rPr>
        <w:t>%</w:t>
      </w:r>
      <w:r>
        <w:rPr>
          <w:rStyle w:val="25"/>
          <w:rFonts w:ascii="仿宋" w:eastAsia="仿宋" w:hint="eastAsia"/>
          <w:b w:val="0"/>
          <w:bCs/>
          <w:color w:val="auto"/>
          <w:sz w:val="32"/>
          <w:szCs w:val="32"/>
        </w:rPr>
        <w:t>，</w:t>
      </w:r>
      <w:r>
        <w:rPr>
          <w:rStyle w:val="25"/>
          <w:rFonts w:ascii="仿宋" w:eastAsia="仿宋" w:hint="eastAsia"/>
          <w:bCs/>
          <w:color w:val="auto"/>
          <w:sz w:val="32"/>
          <w:szCs w:val="32"/>
          <w:lang w:val="en-US" w:eastAsia="zh-CN"/>
        </w:rPr>
        <w:t>预算数与决算数持平</w:t>
      </w:r>
      <w:r>
        <w:rPr>
          <w:rStyle w:val="25"/>
          <w:rFonts w:ascii="仿宋" w:eastAsia="仿宋" w:hint="eastAsia"/>
          <w:b w:val="0"/>
          <w:bCs/>
          <w:color w:val="auto"/>
          <w:sz w:val="32"/>
          <w:szCs w:val="32"/>
        </w:rPr>
        <w:t>。</w:t>
      </w:r>
    </w:p>
    <w:p>
      <w:pPr>
        <w:tabs>
          <w:tab w:val="right" w:pos="8306"/>
        </w:tabs>
        <w:spacing w:line="600" w:lineRule="exact"/>
        <w:ind w:firstLine="640"/>
        <w:outlineLvl w:val="1"/>
        <w:rPr>
          <w:rStyle w:val="2Char"/>
          <w:color w:val="auto"/>
        </w:rPr>
      </w:pPr>
      <w:bookmarkStart w:id="44" w:name="_Toc15509"/>
      <w:bookmarkStart w:id="45" w:name="_Toc15377214"/>
      <w:bookmarkStart w:id="46" w:name="_Toc15396608"/>
      <w:r>
        <w:rPr>
          <w:rFonts w:ascii="黑体" w:eastAsia="黑体" w:hint="eastAsia"/>
          <w:color w:val="auto"/>
          <w:sz w:val="32"/>
          <w:szCs w:val="32"/>
        </w:rPr>
        <w:t>六</w:t>
      </w:r>
      <w:r>
        <w:rPr>
          <w:rFonts w:ascii="黑体" w:eastAsia="黑体" w:hint="eastAsia"/>
          <w:b/>
          <w:color w:val="auto"/>
          <w:sz w:val="32"/>
          <w:szCs w:val="32"/>
        </w:rPr>
        <w:t>、一</w:t>
      </w:r>
      <w:r>
        <w:rPr>
          <w:rStyle w:val="2Char"/>
          <w:rFonts w:ascii="黑体" w:eastAsia="黑体" w:hint="eastAsia"/>
          <w:b w:val="0"/>
          <w:color w:val="auto"/>
        </w:rPr>
        <w:t>般公共预算财政拨款基本支出决算情况说明</w:t>
      </w:r>
      <w:bookmarkEnd w:id="44"/>
      <w:bookmarkEnd w:id="45"/>
      <w:bookmarkEnd w:id="46"/>
      <w:r>
        <w:rPr>
          <w:rStyle w:val="2Char"/>
          <w:rFonts w:ascii="黑体" w:eastAsia="黑体"/>
          <w:b w:val="0"/>
          <w:color w:val="auto"/>
        </w:rPr>
        <w:tab/>
      </w:r>
    </w:p>
    <w:p>
      <w:pPr>
        <w:spacing w:line="600" w:lineRule="exact"/>
        <w:ind w:firstLine="645"/>
        <w:rPr>
          <w:rFonts w:ascii="仿宋" w:eastAsia="仿宋"/>
          <w:color w:val="auto"/>
          <w:sz w:val="32"/>
          <w:szCs w:val="32"/>
        </w:rPr>
      </w:pPr>
      <w:r>
        <w:rPr>
          <w:rFonts w:ascii="仿宋" w:eastAsia="仿宋"/>
          <w:color w:val="auto"/>
          <w:sz w:val="32"/>
          <w:szCs w:val="32"/>
        </w:rPr>
        <w:t>202</w:t>
      </w:r>
      <w:r>
        <w:rPr>
          <w:rFonts w:ascii="仿宋" w:eastAsia="仿宋" w:hint="eastAsia"/>
          <w:color w:val="auto"/>
          <w:sz w:val="32"/>
          <w:szCs w:val="32"/>
        </w:rPr>
        <w:t>5年一般公共预算财政拨款基本支出</w:t>
      </w:r>
      <w:r>
        <w:rPr>
          <w:rFonts w:ascii="仿宋" w:eastAsia="仿宋" w:hint="eastAsia"/>
          <w:color w:val="auto"/>
          <w:sz w:val="32"/>
          <w:szCs w:val="32"/>
          <w:lang w:val="en-US" w:eastAsia="zh-CN"/>
        </w:rPr>
        <w:t>265.54</w:t>
      </w:r>
      <w:r>
        <w:rPr>
          <w:rFonts w:ascii="仿宋" w:eastAsia="仿宋" w:hint="eastAsia"/>
          <w:color w:val="auto"/>
          <w:sz w:val="32"/>
          <w:szCs w:val="32"/>
        </w:rPr>
        <w:t>万元，其中：</w:t>
      </w:r>
    </w:p>
    <w:p>
      <w:pPr>
        <w:spacing w:line="600" w:lineRule="exact"/>
        <w:ind w:firstLine="645"/>
        <w:rPr>
          <w:rFonts w:ascii="仿宋" w:eastAsia="仿宋"/>
          <w:color w:val="auto"/>
          <w:sz w:val="32"/>
          <w:szCs w:val="32"/>
        </w:rPr>
      </w:pPr>
      <w:r>
        <w:rPr>
          <w:rFonts w:ascii="仿宋" w:eastAsia="仿宋" w:hint="eastAsia"/>
          <w:color w:val="auto"/>
          <w:sz w:val="32"/>
          <w:szCs w:val="32"/>
        </w:rPr>
        <w:t>人员经费262.62万元，主要包括：基本工资50.38</w:t>
      </w:r>
      <w:r>
        <w:rPr>
          <w:rFonts w:ascii="仿宋" w:eastAsia="仿宋" w:hint="eastAsia"/>
          <w:color w:val="auto"/>
          <w:sz w:val="32"/>
          <w:szCs w:val="32"/>
          <w:lang w:val="en-US" w:eastAsia="zh-CN"/>
        </w:rPr>
        <w:t>万元</w:t>
      </w:r>
      <w:r>
        <w:rPr>
          <w:rFonts w:ascii="仿宋" w:eastAsia="仿宋" w:cs="Times New Roman" w:hint="eastAsia"/>
          <w:color w:val="auto"/>
          <w:sz w:val="32"/>
          <w:szCs w:val="32"/>
        </w:rPr>
        <w:t>、津贴补贴11.88</w:t>
      </w:r>
      <w:r>
        <w:rPr>
          <w:rFonts w:ascii="仿宋" w:eastAsia="仿宋" w:cs="Times New Roman" w:hint="eastAsia"/>
          <w:color w:val="auto"/>
          <w:sz w:val="32"/>
          <w:szCs w:val="32"/>
          <w:lang w:val="en-US" w:eastAsia="zh-CN"/>
        </w:rPr>
        <w:t>万元</w:t>
      </w:r>
      <w:r>
        <w:rPr>
          <w:rFonts w:ascii="仿宋" w:eastAsia="仿宋" w:cs="Times New Roman" w:hint="eastAsia"/>
          <w:color w:val="auto"/>
          <w:sz w:val="32"/>
          <w:szCs w:val="32"/>
        </w:rPr>
        <w:t>、奖金</w:t>
      </w:r>
      <w:r>
        <w:rPr>
          <w:rFonts w:ascii="仿宋" w:eastAsia="仿宋" w:cs="Times New Roman" w:hint="eastAsia"/>
          <w:color w:val="auto"/>
          <w:sz w:val="32"/>
          <w:szCs w:val="32"/>
          <w:lang w:val="en-US" w:eastAsia="zh-CN"/>
        </w:rPr>
        <w:t>0万元</w:t>
      </w:r>
      <w:r>
        <w:rPr>
          <w:rFonts w:ascii="仿宋" w:eastAsia="仿宋" w:cs="Times New Roman" w:hint="eastAsia"/>
          <w:color w:val="auto"/>
          <w:sz w:val="32"/>
          <w:szCs w:val="32"/>
        </w:rPr>
        <w:t>、伙食补助费</w:t>
      </w:r>
      <w:r>
        <w:rPr>
          <w:rFonts w:ascii="仿宋" w:eastAsia="仿宋" w:cs="Times New Roman" w:hint="eastAsia"/>
          <w:color w:val="auto"/>
          <w:sz w:val="32"/>
          <w:szCs w:val="32"/>
          <w:lang w:val="en-US" w:eastAsia="zh-CN"/>
        </w:rPr>
        <w:t>0万元</w:t>
      </w:r>
      <w:r>
        <w:rPr>
          <w:rFonts w:ascii="仿宋" w:eastAsia="仿宋" w:cs="Times New Roman" w:hint="eastAsia"/>
          <w:color w:val="auto"/>
          <w:sz w:val="32"/>
          <w:szCs w:val="32"/>
        </w:rPr>
        <w:t>、绩效工资99.87</w:t>
      </w:r>
      <w:r>
        <w:rPr>
          <w:rFonts w:ascii="仿宋" w:eastAsia="仿宋" w:cs="Times New Roman" w:hint="eastAsia"/>
          <w:color w:val="auto"/>
          <w:sz w:val="32"/>
          <w:szCs w:val="32"/>
          <w:lang w:val="en-US" w:eastAsia="zh-CN"/>
        </w:rPr>
        <w:t>万元</w:t>
      </w:r>
      <w:r>
        <w:rPr>
          <w:rFonts w:ascii="仿宋" w:eastAsia="仿宋" w:cs="Times New Roman" w:hint="eastAsia"/>
          <w:color w:val="auto"/>
          <w:sz w:val="32"/>
          <w:szCs w:val="32"/>
        </w:rPr>
        <w:t>、机关事业单位基本养老保险缴费20.98</w:t>
      </w:r>
      <w:r>
        <w:rPr>
          <w:rFonts w:ascii="仿宋" w:eastAsia="仿宋" w:cs="Times New Roman" w:hint="eastAsia"/>
          <w:color w:val="auto"/>
          <w:sz w:val="32"/>
          <w:szCs w:val="32"/>
          <w:lang w:val="en-US" w:eastAsia="zh-CN"/>
        </w:rPr>
        <w:t>万元</w:t>
      </w:r>
      <w:r>
        <w:rPr>
          <w:rFonts w:ascii="仿宋" w:eastAsia="仿宋" w:cs="Times New Roman" w:hint="eastAsia"/>
          <w:color w:val="auto"/>
          <w:sz w:val="32"/>
          <w:szCs w:val="32"/>
        </w:rPr>
        <w:t>、职业年金缴费10.49</w:t>
      </w:r>
      <w:r>
        <w:rPr>
          <w:rFonts w:ascii="仿宋" w:eastAsia="仿宋" w:cs="Times New Roman" w:hint="eastAsia"/>
          <w:color w:val="auto"/>
          <w:sz w:val="32"/>
          <w:szCs w:val="32"/>
          <w:lang w:val="en-US" w:eastAsia="zh-CN"/>
        </w:rPr>
        <w:t>万元</w:t>
      </w:r>
      <w:r>
        <w:rPr>
          <w:rFonts w:ascii="仿宋" w:eastAsia="仿宋" w:cs="Times New Roman" w:hint="eastAsia"/>
          <w:color w:val="auto"/>
          <w:sz w:val="32"/>
          <w:szCs w:val="32"/>
        </w:rPr>
        <w:t>、其他社会保障缴费3.18</w:t>
      </w:r>
      <w:r>
        <w:rPr>
          <w:rFonts w:ascii="仿宋" w:eastAsia="仿宋" w:cs="Times New Roman" w:hint="eastAsia"/>
          <w:color w:val="auto"/>
          <w:sz w:val="32"/>
          <w:szCs w:val="32"/>
          <w:lang w:val="en-US" w:eastAsia="zh-CN"/>
        </w:rPr>
        <w:t>万元</w:t>
      </w:r>
      <w:r>
        <w:rPr>
          <w:rFonts w:ascii="仿宋" w:eastAsia="仿宋" w:cs="Times New Roman" w:hint="eastAsia"/>
          <w:color w:val="auto"/>
          <w:sz w:val="32"/>
          <w:szCs w:val="32"/>
        </w:rPr>
        <w:t>、</w:t>
      </w:r>
      <w:r>
        <w:rPr>
          <w:rFonts w:ascii="仿宋" w:eastAsia="仿宋" w:hint="eastAsia"/>
          <w:color w:val="auto"/>
          <w:sz w:val="32"/>
          <w:szCs w:val="32"/>
        </w:rPr>
        <w:t>其他工资福利支出15.58</w:t>
      </w:r>
      <w:r>
        <w:rPr>
          <w:rFonts w:ascii="仿宋" w:eastAsia="仿宋" w:hint="eastAsia"/>
          <w:color w:val="auto"/>
          <w:sz w:val="32"/>
          <w:szCs w:val="32"/>
          <w:lang w:val="en-US" w:eastAsia="zh-CN"/>
        </w:rPr>
        <w:t>万元</w:t>
      </w:r>
      <w:r>
        <w:rPr>
          <w:rFonts w:ascii="仿宋" w:eastAsia="仿宋" w:cs="Times New Roman" w:hint="eastAsia"/>
          <w:color w:val="auto"/>
          <w:sz w:val="32"/>
          <w:szCs w:val="32"/>
          <w:lang w:val="en-US" w:eastAsia="zh-CN"/>
        </w:rPr>
        <w:t>、</w:t>
      </w:r>
      <w:r>
        <w:rPr>
          <w:rFonts w:ascii="仿宋" w:eastAsia="仿宋" w:cs="Times New Roman" w:hint="eastAsia"/>
          <w:color w:val="auto"/>
          <w:sz w:val="32"/>
          <w:szCs w:val="32"/>
        </w:rPr>
        <w:t>职工基本医疗保险缴费11.86</w:t>
      </w:r>
      <w:r>
        <w:rPr>
          <w:rFonts w:ascii="仿宋" w:eastAsia="仿宋" w:cs="Times New Roman" w:hint="eastAsia"/>
          <w:color w:val="auto"/>
          <w:sz w:val="32"/>
          <w:szCs w:val="32"/>
          <w:lang w:val="en-US" w:eastAsia="zh-CN"/>
        </w:rPr>
        <w:t>万元、</w:t>
      </w:r>
      <w:r>
        <w:rPr>
          <w:rFonts w:ascii="仿宋" w:eastAsia="仿宋" w:cs="Times New Roman" w:hint="eastAsia"/>
          <w:color w:val="auto"/>
          <w:sz w:val="32"/>
          <w:szCs w:val="32"/>
        </w:rPr>
        <w:t>离</w:t>
      </w:r>
      <w:r>
        <w:rPr>
          <w:rFonts w:ascii="仿宋" w:eastAsia="仿宋" w:hint="eastAsia"/>
          <w:color w:val="auto"/>
          <w:sz w:val="32"/>
          <w:szCs w:val="32"/>
        </w:rPr>
        <w:t>休费</w:t>
      </w:r>
      <w:r>
        <w:rPr>
          <w:rFonts w:ascii="仿宋" w:eastAsia="仿宋" w:hint="eastAsia"/>
          <w:color w:val="auto"/>
          <w:sz w:val="32"/>
          <w:szCs w:val="32"/>
          <w:lang w:val="en-US" w:eastAsia="zh-CN"/>
        </w:rPr>
        <w:t>0万元、</w:t>
      </w:r>
      <w:r>
        <w:rPr>
          <w:rFonts w:ascii="仿宋" w:eastAsia="仿宋" w:cs="Times New Roman" w:hint="eastAsia"/>
          <w:color w:val="auto"/>
          <w:sz w:val="32"/>
          <w:szCs w:val="32"/>
          <w:lang w:val="en-US" w:eastAsia="zh-CN"/>
        </w:rPr>
        <w:t>公务员医疗补助缴费2.55</w:t>
      </w:r>
      <w:r>
        <w:rPr>
          <w:rFonts w:ascii="仿宋" w:eastAsia="仿宋" w:hint="eastAsia"/>
          <w:color w:val="auto"/>
          <w:sz w:val="32"/>
          <w:szCs w:val="32"/>
          <w:lang w:val="en-US" w:eastAsia="zh-CN"/>
        </w:rPr>
        <w:t>万元</w:t>
      </w:r>
      <w:r>
        <w:rPr>
          <w:rFonts w:ascii="仿宋" w:eastAsia="仿宋" w:hint="eastAsia"/>
          <w:color w:val="auto"/>
          <w:sz w:val="32"/>
          <w:szCs w:val="32"/>
        </w:rPr>
        <w:t>、退休费</w:t>
      </w:r>
      <w:r>
        <w:rPr>
          <w:rFonts w:ascii="仿宋" w:eastAsia="仿宋" w:hint="eastAsia"/>
          <w:color w:val="auto"/>
          <w:sz w:val="32"/>
          <w:szCs w:val="32"/>
          <w:lang w:val="en-US" w:eastAsia="zh-CN"/>
        </w:rPr>
        <w:t>0万元</w:t>
      </w:r>
      <w:r>
        <w:rPr>
          <w:rFonts w:ascii="仿宋" w:eastAsia="仿宋" w:cs="Times New Roman" w:hint="eastAsia"/>
          <w:color w:val="auto"/>
          <w:sz w:val="32"/>
          <w:szCs w:val="32"/>
        </w:rPr>
        <w:t>、抚恤金</w:t>
      </w:r>
      <w:r>
        <w:rPr>
          <w:rFonts w:ascii="仿宋" w:eastAsia="仿宋" w:cs="Times New Roman" w:hint="eastAsia"/>
          <w:color w:val="auto"/>
          <w:sz w:val="32"/>
          <w:szCs w:val="32"/>
          <w:lang w:val="en-US" w:eastAsia="zh-CN"/>
        </w:rPr>
        <w:t>6.92万元</w:t>
      </w:r>
      <w:r>
        <w:rPr>
          <w:rFonts w:ascii="仿宋" w:eastAsia="仿宋" w:cs="Times New Roman" w:hint="eastAsia"/>
          <w:color w:val="auto"/>
          <w:sz w:val="32"/>
          <w:szCs w:val="32"/>
        </w:rPr>
        <w:t>、生活补助7.77</w:t>
      </w:r>
      <w:r>
        <w:rPr>
          <w:rFonts w:ascii="仿宋" w:eastAsia="仿宋" w:cs="Times New Roman" w:hint="eastAsia"/>
          <w:color w:val="auto"/>
          <w:sz w:val="32"/>
          <w:szCs w:val="32"/>
          <w:lang w:val="en-US" w:eastAsia="zh-CN"/>
        </w:rPr>
        <w:t>万</w:t>
      </w:r>
      <w:r>
        <w:rPr>
          <w:rFonts w:ascii="仿宋" w:eastAsia="仿宋" w:hint="eastAsia"/>
          <w:color w:val="auto"/>
          <w:sz w:val="32"/>
          <w:szCs w:val="32"/>
          <w:lang w:val="en-US" w:eastAsia="zh-CN"/>
        </w:rPr>
        <w:t>元</w:t>
      </w:r>
      <w:r>
        <w:rPr>
          <w:rFonts w:ascii="仿宋" w:eastAsia="仿宋" w:hint="eastAsia"/>
          <w:color w:val="auto"/>
          <w:sz w:val="32"/>
          <w:szCs w:val="32"/>
        </w:rPr>
        <w:t>、医疗费补助</w:t>
      </w:r>
      <w:r>
        <w:rPr>
          <w:rFonts w:ascii="仿宋" w:eastAsia="仿宋" w:hint="eastAsia"/>
          <w:color w:val="auto"/>
          <w:sz w:val="32"/>
          <w:szCs w:val="32"/>
          <w:lang w:val="en-US" w:eastAsia="zh-CN"/>
        </w:rPr>
        <w:t>0万元</w:t>
      </w:r>
      <w:r>
        <w:rPr>
          <w:rFonts w:ascii="仿宋" w:eastAsia="仿宋" w:hint="eastAsia"/>
          <w:color w:val="auto"/>
          <w:sz w:val="32"/>
          <w:szCs w:val="32"/>
        </w:rPr>
        <w:t>、奖励金</w:t>
      </w:r>
      <w:r>
        <w:rPr>
          <w:rFonts w:ascii="仿宋" w:eastAsia="仿宋" w:hint="eastAsia"/>
          <w:color w:val="auto"/>
          <w:sz w:val="32"/>
          <w:szCs w:val="32"/>
          <w:lang w:val="en-US" w:eastAsia="zh-CN"/>
        </w:rPr>
        <w:t>0万元</w:t>
      </w:r>
      <w:r>
        <w:rPr>
          <w:rFonts w:ascii="仿宋" w:eastAsia="仿宋" w:hint="eastAsia"/>
          <w:color w:val="auto"/>
          <w:sz w:val="32"/>
          <w:szCs w:val="32"/>
        </w:rPr>
        <w:t>、</w:t>
      </w:r>
      <w:r>
        <w:rPr>
          <w:rFonts w:ascii="仿宋" w:eastAsia="仿宋" w:cs="Times New Roman" w:hint="eastAsia"/>
          <w:color w:val="auto"/>
          <w:sz w:val="32"/>
          <w:szCs w:val="32"/>
        </w:rPr>
        <w:t>住房公积金19.3</w:t>
      </w:r>
      <w:r>
        <w:rPr>
          <w:rFonts w:ascii="仿宋" w:eastAsia="仿宋" w:cs="Times New Roman" w:hint="eastAsia"/>
          <w:color w:val="auto"/>
          <w:sz w:val="32"/>
          <w:szCs w:val="32"/>
          <w:lang w:val="en-US" w:eastAsia="zh-CN"/>
        </w:rPr>
        <w:t>万元</w:t>
      </w:r>
      <w:r>
        <w:rPr>
          <w:rFonts w:ascii="仿宋" w:eastAsia="仿宋" w:cs="Times New Roman" w:hint="eastAsia"/>
          <w:color w:val="auto"/>
          <w:sz w:val="32"/>
          <w:szCs w:val="32"/>
        </w:rPr>
        <w:t>、</w:t>
      </w:r>
      <w:r>
        <w:rPr>
          <w:rFonts w:ascii="仿宋" w:eastAsia="仿宋" w:cs="Times New Roman" w:hint="eastAsia"/>
          <w:color w:val="auto"/>
          <w:sz w:val="32"/>
          <w:szCs w:val="32"/>
          <w:lang w:val="en-US" w:eastAsia="zh-CN"/>
        </w:rPr>
        <w:t>医疗费1.85万元、</w:t>
      </w:r>
      <w:r>
        <w:rPr>
          <w:rFonts w:ascii="仿宋" w:eastAsia="仿宋" w:hint="eastAsia"/>
          <w:color w:val="auto"/>
          <w:sz w:val="32"/>
          <w:szCs w:val="32"/>
        </w:rPr>
        <w:t>其他对个人和家庭的补助支出</w:t>
      </w:r>
      <w:r>
        <w:rPr>
          <w:rFonts w:ascii="仿宋" w:eastAsia="仿宋" w:hint="eastAsia"/>
          <w:color w:val="auto"/>
          <w:sz w:val="32"/>
          <w:szCs w:val="32"/>
          <w:lang w:val="en-US" w:eastAsia="zh-CN"/>
        </w:rPr>
        <w:t>0万元</w:t>
      </w:r>
      <w:r>
        <w:rPr>
          <w:rFonts w:ascii="仿宋" w:eastAsia="仿宋" w:cs="Times New Roman" w:hint="eastAsia"/>
          <w:color w:val="auto"/>
          <w:sz w:val="32"/>
          <w:szCs w:val="32"/>
        </w:rPr>
        <w:t>等。</w:t>
      </w:r>
      <w:r>
        <w:rPr>
          <w:rFonts w:ascii="仿宋" w:eastAsia="仿宋"/>
          <w:color w:val="auto"/>
          <w:sz w:val="32"/>
          <w:szCs w:val="32"/>
        </w:rPr>
        <w:br/>
      </w:r>
      <w:r>
        <w:rPr>
          <w:rFonts w:ascii="仿宋" w:eastAsia="仿宋" w:hint="eastAsia"/>
          <w:color w:val="auto"/>
          <w:sz w:val="32"/>
          <w:szCs w:val="32"/>
        </w:rPr>
        <w:t>　　公用经费</w:t>
      </w:r>
      <w:r>
        <w:rPr>
          <w:rFonts w:ascii="仿宋" w:eastAsia="仿宋" w:hint="eastAsia"/>
          <w:color w:val="auto"/>
          <w:sz w:val="32"/>
          <w:szCs w:val="32"/>
          <w:lang w:val="en-US" w:eastAsia="zh-CN"/>
        </w:rPr>
        <w:t>2.92</w:t>
      </w:r>
      <w:r>
        <w:rPr>
          <w:rFonts w:ascii="仿宋" w:eastAsia="仿宋" w:hint="eastAsia"/>
          <w:color w:val="auto"/>
          <w:sz w:val="32"/>
          <w:szCs w:val="32"/>
        </w:rPr>
        <w:t>万元，主要包括：办公费</w:t>
      </w:r>
      <w:r>
        <w:rPr>
          <w:rFonts w:ascii="仿宋" w:eastAsia="仿宋" w:hint="eastAsia"/>
          <w:color w:val="auto"/>
          <w:sz w:val="32"/>
          <w:szCs w:val="32"/>
          <w:lang w:val="en-US" w:eastAsia="zh-CN"/>
        </w:rPr>
        <w:t>1.73万元</w:t>
      </w:r>
      <w:r>
        <w:rPr>
          <w:rFonts w:ascii="仿宋" w:eastAsia="仿宋" w:hint="eastAsia"/>
          <w:color w:val="auto"/>
          <w:sz w:val="32"/>
          <w:szCs w:val="32"/>
        </w:rPr>
        <w:t>、印刷费</w:t>
      </w:r>
      <w:r>
        <w:rPr>
          <w:rFonts w:ascii="仿宋" w:eastAsia="仿宋" w:hint="eastAsia"/>
          <w:color w:val="auto"/>
          <w:sz w:val="32"/>
          <w:szCs w:val="32"/>
          <w:lang w:val="en-US" w:eastAsia="zh-CN"/>
        </w:rPr>
        <w:t>0万元</w:t>
      </w:r>
      <w:r>
        <w:rPr>
          <w:rFonts w:ascii="仿宋" w:eastAsia="仿宋" w:hint="eastAsia"/>
          <w:color w:val="auto"/>
          <w:sz w:val="32"/>
          <w:szCs w:val="32"/>
        </w:rPr>
        <w:t>、咨询费</w:t>
      </w:r>
      <w:r>
        <w:rPr>
          <w:rFonts w:ascii="仿宋" w:eastAsia="仿宋" w:hint="eastAsia"/>
          <w:color w:val="auto"/>
          <w:sz w:val="32"/>
          <w:szCs w:val="32"/>
          <w:lang w:val="en-US" w:eastAsia="zh-CN"/>
        </w:rPr>
        <w:t>0万元</w:t>
      </w:r>
      <w:r>
        <w:rPr>
          <w:rFonts w:ascii="仿宋" w:eastAsia="仿宋" w:hint="eastAsia"/>
          <w:color w:val="auto"/>
          <w:sz w:val="32"/>
          <w:szCs w:val="32"/>
        </w:rPr>
        <w:t>、手续费</w:t>
      </w:r>
      <w:r>
        <w:rPr>
          <w:rFonts w:ascii="仿宋" w:eastAsia="仿宋" w:hint="eastAsia"/>
          <w:color w:val="auto"/>
          <w:sz w:val="32"/>
          <w:szCs w:val="32"/>
          <w:lang w:val="en-US" w:eastAsia="zh-CN"/>
        </w:rPr>
        <w:t>0万元</w:t>
      </w:r>
      <w:r>
        <w:rPr>
          <w:rFonts w:ascii="仿宋" w:eastAsia="仿宋" w:hint="eastAsia"/>
          <w:color w:val="auto"/>
          <w:sz w:val="32"/>
          <w:szCs w:val="32"/>
        </w:rPr>
        <w:t>、水费</w:t>
      </w:r>
      <w:r>
        <w:rPr>
          <w:rFonts w:ascii="仿宋" w:eastAsia="仿宋" w:hint="eastAsia"/>
          <w:color w:val="auto"/>
          <w:sz w:val="32"/>
          <w:szCs w:val="32"/>
          <w:lang w:val="en-US" w:eastAsia="zh-CN"/>
        </w:rPr>
        <w:t>0万元</w:t>
      </w:r>
      <w:r>
        <w:rPr>
          <w:rFonts w:ascii="仿宋" w:eastAsia="仿宋" w:hint="eastAsia"/>
          <w:color w:val="auto"/>
          <w:sz w:val="32"/>
          <w:szCs w:val="32"/>
        </w:rPr>
        <w:t>、电费0.44</w:t>
      </w:r>
      <w:r>
        <w:rPr>
          <w:rFonts w:ascii="仿宋" w:eastAsia="仿宋" w:hint="eastAsia"/>
          <w:color w:val="auto"/>
          <w:sz w:val="32"/>
          <w:szCs w:val="32"/>
          <w:lang w:val="en-US" w:eastAsia="zh-CN"/>
        </w:rPr>
        <w:t>万元</w:t>
      </w:r>
      <w:r>
        <w:rPr>
          <w:rFonts w:ascii="仿宋" w:eastAsia="仿宋" w:hint="eastAsia"/>
          <w:color w:val="auto"/>
          <w:sz w:val="32"/>
          <w:szCs w:val="32"/>
        </w:rPr>
        <w:t>、邮电费</w:t>
      </w:r>
      <w:r>
        <w:rPr>
          <w:rFonts w:ascii="仿宋" w:eastAsia="仿宋" w:hint="eastAsia"/>
          <w:color w:val="auto"/>
          <w:sz w:val="32"/>
          <w:szCs w:val="32"/>
          <w:lang w:val="en-US" w:eastAsia="zh-CN"/>
        </w:rPr>
        <w:t>0万元</w:t>
      </w:r>
      <w:r>
        <w:rPr>
          <w:rFonts w:ascii="仿宋" w:eastAsia="仿宋" w:hint="eastAsia"/>
          <w:color w:val="auto"/>
          <w:sz w:val="32"/>
          <w:szCs w:val="32"/>
        </w:rPr>
        <w:t>、取暖费</w:t>
      </w:r>
      <w:r>
        <w:rPr>
          <w:rFonts w:ascii="仿宋" w:eastAsia="仿宋" w:hint="eastAsia"/>
          <w:color w:val="auto"/>
          <w:sz w:val="32"/>
          <w:szCs w:val="32"/>
          <w:lang w:val="en-US" w:eastAsia="zh-CN"/>
        </w:rPr>
        <w:t>0万元</w:t>
      </w:r>
      <w:r>
        <w:rPr>
          <w:rFonts w:ascii="仿宋" w:eastAsia="仿宋" w:hint="eastAsia"/>
          <w:color w:val="auto"/>
          <w:sz w:val="32"/>
          <w:szCs w:val="32"/>
        </w:rPr>
        <w:t>、物业管理费</w:t>
      </w:r>
      <w:r>
        <w:rPr>
          <w:rFonts w:ascii="仿宋" w:eastAsia="仿宋" w:hint="eastAsia"/>
          <w:color w:val="auto"/>
          <w:sz w:val="32"/>
          <w:szCs w:val="32"/>
          <w:lang w:val="en-US" w:eastAsia="zh-CN"/>
        </w:rPr>
        <w:t>0.61万元</w:t>
      </w:r>
      <w:r>
        <w:rPr>
          <w:rFonts w:ascii="仿宋" w:eastAsia="仿宋" w:hint="eastAsia"/>
          <w:color w:val="auto"/>
          <w:sz w:val="32"/>
          <w:szCs w:val="32"/>
        </w:rPr>
        <w:t>、差旅费</w:t>
      </w:r>
      <w:r>
        <w:rPr>
          <w:rFonts w:ascii="仿宋" w:eastAsia="仿宋" w:hint="eastAsia"/>
          <w:color w:val="auto"/>
          <w:sz w:val="32"/>
          <w:szCs w:val="32"/>
          <w:lang w:val="en-US" w:eastAsia="zh-CN"/>
        </w:rPr>
        <w:t>0万元</w:t>
      </w:r>
      <w:r>
        <w:rPr>
          <w:rFonts w:ascii="仿宋" w:eastAsia="仿宋" w:hint="eastAsia"/>
          <w:color w:val="auto"/>
          <w:sz w:val="32"/>
          <w:szCs w:val="32"/>
        </w:rPr>
        <w:t>、因公出国（境）费用</w:t>
      </w:r>
      <w:r>
        <w:rPr>
          <w:rFonts w:ascii="仿宋" w:eastAsia="仿宋" w:hint="eastAsia"/>
          <w:color w:val="auto"/>
          <w:sz w:val="32"/>
          <w:szCs w:val="32"/>
          <w:lang w:val="en-US" w:eastAsia="zh-CN"/>
        </w:rPr>
        <w:t>0万元</w:t>
      </w:r>
      <w:r>
        <w:rPr>
          <w:rFonts w:ascii="仿宋" w:eastAsia="仿宋" w:hint="eastAsia"/>
          <w:color w:val="auto"/>
          <w:sz w:val="32"/>
          <w:szCs w:val="32"/>
        </w:rPr>
        <w:t>、维修（护）费</w:t>
      </w:r>
      <w:r>
        <w:rPr>
          <w:rFonts w:ascii="仿宋" w:eastAsia="仿宋" w:hint="eastAsia"/>
          <w:color w:val="auto"/>
          <w:sz w:val="32"/>
          <w:szCs w:val="32"/>
          <w:lang w:val="en-US" w:eastAsia="zh-CN"/>
        </w:rPr>
        <w:t>0万元</w:t>
      </w:r>
      <w:r>
        <w:rPr>
          <w:rFonts w:ascii="仿宋" w:eastAsia="仿宋" w:hint="eastAsia"/>
          <w:color w:val="auto"/>
          <w:sz w:val="32"/>
          <w:szCs w:val="32"/>
        </w:rPr>
        <w:t>、租赁费</w:t>
      </w:r>
      <w:r>
        <w:rPr>
          <w:rFonts w:ascii="仿宋" w:eastAsia="仿宋" w:hint="eastAsia"/>
          <w:color w:val="auto"/>
          <w:sz w:val="32"/>
          <w:szCs w:val="32"/>
          <w:lang w:val="en-US" w:eastAsia="zh-CN"/>
        </w:rPr>
        <w:t>0万元</w:t>
      </w:r>
      <w:r>
        <w:rPr>
          <w:rFonts w:ascii="仿宋" w:eastAsia="仿宋" w:hint="eastAsia"/>
          <w:color w:val="auto"/>
          <w:sz w:val="32"/>
          <w:szCs w:val="32"/>
        </w:rPr>
        <w:t>、会议费</w:t>
      </w:r>
      <w:r>
        <w:rPr>
          <w:rFonts w:ascii="仿宋" w:eastAsia="仿宋" w:hint="eastAsia"/>
          <w:color w:val="auto"/>
          <w:sz w:val="32"/>
          <w:szCs w:val="32"/>
          <w:lang w:val="en-US" w:eastAsia="zh-CN"/>
        </w:rPr>
        <w:t>0万元</w:t>
      </w:r>
      <w:r>
        <w:rPr>
          <w:rFonts w:ascii="仿宋" w:eastAsia="仿宋" w:hint="eastAsia"/>
          <w:color w:val="auto"/>
          <w:sz w:val="32"/>
          <w:szCs w:val="32"/>
        </w:rPr>
        <w:t>、培训费</w:t>
      </w:r>
      <w:r>
        <w:rPr>
          <w:rFonts w:ascii="仿宋" w:eastAsia="仿宋" w:hint="eastAsia"/>
          <w:color w:val="auto"/>
          <w:sz w:val="32"/>
          <w:szCs w:val="32"/>
          <w:lang w:val="en-US" w:eastAsia="zh-CN"/>
        </w:rPr>
        <w:t>0万元</w:t>
      </w:r>
      <w:r>
        <w:rPr>
          <w:rFonts w:ascii="仿宋" w:eastAsia="仿宋" w:hint="eastAsia"/>
          <w:color w:val="auto"/>
          <w:sz w:val="32"/>
          <w:szCs w:val="32"/>
        </w:rPr>
        <w:t>、公务接待费</w:t>
      </w:r>
      <w:r>
        <w:rPr>
          <w:rFonts w:ascii="仿宋" w:eastAsia="仿宋" w:hint="eastAsia"/>
          <w:color w:val="auto"/>
          <w:sz w:val="32"/>
          <w:szCs w:val="32"/>
          <w:lang w:val="en-US" w:eastAsia="zh-CN"/>
        </w:rPr>
        <w:t>0万元</w:t>
      </w:r>
      <w:r>
        <w:rPr>
          <w:rFonts w:ascii="仿宋" w:eastAsia="仿宋" w:hint="eastAsia"/>
          <w:color w:val="auto"/>
          <w:sz w:val="32"/>
          <w:szCs w:val="32"/>
        </w:rPr>
        <w:t>、劳务费</w:t>
      </w:r>
      <w:r>
        <w:rPr>
          <w:rFonts w:ascii="仿宋" w:eastAsia="仿宋" w:hint="eastAsia"/>
          <w:color w:val="auto"/>
          <w:sz w:val="32"/>
          <w:szCs w:val="32"/>
          <w:lang w:val="en-US" w:eastAsia="zh-CN"/>
        </w:rPr>
        <w:t>0万元</w:t>
      </w:r>
      <w:r>
        <w:rPr>
          <w:rFonts w:ascii="仿宋" w:eastAsia="仿宋" w:hint="eastAsia"/>
          <w:color w:val="auto"/>
          <w:sz w:val="32"/>
          <w:szCs w:val="32"/>
        </w:rPr>
        <w:t>、委托业务费</w:t>
      </w:r>
      <w:r>
        <w:rPr>
          <w:rFonts w:ascii="仿宋" w:eastAsia="仿宋" w:hint="eastAsia"/>
          <w:color w:val="auto"/>
          <w:sz w:val="32"/>
          <w:szCs w:val="32"/>
          <w:lang w:val="en-US" w:eastAsia="zh-CN"/>
        </w:rPr>
        <w:t>0万元</w:t>
      </w:r>
      <w:r>
        <w:rPr>
          <w:rFonts w:ascii="仿宋" w:eastAsia="仿宋" w:hint="eastAsia"/>
          <w:color w:val="auto"/>
          <w:sz w:val="32"/>
          <w:szCs w:val="32"/>
        </w:rPr>
        <w:t>、工会经费</w:t>
      </w:r>
      <w:r>
        <w:rPr>
          <w:rFonts w:ascii="仿宋" w:eastAsia="仿宋" w:hint="eastAsia"/>
          <w:color w:val="auto"/>
          <w:sz w:val="32"/>
          <w:szCs w:val="32"/>
          <w:lang w:val="en-US" w:eastAsia="zh-CN"/>
        </w:rPr>
        <w:t>0万元</w:t>
      </w:r>
      <w:r>
        <w:rPr>
          <w:rFonts w:ascii="仿宋" w:eastAsia="仿宋" w:hint="eastAsia"/>
          <w:color w:val="auto"/>
          <w:sz w:val="32"/>
          <w:szCs w:val="32"/>
        </w:rPr>
        <w:t>、福利费</w:t>
      </w:r>
      <w:r>
        <w:rPr>
          <w:rFonts w:ascii="仿宋" w:eastAsia="仿宋" w:hint="eastAsia"/>
          <w:color w:val="auto"/>
          <w:sz w:val="32"/>
          <w:szCs w:val="32"/>
          <w:lang w:val="en-US" w:eastAsia="zh-CN"/>
        </w:rPr>
        <w:t>0.14万元</w:t>
      </w:r>
      <w:r>
        <w:rPr>
          <w:rFonts w:ascii="仿宋" w:eastAsia="仿宋" w:hint="eastAsia"/>
          <w:color w:val="auto"/>
          <w:sz w:val="32"/>
          <w:szCs w:val="32"/>
        </w:rPr>
        <w:t>、公务用车运行维护费</w:t>
      </w:r>
      <w:r>
        <w:rPr>
          <w:rFonts w:ascii="仿宋" w:eastAsia="仿宋" w:hint="eastAsia"/>
          <w:color w:val="auto"/>
          <w:sz w:val="32"/>
          <w:szCs w:val="32"/>
          <w:lang w:val="en-US" w:eastAsia="zh-CN"/>
        </w:rPr>
        <w:t>0万元</w:t>
      </w:r>
      <w:r>
        <w:rPr>
          <w:rFonts w:ascii="仿宋" w:eastAsia="仿宋" w:hint="eastAsia"/>
          <w:color w:val="auto"/>
          <w:sz w:val="32"/>
          <w:szCs w:val="32"/>
        </w:rPr>
        <w:t>、其他交通费</w:t>
      </w:r>
      <w:r>
        <w:rPr>
          <w:rFonts w:ascii="仿宋" w:eastAsia="仿宋" w:hint="eastAsia"/>
          <w:color w:val="auto"/>
          <w:sz w:val="32"/>
          <w:szCs w:val="32"/>
          <w:lang w:val="en-US" w:eastAsia="zh-CN"/>
        </w:rPr>
        <w:t>0万元</w:t>
      </w:r>
      <w:r>
        <w:rPr>
          <w:rFonts w:ascii="仿宋" w:eastAsia="仿宋" w:hint="eastAsia"/>
          <w:color w:val="auto"/>
          <w:sz w:val="32"/>
          <w:szCs w:val="32"/>
        </w:rPr>
        <w:t>、税金及附加费用</w:t>
      </w:r>
      <w:r>
        <w:rPr>
          <w:rFonts w:ascii="仿宋" w:eastAsia="仿宋" w:hint="eastAsia"/>
          <w:color w:val="auto"/>
          <w:sz w:val="32"/>
          <w:szCs w:val="32"/>
          <w:lang w:val="en-US" w:eastAsia="zh-CN"/>
        </w:rPr>
        <w:t>0万元</w:t>
      </w:r>
      <w:r>
        <w:rPr>
          <w:rFonts w:ascii="仿宋" w:eastAsia="仿宋" w:hint="eastAsia"/>
          <w:color w:val="auto"/>
          <w:sz w:val="32"/>
          <w:szCs w:val="32"/>
        </w:rPr>
        <w:t>、其他商品和服务支出</w:t>
      </w:r>
      <w:r>
        <w:rPr>
          <w:rFonts w:ascii="仿宋" w:eastAsia="仿宋" w:hint="eastAsia"/>
          <w:color w:val="auto"/>
          <w:sz w:val="32"/>
          <w:szCs w:val="32"/>
          <w:lang w:val="en-US" w:eastAsia="zh-CN"/>
        </w:rPr>
        <w:t>0万元</w:t>
      </w:r>
      <w:r>
        <w:rPr>
          <w:rFonts w:ascii="仿宋" w:eastAsia="仿宋" w:hint="eastAsia"/>
          <w:color w:val="auto"/>
          <w:sz w:val="32"/>
          <w:szCs w:val="32"/>
        </w:rPr>
        <w:t>、办公设备购置</w:t>
      </w:r>
      <w:r>
        <w:rPr>
          <w:rFonts w:ascii="仿宋" w:eastAsia="仿宋" w:hint="eastAsia"/>
          <w:color w:val="auto"/>
          <w:sz w:val="32"/>
          <w:szCs w:val="32"/>
          <w:lang w:val="en-US" w:eastAsia="zh-CN"/>
        </w:rPr>
        <w:t>0万元</w:t>
      </w:r>
      <w:r>
        <w:rPr>
          <w:rFonts w:ascii="仿宋" w:eastAsia="仿宋" w:hint="eastAsia"/>
          <w:color w:val="auto"/>
          <w:sz w:val="32"/>
          <w:szCs w:val="32"/>
        </w:rPr>
        <w:t>、专用设备购置</w:t>
      </w:r>
      <w:r>
        <w:rPr>
          <w:rFonts w:ascii="仿宋" w:eastAsia="仿宋" w:hint="eastAsia"/>
          <w:color w:val="auto"/>
          <w:sz w:val="32"/>
          <w:szCs w:val="32"/>
          <w:lang w:val="en-US" w:eastAsia="zh-CN"/>
        </w:rPr>
        <w:t>0万元</w:t>
      </w:r>
      <w:r>
        <w:rPr>
          <w:rFonts w:ascii="仿宋" w:eastAsia="仿宋" w:hint="eastAsia"/>
          <w:color w:val="auto"/>
          <w:sz w:val="32"/>
          <w:szCs w:val="32"/>
        </w:rPr>
        <w:t>、信息网络及软件购置更新</w:t>
      </w:r>
      <w:r>
        <w:rPr>
          <w:rFonts w:ascii="仿宋" w:eastAsia="仿宋" w:hint="eastAsia"/>
          <w:color w:val="auto"/>
          <w:sz w:val="32"/>
          <w:szCs w:val="32"/>
          <w:lang w:val="en-US" w:eastAsia="zh-CN"/>
        </w:rPr>
        <w:t>0万元</w:t>
      </w:r>
      <w:r>
        <w:rPr>
          <w:rFonts w:ascii="仿宋" w:eastAsia="仿宋" w:hint="eastAsia"/>
          <w:color w:val="auto"/>
          <w:sz w:val="32"/>
          <w:szCs w:val="32"/>
        </w:rPr>
        <w:t>、其他资本性支出</w:t>
      </w:r>
      <w:r>
        <w:rPr>
          <w:rFonts w:ascii="仿宋" w:eastAsia="仿宋" w:hint="eastAsia"/>
          <w:color w:val="auto"/>
          <w:sz w:val="32"/>
          <w:szCs w:val="32"/>
          <w:lang w:val="en-US" w:eastAsia="zh-CN"/>
        </w:rPr>
        <w:t>0万元</w:t>
      </w:r>
      <w:r>
        <w:rPr>
          <w:rFonts w:ascii="仿宋" w:eastAsia="仿宋" w:hint="eastAsia"/>
          <w:color w:val="auto"/>
          <w:sz w:val="32"/>
          <w:szCs w:val="32"/>
        </w:rPr>
        <w:t>等。</w:t>
      </w:r>
    </w:p>
    <w:p>
      <w:pPr>
        <w:spacing w:line="600" w:lineRule="exact"/>
        <w:ind w:firstLine="640"/>
        <w:outlineLvl w:val="1"/>
        <w:rPr>
          <w:rStyle w:val="2Char"/>
          <w:rFonts w:ascii="黑体" w:eastAsia="黑体"/>
          <w:b w:val="0"/>
          <w:color w:val="auto"/>
        </w:rPr>
      </w:pPr>
      <w:bookmarkStart w:id="47" w:name="_Toc15396609"/>
      <w:bookmarkStart w:id="48" w:name="_Toc8014"/>
      <w:bookmarkStart w:id="49" w:name="_Toc15377215"/>
      <w:r>
        <w:rPr>
          <w:rFonts w:ascii="黑体" w:eastAsia="黑体" w:hint="eastAsia"/>
          <w:color w:val="auto"/>
          <w:sz w:val="32"/>
          <w:szCs w:val="32"/>
        </w:rPr>
        <w:t>七、</w:t>
      </w:r>
      <w:r>
        <w:rPr>
          <w:rStyle w:val="2Char"/>
          <w:rFonts w:ascii="黑体" w:eastAsia="黑体" w:hint="eastAsia"/>
          <w:b w:val="0"/>
          <w:color w:val="auto"/>
        </w:rPr>
        <w:t>财政拨款</w:t>
      </w:r>
      <w:r>
        <w:rPr>
          <w:rStyle w:val="2Char"/>
          <w:rFonts w:ascii="黑体" w:eastAsia="黑体" w:hint="eastAsia"/>
          <w:color w:val="auto"/>
        </w:rPr>
        <w:t>“</w:t>
      </w:r>
      <w:r>
        <w:rPr>
          <w:rStyle w:val="2Char"/>
          <w:rFonts w:ascii="黑体" w:eastAsia="黑体" w:hint="eastAsia"/>
          <w:b w:val="0"/>
          <w:color w:val="auto"/>
        </w:rPr>
        <w:t>三公”经费支出决算情况说明</w:t>
      </w:r>
      <w:bookmarkEnd w:id="47"/>
      <w:bookmarkEnd w:id="48"/>
      <w:bookmarkEnd w:id="49"/>
    </w:p>
    <w:p>
      <w:pPr>
        <w:spacing w:line="600" w:lineRule="exact"/>
        <w:ind w:firstLine="640"/>
        <w:outlineLvl w:val="2"/>
        <w:rPr>
          <w:rFonts w:ascii="仿宋" w:eastAsia="仿宋"/>
          <w:b/>
          <w:color w:val="auto"/>
          <w:sz w:val="32"/>
          <w:szCs w:val="32"/>
        </w:rPr>
      </w:pPr>
      <w:bookmarkStart w:id="50" w:name="_Toc15377216"/>
      <w:r>
        <w:rPr>
          <w:rFonts w:ascii="仿宋" w:eastAsia="仿宋" w:hint="eastAsia"/>
          <w:b/>
          <w:color w:val="auto"/>
          <w:sz w:val="32"/>
          <w:szCs w:val="32"/>
        </w:rPr>
        <w:t>（一）“三公”经费财政拨款支出决算总体情况说明</w:t>
      </w:r>
      <w:bookmarkEnd w:id="50"/>
    </w:p>
    <w:p>
      <w:pPr>
        <w:spacing w:line="600" w:lineRule="exact"/>
        <w:ind w:firstLine="640"/>
        <w:rPr>
          <w:rFonts w:ascii="仿宋" w:eastAsia="仿宋"/>
          <w:b/>
          <w:color w:val="auto"/>
          <w:sz w:val="32"/>
          <w:szCs w:val="32"/>
        </w:rPr>
      </w:pPr>
      <w:r>
        <w:rPr>
          <w:rFonts w:ascii="仿宋" w:eastAsia="仿宋" w:hint="eastAsia"/>
          <w:color w:val="auto"/>
          <w:sz w:val="32"/>
          <w:szCs w:val="32"/>
        </w:rPr>
        <w:t>2025年度财政拨款“三公”经费支出决算为</w:t>
      </w:r>
      <w:r>
        <w:rPr>
          <w:rFonts w:ascii="仿宋" w:eastAsia="仿宋" w:hint="eastAsia"/>
          <w:color w:val="auto"/>
          <w:sz w:val="32"/>
          <w:szCs w:val="32"/>
          <w:lang w:val="en-US" w:eastAsia="zh-CN"/>
        </w:rPr>
        <w:t>0</w:t>
      </w:r>
      <w:r>
        <w:rPr>
          <w:rFonts w:ascii="仿宋" w:eastAsia="仿宋" w:hint="eastAsia"/>
          <w:color w:val="auto"/>
          <w:sz w:val="32"/>
          <w:szCs w:val="32"/>
        </w:rPr>
        <w:t>万元，完成预算</w:t>
      </w:r>
      <w:r>
        <w:rPr>
          <w:rFonts w:ascii="仿宋" w:eastAsia="仿宋" w:hint="eastAsia"/>
          <w:color w:val="auto"/>
          <w:sz w:val="32"/>
          <w:szCs w:val="32"/>
          <w:lang w:val="en-US" w:eastAsia="zh-CN"/>
        </w:rPr>
        <w:t>0</w:t>
      </w:r>
      <w:r>
        <w:rPr>
          <w:rFonts w:ascii="仿宋" w:eastAsia="仿宋" w:hint="eastAsia"/>
          <w:color w:val="auto"/>
          <w:sz w:val="32"/>
          <w:szCs w:val="32"/>
        </w:rPr>
        <w:t>%，</w:t>
      </w:r>
      <w:r>
        <w:rPr>
          <w:rFonts w:ascii="仿宋" w:eastAsia="仿宋" w:hint="eastAsia"/>
          <w:color w:val="auto"/>
          <w:sz w:val="32"/>
          <w:szCs w:val="32"/>
          <w:lang w:val="en-US" w:eastAsia="zh-CN"/>
        </w:rPr>
        <w:t>较上年减少0.33万元，下降100%</w:t>
      </w:r>
      <w:r>
        <w:rPr>
          <w:rFonts w:ascii="仿宋" w:eastAsia="仿宋" w:hint="eastAsia"/>
          <w:color w:val="auto"/>
          <w:sz w:val="32"/>
          <w:szCs w:val="32"/>
        </w:rPr>
        <w:t>。</w:t>
      </w:r>
      <w:r>
        <w:rPr>
          <w:rFonts w:ascii="仿宋" w:eastAsia="仿宋" w:hint="eastAsia"/>
          <w:color w:val="auto"/>
          <w:sz w:val="32"/>
          <w:szCs w:val="32"/>
          <w:lang w:val="en-US" w:eastAsia="zh-CN"/>
        </w:rPr>
        <w:t>下降的</w:t>
      </w:r>
      <w:r>
        <w:rPr>
          <w:rFonts w:ascii="仿宋" w:eastAsia="仿宋" w:hint="eastAsia"/>
          <w:color w:val="auto"/>
          <w:sz w:val="32"/>
          <w:szCs w:val="32"/>
        </w:rPr>
        <w:t>主要原因是控制成本过紧日子，本年度本单位未发生“三公”经费</w:t>
      </w:r>
      <w:r>
        <w:rPr>
          <w:rFonts w:ascii="仿宋" w:eastAsia="仿宋" w:hint="eastAsia"/>
          <w:color w:val="auto"/>
          <w:sz w:val="32"/>
          <w:szCs w:val="32"/>
          <w:lang w:eastAsia="zh-CN"/>
        </w:rPr>
        <w:t>，</w:t>
      </w:r>
      <w:r>
        <w:rPr>
          <w:rFonts w:ascii="仿宋" w:eastAsia="仿宋" w:hint="eastAsia"/>
          <w:color w:val="auto"/>
          <w:sz w:val="32"/>
          <w:szCs w:val="32"/>
          <w:lang w:val="en-US" w:eastAsia="zh-CN"/>
        </w:rPr>
        <w:t>故“三公”经费减少</w:t>
      </w:r>
      <w:r>
        <w:rPr>
          <w:rFonts w:ascii="仿宋" w:eastAsia="仿宋" w:hint="eastAsia"/>
          <w:color w:val="auto"/>
          <w:sz w:val="32"/>
          <w:szCs w:val="32"/>
        </w:rPr>
        <w:t>。</w:t>
      </w:r>
    </w:p>
    <w:p>
      <w:pPr>
        <w:spacing w:line="600" w:lineRule="exact"/>
        <w:ind w:firstLine="640"/>
        <w:outlineLvl w:val="2"/>
        <w:rPr>
          <w:rFonts w:ascii="仿宋" w:eastAsia="仿宋"/>
          <w:b/>
          <w:color w:val="auto"/>
          <w:sz w:val="32"/>
          <w:szCs w:val="32"/>
        </w:rPr>
      </w:pPr>
      <w:bookmarkStart w:id="51" w:name="_Toc15377217"/>
      <w:r>
        <w:rPr>
          <w:rFonts w:ascii="仿宋" w:eastAsia="仿宋" w:hint="eastAsia"/>
          <w:b/>
          <w:color w:val="auto"/>
          <w:sz w:val="32"/>
          <w:szCs w:val="32"/>
        </w:rPr>
        <w:t>（二）“三公”经费财政拨款支出决算具体情况说明</w:t>
      </w:r>
      <w:bookmarkEnd w:id="51"/>
    </w:p>
    <w:p>
      <w:pPr>
        <w:spacing w:line="600" w:lineRule="exact"/>
        <w:ind w:firstLine="640"/>
        <w:rPr>
          <w:rFonts w:ascii="仿宋" w:eastAsia="仿宋" w:hint="eastAsia"/>
          <w:color w:val="auto"/>
          <w:sz w:val="32"/>
          <w:szCs w:val="32"/>
        </w:rPr>
      </w:pPr>
      <w:r>
        <w:rPr>
          <w:rFonts w:ascii="仿宋" w:eastAsia="仿宋" w:hint="eastAsia"/>
          <w:color w:val="auto"/>
          <w:sz w:val="32"/>
          <w:szCs w:val="32"/>
        </w:rPr>
        <w:t>2025年度财政拨款“三公”经费支出决算中，因公出国（境）费支出决算</w:t>
      </w:r>
      <w:r>
        <w:rPr>
          <w:rFonts w:ascii="仿宋" w:eastAsia="仿宋" w:hint="eastAsia"/>
          <w:color w:val="auto"/>
          <w:sz w:val="32"/>
          <w:szCs w:val="32"/>
          <w:lang w:val="en-US" w:eastAsia="zh-CN"/>
        </w:rPr>
        <w:t>0</w:t>
      </w:r>
      <w:r>
        <w:rPr>
          <w:rFonts w:ascii="仿宋" w:eastAsia="仿宋" w:hint="eastAsia"/>
          <w:color w:val="auto"/>
          <w:sz w:val="32"/>
          <w:szCs w:val="32"/>
        </w:rPr>
        <w:t>万元，占</w:t>
      </w:r>
      <w:r>
        <w:rPr>
          <w:rFonts w:ascii="仿宋" w:eastAsia="仿宋" w:hint="eastAsia"/>
          <w:color w:val="auto"/>
          <w:sz w:val="32"/>
          <w:szCs w:val="32"/>
          <w:lang w:val="en-US" w:eastAsia="zh-CN"/>
        </w:rPr>
        <w:t>0</w:t>
      </w:r>
      <w:r>
        <w:rPr>
          <w:rFonts w:ascii="仿宋" w:eastAsia="仿宋" w:hint="eastAsia"/>
          <w:color w:val="auto"/>
          <w:sz w:val="32"/>
          <w:szCs w:val="32"/>
        </w:rPr>
        <w:t>%；公务用车购置及运行维护费支出决算</w:t>
      </w:r>
      <w:r>
        <w:rPr>
          <w:rFonts w:ascii="仿宋" w:eastAsia="仿宋" w:hint="eastAsia"/>
          <w:color w:val="auto"/>
          <w:sz w:val="32"/>
          <w:szCs w:val="32"/>
          <w:lang w:val="en-US" w:eastAsia="zh-CN"/>
        </w:rPr>
        <w:t>0</w:t>
      </w:r>
      <w:r>
        <w:rPr>
          <w:rFonts w:ascii="仿宋" w:eastAsia="仿宋" w:hint="eastAsia"/>
          <w:color w:val="auto"/>
          <w:sz w:val="32"/>
          <w:szCs w:val="32"/>
        </w:rPr>
        <w:t>万元，占</w:t>
      </w:r>
      <w:r>
        <w:rPr>
          <w:rFonts w:ascii="仿宋" w:eastAsia="仿宋" w:hint="eastAsia"/>
          <w:color w:val="auto"/>
          <w:sz w:val="32"/>
          <w:szCs w:val="32"/>
          <w:lang w:val="en-US" w:eastAsia="zh-CN"/>
        </w:rPr>
        <w:t>0</w:t>
      </w:r>
      <w:r>
        <w:rPr>
          <w:rFonts w:ascii="仿宋" w:eastAsia="仿宋" w:hint="eastAsia"/>
          <w:color w:val="auto"/>
          <w:sz w:val="32"/>
          <w:szCs w:val="32"/>
        </w:rPr>
        <w:t>%；公务接待费支出决算</w:t>
      </w:r>
      <w:r>
        <w:rPr>
          <w:rFonts w:ascii="仿宋" w:eastAsia="仿宋" w:hint="eastAsia"/>
          <w:color w:val="auto"/>
          <w:sz w:val="32"/>
          <w:szCs w:val="32"/>
          <w:lang w:val="en-US" w:eastAsia="zh-CN"/>
        </w:rPr>
        <w:t>0</w:t>
      </w:r>
      <w:r>
        <w:rPr>
          <w:rFonts w:ascii="仿宋" w:eastAsia="仿宋" w:hint="eastAsia"/>
          <w:color w:val="auto"/>
          <w:sz w:val="32"/>
          <w:szCs w:val="32"/>
        </w:rPr>
        <w:t>万元，占</w:t>
      </w:r>
      <w:r>
        <w:rPr>
          <w:rFonts w:ascii="仿宋" w:eastAsia="仿宋" w:hint="eastAsia"/>
          <w:color w:val="auto"/>
          <w:sz w:val="32"/>
          <w:szCs w:val="32"/>
          <w:lang w:val="en-US" w:eastAsia="zh-CN"/>
        </w:rPr>
        <w:t>0</w:t>
      </w:r>
      <w:r>
        <w:rPr>
          <w:rFonts w:ascii="仿宋" w:eastAsia="仿宋" w:hint="eastAsia"/>
          <w:color w:val="auto"/>
          <w:sz w:val="32"/>
          <w:szCs w:val="32"/>
        </w:rPr>
        <w:t>%。具体情况如下：</w:t>
      </w:r>
    </w:p>
    <w:p>
      <w:pPr>
        <w:pStyle w:val="36"/>
        <w:rPr>
          <w:rFonts w:ascii="仿宋" w:eastAsia="仿宋" w:hint="eastAsia"/>
          <w:color w:val="auto"/>
          <w:sz w:val="32"/>
          <w:szCs w:val="32"/>
        </w:rPr>
      </w:pPr>
    </w:p>
    <w:p>
      <w:pPr>
        <w:rPr>
          <w:rFonts w:ascii="仿宋" w:eastAsia="仿宋" w:hint="eastAsia"/>
          <w:color w:val="auto"/>
          <w:sz w:val="32"/>
          <w:szCs w:val="32"/>
        </w:rPr>
      </w:pPr>
    </w:p>
    <w:p>
      <w:pPr>
        <w:pStyle w:val="36"/>
        <w:rPr>
          <w:rFonts w:ascii="仿宋" w:eastAsia="仿宋" w:hint="eastAsia"/>
          <w:color w:val="auto"/>
          <w:sz w:val="32"/>
          <w:szCs w:val="32"/>
        </w:rPr>
      </w:pPr>
    </w:p>
    <w:p>
      <w:pPr>
        <w:rPr>
          <w:rFonts w:ascii="仿宋" w:eastAsia="仿宋" w:hint="eastAsia"/>
          <w:color w:val="auto"/>
          <w:sz w:val="32"/>
          <w:szCs w:val="32"/>
        </w:rPr>
      </w:pPr>
    </w:p>
    <w:p>
      <w:pPr>
        <w:pStyle w:val="36"/>
        <w:rPr>
          <w:rFonts w:hint="eastAsia"/>
          <w:color w:val="auto"/>
        </w:rPr>
      </w:pPr>
      <w:r>
        <w:rPr>
          <w:color w:val="auto"/>
        </w:rPr>
        <w:drawing>
          <wp:anchor distT="0" distB="0" distL="114300" distR="114300" simplePos="0" relativeHeight="33" behindDoc="0" locked="0" layoutInCell="1" hidden="0" allowOverlap="1">
            <wp:simplePos x="0" y="0"/>
            <wp:positionH relativeFrom="column">
              <wp:posOffset>563245</wp:posOffset>
            </wp:positionH>
            <wp:positionV relativeFrom="paragraph">
              <wp:posOffset>-371475</wp:posOffset>
            </wp:positionV>
            <wp:extent cx="4173854" cy="1844675"/>
            <wp:effectExtent l="0" t="0" r="0" b="0"/>
            <wp:wrapTopAndBottom/>
            <wp:docPr id="7" name="图表 3"/>
            <wp:cNvGraphicFramePr>
              <a:graphicFrameLocks noChangeAspect="0"/>
            </wp:cNvGraphicFramePr>
            <a:graphic>
              <a:graphicData uri="http://schemas.openxmlformats.org/drawingml/2006/chart">
                <c:chart xmlns:c="http://schemas.openxmlformats.org/drawingml/2006/chart" r:id="rId10"/>
              </a:graphicData>
            </a:graphic>
          </wp:anchor>
        </w:drawing>
      </w:r>
    </w:p>
    <w:p>
      <w:pPr>
        <w:spacing w:line="600" w:lineRule="exact"/>
        <w:ind w:firstLineChars="300" w:firstLine="960"/>
        <w:rPr>
          <w:rFonts w:ascii="仿宋" w:eastAsia="仿宋"/>
          <w:color w:val="auto"/>
          <w:sz w:val="32"/>
          <w:szCs w:val="32"/>
        </w:rPr>
      </w:pPr>
      <w:r>
        <w:rPr>
          <w:rFonts w:ascii="仿宋" w:eastAsia="仿宋" w:hint="eastAsia"/>
          <w:color w:val="auto"/>
          <w:sz w:val="32"/>
          <w:szCs w:val="32"/>
        </w:rPr>
        <w:t>（图7：财政拨款“三公”经费支出结构）</w:t>
      </w:r>
    </w:p>
    <w:p>
      <w:pPr>
        <w:spacing w:line="600" w:lineRule="exact"/>
        <w:ind w:firstLine="640"/>
        <w:rPr>
          <w:rFonts w:ascii="仿宋" w:eastAsia="仿宋"/>
          <w:color w:val="auto"/>
          <w:sz w:val="32"/>
          <w:szCs w:val="32"/>
        </w:rPr>
      </w:pPr>
      <w:r>
        <w:rPr>
          <w:rFonts w:eastAsia="仿宋_GB2312" w:cs="仿宋_GB2312" w:hint="eastAsia"/>
          <w:b/>
          <w:bCs/>
          <w:color w:val="auto"/>
          <w:sz w:val="32"/>
          <w:szCs w:val="32"/>
        </w:rPr>
        <w:t>1.因公出国（境）经费支出</w:t>
      </w:r>
      <w:r>
        <w:rPr>
          <w:rFonts w:eastAsia="仿宋_GB2312" w:cs="仿宋_GB2312" w:hint="eastAsia"/>
          <w:b/>
          <w:bCs/>
          <w:color w:val="auto"/>
          <w:sz w:val="32"/>
          <w:szCs w:val="32"/>
          <w:lang w:val="en-US" w:eastAsia="zh-CN"/>
        </w:rPr>
        <w:t>0</w:t>
      </w:r>
      <w:r>
        <w:rPr>
          <w:rFonts w:eastAsia="仿宋_GB2312" w:cs="仿宋_GB2312" w:hint="eastAsia"/>
          <w:b/>
          <w:bCs/>
          <w:color w:val="auto"/>
          <w:sz w:val="32"/>
          <w:szCs w:val="32"/>
        </w:rPr>
        <w:t>万元，完成预算</w:t>
      </w:r>
      <w:r>
        <w:rPr>
          <w:rFonts w:eastAsia="仿宋_GB2312" w:cs="仿宋_GB2312" w:hint="eastAsia"/>
          <w:b/>
          <w:bCs/>
          <w:color w:val="auto"/>
          <w:sz w:val="32"/>
          <w:szCs w:val="32"/>
          <w:lang w:val="en-US" w:eastAsia="zh-CN"/>
        </w:rPr>
        <w:t>0</w:t>
      </w:r>
      <w:r>
        <w:rPr>
          <w:rFonts w:eastAsia="仿宋_GB2312" w:cs="仿宋_GB2312" w:hint="eastAsia"/>
          <w:b/>
          <w:bCs/>
          <w:color w:val="auto"/>
          <w:sz w:val="32"/>
          <w:szCs w:val="32"/>
        </w:rPr>
        <w:t>%。</w:t>
      </w:r>
      <w:r>
        <w:rPr>
          <w:rFonts w:ascii="仿宋" w:eastAsia="仿宋" w:hint="eastAsia"/>
          <w:color w:val="auto"/>
          <w:sz w:val="32"/>
          <w:szCs w:val="32"/>
        </w:rPr>
        <w:t>全年安排因公出国（境）团组</w:t>
      </w:r>
      <w:r>
        <w:rPr>
          <w:rFonts w:ascii="仿宋" w:eastAsia="仿宋" w:hint="eastAsia"/>
          <w:color w:val="auto"/>
          <w:sz w:val="32"/>
          <w:szCs w:val="32"/>
          <w:lang w:val="en-US" w:eastAsia="zh-CN"/>
        </w:rPr>
        <w:t>0</w:t>
      </w:r>
      <w:r>
        <w:rPr>
          <w:rFonts w:ascii="仿宋" w:eastAsia="仿宋" w:hint="eastAsia"/>
          <w:color w:val="auto"/>
          <w:sz w:val="32"/>
          <w:szCs w:val="32"/>
        </w:rPr>
        <w:t>次，出国（境）</w:t>
      </w:r>
      <w:r>
        <w:rPr>
          <w:rFonts w:ascii="仿宋" w:eastAsia="仿宋" w:hint="eastAsia"/>
          <w:color w:val="auto"/>
          <w:sz w:val="32"/>
          <w:szCs w:val="32"/>
          <w:lang w:val="en-US" w:eastAsia="zh-CN"/>
        </w:rPr>
        <w:t>0</w:t>
      </w:r>
      <w:r>
        <w:rPr>
          <w:rFonts w:ascii="仿宋" w:eastAsia="仿宋" w:hint="eastAsia"/>
          <w:color w:val="auto"/>
          <w:sz w:val="32"/>
          <w:szCs w:val="32"/>
        </w:rPr>
        <w:t>人。因公出国（境）支出决算与上年度相比不变。主要原因是本年度本单位未发生因公出国（境）经费支出。</w:t>
      </w:r>
    </w:p>
    <w:p>
      <w:pPr>
        <w:spacing w:line="600" w:lineRule="exact"/>
        <w:ind w:firstLine="640"/>
        <w:rPr>
          <w:rFonts w:ascii="仿宋" w:eastAsia="仿宋" w:cs="Times New Roman" w:hint="eastAsia"/>
          <w:color w:val="auto"/>
          <w:sz w:val="32"/>
          <w:szCs w:val="32"/>
        </w:rPr>
      </w:pPr>
      <w:bookmarkStart w:id="52" w:name="_Toc15377218"/>
      <w:bookmarkStart w:id="53" w:name="_Toc15396610"/>
      <w:r>
        <w:rPr>
          <w:rFonts w:eastAsia="仿宋_GB2312" w:cs="仿宋_GB2312" w:hint="eastAsia"/>
          <w:b/>
          <w:bCs/>
          <w:color w:val="auto"/>
          <w:sz w:val="32"/>
          <w:szCs w:val="32"/>
        </w:rPr>
        <w:t>2.公务用车购置及运行维护费支出</w:t>
      </w:r>
      <w:r>
        <w:rPr>
          <w:rFonts w:eastAsia="仿宋_GB2312" w:cs="仿宋_GB2312" w:hint="eastAsia"/>
          <w:b/>
          <w:bCs/>
          <w:color w:val="auto"/>
          <w:sz w:val="32"/>
          <w:szCs w:val="32"/>
          <w:lang w:val="en-US" w:eastAsia="zh-CN"/>
        </w:rPr>
        <w:t>0</w:t>
      </w:r>
      <w:r>
        <w:rPr>
          <w:rFonts w:eastAsia="仿宋_GB2312" w:cs="仿宋_GB2312" w:hint="eastAsia"/>
          <w:b/>
          <w:bCs/>
          <w:color w:val="auto"/>
          <w:sz w:val="32"/>
          <w:szCs w:val="32"/>
        </w:rPr>
        <w:t>万元，完成预算</w:t>
      </w:r>
      <w:r>
        <w:rPr>
          <w:rFonts w:eastAsia="仿宋_GB2312" w:cs="仿宋_GB2312" w:hint="eastAsia"/>
          <w:b/>
          <w:bCs/>
          <w:color w:val="auto"/>
          <w:sz w:val="32"/>
          <w:szCs w:val="32"/>
          <w:lang w:val="en-US" w:eastAsia="zh-CN"/>
        </w:rPr>
        <w:t>0</w:t>
      </w:r>
      <w:r>
        <w:rPr>
          <w:rFonts w:eastAsia="仿宋_GB2312" w:cs="仿宋_GB2312" w:hint="eastAsia"/>
          <w:b/>
          <w:bCs/>
          <w:color w:val="auto"/>
          <w:sz w:val="32"/>
          <w:szCs w:val="32"/>
        </w:rPr>
        <w:t>%。</w:t>
      </w:r>
      <w:r>
        <w:rPr>
          <w:rFonts w:ascii="仿宋" w:eastAsia="仿宋" w:cs="Times New Roman" w:hint="eastAsia"/>
          <w:color w:val="auto"/>
          <w:sz w:val="32"/>
          <w:szCs w:val="32"/>
        </w:rPr>
        <w:t>公务用车购置及运行维护费支出决算</w:t>
      </w:r>
      <w:r>
        <w:rPr>
          <w:rFonts w:ascii="仿宋" w:eastAsia="仿宋" w:cs="Times New Roman" w:hint="eastAsia"/>
          <w:color w:val="auto"/>
          <w:sz w:val="32"/>
          <w:szCs w:val="32"/>
          <w:lang w:val="en-US" w:eastAsia="zh-CN"/>
        </w:rPr>
        <w:t>数比上年减少了0.33万元，下降100%</w:t>
      </w:r>
      <w:r>
        <w:rPr>
          <w:rFonts w:ascii="仿宋" w:eastAsia="仿宋" w:cs="Times New Roman" w:hint="eastAsia"/>
          <w:color w:val="auto"/>
          <w:sz w:val="32"/>
          <w:szCs w:val="32"/>
        </w:rPr>
        <w:t>。主要原因是控制成本过紧日子，本年度本单位未发生公务用车购置及运行维护费支出。</w:t>
      </w:r>
    </w:p>
    <w:p>
      <w:pPr>
        <w:keepNext w:val="0"/>
        <w:keepLines w:val="0"/>
        <w:pageBreakBefore w:val="0"/>
        <w:widowControl w:val="0"/>
        <w:kinsoku/>
        <w:wordWrap/>
        <w:overflowPunct/>
        <w:topLinePunct w:val="0"/>
        <w:bidi w:val="0"/>
        <w:snapToGrid/>
        <w:spacing w:beforeAutospacing="0" w:afterAutospacing="0" w:line="576" w:lineRule="exact"/>
        <w:ind w:firstLineChars="200" w:firstLine="640"/>
        <w:jc w:val="both"/>
        <w:textAlignment w:val="auto"/>
        <w:rPr>
          <w:rFonts w:ascii="仿宋" w:eastAsia="仿宋"/>
          <w:color w:val="auto"/>
          <w:sz w:val="32"/>
          <w:szCs w:val="32"/>
          <w:lang w:val="en-US"/>
        </w:rPr>
      </w:pPr>
      <w:r>
        <w:rPr>
          <w:rFonts w:ascii="仿宋" w:eastAsia="仿宋" w:hint="eastAsia"/>
          <w:color w:val="auto"/>
          <w:sz w:val="32"/>
          <w:szCs w:val="32"/>
        </w:rPr>
        <w:t>其中：公务用车购置支出</w:t>
      </w:r>
      <w:r>
        <w:rPr>
          <w:rFonts w:ascii="仿宋" w:eastAsia="仿宋" w:hint="eastAsia"/>
          <w:color w:val="auto"/>
          <w:sz w:val="32"/>
          <w:szCs w:val="32"/>
          <w:lang w:val="en-US" w:eastAsia="zh-CN"/>
        </w:rPr>
        <w:t>0</w:t>
      </w:r>
      <w:r>
        <w:rPr>
          <w:rFonts w:ascii="仿宋" w:eastAsia="仿宋" w:hint="eastAsia"/>
          <w:color w:val="auto"/>
          <w:sz w:val="32"/>
          <w:szCs w:val="32"/>
        </w:rPr>
        <w:t>万元。全年按规定更新购置公务用车</w:t>
      </w:r>
      <w:r>
        <w:rPr>
          <w:rFonts w:ascii="仿宋" w:eastAsia="仿宋" w:hint="eastAsia"/>
          <w:color w:val="auto"/>
          <w:sz w:val="32"/>
          <w:szCs w:val="32"/>
          <w:lang w:val="en-US" w:eastAsia="zh-CN"/>
        </w:rPr>
        <w:t>0</w:t>
      </w:r>
      <w:r>
        <w:rPr>
          <w:rFonts w:ascii="仿宋" w:eastAsia="仿宋" w:hint="eastAsia"/>
          <w:color w:val="auto"/>
          <w:sz w:val="32"/>
          <w:szCs w:val="32"/>
        </w:rPr>
        <w:t>辆，其中：轿车</w:t>
      </w:r>
      <w:r>
        <w:rPr>
          <w:rFonts w:ascii="仿宋" w:eastAsia="仿宋" w:hint="eastAsia"/>
          <w:color w:val="auto"/>
          <w:sz w:val="32"/>
          <w:szCs w:val="32"/>
          <w:lang w:val="en-US" w:eastAsia="zh-CN"/>
        </w:rPr>
        <w:t>0</w:t>
      </w:r>
      <w:r>
        <w:rPr>
          <w:rFonts w:ascii="仿宋" w:eastAsia="仿宋" w:hint="eastAsia"/>
          <w:color w:val="auto"/>
          <w:sz w:val="32"/>
          <w:szCs w:val="32"/>
        </w:rPr>
        <w:t>辆、金额</w:t>
      </w:r>
      <w:r>
        <w:rPr>
          <w:rFonts w:ascii="仿宋" w:eastAsia="仿宋" w:hint="eastAsia"/>
          <w:color w:val="auto"/>
          <w:sz w:val="32"/>
          <w:szCs w:val="32"/>
          <w:lang w:val="en-US" w:eastAsia="zh-CN"/>
        </w:rPr>
        <w:t>0</w:t>
      </w:r>
      <w:r>
        <w:rPr>
          <w:rFonts w:ascii="仿宋" w:eastAsia="仿宋" w:hint="eastAsia"/>
          <w:color w:val="auto"/>
          <w:sz w:val="32"/>
          <w:szCs w:val="32"/>
        </w:rPr>
        <w:t>万元，越野车</w:t>
      </w:r>
      <w:r>
        <w:rPr>
          <w:rFonts w:ascii="仿宋" w:eastAsia="仿宋" w:hint="eastAsia"/>
          <w:color w:val="auto"/>
          <w:sz w:val="32"/>
          <w:szCs w:val="32"/>
          <w:lang w:val="en-US" w:eastAsia="zh-CN"/>
        </w:rPr>
        <w:t>0</w:t>
      </w:r>
      <w:r>
        <w:rPr>
          <w:rFonts w:ascii="仿宋" w:eastAsia="仿宋" w:hint="eastAsia"/>
          <w:color w:val="auto"/>
          <w:sz w:val="32"/>
          <w:szCs w:val="32"/>
        </w:rPr>
        <w:t>辆、金额</w:t>
      </w:r>
      <w:r>
        <w:rPr>
          <w:rFonts w:ascii="仿宋" w:eastAsia="仿宋" w:hint="eastAsia"/>
          <w:color w:val="auto"/>
          <w:sz w:val="32"/>
          <w:szCs w:val="32"/>
          <w:lang w:val="en-US" w:eastAsia="zh-CN"/>
        </w:rPr>
        <w:t>0</w:t>
      </w:r>
      <w:r>
        <w:rPr>
          <w:rFonts w:ascii="仿宋" w:eastAsia="仿宋" w:hint="eastAsia"/>
          <w:color w:val="auto"/>
          <w:sz w:val="32"/>
          <w:szCs w:val="32"/>
        </w:rPr>
        <w:t>万元，载客汽车</w:t>
      </w:r>
      <w:r>
        <w:rPr>
          <w:rFonts w:ascii="仿宋" w:eastAsia="仿宋" w:hint="eastAsia"/>
          <w:color w:val="auto"/>
          <w:sz w:val="32"/>
          <w:szCs w:val="32"/>
          <w:lang w:val="en-US" w:eastAsia="zh-CN"/>
        </w:rPr>
        <w:t>0</w:t>
      </w:r>
      <w:r>
        <w:rPr>
          <w:rFonts w:ascii="仿宋" w:eastAsia="仿宋" w:hint="eastAsia"/>
          <w:color w:val="auto"/>
          <w:sz w:val="32"/>
          <w:szCs w:val="32"/>
        </w:rPr>
        <w:t>辆、金额</w:t>
      </w:r>
      <w:r>
        <w:rPr>
          <w:rFonts w:ascii="仿宋" w:eastAsia="仿宋" w:hint="eastAsia"/>
          <w:color w:val="auto"/>
          <w:sz w:val="32"/>
          <w:szCs w:val="32"/>
          <w:lang w:val="en-US" w:eastAsia="zh-CN"/>
        </w:rPr>
        <w:t>0</w:t>
      </w:r>
      <w:r>
        <w:rPr>
          <w:rFonts w:ascii="仿宋" w:eastAsia="仿宋" w:hint="eastAsia"/>
          <w:color w:val="auto"/>
          <w:sz w:val="32"/>
          <w:szCs w:val="32"/>
        </w:rPr>
        <w:t>万元。截至2025年12月31日，单位共有公务用车</w:t>
      </w:r>
      <w:r>
        <w:rPr>
          <w:rFonts w:ascii="仿宋" w:eastAsia="仿宋" w:hint="eastAsia"/>
          <w:color w:val="auto"/>
          <w:sz w:val="32"/>
          <w:szCs w:val="32"/>
          <w:lang w:val="en-US" w:eastAsia="zh-CN"/>
        </w:rPr>
        <w:t>2</w:t>
      </w:r>
      <w:r>
        <w:rPr>
          <w:rFonts w:ascii="仿宋" w:eastAsia="仿宋" w:hint="eastAsia"/>
          <w:color w:val="auto"/>
          <w:sz w:val="32"/>
          <w:szCs w:val="32"/>
        </w:rPr>
        <w:t>辆，其中：轿车</w:t>
      </w:r>
      <w:r>
        <w:rPr>
          <w:rFonts w:ascii="仿宋" w:eastAsia="仿宋" w:hint="eastAsia"/>
          <w:color w:val="auto"/>
          <w:sz w:val="32"/>
          <w:szCs w:val="32"/>
          <w:lang w:val="en-US" w:eastAsia="zh-CN"/>
        </w:rPr>
        <w:t>0</w:t>
      </w:r>
      <w:r>
        <w:rPr>
          <w:rFonts w:ascii="仿宋" w:eastAsia="仿宋" w:hint="eastAsia"/>
          <w:color w:val="auto"/>
          <w:sz w:val="32"/>
          <w:szCs w:val="32"/>
        </w:rPr>
        <w:t>辆、越野车</w:t>
      </w:r>
      <w:r>
        <w:rPr>
          <w:rFonts w:ascii="仿宋" w:eastAsia="仿宋" w:hint="eastAsia"/>
          <w:color w:val="auto"/>
          <w:sz w:val="32"/>
          <w:szCs w:val="32"/>
          <w:lang w:val="en-US" w:eastAsia="zh-CN"/>
        </w:rPr>
        <w:t>0</w:t>
      </w:r>
      <w:r>
        <w:rPr>
          <w:rFonts w:ascii="仿宋" w:eastAsia="仿宋" w:hint="eastAsia"/>
          <w:color w:val="auto"/>
          <w:sz w:val="32"/>
          <w:szCs w:val="32"/>
        </w:rPr>
        <w:t>辆、载客汽车</w:t>
      </w:r>
      <w:r>
        <w:rPr>
          <w:rFonts w:ascii="仿宋" w:eastAsia="仿宋" w:hint="eastAsia"/>
          <w:color w:val="auto"/>
          <w:sz w:val="32"/>
          <w:szCs w:val="32"/>
          <w:lang w:val="en-US" w:eastAsia="zh-CN"/>
        </w:rPr>
        <w:t>0</w:t>
      </w:r>
      <w:r>
        <w:rPr>
          <w:rFonts w:ascii="仿宋" w:eastAsia="仿宋" w:hint="eastAsia"/>
          <w:color w:val="auto"/>
          <w:sz w:val="32"/>
          <w:szCs w:val="32"/>
        </w:rPr>
        <w:t>辆</w:t>
      </w:r>
      <w:r>
        <w:rPr>
          <w:rFonts w:ascii="仿宋" w:eastAsia="仿宋" w:hint="eastAsia"/>
          <w:color w:val="auto"/>
          <w:sz w:val="32"/>
          <w:szCs w:val="32"/>
          <w:lang w:eastAsia="zh-CN"/>
        </w:rPr>
        <w:t>、</w:t>
      </w:r>
      <w:r>
        <w:rPr>
          <w:rFonts w:ascii="仿宋_GB2312" w:eastAsia="仿宋_GB2312" w:cs="Times New Roman" w:hint="eastAsia"/>
          <w:color w:val="auto"/>
          <w:sz w:val="32"/>
          <w:szCs w:val="32"/>
          <w:lang w:val="en-US" w:eastAsia="zh-CN"/>
        </w:rPr>
        <w:t>救护车2辆。主要用于医疗救助服务及家庭医生签约服务。</w:t>
      </w:r>
    </w:p>
    <w:p>
      <w:pPr>
        <w:spacing w:line="600" w:lineRule="exact"/>
        <w:ind w:firstLine="640"/>
        <w:rPr>
          <w:rFonts w:ascii="仿宋" w:eastAsia="仿宋" w:hint="eastAsia"/>
          <w:color w:val="auto"/>
          <w:sz w:val="32"/>
          <w:szCs w:val="32"/>
        </w:rPr>
      </w:pPr>
      <w:r>
        <w:rPr>
          <w:rFonts w:ascii="仿宋" w:eastAsia="仿宋" w:hint="eastAsia"/>
          <w:color w:val="auto"/>
          <w:sz w:val="32"/>
          <w:szCs w:val="32"/>
        </w:rPr>
        <w:t>公务用车运行维护费支出</w:t>
      </w:r>
      <w:r>
        <w:rPr>
          <w:rFonts w:ascii="仿宋" w:eastAsia="仿宋" w:hint="eastAsia"/>
          <w:color w:val="auto"/>
          <w:sz w:val="32"/>
          <w:szCs w:val="32"/>
          <w:lang w:val="en-US" w:eastAsia="zh-CN"/>
        </w:rPr>
        <w:t>0</w:t>
      </w:r>
      <w:r>
        <w:rPr>
          <w:rFonts w:ascii="仿宋" w:eastAsia="仿宋" w:hint="eastAsia"/>
          <w:color w:val="auto"/>
          <w:sz w:val="32"/>
          <w:szCs w:val="32"/>
        </w:rPr>
        <w:t>万元。</w:t>
      </w:r>
    </w:p>
    <w:p>
      <w:pPr>
        <w:spacing w:line="600" w:lineRule="exact"/>
        <w:ind w:firstLine="640"/>
        <w:rPr>
          <w:rFonts w:ascii="仿宋" w:eastAsia="仿宋"/>
          <w:color w:val="auto"/>
          <w:sz w:val="32"/>
          <w:szCs w:val="32"/>
        </w:rPr>
      </w:pPr>
      <w:r>
        <w:rPr>
          <w:rFonts w:eastAsia="仿宋_GB2312" w:cs="仿宋_GB2312" w:hint="eastAsia"/>
          <w:b/>
          <w:bCs/>
          <w:color w:val="auto"/>
          <w:sz w:val="32"/>
          <w:szCs w:val="32"/>
        </w:rPr>
        <w:t>3.公务接待费支出</w:t>
      </w:r>
      <w:r>
        <w:rPr>
          <w:rFonts w:eastAsia="仿宋_GB2312" w:cs="仿宋_GB2312" w:hint="eastAsia"/>
          <w:b/>
          <w:bCs/>
          <w:color w:val="auto"/>
          <w:sz w:val="32"/>
          <w:szCs w:val="32"/>
          <w:lang w:val="en-US" w:eastAsia="zh-CN"/>
        </w:rPr>
        <w:t>0</w:t>
      </w:r>
      <w:r>
        <w:rPr>
          <w:rFonts w:eastAsia="仿宋_GB2312" w:cs="仿宋_GB2312" w:hint="eastAsia"/>
          <w:b/>
          <w:bCs/>
          <w:color w:val="auto"/>
          <w:sz w:val="32"/>
          <w:szCs w:val="32"/>
        </w:rPr>
        <w:t>万元，完成预算</w:t>
      </w:r>
      <w:r>
        <w:rPr>
          <w:rFonts w:eastAsia="仿宋_GB2312" w:cs="仿宋_GB2312" w:hint="eastAsia"/>
          <w:b/>
          <w:bCs/>
          <w:color w:val="auto"/>
          <w:sz w:val="32"/>
          <w:szCs w:val="32"/>
          <w:lang w:val="en-US" w:eastAsia="zh-CN"/>
        </w:rPr>
        <w:t>0</w:t>
      </w:r>
      <w:r>
        <w:rPr>
          <w:rFonts w:eastAsia="仿宋_GB2312" w:cs="仿宋_GB2312" w:hint="eastAsia"/>
          <w:b/>
          <w:bCs/>
          <w:color w:val="auto"/>
          <w:sz w:val="32"/>
          <w:szCs w:val="32"/>
        </w:rPr>
        <w:t>%。</w:t>
      </w:r>
      <w:r>
        <w:rPr>
          <w:rFonts w:ascii="仿宋" w:eastAsia="仿宋" w:hint="eastAsia"/>
          <w:color w:val="auto"/>
          <w:sz w:val="32"/>
          <w:szCs w:val="32"/>
        </w:rPr>
        <w:t>公务接待费支出决算与上年相比无变化主要原因是本年度未发生公务接待费支出。其中：</w:t>
      </w:r>
    </w:p>
    <w:p>
      <w:pPr>
        <w:spacing w:line="600" w:lineRule="exact"/>
        <w:ind w:firstLine="640"/>
        <w:rPr>
          <w:rFonts w:ascii="仿宋" w:eastAsia="仿宋" w:hint="eastAsia"/>
          <w:color w:val="auto"/>
          <w:sz w:val="32"/>
          <w:szCs w:val="32"/>
        </w:rPr>
      </w:pPr>
      <w:r>
        <w:rPr>
          <w:rFonts w:ascii="仿宋" w:eastAsia="仿宋" w:hint="eastAsia"/>
          <w:color w:val="auto"/>
          <w:sz w:val="32"/>
          <w:szCs w:val="32"/>
        </w:rPr>
        <w:t>国内公务接待支出</w:t>
      </w:r>
      <w:r>
        <w:rPr>
          <w:rFonts w:ascii="仿宋" w:eastAsia="仿宋" w:hint="eastAsia"/>
          <w:color w:val="auto"/>
          <w:sz w:val="32"/>
          <w:szCs w:val="32"/>
          <w:lang w:val="en-US" w:eastAsia="zh-CN"/>
        </w:rPr>
        <w:t>0</w:t>
      </w:r>
      <w:r>
        <w:rPr>
          <w:rFonts w:ascii="仿宋" w:eastAsia="仿宋" w:hint="eastAsia"/>
          <w:color w:val="auto"/>
          <w:sz w:val="32"/>
          <w:szCs w:val="32"/>
        </w:rPr>
        <w:t>万元，国内公务接待</w:t>
      </w:r>
      <w:r>
        <w:rPr>
          <w:rFonts w:ascii="仿宋" w:eastAsia="仿宋" w:hint="eastAsia"/>
          <w:color w:val="auto"/>
          <w:sz w:val="32"/>
          <w:szCs w:val="32"/>
          <w:lang w:val="en-US" w:eastAsia="zh-CN"/>
        </w:rPr>
        <w:t>0</w:t>
      </w:r>
      <w:r>
        <w:rPr>
          <w:rFonts w:ascii="仿宋" w:eastAsia="仿宋" w:hint="eastAsia"/>
          <w:color w:val="auto"/>
          <w:sz w:val="32"/>
          <w:szCs w:val="32"/>
        </w:rPr>
        <w:t>批次，</w:t>
      </w:r>
      <w:r>
        <w:rPr>
          <w:rFonts w:ascii="仿宋" w:eastAsia="仿宋" w:hint="eastAsia"/>
          <w:color w:val="auto"/>
          <w:sz w:val="32"/>
          <w:szCs w:val="32"/>
          <w:lang w:val="en-US" w:eastAsia="zh-CN"/>
        </w:rPr>
        <w:t>0</w:t>
      </w:r>
      <w:r>
        <w:rPr>
          <w:rFonts w:ascii="仿宋" w:eastAsia="仿宋" w:hint="eastAsia"/>
          <w:color w:val="auto"/>
          <w:sz w:val="32"/>
          <w:szCs w:val="32"/>
        </w:rPr>
        <w:t>人次（不包括陪同人员），共计支出</w:t>
      </w:r>
      <w:r>
        <w:rPr>
          <w:rFonts w:ascii="仿宋" w:eastAsia="仿宋" w:hint="eastAsia"/>
          <w:color w:val="auto"/>
          <w:sz w:val="32"/>
          <w:szCs w:val="32"/>
          <w:lang w:val="en-US" w:eastAsia="zh-CN"/>
        </w:rPr>
        <w:t>0</w:t>
      </w:r>
      <w:r>
        <w:rPr>
          <w:rFonts w:ascii="仿宋" w:eastAsia="仿宋" w:hint="eastAsia"/>
          <w:color w:val="auto"/>
          <w:sz w:val="32"/>
          <w:szCs w:val="32"/>
        </w:rPr>
        <w:t>万元，</w:t>
      </w:r>
    </w:p>
    <w:p>
      <w:pPr>
        <w:spacing w:line="600" w:lineRule="exact"/>
        <w:ind w:firstLine="640"/>
        <w:rPr>
          <w:rFonts w:eastAsia="仿宋_GB2312" w:cs="仿宋_GB2312"/>
          <w:color w:val="auto"/>
          <w:sz w:val="32"/>
          <w:szCs w:val="32"/>
        </w:rPr>
      </w:pPr>
      <w:r>
        <w:rPr>
          <w:rFonts w:ascii="仿宋" w:eastAsia="仿宋" w:hint="eastAsia"/>
          <w:color w:val="auto"/>
          <w:sz w:val="32"/>
          <w:szCs w:val="32"/>
        </w:rPr>
        <w:t>外事接待支出</w:t>
      </w:r>
      <w:r>
        <w:rPr>
          <w:rFonts w:ascii="仿宋" w:eastAsia="仿宋" w:hint="eastAsia"/>
          <w:color w:val="auto"/>
          <w:sz w:val="32"/>
          <w:szCs w:val="32"/>
          <w:lang w:val="en-US" w:eastAsia="zh-CN"/>
        </w:rPr>
        <w:t>0</w:t>
      </w:r>
      <w:r>
        <w:rPr>
          <w:rFonts w:ascii="仿宋" w:eastAsia="仿宋" w:hint="eastAsia"/>
          <w:color w:val="auto"/>
          <w:sz w:val="32"/>
          <w:szCs w:val="32"/>
        </w:rPr>
        <w:t>万元，外事接待</w:t>
      </w:r>
      <w:r>
        <w:rPr>
          <w:rFonts w:ascii="仿宋" w:eastAsia="仿宋" w:hint="eastAsia"/>
          <w:color w:val="auto"/>
          <w:sz w:val="32"/>
          <w:szCs w:val="32"/>
          <w:lang w:val="en-US" w:eastAsia="zh-CN"/>
        </w:rPr>
        <w:t>0</w:t>
      </w:r>
      <w:r>
        <w:rPr>
          <w:rFonts w:ascii="仿宋" w:eastAsia="仿宋" w:hint="eastAsia"/>
          <w:color w:val="auto"/>
          <w:sz w:val="32"/>
          <w:szCs w:val="32"/>
        </w:rPr>
        <w:t>批次，</w:t>
      </w:r>
      <w:r>
        <w:rPr>
          <w:rFonts w:ascii="仿宋" w:eastAsia="仿宋" w:hint="eastAsia"/>
          <w:color w:val="auto"/>
          <w:sz w:val="32"/>
          <w:szCs w:val="32"/>
          <w:lang w:val="en-US" w:eastAsia="zh-CN"/>
        </w:rPr>
        <w:t>0</w:t>
      </w:r>
      <w:r>
        <w:rPr>
          <w:rFonts w:ascii="仿宋" w:eastAsia="仿宋" w:hint="eastAsia"/>
          <w:color w:val="auto"/>
          <w:sz w:val="32"/>
          <w:szCs w:val="32"/>
        </w:rPr>
        <w:t>人次（不包括陪同人员），共计支出</w:t>
      </w:r>
      <w:r>
        <w:rPr>
          <w:rFonts w:ascii="仿宋" w:eastAsia="仿宋" w:hint="eastAsia"/>
          <w:color w:val="auto"/>
          <w:sz w:val="32"/>
          <w:szCs w:val="32"/>
          <w:lang w:val="en-US" w:eastAsia="zh-CN"/>
        </w:rPr>
        <w:t>0</w:t>
      </w:r>
      <w:r>
        <w:rPr>
          <w:rFonts w:ascii="仿宋" w:eastAsia="仿宋" w:hint="eastAsia"/>
          <w:color w:val="auto"/>
          <w:sz w:val="32"/>
          <w:szCs w:val="32"/>
        </w:rPr>
        <w:t>万元。</w:t>
      </w:r>
    </w:p>
    <w:p>
      <w:pPr>
        <w:spacing w:line="600" w:lineRule="exact"/>
        <w:ind w:firstLine="640"/>
        <w:outlineLvl w:val="1"/>
        <w:rPr>
          <w:rStyle w:val="2Char"/>
          <w:rFonts w:ascii="黑体" w:eastAsia="黑体"/>
          <w:color w:val="auto"/>
        </w:rPr>
      </w:pPr>
      <w:bookmarkStart w:id="54" w:name="_Toc16376"/>
      <w:r>
        <w:rPr>
          <w:rFonts w:ascii="黑体" w:eastAsia="黑体" w:hint="eastAsia"/>
          <w:color w:val="auto"/>
          <w:sz w:val="32"/>
          <w:szCs w:val="32"/>
        </w:rPr>
        <w:t>八、</w:t>
      </w:r>
      <w:r>
        <w:rPr>
          <w:rStyle w:val="2Char"/>
          <w:rFonts w:ascii="黑体" w:eastAsia="黑体" w:hint="eastAsia"/>
          <w:b w:val="0"/>
          <w:color w:val="auto"/>
        </w:rPr>
        <w:t>政府性基金预算支出决算情况说明</w:t>
      </w:r>
      <w:bookmarkEnd w:id="52"/>
      <w:bookmarkEnd w:id="53"/>
      <w:bookmarkEnd w:id="54"/>
    </w:p>
    <w:p>
      <w:pPr>
        <w:spacing w:line="600" w:lineRule="exact"/>
        <w:ind w:firstLine="640"/>
        <w:rPr>
          <w:rFonts w:ascii="仿宋_GB2312" w:eastAsia="仿宋_GB2312"/>
          <w:color w:val="auto"/>
          <w:sz w:val="32"/>
          <w:szCs w:val="32"/>
        </w:rPr>
      </w:pPr>
      <w:r>
        <w:rPr>
          <w:rFonts w:ascii="仿宋" w:eastAsia="仿宋" w:hint="eastAsia"/>
          <w:color w:val="auto"/>
          <w:sz w:val="32"/>
          <w:szCs w:val="32"/>
        </w:rPr>
        <w:t>2025年度政府性基金预算财政拨款支出</w:t>
      </w:r>
      <w:r>
        <w:rPr>
          <w:rFonts w:ascii="仿宋" w:eastAsia="仿宋" w:hint="eastAsia"/>
          <w:color w:val="auto"/>
          <w:sz w:val="32"/>
          <w:szCs w:val="32"/>
          <w:lang w:val="en-US" w:eastAsia="zh-CN"/>
        </w:rPr>
        <w:t>0</w:t>
      </w:r>
      <w:r>
        <w:rPr>
          <w:rFonts w:ascii="仿宋" w:eastAsia="仿宋" w:hint="eastAsia"/>
          <w:color w:val="auto"/>
          <w:sz w:val="32"/>
          <w:szCs w:val="32"/>
        </w:rPr>
        <w:t>万元，占本年支出合计的</w:t>
      </w:r>
      <w:r>
        <w:rPr>
          <w:rFonts w:ascii="仿宋" w:eastAsia="仿宋" w:hint="eastAsia"/>
          <w:color w:val="auto"/>
          <w:sz w:val="32"/>
          <w:szCs w:val="32"/>
          <w:lang w:val="en-US" w:eastAsia="zh-CN"/>
        </w:rPr>
        <w:t>0</w:t>
      </w:r>
      <w:r>
        <w:rPr>
          <w:rFonts w:ascii="仿宋" w:eastAsia="仿宋" w:hint="eastAsia"/>
          <w:color w:val="auto"/>
          <w:sz w:val="32"/>
          <w:szCs w:val="32"/>
        </w:rPr>
        <w:t>%。与上年相比无增减变动，不存在政府性基金预算支出。</w:t>
      </w:r>
    </w:p>
    <w:p>
      <w:pPr>
        <w:numPr>
          <w:ilvl w:val="0"/>
          <w:numId w:val="3"/>
        </w:numPr>
        <w:spacing w:line="600" w:lineRule="exact"/>
        <w:ind w:left="0" w:firstLine="640"/>
        <w:outlineLvl w:val="1"/>
        <w:rPr>
          <w:rStyle w:val="2Char"/>
          <w:rFonts w:ascii="黑体" w:eastAsia="黑体"/>
          <w:b w:val="0"/>
          <w:color w:val="auto"/>
        </w:rPr>
      </w:pPr>
      <w:bookmarkStart w:id="55" w:name="_Toc30119"/>
      <w:bookmarkStart w:id="56" w:name="_Toc15396611"/>
      <w:bookmarkStart w:id="57" w:name="_Toc15377219"/>
      <w:r>
        <w:rPr>
          <w:rStyle w:val="2Char"/>
          <w:rFonts w:ascii="黑体" w:eastAsia="黑体" w:hint="eastAsia"/>
          <w:b w:val="0"/>
          <w:color w:val="auto"/>
        </w:rPr>
        <w:t>国有资本经营预算支出决算情况说明</w:t>
      </w:r>
      <w:bookmarkEnd w:id="55"/>
      <w:bookmarkEnd w:id="56"/>
      <w:bookmarkEnd w:id="57"/>
    </w:p>
    <w:p>
      <w:pPr>
        <w:pStyle w:val="32"/>
        <w:spacing w:line="600" w:lineRule="exact"/>
        <w:rPr>
          <w:rFonts w:ascii="方正小标宋简体" w:eastAsia="方正小标宋简体" w:cs="方正小标宋简体"/>
          <w:color w:val="auto"/>
          <w:sz w:val="44"/>
          <w:szCs w:val="44"/>
        </w:rPr>
      </w:pPr>
      <w:r>
        <w:rPr>
          <w:rFonts w:ascii="仿宋" w:eastAsia="仿宋" w:hint="eastAsia"/>
          <w:color w:val="auto"/>
          <w:sz w:val="32"/>
          <w:szCs w:val="32"/>
        </w:rPr>
        <w:t>2025年度国有资本经营预算财政拨款支出</w:t>
      </w:r>
      <w:r>
        <w:rPr>
          <w:rFonts w:ascii="仿宋" w:eastAsia="仿宋" w:hint="eastAsia"/>
          <w:color w:val="auto"/>
          <w:sz w:val="32"/>
          <w:szCs w:val="32"/>
          <w:lang w:val="en-US" w:eastAsia="zh-CN"/>
        </w:rPr>
        <w:t>0</w:t>
      </w:r>
      <w:r>
        <w:rPr>
          <w:rFonts w:ascii="仿宋" w:eastAsia="仿宋" w:hint="eastAsia"/>
          <w:color w:val="auto"/>
          <w:sz w:val="32"/>
          <w:szCs w:val="32"/>
        </w:rPr>
        <w:t>万元，占本年支出合计的</w:t>
      </w:r>
      <w:r>
        <w:rPr>
          <w:rFonts w:ascii="仿宋" w:eastAsia="仿宋" w:hint="eastAsia"/>
          <w:color w:val="auto"/>
          <w:sz w:val="32"/>
          <w:szCs w:val="32"/>
          <w:lang w:val="en-US" w:eastAsia="zh-CN"/>
        </w:rPr>
        <w:t>0</w:t>
      </w:r>
      <w:r>
        <w:rPr>
          <w:rFonts w:ascii="仿宋" w:eastAsia="仿宋" w:hint="eastAsia"/>
          <w:color w:val="auto"/>
          <w:sz w:val="32"/>
          <w:szCs w:val="32"/>
        </w:rPr>
        <w:t>%。与上年度相比，与上年相比无增减变动，不存在国有资本经营预算支出。</w:t>
      </w:r>
    </w:p>
    <w:p>
      <w:pPr>
        <w:numPr>
          <w:ilvl w:val="0"/>
          <w:numId w:val="3"/>
        </w:numPr>
        <w:spacing w:line="600" w:lineRule="exact"/>
        <w:ind w:left="0" w:firstLine="640"/>
        <w:outlineLvl w:val="1"/>
        <w:rPr>
          <w:rStyle w:val="2Char"/>
          <w:rFonts w:ascii="黑体" w:eastAsia="黑体"/>
          <w:b w:val="0"/>
          <w:color w:val="auto"/>
        </w:rPr>
      </w:pPr>
      <w:bookmarkStart w:id="58" w:name="_Toc15396612"/>
      <w:bookmarkStart w:id="59" w:name="_Toc15377221"/>
      <w:bookmarkStart w:id="60" w:name="_Toc30470"/>
      <w:r>
        <w:rPr>
          <w:rStyle w:val="2Char"/>
          <w:rFonts w:ascii="黑体" w:eastAsia="黑体" w:hint="eastAsia"/>
          <w:b w:val="0"/>
          <w:color w:val="auto"/>
        </w:rPr>
        <w:t>其他重要事项的情况说明</w:t>
      </w:r>
      <w:bookmarkEnd w:id="58"/>
      <w:bookmarkEnd w:id="59"/>
      <w:bookmarkEnd w:id="60"/>
    </w:p>
    <w:p>
      <w:pPr>
        <w:spacing w:line="600" w:lineRule="exact"/>
        <w:ind w:firstLineChars="200" w:firstLine="640"/>
        <w:outlineLvl w:val="2"/>
        <w:rPr>
          <w:rFonts w:ascii="仿宋" w:eastAsia="仿宋"/>
          <w:color w:val="auto"/>
          <w:sz w:val="32"/>
          <w:szCs w:val="32"/>
        </w:rPr>
      </w:pPr>
      <w:bookmarkStart w:id="61" w:name="_Toc15377222"/>
      <w:r>
        <w:rPr>
          <w:rFonts w:ascii="仿宋" w:eastAsia="仿宋" w:hint="eastAsia"/>
          <w:b/>
          <w:color w:val="auto"/>
          <w:sz w:val="32"/>
          <w:szCs w:val="32"/>
        </w:rPr>
        <w:t>（一）机关运行经费支出情况</w:t>
      </w:r>
      <w:bookmarkEnd w:id="61"/>
    </w:p>
    <w:p>
      <w:pPr>
        <w:spacing w:line="600" w:lineRule="exact"/>
        <w:ind w:firstLine="640"/>
        <w:rPr>
          <w:rFonts w:ascii="仿宋" w:eastAsia="仿宋" w:cs="仿宋_GB2312" w:hint="eastAsia"/>
          <w:color w:val="auto"/>
          <w:sz w:val="32"/>
          <w:szCs w:val="32"/>
        </w:rPr>
      </w:pPr>
      <w:r>
        <w:rPr>
          <w:rFonts w:ascii="仿宋" w:eastAsia="仿宋" w:hint="eastAsia"/>
          <w:color w:val="auto"/>
          <w:sz w:val="32"/>
          <w:szCs w:val="32"/>
        </w:rPr>
        <w:t>2025年度，</w:t>
      </w:r>
      <w:r>
        <w:rPr>
          <w:rFonts w:ascii="仿宋" w:eastAsia="仿宋" w:hint="eastAsia"/>
          <w:color w:val="auto"/>
          <w:sz w:val="32"/>
          <w:szCs w:val="32"/>
          <w:lang w:val="en-US" w:eastAsia="zh-CN"/>
        </w:rPr>
        <w:t>汶川县三江镇中心卫生院</w:t>
      </w:r>
      <w:r>
        <w:rPr>
          <w:rFonts w:ascii="仿宋" w:eastAsia="仿宋" w:hint="eastAsia"/>
          <w:color w:val="auto"/>
          <w:sz w:val="32"/>
          <w:szCs w:val="32"/>
        </w:rPr>
        <w:t>机关运行经费支出</w:t>
      </w:r>
      <w:r>
        <w:rPr>
          <w:rFonts w:ascii="仿宋" w:eastAsia="仿宋" w:hint="eastAsia"/>
          <w:color w:val="auto"/>
          <w:sz w:val="32"/>
          <w:szCs w:val="32"/>
          <w:lang w:val="en-US" w:eastAsia="zh-CN"/>
        </w:rPr>
        <w:t>1.96</w:t>
      </w:r>
      <w:r>
        <w:rPr>
          <w:rFonts w:ascii="仿宋" w:eastAsia="仿宋" w:hint="eastAsia"/>
          <w:color w:val="auto"/>
          <w:sz w:val="32"/>
          <w:szCs w:val="32"/>
        </w:rPr>
        <w:t>万元，比上年度减少</w:t>
      </w:r>
      <w:r>
        <w:rPr>
          <w:rFonts w:ascii="仿宋" w:eastAsia="仿宋" w:hint="eastAsia"/>
          <w:color w:val="auto"/>
          <w:sz w:val="32"/>
          <w:szCs w:val="32"/>
          <w:lang w:val="en-US" w:eastAsia="zh-CN"/>
        </w:rPr>
        <w:t>0.61</w:t>
      </w:r>
      <w:r>
        <w:rPr>
          <w:rFonts w:ascii="仿宋" w:eastAsia="仿宋" w:hint="eastAsia"/>
          <w:color w:val="auto"/>
          <w:sz w:val="32"/>
          <w:szCs w:val="32"/>
        </w:rPr>
        <w:t>万元，</w:t>
      </w:r>
      <w:r>
        <w:rPr>
          <w:rFonts w:ascii="仿宋" w:eastAsia="仿宋" w:hint="eastAsia"/>
          <w:color w:val="auto"/>
          <w:sz w:val="32"/>
          <w:szCs w:val="32"/>
          <w:lang w:val="en-US" w:eastAsia="zh-CN"/>
        </w:rPr>
        <w:t>下</w:t>
      </w:r>
      <w:r>
        <w:rPr>
          <w:rFonts w:ascii="仿宋" w:eastAsia="仿宋" w:hint="eastAsia"/>
          <w:color w:val="auto"/>
          <w:sz w:val="32"/>
          <w:szCs w:val="32"/>
        </w:rPr>
        <w:t>降</w:t>
      </w:r>
      <w:r>
        <w:rPr>
          <w:rFonts w:ascii="仿宋" w:eastAsia="仿宋" w:hint="eastAsia"/>
          <w:color w:val="auto"/>
          <w:sz w:val="32"/>
          <w:szCs w:val="32"/>
          <w:lang w:val="en-US" w:eastAsia="zh-CN"/>
        </w:rPr>
        <w:t>23.7</w:t>
      </w:r>
      <w:r>
        <w:rPr>
          <w:rFonts w:ascii="仿宋" w:eastAsia="仿宋" w:hint="eastAsia"/>
          <w:color w:val="auto"/>
          <w:sz w:val="32"/>
          <w:szCs w:val="32"/>
        </w:rPr>
        <w:t>%</w:t>
      </w:r>
      <w:r>
        <w:rPr>
          <w:rFonts w:ascii="仿宋" w:eastAsia="仿宋" w:hint="eastAsia"/>
          <w:color w:val="auto"/>
          <w:sz w:val="32"/>
          <w:szCs w:val="32"/>
          <w:lang w:eastAsia="zh-CN"/>
        </w:rPr>
        <w:t>。</w:t>
      </w:r>
      <w:r>
        <w:rPr>
          <w:rFonts w:ascii="仿宋" w:eastAsia="仿宋" w:hint="eastAsia"/>
          <w:color w:val="auto"/>
          <w:sz w:val="32"/>
          <w:szCs w:val="32"/>
        </w:rPr>
        <w:t>主要原因是相应国家政策，积极实施开源节流，严控机关运行经费支出。</w:t>
      </w:r>
    </w:p>
    <w:p>
      <w:pPr>
        <w:autoSpaceDE w:val="0"/>
        <w:autoSpaceDN w:val="0"/>
        <w:adjustRightInd w:val="0"/>
        <w:spacing w:line="600" w:lineRule="exact"/>
        <w:ind w:firstLineChars="200" w:firstLine="640"/>
        <w:jc w:val="left"/>
        <w:outlineLvl w:val="2"/>
        <w:rPr>
          <w:rFonts w:ascii="仿宋" w:eastAsia="仿宋"/>
          <w:b/>
          <w:color w:val="auto"/>
          <w:sz w:val="32"/>
          <w:szCs w:val="32"/>
        </w:rPr>
      </w:pPr>
      <w:bookmarkStart w:id="62" w:name="_Toc15377223"/>
      <w:r>
        <w:rPr>
          <w:rFonts w:ascii="仿宋" w:eastAsia="仿宋" w:hint="eastAsia"/>
          <w:b/>
          <w:color w:val="auto"/>
          <w:sz w:val="32"/>
          <w:szCs w:val="32"/>
        </w:rPr>
        <w:t>（二）政府采购支出情况</w:t>
      </w:r>
      <w:bookmarkEnd w:id="62"/>
    </w:p>
    <w:p>
      <w:pPr>
        <w:spacing w:line="600" w:lineRule="exact"/>
        <w:ind w:firstLine="640"/>
        <w:rPr>
          <w:rFonts w:ascii="仿宋" w:eastAsia="仿宋"/>
          <w:color w:val="auto"/>
          <w:sz w:val="32"/>
          <w:szCs w:val="32"/>
        </w:rPr>
      </w:pPr>
      <w:r>
        <w:rPr>
          <w:rFonts w:ascii="仿宋" w:eastAsia="仿宋" w:hint="eastAsia"/>
          <w:color w:val="auto"/>
          <w:sz w:val="32"/>
          <w:szCs w:val="32"/>
        </w:rPr>
        <w:t>2025年度，</w:t>
      </w:r>
      <w:r>
        <w:rPr>
          <w:rFonts w:ascii="仿宋" w:eastAsia="仿宋" w:hint="eastAsia"/>
          <w:color w:val="auto"/>
          <w:sz w:val="32"/>
          <w:szCs w:val="32"/>
          <w:lang w:val="en-US" w:eastAsia="zh-CN"/>
        </w:rPr>
        <w:t>汶川县三江镇中心卫生院</w:t>
      </w:r>
      <w:r>
        <w:rPr>
          <w:rFonts w:ascii="仿宋" w:eastAsia="仿宋" w:hint="eastAsia"/>
          <w:color w:val="auto"/>
          <w:sz w:val="32"/>
          <w:szCs w:val="32"/>
        </w:rPr>
        <w:t>政府采购支出总额</w:t>
      </w:r>
      <w:r>
        <w:rPr>
          <w:rFonts w:ascii="仿宋" w:eastAsia="仿宋" w:hint="eastAsia"/>
          <w:color w:val="auto"/>
          <w:sz w:val="32"/>
          <w:szCs w:val="32"/>
          <w:lang w:val="en-US" w:eastAsia="zh-CN"/>
        </w:rPr>
        <w:t>0</w:t>
      </w:r>
      <w:r>
        <w:rPr>
          <w:rFonts w:ascii="仿宋" w:eastAsia="仿宋" w:hint="eastAsia"/>
          <w:color w:val="auto"/>
          <w:sz w:val="32"/>
          <w:szCs w:val="32"/>
        </w:rPr>
        <w:t>万元，其中：政府采购货物支出</w:t>
      </w:r>
      <w:r>
        <w:rPr>
          <w:rFonts w:ascii="仿宋" w:eastAsia="仿宋" w:hint="eastAsia"/>
          <w:color w:val="auto"/>
          <w:sz w:val="32"/>
          <w:szCs w:val="32"/>
          <w:lang w:val="en-US" w:eastAsia="zh-CN"/>
        </w:rPr>
        <w:t>0</w:t>
      </w:r>
      <w:r>
        <w:rPr>
          <w:rFonts w:ascii="仿宋" w:eastAsia="仿宋" w:hint="eastAsia"/>
          <w:color w:val="auto"/>
          <w:sz w:val="32"/>
          <w:szCs w:val="32"/>
        </w:rPr>
        <w:t>万元、政府采购工程支出</w:t>
      </w:r>
      <w:r>
        <w:rPr>
          <w:rFonts w:ascii="仿宋" w:eastAsia="仿宋" w:hint="eastAsia"/>
          <w:color w:val="auto"/>
          <w:sz w:val="32"/>
          <w:szCs w:val="32"/>
          <w:lang w:val="en-US" w:eastAsia="zh-CN"/>
        </w:rPr>
        <w:t>0</w:t>
      </w:r>
      <w:r>
        <w:rPr>
          <w:rFonts w:ascii="仿宋" w:eastAsia="仿宋" w:hint="eastAsia"/>
          <w:color w:val="auto"/>
          <w:sz w:val="32"/>
          <w:szCs w:val="32"/>
        </w:rPr>
        <w:t>万元、政府采购服务支出</w:t>
      </w:r>
      <w:r>
        <w:rPr>
          <w:rFonts w:ascii="仿宋" w:eastAsia="仿宋" w:hint="eastAsia"/>
          <w:color w:val="auto"/>
          <w:sz w:val="32"/>
          <w:szCs w:val="32"/>
          <w:lang w:val="en-US" w:eastAsia="zh-CN"/>
        </w:rPr>
        <w:t>0</w:t>
      </w:r>
      <w:r>
        <w:rPr>
          <w:rFonts w:ascii="仿宋" w:eastAsia="仿宋" w:hint="eastAsia"/>
          <w:color w:val="auto"/>
          <w:sz w:val="32"/>
          <w:szCs w:val="32"/>
        </w:rPr>
        <w:t>万元。授予中小企业合同金额</w:t>
      </w:r>
      <w:r>
        <w:rPr>
          <w:rFonts w:ascii="仿宋" w:eastAsia="仿宋" w:hint="eastAsia"/>
          <w:color w:val="auto"/>
          <w:sz w:val="32"/>
          <w:szCs w:val="32"/>
          <w:lang w:val="en-US" w:eastAsia="zh-CN"/>
        </w:rPr>
        <w:t>0</w:t>
      </w:r>
      <w:r>
        <w:rPr>
          <w:rFonts w:ascii="仿宋" w:eastAsia="仿宋" w:hint="eastAsia"/>
          <w:color w:val="auto"/>
          <w:sz w:val="32"/>
          <w:szCs w:val="32"/>
        </w:rPr>
        <w:t>万元，占政府采购支出总额的</w:t>
      </w:r>
      <w:r>
        <w:rPr>
          <w:rFonts w:ascii="仿宋" w:eastAsia="仿宋" w:hint="eastAsia"/>
          <w:color w:val="auto"/>
          <w:sz w:val="32"/>
          <w:szCs w:val="32"/>
          <w:lang w:val="en-US" w:eastAsia="zh-CN"/>
        </w:rPr>
        <w:t>0</w:t>
      </w:r>
      <w:r>
        <w:rPr>
          <w:rFonts w:ascii="仿宋" w:eastAsia="仿宋" w:hint="eastAsia"/>
          <w:color w:val="auto"/>
          <w:sz w:val="32"/>
          <w:szCs w:val="32"/>
        </w:rPr>
        <w:t>%，其中：授予小微企业合同金额</w:t>
      </w:r>
      <w:r>
        <w:rPr>
          <w:rFonts w:ascii="仿宋" w:eastAsia="仿宋" w:hint="eastAsia"/>
          <w:color w:val="auto"/>
          <w:sz w:val="32"/>
          <w:szCs w:val="32"/>
          <w:lang w:val="en-US" w:eastAsia="zh-CN"/>
        </w:rPr>
        <w:t>0</w:t>
      </w:r>
      <w:r>
        <w:rPr>
          <w:rFonts w:ascii="仿宋" w:eastAsia="仿宋" w:hint="eastAsia"/>
          <w:color w:val="auto"/>
          <w:sz w:val="32"/>
          <w:szCs w:val="32"/>
        </w:rPr>
        <w:t>万元，占政府采购支出总额的</w:t>
      </w:r>
      <w:r>
        <w:rPr>
          <w:rFonts w:ascii="仿宋" w:eastAsia="仿宋" w:hint="eastAsia"/>
          <w:color w:val="auto"/>
          <w:sz w:val="32"/>
          <w:szCs w:val="32"/>
          <w:lang w:val="en-US" w:eastAsia="zh-CN"/>
        </w:rPr>
        <w:t>0</w:t>
      </w:r>
      <w:r>
        <w:rPr>
          <w:rFonts w:ascii="仿宋" w:eastAsia="仿宋" w:hint="eastAsia"/>
          <w:color w:val="auto"/>
          <w:sz w:val="32"/>
          <w:szCs w:val="32"/>
        </w:rPr>
        <w:t>%。</w:t>
      </w:r>
    </w:p>
    <w:p>
      <w:pPr>
        <w:autoSpaceDE w:val="0"/>
        <w:autoSpaceDN w:val="0"/>
        <w:adjustRightInd w:val="0"/>
        <w:spacing w:line="600" w:lineRule="exact"/>
        <w:ind w:firstLineChars="200" w:firstLine="640"/>
        <w:jc w:val="left"/>
        <w:outlineLvl w:val="2"/>
        <w:rPr>
          <w:rFonts w:ascii="仿宋" w:eastAsia="仿宋"/>
          <w:b/>
          <w:color w:val="auto"/>
          <w:sz w:val="32"/>
          <w:szCs w:val="32"/>
        </w:rPr>
      </w:pPr>
      <w:bookmarkStart w:id="63" w:name="_Toc15377224"/>
      <w:r>
        <w:rPr>
          <w:rFonts w:ascii="仿宋" w:eastAsia="仿宋" w:hint="eastAsia"/>
          <w:b/>
          <w:color w:val="auto"/>
          <w:sz w:val="32"/>
          <w:szCs w:val="32"/>
        </w:rPr>
        <w:t>（三）国有资产占有使用情况</w:t>
      </w:r>
      <w:bookmarkEnd w:id="63"/>
    </w:p>
    <w:p>
      <w:pPr>
        <w:spacing w:line="600" w:lineRule="exact"/>
        <w:ind w:firstLine="640"/>
        <w:rPr>
          <w:rFonts w:ascii="仿宋" w:eastAsia="仿宋"/>
          <w:color w:val="auto"/>
          <w:sz w:val="32"/>
          <w:szCs w:val="32"/>
        </w:rPr>
      </w:pPr>
      <w:r>
        <w:rPr>
          <w:rFonts w:ascii="仿宋" w:eastAsia="仿宋" w:hint="eastAsia"/>
          <w:color w:val="auto"/>
          <w:sz w:val="32"/>
          <w:szCs w:val="32"/>
        </w:rPr>
        <w:t>截至2025年12月31日，</w:t>
      </w:r>
      <w:r>
        <w:rPr>
          <w:rFonts w:ascii="仿宋" w:eastAsia="仿宋" w:hint="eastAsia"/>
          <w:color w:val="auto"/>
          <w:sz w:val="32"/>
          <w:szCs w:val="32"/>
          <w:lang w:val="en-US" w:eastAsia="zh-CN"/>
        </w:rPr>
        <w:t>汶川县三江镇中心卫生院</w:t>
      </w:r>
      <w:r>
        <w:rPr>
          <w:rFonts w:ascii="仿宋" w:eastAsia="仿宋" w:hint="eastAsia"/>
          <w:color w:val="auto"/>
          <w:sz w:val="32"/>
          <w:szCs w:val="32"/>
        </w:rPr>
        <w:t>共有车辆</w:t>
      </w:r>
      <w:r>
        <w:rPr>
          <w:rFonts w:ascii="仿宋" w:eastAsia="仿宋" w:hint="eastAsia"/>
          <w:color w:val="auto"/>
          <w:sz w:val="32"/>
          <w:szCs w:val="32"/>
          <w:lang w:val="en-US" w:eastAsia="zh-CN"/>
        </w:rPr>
        <w:t>0</w:t>
      </w:r>
      <w:r>
        <w:rPr>
          <w:rFonts w:ascii="仿宋" w:eastAsia="仿宋" w:hint="eastAsia"/>
          <w:color w:val="auto"/>
          <w:sz w:val="32"/>
          <w:szCs w:val="32"/>
        </w:rPr>
        <w:t>辆，其中：副部（省）级及以上领导用车</w:t>
      </w:r>
      <w:r>
        <w:rPr>
          <w:rFonts w:ascii="仿宋" w:eastAsia="仿宋" w:hint="eastAsia"/>
          <w:color w:val="auto"/>
          <w:sz w:val="32"/>
          <w:szCs w:val="32"/>
          <w:lang w:val="en-US" w:eastAsia="zh-CN"/>
        </w:rPr>
        <w:t>0</w:t>
      </w:r>
      <w:r>
        <w:rPr>
          <w:rFonts w:ascii="仿宋" w:eastAsia="仿宋" w:hint="eastAsia"/>
          <w:color w:val="auto"/>
          <w:sz w:val="32"/>
          <w:szCs w:val="32"/>
        </w:rPr>
        <w:t>辆、主要负责人用车</w:t>
      </w:r>
      <w:r>
        <w:rPr>
          <w:rFonts w:ascii="仿宋" w:eastAsia="仿宋" w:hint="eastAsia"/>
          <w:color w:val="auto"/>
          <w:sz w:val="32"/>
          <w:szCs w:val="32"/>
          <w:lang w:val="en-US" w:eastAsia="zh-CN"/>
        </w:rPr>
        <w:t>0</w:t>
      </w:r>
      <w:r>
        <w:rPr>
          <w:rFonts w:ascii="仿宋" w:eastAsia="仿宋" w:hint="eastAsia"/>
          <w:color w:val="auto"/>
          <w:sz w:val="32"/>
          <w:szCs w:val="32"/>
        </w:rPr>
        <w:t>辆、机要通信用车</w:t>
      </w:r>
      <w:r>
        <w:rPr>
          <w:rFonts w:ascii="仿宋" w:eastAsia="仿宋" w:hint="eastAsia"/>
          <w:color w:val="auto"/>
          <w:sz w:val="32"/>
          <w:szCs w:val="32"/>
          <w:lang w:val="en-US" w:eastAsia="zh-CN"/>
        </w:rPr>
        <w:t>0</w:t>
      </w:r>
      <w:r>
        <w:rPr>
          <w:rFonts w:ascii="仿宋" w:eastAsia="仿宋" w:hint="eastAsia"/>
          <w:color w:val="auto"/>
          <w:sz w:val="32"/>
          <w:szCs w:val="32"/>
        </w:rPr>
        <w:t>辆、应急保障用车</w:t>
      </w:r>
      <w:r>
        <w:rPr>
          <w:rFonts w:ascii="仿宋" w:eastAsia="仿宋" w:hint="eastAsia"/>
          <w:color w:val="auto"/>
          <w:sz w:val="32"/>
          <w:szCs w:val="32"/>
          <w:lang w:val="en-US" w:eastAsia="zh-CN"/>
        </w:rPr>
        <w:t>0</w:t>
      </w:r>
      <w:r>
        <w:rPr>
          <w:rFonts w:ascii="仿宋" w:eastAsia="仿宋" w:hint="eastAsia"/>
          <w:color w:val="auto"/>
          <w:sz w:val="32"/>
          <w:szCs w:val="32"/>
        </w:rPr>
        <w:t>辆、执法执勤用车</w:t>
      </w:r>
      <w:r>
        <w:rPr>
          <w:rFonts w:ascii="仿宋" w:eastAsia="仿宋" w:hint="eastAsia"/>
          <w:color w:val="auto"/>
          <w:sz w:val="32"/>
          <w:szCs w:val="32"/>
          <w:lang w:val="en-US" w:eastAsia="zh-CN"/>
        </w:rPr>
        <w:t>0</w:t>
      </w:r>
      <w:r>
        <w:rPr>
          <w:rFonts w:ascii="仿宋" w:eastAsia="仿宋" w:hint="eastAsia"/>
          <w:color w:val="auto"/>
          <w:sz w:val="32"/>
          <w:szCs w:val="32"/>
        </w:rPr>
        <w:t>辆、特种专业技术用车</w:t>
      </w:r>
      <w:r>
        <w:rPr>
          <w:rFonts w:ascii="仿宋" w:eastAsia="仿宋" w:hint="eastAsia"/>
          <w:color w:val="auto"/>
          <w:sz w:val="32"/>
          <w:szCs w:val="32"/>
          <w:lang w:val="en-US" w:eastAsia="zh-CN"/>
        </w:rPr>
        <w:t>0</w:t>
      </w:r>
      <w:r>
        <w:rPr>
          <w:rFonts w:ascii="仿宋" w:eastAsia="仿宋" w:hint="eastAsia"/>
          <w:color w:val="auto"/>
          <w:sz w:val="32"/>
          <w:szCs w:val="32"/>
        </w:rPr>
        <w:t>辆、离退休干部服务用车</w:t>
      </w:r>
      <w:r>
        <w:rPr>
          <w:rFonts w:ascii="仿宋" w:eastAsia="仿宋" w:hint="eastAsia"/>
          <w:color w:val="auto"/>
          <w:sz w:val="32"/>
          <w:szCs w:val="32"/>
          <w:lang w:val="en-US" w:eastAsia="zh-CN"/>
        </w:rPr>
        <w:t>0</w:t>
      </w:r>
      <w:r>
        <w:rPr>
          <w:rFonts w:ascii="仿宋" w:eastAsia="仿宋" w:hint="eastAsia"/>
          <w:color w:val="auto"/>
          <w:sz w:val="32"/>
          <w:szCs w:val="32"/>
        </w:rPr>
        <w:t>辆、其他用车</w:t>
      </w:r>
      <w:r>
        <w:rPr>
          <w:rFonts w:ascii="仿宋" w:eastAsia="仿宋" w:hint="eastAsia"/>
          <w:color w:val="auto"/>
          <w:sz w:val="32"/>
          <w:szCs w:val="32"/>
          <w:lang w:val="en-US" w:eastAsia="zh-CN"/>
        </w:rPr>
        <w:t>0</w:t>
      </w:r>
      <w:r>
        <w:rPr>
          <w:rFonts w:ascii="仿宋" w:eastAsia="仿宋" w:hint="eastAsia"/>
          <w:color w:val="auto"/>
          <w:sz w:val="32"/>
          <w:szCs w:val="32"/>
        </w:rPr>
        <w:t>辆。单价100万元（含）以上设备（不含车辆）</w:t>
      </w:r>
      <w:r>
        <w:rPr>
          <w:rFonts w:ascii="仿宋" w:eastAsia="仿宋" w:hint="eastAsia"/>
          <w:color w:val="auto"/>
          <w:sz w:val="32"/>
          <w:szCs w:val="32"/>
          <w:lang w:val="en-US" w:eastAsia="zh-CN"/>
        </w:rPr>
        <w:t>0</w:t>
      </w:r>
      <w:r>
        <w:rPr>
          <w:rFonts w:ascii="仿宋" w:eastAsia="仿宋" w:hint="eastAsia"/>
          <w:color w:val="auto"/>
          <w:sz w:val="32"/>
          <w:szCs w:val="32"/>
        </w:rPr>
        <w:t>台（套）。</w:t>
      </w:r>
    </w:p>
    <w:p>
      <w:pPr>
        <w:autoSpaceDE w:val="0"/>
        <w:autoSpaceDN w:val="0"/>
        <w:adjustRightInd w:val="0"/>
        <w:spacing w:line="600" w:lineRule="exact"/>
        <w:ind w:firstLineChars="200" w:firstLine="640"/>
        <w:jc w:val="left"/>
        <w:outlineLvl w:val="2"/>
        <w:rPr>
          <w:rFonts w:ascii="仿宋" w:eastAsia="仿宋"/>
          <w:b/>
          <w:color w:val="auto"/>
          <w:sz w:val="32"/>
          <w:szCs w:val="32"/>
        </w:rPr>
      </w:pPr>
      <w:r>
        <w:rPr>
          <w:rFonts w:ascii="仿宋" w:eastAsia="仿宋" w:hint="eastAsia"/>
          <w:b/>
          <w:color w:val="auto"/>
          <w:sz w:val="32"/>
          <w:szCs w:val="32"/>
        </w:rPr>
        <w:t>（四）预算绩效管理情况</w:t>
      </w:r>
    </w:p>
    <w:p>
      <w:pPr>
        <w:spacing w:line="600" w:lineRule="exact"/>
        <w:ind w:firstLine="640"/>
        <w:rPr>
          <w:rFonts w:ascii="仿宋" w:eastAsia="仿宋" w:hint="eastAsia"/>
          <w:color w:val="auto"/>
          <w:sz w:val="32"/>
          <w:szCs w:val="32"/>
        </w:rPr>
      </w:pPr>
      <w:bookmarkStart w:id="64" w:name="_Toc15396613"/>
      <w:bookmarkStart w:id="65" w:name="_Toc15377225"/>
      <w:r>
        <w:rPr>
          <w:rFonts w:ascii="仿宋" w:eastAsia="仿宋" w:hint="eastAsia"/>
          <w:color w:val="auto"/>
          <w:sz w:val="32"/>
          <w:szCs w:val="32"/>
        </w:rPr>
        <w:t>根据预算绩效管理要求，</w:t>
      </w:r>
      <w:r>
        <w:rPr>
          <w:rFonts w:ascii="仿宋" w:eastAsia="仿宋" w:hint="eastAsia"/>
          <w:color w:val="auto"/>
          <w:sz w:val="32"/>
          <w:szCs w:val="32"/>
          <w:lang w:val="en-US" w:eastAsia="zh-CN"/>
        </w:rPr>
        <w:t>汶川县三江镇中心卫生院</w:t>
      </w:r>
      <w:r>
        <w:rPr>
          <w:rFonts w:ascii="仿宋" w:eastAsia="仿宋" w:hint="eastAsia"/>
          <w:color w:val="auto"/>
          <w:sz w:val="32"/>
          <w:szCs w:val="32"/>
        </w:rPr>
        <w:t>在2025年度，组织对</w:t>
      </w:r>
      <w:r>
        <w:rPr>
          <w:rFonts w:ascii="仿宋" w:eastAsia="仿宋" w:hint="eastAsia"/>
          <w:color w:val="auto"/>
          <w:sz w:val="32"/>
          <w:szCs w:val="32"/>
          <w:lang w:val="en-US" w:eastAsia="zh-CN"/>
        </w:rPr>
        <w:t>老年乡村医生养老生活补助项目、基本药物补助资金项目、村医生生活补助项目等6</w:t>
      </w:r>
      <w:r>
        <w:rPr>
          <w:rFonts w:ascii="仿宋" w:eastAsia="仿宋" w:hint="eastAsia"/>
          <w:color w:val="auto"/>
          <w:sz w:val="32"/>
          <w:szCs w:val="32"/>
        </w:rPr>
        <w:t>个项目涉及金额</w:t>
      </w:r>
      <w:r>
        <w:rPr>
          <w:rFonts w:ascii="仿宋" w:eastAsia="仿宋" w:hint="eastAsia"/>
          <w:color w:val="auto"/>
          <w:sz w:val="32"/>
          <w:szCs w:val="32"/>
          <w:lang w:val="en-US" w:eastAsia="zh-CN"/>
        </w:rPr>
        <w:t>24.21</w:t>
      </w:r>
      <w:r>
        <w:rPr>
          <w:rFonts w:ascii="仿宋" w:eastAsia="仿宋" w:hint="eastAsia"/>
          <w:color w:val="auto"/>
          <w:sz w:val="32"/>
          <w:szCs w:val="32"/>
        </w:rPr>
        <w:t>万元开展了事前绩效评估，对</w:t>
      </w:r>
      <w:r>
        <w:rPr>
          <w:rFonts w:ascii="仿宋" w:eastAsia="仿宋" w:hint="eastAsia"/>
          <w:color w:val="auto"/>
          <w:sz w:val="32"/>
          <w:szCs w:val="32"/>
          <w:lang w:val="en-US" w:eastAsia="zh-CN"/>
        </w:rPr>
        <w:t>6</w:t>
      </w:r>
      <w:r>
        <w:rPr>
          <w:rFonts w:ascii="仿宋" w:eastAsia="仿宋" w:hint="eastAsia"/>
          <w:color w:val="auto"/>
          <w:sz w:val="32"/>
          <w:szCs w:val="32"/>
        </w:rPr>
        <w:t>个项目编制了绩效目标，预算执行过程中，选取</w:t>
      </w:r>
      <w:r>
        <w:rPr>
          <w:rFonts w:ascii="仿宋" w:eastAsia="仿宋" w:hint="eastAsia"/>
          <w:color w:val="auto"/>
          <w:sz w:val="32"/>
          <w:szCs w:val="32"/>
          <w:lang w:val="en-US" w:eastAsia="zh-CN"/>
        </w:rPr>
        <w:t>3</w:t>
      </w:r>
      <w:r>
        <w:rPr>
          <w:rFonts w:ascii="仿宋" w:eastAsia="仿宋" w:hint="eastAsia"/>
          <w:color w:val="auto"/>
          <w:sz w:val="32"/>
          <w:szCs w:val="32"/>
        </w:rPr>
        <w:t>个项目开展绩效监控。绩效自评报告及自评表详见第四部分附件。</w:t>
      </w:r>
    </w:p>
    <w:p>
      <w:pPr>
        <w:rPr>
          <w:rFonts w:ascii="仿宋" w:eastAsia="仿宋" w:hint="eastAsia"/>
          <w:color w:val="auto"/>
          <w:sz w:val="32"/>
          <w:szCs w:val="32"/>
        </w:rPr>
      </w:pPr>
      <w:r>
        <w:rPr>
          <w:rFonts w:ascii="仿宋" w:eastAsia="仿宋" w:hint="eastAsia"/>
          <w:color w:val="auto"/>
          <w:sz w:val="32"/>
          <w:szCs w:val="32"/>
        </w:rPr>
        <w:br w:type="page"/>
      </w:r>
    </w:p>
    <w:p>
      <w:pPr>
        <w:rPr>
          <w:rFonts w:ascii="仿宋" w:eastAsia="仿宋" w:hint="eastAsia"/>
          <w:color w:val="auto"/>
          <w:sz w:val="32"/>
          <w:szCs w:val="32"/>
        </w:rPr>
      </w:pPr>
    </w:p>
    <w:p>
      <w:pPr>
        <w:numPr>
          <w:ilvl w:val="0"/>
          <w:numId w:val="4"/>
        </w:numPr>
        <w:spacing w:line="600" w:lineRule="exact"/>
        <w:ind w:left="0" w:firstLineChars="150" w:firstLine="660"/>
        <w:jc w:val="center"/>
        <w:outlineLvl w:val="0"/>
        <w:rPr>
          <w:rStyle w:val="1Char"/>
          <w:rFonts w:ascii="黑体" w:eastAsia="黑体"/>
          <w:b w:val="0"/>
          <w:color w:val="auto"/>
        </w:rPr>
      </w:pPr>
      <w:bookmarkStart w:id="66" w:name="_Toc3922"/>
      <w:r>
        <w:rPr>
          <w:rFonts w:ascii="黑体" w:eastAsia="黑体" w:hint="eastAsia"/>
          <w:color w:val="auto"/>
          <w:sz w:val="44"/>
          <w:szCs w:val="44"/>
        </w:rPr>
        <w:t>名</w:t>
      </w:r>
      <w:r>
        <w:rPr>
          <w:rStyle w:val="1Char"/>
          <w:rFonts w:ascii="黑体" w:eastAsia="黑体" w:hint="eastAsia"/>
          <w:b w:val="0"/>
          <w:color w:val="auto"/>
        </w:rPr>
        <w:t>词解释</w:t>
      </w:r>
      <w:bookmarkEnd w:id="64"/>
      <w:bookmarkEnd w:id="65"/>
      <w:bookmarkEnd w:id="66"/>
    </w:p>
    <w:p>
      <w:pPr>
        <w:spacing w:line="600" w:lineRule="exact"/>
        <w:jc w:val="left"/>
        <w:rPr>
          <w:rFonts w:ascii="宋体"/>
          <w:b/>
          <w:color w:val="auto"/>
          <w:sz w:val="44"/>
          <w:szCs w:val="44"/>
        </w:rPr>
      </w:pPr>
    </w:p>
    <w:p>
      <w:pPr>
        <w:spacing w:line="600" w:lineRule="exact"/>
        <w:ind w:firstLine="640"/>
        <w:rPr>
          <w:rFonts w:ascii="仿宋" w:eastAsia="仿宋" w:cs="Times New Roman" w:hint="eastAsia"/>
          <w:color w:val="auto"/>
          <w:sz w:val="32"/>
          <w:szCs w:val="32"/>
          <w:lang w:val="en-US" w:eastAsia="zh-CN"/>
        </w:rPr>
      </w:pPr>
      <w:bookmarkStart w:id="67" w:name="_Toc15396614"/>
      <w:bookmarkStart w:id="68" w:name="_Toc15377226"/>
      <w:r>
        <w:rPr>
          <w:rFonts w:ascii="仿宋" w:eastAsia="仿宋" w:cs="Times New Roman" w:hint="eastAsia"/>
          <w:color w:val="auto"/>
          <w:sz w:val="32"/>
          <w:szCs w:val="32"/>
          <w:lang w:val="en-US" w:eastAsia="zh-CN"/>
        </w:rPr>
        <w:t>1.财政拨款收入：指单位从同级财政部门取得的财政预算资金。</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2.事业收入：指事业单位开展专业业务活动及辅助活动取得的收入。</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3.经营收入：指事业单位在专业业务活动及其辅助活动之外开展非独立核算经营活动取得的收入。</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 xml:space="preserve">4.其他收入：指单位取得的除上述收入以外的各项收入等。 </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 xml:space="preserve">5.使用非财政拨款结余：指事业单位使用以前年度积累的非财政拨款结余弥补当年收支差额的金额。 </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 xml:space="preserve">6.年初结转和结余：指以前年度尚未完成、结转到本年按有关规定继续使用的资金。 </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7.结余分配：指事业单位按照会计制度规定缴纳的所得税、提取的专用结余以及转入非财政拨款结余的金额等。</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8.年末结转和结余：指单位按有关规定结转到下年或以后年度继续使用的资金。</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9.社会保障和就业支出（类）行政事业单位养老支出（款）机关事业单位基本养老保险缴费支出（项）：指反映机关事业单位实施养老保险制度由单位缴纳的基本养老保险费支出。社会保障和就业支出（类）行政事业单位养老支出（款）机关事业单位职业年金缴费支出（项）：指反映机关事业单位实施养老保险制度由单位实际缴纳的职业年金支出。</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10.卫生健康支出（类）基层医疗卫生机构（款）城市社区卫生机构（项）：指反映用于城市社区卫生机构的支出。卫生健康支出（类）基层医疗卫生机构（款）乡镇卫生院（项）：指反映用于乡镇卫生院的支出。卫生健康支出（类）基层医疗卫生机构（款）其他基层医疗卫生机构支出（项）：指反映除上述项目以外的其他用于基层医疗卫生机构的支出。卫生健康支出（类）公共卫生（款）基本公共卫生服务（项）：指反映基本公共卫生服务支出。卫生健康支出（类）公共卫生（款）重大公共卫生服务（项）：指反映重大疾病、重大传染病预防控制等重大公共卫生服务项目支出。卫生健康支出（类）行政事业单位医疗（款）事业单位医疗：指反映财政部门安排的事业单位基本医疗保险缴费经费，未参加医疗保险的事业单位的公费医疗经费，按国家规定享受离休人员待遇的医疗经费。卫生健康支出（类）行政事业单位医疗（款）其他行政事业单位医疗支出（项）：指反映除上述项目以外的其他用于行政事业单位医疗方面的支出。卫生健康支出（类）其他卫生健康支出（款）其他卫生健康支出（项）：指反映除上述项目以外其他用于卫生健康方面的支出。</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11.住房保障支出（类）住房改革支出（款）住房公积金（项）：指反映行政事业单位按人力资源和社会保障部、财政部规定的基本工资和津贴补贴以及规定比例缴纳为职工缴纳的住房公积金。</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12.基本支出：指为保障机构正常运转、完成日常工作任务而发生的人员支出和公用支出。</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 xml:space="preserve">13.项目支出：指在基本支出之外为完成特定行政任务和事业发展目标所发生的支出。 </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14.经营支出：指事业单位在专业业务活动及其辅助活动之外开展非独立核算经营活动发生的支出。</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15.“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16.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17.基本支出：指为保障机构正常运转、完成日常工作任务而发生的人员支出和公用支出。</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 xml:space="preserve">18.项目支出：指在基本支出之外为完成特定行政任务和事业发展目标所发生的支出。 </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19.经营支出：指事业单位在专业业务活动及其辅助活动之外开展非独立核算经营活动发生的支出。</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20.“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ascii="仿宋" w:eastAsia="仿宋" w:cs="Times New Roman" w:hint="eastAsia"/>
          <w:color w:val="auto"/>
          <w:sz w:val="32"/>
          <w:szCs w:val="32"/>
          <w:lang w:val="en-US" w:eastAsia="zh-CN"/>
        </w:rPr>
      </w:pPr>
      <w:r>
        <w:rPr>
          <w:rFonts w:ascii="仿宋" w:eastAsia="仿宋" w:cs="Times New Roman" w:hint="eastAsia"/>
          <w:color w:val="auto"/>
          <w:sz w:val="32"/>
          <w:szCs w:val="32"/>
          <w:lang w:val="en-US" w:eastAsia="zh-CN"/>
        </w:rPr>
        <w:t>21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ascii="黑体" w:eastAsia="黑体" w:cs="Times New Roman" w:hint="eastAsia"/>
          <w:b w:val="0"/>
          <w:color w:val="auto"/>
          <w:lang w:val="en-US" w:eastAsia="zh-CN"/>
        </w:rPr>
      </w:pPr>
      <w:r>
        <w:rPr>
          <w:rFonts w:ascii="仿宋" w:eastAsia="仿宋" w:cs="Times New Roman" w:hint="eastAsia"/>
          <w:color w:val="auto"/>
          <w:sz w:val="32"/>
          <w:szCs w:val="32"/>
          <w:lang w:val="en-US" w:eastAsia="zh-CN"/>
        </w:rPr>
        <w:br w:type="page"/>
      </w:r>
    </w:p>
    <w:p>
      <w:pPr>
        <w:pStyle w:val="1"/>
        <w:ind w:firstLineChars="500" w:firstLine="2200"/>
        <w:jc w:val="both"/>
        <w:rPr>
          <w:rStyle w:val="1Char"/>
          <w:rFonts w:ascii="黑体" w:eastAsia="黑体"/>
          <w:b w:val="0"/>
          <w:bCs/>
          <w:color w:val="auto"/>
        </w:rPr>
      </w:pPr>
      <w:r>
        <w:rPr>
          <w:rFonts w:ascii="黑体" w:eastAsia="黑体" w:cs="Times New Roman" w:hint="eastAsia"/>
          <w:b w:val="0"/>
          <w:color w:val="auto"/>
          <w:lang w:val="en-US" w:eastAsia="zh-CN"/>
        </w:rPr>
        <w:t xml:space="preserve"> </w:t>
      </w:r>
      <w:bookmarkStart w:id="69" w:name="_Toc9763"/>
      <w:r>
        <w:rPr>
          <w:rFonts w:ascii="黑体" w:eastAsia="黑体" w:cs="Times New Roman" w:hint="eastAsia"/>
          <w:b w:val="0"/>
          <w:bCs/>
          <w:color w:val="auto"/>
          <w:kern w:val="44"/>
          <w:sz w:val="44"/>
          <w:szCs w:val="44"/>
          <w:lang w:val="en-US" w:eastAsia="zh-CN" w:bidi="ar-SA"/>
        </w:rPr>
        <w:t>第四部分 附件</w:t>
      </w:r>
      <w:bookmarkEnd w:id="67"/>
      <w:bookmarkEnd w:id="69"/>
    </w:p>
    <w:p>
      <w:pPr>
        <w:spacing w:line="572" w:lineRule="exact"/>
        <w:jc w:val="left"/>
        <w:outlineLvl w:val="0"/>
        <w:rPr>
          <w:rFonts w:ascii="仿宋_GB2312" w:eastAsia="仿宋_GB2312" w:cs="仿宋_GB2312"/>
          <w:color w:val="auto"/>
          <w:sz w:val="32"/>
          <w:szCs w:val="32"/>
        </w:rPr>
      </w:pPr>
    </w:p>
    <w:p>
      <w:pPr>
        <w:pStyle w:val="24"/>
        <w:shd w:val="clear" w:color="auto" w:fill="FFFFFF"/>
        <w:spacing w:line="560" w:lineRule="exact"/>
        <w:ind w:left="960" w:hangingChars="300" w:hanging="960"/>
        <w:rPr>
          <w:rFonts w:ascii="黑体" w:eastAsia="黑体" w:hint="eastAsia"/>
          <w:color w:val="auto"/>
          <w:sz w:val="32"/>
          <w:szCs w:val="32"/>
        </w:rPr>
      </w:pPr>
      <w:bookmarkStart w:id="70" w:name="_Toc15396618"/>
      <w:r>
        <w:rPr>
          <w:rFonts w:ascii="黑体" w:eastAsia="黑体" w:hint="eastAsia"/>
          <w:color w:val="auto"/>
          <w:sz w:val="32"/>
          <w:szCs w:val="32"/>
        </w:rPr>
        <w:t>附件1:2025年</w:t>
      </w:r>
      <w:r>
        <w:rPr>
          <w:rFonts w:ascii="黑体" w:eastAsia="黑体" w:hint="eastAsia"/>
          <w:color w:val="auto"/>
          <w:sz w:val="32"/>
          <w:szCs w:val="32"/>
          <w:lang w:val="en-US" w:eastAsia="zh-CN"/>
        </w:rPr>
        <w:t>汶川县三江镇中心卫生院</w:t>
      </w:r>
      <w:r>
        <w:rPr>
          <w:rFonts w:ascii="黑体" w:eastAsia="黑体" w:hint="eastAsia"/>
          <w:color w:val="auto"/>
          <w:sz w:val="32"/>
          <w:szCs w:val="32"/>
        </w:rPr>
        <w:t>整体绩效评价报告和2025年</w:t>
      </w:r>
      <w:r>
        <w:rPr>
          <w:rFonts w:ascii="黑体" w:eastAsia="黑体" w:hint="eastAsia"/>
          <w:color w:val="auto"/>
          <w:sz w:val="32"/>
          <w:szCs w:val="32"/>
          <w:lang w:val="en-US" w:eastAsia="zh-CN"/>
        </w:rPr>
        <w:t>汶川县三江镇中心卫生院</w:t>
      </w:r>
      <w:r>
        <w:rPr>
          <w:rFonts w:ascii="黑体" w:eastAsia="黑体" w:hint="eastAsia"/>
          <w:color w:val="auto"/>
          <w:sz w:val="32"/>
          <w:szCs w:val="32"/>
        </w:rPr>
        <w:t>整体支出绩效目标完成情况自评表</w:t>
      </w:r>
    </w:p>
    <w:p>
      <w:pPr>
        <w:pStyle w:val="24"/>
        <w:shd w:val="clear" w:color="auto" w:fill="FFFFFF"/>
        <w:spacing w:line="560" w:lineRule="exact"/>
        <w:ind w:firstLineChars="600" w:firstLine="1920"/>
        <w:jc w:val="both"/>
        <w:rPr>
          <w:rFonts w:ascii="黑体" w:eastAsia="黑体" w:hint="eastAsia"/>
          <w:color w:val="auto"/>
          <w:sz w:val="32"/>
          <w:szCs w:val="32"/>
        </w:rPr>
      </w:pPr>
    </w:p>
    <w:p>
      <w:pPr>
        <w:pStyle w:val="24"/>
        <w:shd w:val="clear" w:color="auto" w:fill="FFFFFF"/>
        <w:spacing w:line="560" w:lineRule="exact"/>
        <w:ind w:firstLineChars="600" w:firstLine="1920"/>
        <w:jc w:val="both"/>
        <w:rPr>
          <w:rFonts w:ascii="黑体" w:eastAsia="黑体" w:hint="eastAsia"/>
          <w:color w:val="auto"/>
          <w:sz w:val="32"/>
          <w:szCs w:val="32"/>
        </w:rPr>
      </w:pPr>
      <w:r>
        <w:rPr>
          <w:rFonts w:ascii="黑体" w:eastAsia="黑体" w:hint="eastAsia"/>
          <w:color w:val="auto"/>
          <w:sz w:val="32"/>
          <w:szCs w:val="32"/>
        </w:rPr>
        <w:t>2025年汶川县</w:t>
      </w:r>
      <w:r>
        <w:rPr>
          <w:rFonts w:ascii="黑体" w:eastAsia="黑体" w:hint="eastAsia"/>
          <w:color w:val="auto"/>
          <w:sz w:val="32"/>
          <w:szCs w:val="32"/>
          <w:lang w:val="en-US" w:eastAsia="zh-CN"/>
        </w:rPr>
        <w:t>三江</w:t>
      </w:r>
      <w:r>
        <w:rPr>
          <w:rFonts w:ascii="黑体" w:eastAsia="黑体" w:hint="eastAsia"/>
          <w:color w:val="auto"/>
          <w:sz w:val="32"/>
          <w:szCs w:val="32"/>
        </w:rPr>
        <w:t>镇中心卫生院</w:t>
      </w:r>
    </w:p>
    <w:p>
      <w:pPr>
        <w:pStyle w:val="24"/>
        <w:shd w:val="clear" w:color="auto" w:fill="FFFFFF"/>
        <w:spacing w:line="560" w:lineRule="exact"/>
        <w:ind w:firstLineChars="900" w:firstLine="2880"/>
        <w:jc w:val="both"/>
        <w:rPr>
          <w:rFonts w:ascii="黑体" w:eastAsia="黑体" w:cs="黑体" w:hint="eastAsia"/>
          <w:color w:val="auto"/>
          <w:kern w:val="0"/>
          <w:sz w:val="32"/>
          <w:szCs w:val="32"/>
          <w:shd w:val="clear" w:color="auto" w:fill="auto"/>
          <w:lang w:val="zh-CN"/>
          <w:highlight w:val="auto"/>
        </w:rPr>
      </w:pPr>
      <w:r>
        <w:rPr>
          <w:rFonts w:ascii="黑体" w:eastAsia="黑体" w:hint="eastAsia"/>
          <w:color w:val="auto"/>
          <w:sz w:val="32"/>
          <w:szCs w:val="32"/>
        </w:rPr>
        <w:t>单位整体绩效评价报告</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en-US" w:eastAsia="zh-CN"/>
          <w:highlight w:val="auto"/>
        </w:rPr>
      </w:pPr>
      <w:bookmarkStart w:id="71" w:name="_Toc32346"/>
      <w:bookmarkStart w:id="72" w:name="_Toc26673"/>
      <w:r>
        <w:rPr>
          <w:rFonts w:ascii="Times New Roman" w:eastAsia="仿宋_GB2312" w:cs="Times New Roman" w:hAnsi="Times New Roman" w:hint="eastAsia"/>
          <w:color w:val="auto"/>
          <w:kern w:val="0"/>
          <w:sz w:val="32"/>
          <w:szCs w:val="32"/>
          <w:shd w:val="clear" w:color="auto" w:fill="auto"/>
          <w:lang w:val="zh-CN" w:eastAsia="zh-CN"/>
          <w:highlight w:val="auto"/>
        </w:rPr>
        <w:t>一、</w:t>
      </w:r>
      <w:r>
        <w:rPr>
          <w:rFonts w:ascii="Times New Roman" w:eastAsia="仿宋_GB2312" w:cs="Times New Roman" w:hAnsi="Times New Roman"/>
          <w:color w:val="auto"/>
          <w:kern w:val="0"/>
          <w:sz w:val="32"/>
          <w:szCs w:val="32"/>
          <w:shd w:val="clear" w:color="auto" w:fill="auto"/>
          <w:lang w:val="zh-CN" w:eastAsia="zh-CN"/>
          <w:highlight w:val="auto"/>
        </w:rPr>
        <w:t>部门（单位）基本情况</w:t>
      </w:r>
      <w:bookmarkEnd w:id="71"/>
      <w:bookmarkEnd w:id="72"/>
      <w:r>
        <w:rPr>
          <w:rFonts w:ascii="Times New Roman" w:eastAsia="仿宋_GB2312" w:cs="Times New Roman" w:hAnsi="Times New Roman" w:hint="eastAsia"/>
          <w:color w:val="auto"/>
          <w:kern w:val="0"/>
          <w:sz w:val="32"/>
          <w:szCs w:val="32"/>
          <w:shd w:val="clear" w:color="auto" w:fill="auto"/>
          <w:lang w:val="en-US" w:eastAsia="zh-CN"/>
          <w:highlight w:val="auto"/>
        </w:rPr>
        <w:t xml:space="preserve"> </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zh-CN" w:eastAsia="zh-CN"/>
          <w:highlight w:val="auto"/>
        </w:rPr>
      </w:pPr>
      <w:bookmarkStart w:id="73" w:name="_Toc29554"/>
      <w:bookmarkStart w:id="74" w:name="_Toc30565"/>
      <w:r>
        <w:rPr>
          <w:rFonts w:ascii="Times New Roman" w:eastAsia="仿宋_GB2312" w:cs="Times New Roman" w:hAnsi="Times New Roman" w:hint="eastAsia"/>
          <w:color w:val="auto"/>
          <w:kern w:val="0"/>
          <w:sz w:val="32"/>
          <w:szCs w:val="32"/>
          <w:shd w:val="clear" w:color="auto" w:fill="auto"/>
          <w:lang w:val="zh-CN" w:eastAsia="zh-CN"/>
          <w:highlight w:val="auto"/>
        </w:rPr>
        <w:t>（一）</w:t>
      </w:r>
      <w:r>
        <w:rPr>
          <w:rFonts w:ascii="Times New Roman" w:eastAsia="仿宋_GB2312" w:cs="Times New Roman" w:hAnsi="Times New Roman"/>
          <w:color w:val="auto"/>
          <w:kern w:val="0"/>
          <w:sz w:val="32"/>
          <w:szCs w:val="32"/>
          <w:shd w:val="clear" w:color="auto" w:fill="auto"/>
          <w:lang w:val="zh-CN" w:eastAsia="zh-CN"/>
          <w:highlight w:val="auto"/>
        </w:rPr>
        <w:t>机构组成</w:t>
      </w:r>
      <w:bookmarkEnd w:id="73"/>
      <w:bookmarkEnd w:id="74"/>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本单位为汶川县卫生健康局下属二级预算单位。</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bookmarkStart w:id="75" w:name="_Toc27277"/>
      <w:bookmarkStart w:id="76" w:name="_Toc1828"/>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二</w:t>
      </w: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color w:val="auto"/>
          <w:kern w:val="0"/>
          <w:sz w:val="32"/>
          <w:szCs w:val="32"/>
          <w:shd w:val="clear" w:color="auto" w:fill="auto"/>
          <w:lang w:val="zh-CN" w:eastAsia="zh-CN"/>
          <w:highlight w:val="auto"/>
        </w:rPr>
        <w:t>机构职能</w:t>
      </w:r>
      <w:bookmarkEnd w:id="75"/>
      <w:bookmarkEnd w:id="76"/>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主要职责是：根据《卫生部</w:t>
      </w:r>
      <w:r>
        <w:rPr>
          <w:rFonts w:eastAsia="仿宋_GB2312" w:cs="Times New Roman" w:hint="eastAsia"/>
          <w:color w:val="auto"/>
          <w:kern w:val="0"/>
          <w:sz w:val="32"/>
          <w:szCs w:val="32"/>
          <w:shd w:val="clear" w:color="auto" w:fill="auto"/>
          <w:lang w:val="en-US" w:eastAsia="zh-CN"/>
          <w:highlight w:val="auto"/>
        </w:rPr>
        <w:t>等5部门关于印发,&lt;乡镇卫生院管理办法（试行）&gt;的通知文件规定，主要职责是：1、提供</w:t>
      </w:r>
      <w:r>
        <w:rPr>
          <w:rFonts w:ascii="Times New Roman" w:eastAsia="仿宋_GB2312" w:cs="Times New Roman" w:hAnsi="Times New Roman" w:hint="eastAsia"/>
          <w:color w:val="auto"/>
          <w:kern w:val="0"/>
          <w:sz w:val="32"/>
          <w:szCs w:val="32"/>
          <w:shd w:val="clear" w:color="auto" w:fill="auto"/>
          <w:lang w:val="en-US" w:eastAsia="zh-CN"/>
          <w:highlight w:val="auto"/>
        </w:rPr>
        <w:t>公共卫生服务；2提供基本医疗服务；3、承担公共卫生管理。</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（三）人员概况</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人员概况：医院核定编制15人，现有人员17人：其中在职在编职工14人，特岗人员1人，</w:t>
      </w:r>
      <w:r>
        <w:rPr>
          <w:rFonts w:ascii="Times New Roman" w:eastAsia="仿宋_GB2312" w:cs="Times New Roman" w:hAnsi="Times New Roman" w:hint="eastAsia"/>
          <w:color w:val="auto"/>
          <w:kern w:val="0"/>
          <w:sz w:val="32"/>
          <w:szCs w:val="32"/>
          <w:shd w:val="clear" w:color="auto" w:fill="auto"/>
          <w:lang w:val="en-US" w:eastAsia="zh-CN"/>
        </w:rPr>
        <w:t>“三支一扶”</w:t>
      </w:r>
      <w:r>
        <w:rPr>
          <w:rFonts w:ascii="Times New Roman" w:eastAsia="仿宋_GB2312" w:cs="Times New Roman" w:hAnsi="Times New Roman" w:hint="eastAsia"/>
          <w:color w:val="auto"/>
          <w:kern w:val="0"/>
          <w:sz w:val="32"/>
          <w:szCs w:val="32"/>
          <w:shd w:val="clear" w:color="auto" w:fill="auto"/>
          <w:lang w:val="en-US" w:eastAsia="zh-CN"/>
          <w:highlight w:val="auto"/>
        </w:rPr>
        <w:t>2人，退休职工1人。</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zh-CN" w:eastAsia="zh-CN"/>
          <w:highlight w:val="auto"/>
        </w:rPr>
      </w:pPr>
      <w:bookmarkStart w:id="77" w:name="_Toc31788"/>
      <w:bookmarkStart w:id="78" w:name="_Toc31707"/>
      <w:r>
        <w:rPr>
          <w:rFonts w:ascii="Times New Roman" w:eastAsia="仿宋_GB2312" w:cs="Times New Roman" w:hAnsi="Times New Roman"/>
          <w:color w:val="auto"/>
          <w:kern w:val="0"/>
          <w:sz w:val="32"/>
          <w:szCs w:val="32"/>
          <w:shd w:val="clear" w:color="auto" w:fill="auto"/>
          <w:lang w:val="zh-CN" w:eastAsia="zh-CN"/>
          <w:highlight w:val="auto"/>
        </w:rPr>
        <w:t>二、部门资金收支情况</w:t>
      </w:r>
      <w:bookmarkEnd w:id="77"/>
      <w:bookmarkEnd w:id="78"/>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zh-CN" w:eastAsia="zh-CN"/>
          <w:highlight w:val="auto"/>
        </w:rPr>
      </w:pPr>
      <w:bookmarkStart w:id="79" w:name="_Toc23998"/>
      <w:bookmarkStart w:id="80" w:name="_Toc13372"/>
      <w:r>
        <w:rPr>
          <w:rFonts w:ascii="Times New Roman" w:eastAsia="仿宋_GB2312" w:cs="Times New Roman" w:hAnsi="Times New Roman"/>
          <w:color w:val="auto"/>
          <w:kern w:val="0"/>
          <w:sz w:val="32"/>
          <w:szCs w:val="32"/>
          <w:shd w:val="clear" w:color="auto" w:fill="auto"/>
          <w:lang w:val="zh-CN" w:eastAsia="zh-CN"/>
          <w:highlight w:val="auto"/>
        </w:rPr>
        <w:t>（一）</w:t>
      </w:r>
      <w:r>
        <w:rPr>
          <w:rFonts w:ascii="Times New Roman" w:eastAsia="仿宋_GB2312" w:cs="Times New Roman" w:hAnsi="Times New Roman" w:hint="eastAsia"/>
          <w:color w:val="auto"/>
          <w:kern w:val="0"/>
          <w:sz w:val="32"/>
          <w:szCs w:val="32"/>
          <w:shd w:val="clear" w:color="auto" w:fill="auto"/>
          <w:lang w:val="zh-CN" w:eastAsia="zh-CN"/>
          <w:highlight w:val="auto"/>
        </w:rPr>
        <w:t>收入情况</w:t>
      </w:r>
      <w:bookmarkEnd w:id="79"/>
      <w:bookmarkEnd w:id="80"/>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我单位2025年总收入386.86万元，其中财政收入327.85万元，占总收入的84.75%；政府性基金预算财政拨款0元，占总收入的0%，事业收入59.01万元，占总收入的15.25%；其他收入0元。</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zh-CN" w:eastAsia="zh-CN"/>
          <w:highlight w:val="auto"/>
        </w:rPr>
      </w:pPr>
      <w:bookmarkStart w:id="81" w:name="_Toc18859"/>
      <w:bookmarkStart w:id="82" w:name="_Toc31410"/>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二</w:t>
      </w:r>
      <w:r>
        <w:rPr>
          <w:rFonts w:ascii="Times New Roman" w:eastAsia="仿宋_GB2312" w:cs="Times New Roman" w:hAnsi="Times New Roman" w:hint="eastAsia"/>
          <w:color w:val="auto"/>
          <w:kern w:val="0"/>
          <w:sz w:val="32"/>
          <w:szCs w:val="32"/>
          <w:shd w:val="clear" w:color="auto" w:fill="auto"/>
          <w:lang w:val="zh-CN" w:eastAsia="zh-CN"/>
          <w:highlight w:val="auto"/>
        </w:rPr>
        <w:t>）支出情况</w:t>
      </w:r>
      <w:bookmarkEnd w:id="81"/>
      <w:bookmarkEnd w:id="82"/>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我单位本年总支出374.03万元，其中基本支出311.72万元，项目支出62.31万元，</w:t>
      </w:r>
      <w:bookmarkStart w:id="83" w:name="_Toc7187"/>
      <w:bookmarkStart w:id="84" w:name="_Toc31506"/>
      <w:r>
        <w:rPr>
          <w:rFonts w:ascii="Times New Roman" w:eastAsia="仿宋_GB2312" w:cs="Times New Roman" w:hAnsi="Times New Roman" w:hint="eastAsia"/>
          <w:color w:val="auto"/>
          <w:kern w:val="0"/>
          <w:sz w:val="32"/>
          <w:szCs w:val="32"/>
          <w:shd w:val="clear" w:color="auto" w:fill="auto"/>
          <w:lang w:val="en-US" w:eastAsia="zh-CN"/>
          <w:highlight w:val="auto"/>
        </w:rPr>
        <w:t>按经济分类支出，其中工资福利支出247.92万元，占总支出的66.28%；商品和服务支出100.85万元，占总支出的26.96%；对个人和家庭的补助支出25.14万元，占总支出的6.72%。资本性支出0.12万元，占总支出的0.04%。</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三</w:t>
      </w: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color w:val="auto"/>
          <w:kern w:val="0"/>
          <w:sz w:val="32"/>
          <w:szCs w:val="32"/>
          <w:shd w:val="clear" w:color="auto" w:fill="auto"/>
          <w:lang w:val="zh-CN" w:eastAsia="zh-CN"/>
          <w:highlight w:val="auto"/>
        </w:rPr>
        <w:t>结余分配和结转结余情况</w:t>
      </w:r>
      <w:bookmarkEnd w:id="83"/>
      <w:bookmarkEnd w:id="84"/>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en-US" w:eastAsia="zh-CN"/>
          <w:highlight w:val="auto"/>
        </w:rPr>
      </w:pPr>
      <w:bookmarkStart w:id="85" w:name="_Toc16769"/>
      <w:bookmarkStart w:id="86" w:name="_Toc24473"/>
      <w:r>
        <w:rPr>
          <w:rFonts w:ascii="Times New Roman" w:eastAsia="仿宋_GB2312" w:cs="Times New Roman" w:hAnsi="Times New Roman" w:hint="eastAsia"/>
          <w:color w:val="auto"/>
          <w:kern w:val="0"/>
          <w:sz w:val="32"/>
          <w:szCs w:val="32"/>
          <w:shd w:val="clear" w:color="auto" w:fill="auto"/>
          <w:lang w:val="en-US" w:eastAsia="zh-CN"/>
          <w:highlight w:val="auto"/>
        </w:rPr>
        <w:t>2025年非财政拨款结转年初数为0万元，其中：基本支出结转0万元，项目支出结转0万元。本年度收支差额为0万元，提取专用结余0万元，结余分配转入非财政拨款结余为0万元。</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zh-CN" w:eastAsia="zh-CN"/>
          <w:highlight w:val="auto"/>
        </w:rPr>
      </w:pPr>
      <w:r>
        <w:rPr>
          <w:rFonts w:ascii="Times New Roman" w:eastAsia="仿宋_GB2312" w:cs="Times New Roman" w:hAnsi="Times New Roman"/>
          <w:color w:val="auto"/>
          <w:kern w:val="0"/>
          <w:sz w:val="32"/>
          <w:szCs w:val="32"/>
          <w:shd w:val="clear" w:color="auto" w:fill="auto"/>
          <w:lang w:val="zh-CN" w:eastAsia="zh-CN"/>
          <w:highlight w:val="auto"/>
        </w:rPr>
        <w:t>三、部门预算绩效分析</w:t>
      </w:r>
      <w:bookmarkEnd w:id="85"/>
      <w:bookmarkEnd w:id="86"/>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zh-CN" w:eastAsia="zh-CN"/>
          <w:highlight w:val="auto"/>
        </w:rPr>
      </w:pPr>
      <w:bookmarkStart w:id="87" w:name="_Toc7745"/>
      <w:bookmarkStart w:id="88" w:name="_Toc7605"/>
      <w:r>
        <w:rPr>
          <w:rFonts w:ascii="Times New Roman" w:eastAsia="仿宋_GB2312" w:cs="Times New Roman" w:hAnsi="Times New Roman"/>
          <w:color w:val="auto"/>
          <w:kern w:val="0"/>
          <w:sz w:val="32"/>
          <w:szCs w:val="32"/>
          <w:shd w:val="clear" w:color="auto" w:fill="auto"/>
          <w:lang w:val="zh-CN" w:eastAsia="zh-CN"/>
          <w:highlight w:val="auto"/>
        </w:rPr>
        <w:t>（一）</w:t>
      </w:r>
      <w:r>
        <w:rPr>
          <w:rFonts w:ascii="Times New Roman" w:eastAsia="仿宋_GB2312" w:cs="Times New Roman" w:hAnsi="Times New Roman" w:hint="eastAsia"/>
          <w:color w:val="auto"/>
          <w:kern w:val="0"/>
          <w:sz w:val="32"/>
          <w:szCs w:val="32"/>
          <w:shd w:val="clear" w:color="auto" w:fill="auto"/>
          <w:lang w:val="zh-CN" w:eastAsia="zh-CN"/>
          <w:highlight w:val="auto"/>
        </w:rPr>
        <w:t>部门预算</w:t>
      </w:r>
      <w:r>
        <w:rPr>
          <w:rFonts w:ascii="Times New Roman" w:eastAsia="仿宋_GB2312" w:cs="Times New Roman" w:hAnsi="Times New Roman"/>
          <w:color w:val="auto"/>
          <w:kern w:val="0"/>
          <w:sz w:val="32"/>
          <w:szCs w:val="32"/>
          <w:shd w:val="clear" w:color="auto" w:fill="auto"/>
          <w:lang w:val="zh-CN" w:eastAsia="zh-CN"/>
          <w:highlight w:val="auto"/>
        </w:rPr>
        <w:t>总体绩效分析</w:t>
      </w:r>
      <w:bookmarkEnd w:id="87"/>
      <w:bookmarkEnd w:id="88"/>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bookmarkStart w:id="89" w:name="_Toc20903"/>
      <w:r>
        <w:rPr>
          <w:rFonts w:ascii="Times New Roman" w:eastAsia="仿宋_GB2312" w:cs="Times New Roman" w:hAnsi="Times New Roman" w:hint="eastAsia"/>
          <w:color w:val="auto"/>
          <w:kern w:val="0"/>
          <w:sz w:val="32"/>
          <w:szCs w:val="32"/>
          <w:shd w:val="clear" w:color="auto" w:fill="auto"/>
          <w:lang w:val="en-US" w:eastAsia="zh-CN"/>
          <w:highlight w:val="auto"/>
        </w:rPr>
        <w:t>1.</w:t>
      </w:r>
      <w:r>
        <w:rPr>
          <w:rFonts w:ascii="Times New Roman" w:eastAsia="仿宋_GB2312" w:cs="Times New Roman" w:hAnsi="Times New Roman" w:hint="eastAsia"/>
          <w:color w:val="auto"/>
          <w:kern w:val="0"/>
          <w:sz w:val="32"/>
          <w:szCs w:val="32"/>
          <w:shd w:val="clear" w:color="auto" w:fill="auto"/>
          <w:lang w:val="zh-CN" w:eastAsia="zh-CN"/>
          <w:highlight w:val="auto"/>
        </w:rPr>
        <w:t>履职效能</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1</w:t>
      </w:r>
      <w:r>
        <w:rPr>
          <w:rFonts w:ascii="Times New Roman" w:eastAsia="仿宋_GB2312" w:cs="Times New Roman" w:hAnsi="Times New Roman" w:hint="eastAsia"/>
          <w:color w:val="auto"/>
          <w:kern w:val="0"/>
          <w:sz w:val="32"/>
          <w:szCs w:val="32"/>
          <w:shd w:val="clear" w:color="auto" w:fill="auto"/>
          <w:lang w:val="zh-CN" w:eastAsia="zh-CN"/>
          <w:highlight w:val="auto"/>
        </w:rPr>
        <w:t>）产出履职效果：产出指标下设置</w:t>
      </w:r>
      <w:r>
        <w:rPr>
          <w:rFonts w:ascii="Times New Roman" w:eastAsia="仿宋_GB2312" w:cs="Times New Roman" w:hAnsi="Times New Roman" w:hint="eastAsia"/>
          <w:color w:val="auto"/>
          <w:kern w:val="0"/>
          <w:sz w:val="32"/>
          <w:szCs w:val="32"/>
          <w:shd w:val="clear" w:color="auto" w:fill="auto"/>
          <w:lang w:val="en-US" w:eastAsia="zh-CN"/>
          <w:highlight w:val="auto"/>
        </w:rPr>
        <w:t>6个绩效目标，年度内完成6个指标。</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（2）效益履职效果：效益指标下设置1个社会效益目标，完成1个目标。</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（3）成本履职效果：成本指标效益指标下设置1个经济成本指标，指标支327.85万元，全年完成指标支327.85万元。</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综上，根据评分标准，该项指标，得</w:t>
      </w:r>
      <w:r>
        <w:rPr>
          <w:rFonts w:ascii="Times New Roman" w:eastAsia="仿宋_GB2312" w:cs="Times New Roman" w:hAnsi="Times New Roman" w:hint="eastAsia"/>
          <w:color w:val="auto"/>
          <w:kern w:val="0"/>
          <w:sz w:val="32"/>
          <w:szCs w:val="32"/>
          <w:shd w:val="clear" w:color="auto" w:fill="auto"/>
          <w:lang w:val="en-US" w:eastAsia="zh-CN"/>
          <w:highlight w:val="auto"/>
        </w:rPr>
        <w:t>15</w:t>
      </w:r>
      <w:r>
        <w:rPr>
          <w:rFonts w:ascii="Times New Roman" w:eastAsia="仿宋_GB2312" w:cs="Times New Roman" w:hAnsi="Times New Roman" w:hint="eastAsia"/>
          <w:color w:val="auto"/>
          <w:kern w:val="0"/>
          <w:sz w:val="32"/>
          <w:szCs w:val="32"/>
          <w:shd w:val="clear" w:color="auto" w:fill="auto"/>
          <w:lang w:val="zh-CN" w:eastAsia="zh-CN"/>
          <w:highlight w:val="auto"/>
        </w:rPr>
        <w:t>分。</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bookmarkStart w:id="90" w:name="_Toc1532"/>
      <w:r>
        <w:rPr>
          <w:rFonts w:ascii="Times New Roman" w:eastAsia="仿宋_GB2312" w:cs="Times New Roman" w:hAnsi="Times New Roman" w:hint="eastAsia"/>
          <w:color w:val="auto"/>
          <w:kern w:val="0"/>
          <w:sz w:val="32"/>
          <w:szCs w:val="32"/>
          <w:shd w:val="clear" w:color="auto" w:fill="auto"/>
          <w:lang w:val="en-US" w:eastAsia="zh-CN"/>
          <w:highlight w:val="auto"/>
        </w:rPr>
        <w:t>2.</w:t>
      </w:r>
      <w:r>
        <w:rPr>
          <w:rFonts w:ascii="Times New Roman" w:eastAsia="仿宋_GB2312" w:cs="Times New Roman" w:hAnsi="Times New Roman"/>
          <w:color w:val="auto"/>
          <w:kern w:val="0"/>
          <w:sz w:val="32"/>
          <w:szCs w:val="32"/>
          <w:shd w:val="clear" w:color="auto" w:fill="auto"/>
          <w:lang w:val="zh-CN" w:eastAsia="zh-CN"/>
          <w:highlight w:val="auto"/>
        </w:rPr>
        <w:t>预算管理</w:t>
      </w:r>
      <w:bookmarkEnd w:id="90"/>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1</w:t>
      </w:r>
      <w:r>
        <w:rPr>
          <w:rFonts w:ascii="Times New Roman" w:eastAsia="仿宋_GB2312" w:cs="Times New Roman" w:hAnsi="Times New Roman" w:hint="eastAsia"/>
          <w:color w:val="auto"/>
          <w:kern w:val="0"/>
          <w:sz w:val="32"/>
          <w:szCs w:val="32"/>
          <w:shd w:val="clear" w:color="auto" w:fill="auto"/>
          <w:lang w:val="zh-CN" w:eastAsia="zh-CN"/>
          <w:highlight w:val="auto"/>
        </w:rPr>
        <w:t>）部门严格按要求编制年初部门预算，年初预算编制的科学性和准确性符合要求，因人员经费增加财政拨款预算执行数大于预算数。</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2</w:t>
      </w:r>
      <w:r>
        <w:rPr>
          <w:rFonts w:ascii="Times New Roman" w:eastAsia="仿宋_GB2312" w:cs="Times New Roman" w:hAnsi="Times New Roman" w:hint="eastAsia"/>
          <w:color w:val="auto"/>
          <w:kern w:val="0"/>
          <w:sz w:val="32"/>
          <w:szCs w:val="32"/>
          <w:shd w:val="clear" w:color="auto" w:fill="auto"/>
          <w:lang w:val="zh-CN" w:eastAsia="zh-CN"/>
          <w:highlight w:val="auto"/>
        </w:rPr>
        <w:t>）部门统筹自有收入程度不涉及此项分析。</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3</w:t>
      </w:r>
      <w:r>
        <w:rPr>
          <w:rFonts w:ascii="Times New Roman" w:eastAsia="仿宋_GB2312" w:cs="Times New Roman" w:hAnsi="Times New Roman" w:hint="eastAsia"/>
          <w:color w:val="auto"/>
          <w:kern w:val="0"/>
          <w:sz w:val="32"/>
          <w:szCs w:val="32"/>
          <w:shd w:val="clear" w:color="auto" w:fill="auto"/>
          <w:lang w:val="zh-CN" w:eastAsia="zh-CN"/>
          <w:highlight w:val="auto"/>
        </w:rPr>
        <w:t>）部门整体年终预算无结余资金。</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4</w:t>
      </w:r>
      <w:r>
        <w:rPr>
          <w:rFonts w:ascii="Times New Roman" w:eastAsia="仿宋_GB2312" w:cs="Times New Roman" w:hAnsi="Times New Roman" w:hint="eastAsia"/>
          <w:color w:val="auto"/>
          <w:kern w:val="0"/>
          <w:sz w:val="32"/>
          <w:szCs w:val="32"/>
          <w:shd w:val="clear" w:color="auto" w:fill="auto"/>
          <w:lang w:val="zh-CN" w:eastAsia="zh-CN"/>
          <w:highlight w:val="auto"/>
        </w:rPr>
        <w:t>）部门1至6月、1至10月预算执行较低，项目实施按照年初制定方案进行推进，前期支付较缓慢。</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5</w:t>
      </w:r>
      <w:r>
        <w:rPr>
          <w:rFonts w:ascii="Times New Roman" w:eastAsia="仿宋_GB2312" w:cs="Times New Roman" w:hAnsi="Times New Roman" w:hint="eastAsia"/>
          <w:color w:val="auto"/>
          <w:kern w:val="0"/>
          <w:sz w:val="32"/>
          <w:szCs w:val="32"/>
          <w:shd w:val="clear" w:color="auto" w:fill="auto"/>
          <w:lang w:val="zh-CN" w:eastAsia="zh-CN"/>
          <w:highlight w:val="auto"/>
        </w:rPr>
        <w:t>）部门“三公”经费、会议、培训、差旅、办节办展、办公设备购置、信息网络及软件购置更新、课题经费等8项一般性支出较上年压减</w:t>
      </w:r>
      <w:r>
        <w:rPr>
          <w:rFonts w:ascii="Times New Roman" w:eastAsia="仿宋_GB2312" w:cs="Times New Roman" w:hAnsi="Times New Roman" w:hint="eastAsia"/>
          <w:color w:val="auto"/>
          <w:kern w:val="0"/>
          <w:sz w:val="32"/>
          <w:szCs w:val="32"/>
          <w:shd w:val="clear" w:color="auto" w:fill="auto"/>
          <w:lang w:val="en-US" w:eastAsia="zh-CN"/>
          <w:highlight w:val="auto"/>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综上，根据评分标准，该项指标，得</w:t>
      </w:r>
      <w:r>
        <w:rPr>
          <w:rFonts w:ascii="Times New Roman" w:eastAsia="仿宋_GB2312" w:cs="Times New Roman" w:hAnsi="Times New Roman" w:hint="eastAsia"/>
          <w:color w:val="auto"/>
          <w:kern w:val="0"/>
          <w:sz w:val="32"/>
          <w:szCs w:val="32"/>
          <w:shd w:val="clear" w:color="auto" w:fill="auto"/>
          <w:lang w:val="en-US" w:eastAsia="zh-CN"/>
          <w:highlight w:val="auto"/>
        </w:rPr>
        <w:t>22.88</w:t>
      </w:r>
      <w:r>
        <w:rPr>
          <w:rFonts w:ascii="Times New Roman" w:eastAsia="仿宋_GB2312" w:cs="Times New Roman" w:hAnsi="Times New Roman" w:hint="eastAsia"/>
          <w:color w:val="auto"/>
          <w:kern w:val="0"/>
          <w:sz w:val="32"/>
          <w:szCs w:val="32"/>
          <w:shd w:val="clear" w:color="auto" w:fill="auto"/>
          <w:lang w:val="zh-CN" w:eastAsia="zh-CN"/>
          <w:highlight w:val="auto"/>
        </w:rPr>
        <w:t>分。</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bookmarkStart w:id="91" w:name="_Toc27237"/>
      <w:r>
        <w:rPr>
          <w:rFonts w:ascii="Times New Roman" w:eastAsia="仿宋_GB2312" w:cs="Times New Roman" w:hAnsi="Times New Roman" w:hint="eastAsia"/>
          <w:color w:val="auto"/>
          <w:kern w:val="0"/>
          <w:sz w:val="32"/>
          <w:szCs w:val="32"/>
          <w:shd w:val="clear" w:color="auto" w:fill="auto"/>
          <w:lang w:val="en-US" w:eastAsia="zh-CN"/>
          <w:highlight w:val="auto"/>
        </w:rPr>
        <w:t>3.</w:t>
      </w:r>
      <w:r>
        <w:rPr>
          <w:rFonts w:ascii="Times New Roman" w:eastAsia="仿宋_GB2312" w:cs="Times New Roman" w:hAnsi="Times New Roman"/>
          <w:color w:val="auto"/>
          <w:kern w:val="0"/>
          <w:sz w:val="32"/>
          <w:szCs w:val="32"/>
          <w:shd w:val="clear" w:color="auto" w:fill="auto"/>
          <w:lang w:val="zh-CN" w:eastAsia="zh-CN"/>
          <w:highlight w:val="auto"/>
        </w:rPr>
        <w:t>财务管理</w:t>
      </w:r>
      <w:bookmarkEnd w:id="91"/>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1</w:t>
      </w:r>
      <w:r>
        <w:rPr>
          <w:rFonts w:ascii="Times New Roman" w:eastAsia="仿宋_GB2312" w:cs="Times New Roman" w:hAnsi="Times New Roman" w:hint="eastAsia"/>
          <w:color w:val="auto"/>
          <w:kern w:val="0"/>
          <w:sz w:val="32"/>
          <w:szCs w:val="32"/>
          <w:shd w:val="clear" w:color="auto" w:fill="auto"/>
          <w:lang w:val="zh-CN" w:eastAsia="zh-CN"/>
          <w:highlight w:val="auto"/>
        </w:rPr>
        <w:t>）已制定内部财务管理制度等制度机制</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2</w:t>
      </w:r>
      <w:r>
        <w:rPr>
          <w:rFonts w:ascii="Times New Roman" w:eastAsia="仿宋_GB2312" w:cs="Times New Roman" w:hAnsi="Times New Roman" w:hint="eastAsia"/>
          <w:color w:val="auto"/>
          <w:kern w:val="0"/>
          <w:sz w:val="32"/>
          <w:szCs w:val="32"/>
          <w:shd w:val="clear" w:color="auto" w:fill="auto"/>
          <w:lang w:val="zh-CN" w:eastAsia="zh-CN"/>
          <w:highlight w:val="auto"/>
        </w:rPr>
        <w:t>）合理设置财务工作岗位，明确了职责权限，并严格实行不相容岗位分离。</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3)</w:t>
      </w:r>
      <w:r>
        <w:rPr>
          <w:rFonts w:ascii="Times New Roman" w:eastAsia="仿宋_GB2312" w:cs="Times New Roman" w:hAnsi="Times New Roman" w:hint="eastAsia"/>
          <w:color w:val="auto"/>
          <w:kern w:val="0"/>
          <w:sz w:val="32"/>
          <w:szCs w:val="32"/>
          <w:shd w:val="clear" w:color="auto" w:fill="auto"/>
          <w:lang w:val="zh-CN" w:eastAsia="zh-CN"/>
          <w:highlight w:val="auto"/>
        </w:rPr>
        <w:t>未超预算或无预算安排、虚列支出、超范围超标准使用经费、违规使用“三公”经费、滥发津补贴、报销不合规等情况。</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综上，根据评分标准，该项指标，得</w:t>
      </w:r>
      <w:r>
        <w:rPr>
          <w:rFonts w:ascii="Times New Roman" w:eastAsia="仿宋_GB2312" w:cs="Times New Roman" w:hAnsi="Times New Roman" w:hint="eastAsia"/>
          <w:color w:val="auto"/>
          <w:kern w:val="0"/>
          <w:sz w:val="32"/>
          <w:szCs w:val="32"/>
          <w:shd w:val="clear" w:color="auto" w:fill="auto"/>
          <w:lang w:val="en-US" w:eastAsia="zh-CN"/>
          <w:highlight w:val="auto"/>
        </w:rPr>
        <w:t>8</w:t>
      </w:r>
      <w:r>
        <w:rPr>
          <w:rFonts w:ascii="Times New Roman" w:eastAsia="仿宋_GB2312" w:cs="Times New Roman" w:hAnsi="Times New Roman" w:hint="eastAsia"/>
          <w:color w:val="auto"/>
          <w:kern w:val="0"/>
          <w:sz w:val="32"/>
          <w:szCs w:val="32"/>
          <w:shd w:val="clear" w:color="auto" w:fill="auto"/>
          <w:lang w:val="zh-CN" w:eastAsia="zh-CN"/>
          <w:highlight w:val="auto"/>
        </w:rPr>
        <w:t>分。</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bookmarkStart w:id="92" w:name="_Toc5709"/>
      <w:r>
        <w:rPr>
          <w:rFonts w:ascii="Times New Roman" w:eastAsia="仿宋_GB2312" w:cs="Times New Roman" w:hAnsi="Times New Roman" w:hint="eastAsia"/>
          <w:color w:val="auto"/>
          <w:kern w:val="0"/>
          <w:sz w:val="32"/>
          <w:szCs w:val="32"/>
          <w:shd w:val="clear" w:color="auto" w:fill="auto"/>
          <w:lang w:val="en-US" w:eastAsia="zh-CN"/>
          <w:highlight w:val="auto"/>
        </w:rPr>
        <w:t>4.</w:t>
      </w:r>
      <w:r>
        <w:rPr>
          <w:rFonts w:ascii="Times New Roman" w:eastAsia="仿宋_GB2312" w:cs="Times New Roman" w:hAnsi="Times New Roman"/>
          <w:color w:val="auto"/>
          <w:kern w:val="0"/>
          <w:sz w:val="32"/>
          <w:szCs w:val="32"/>
          <w:shd w:val="clear" w:color="auto" w:fill="auto"/>
          <w:lang w:val="zh-CN" w:eastAsia="zh-CN"/>
          <w:highlight w:val="auto"/>
        </w:rPr>
        <w:t>资产管理</w:t>
      </w:r>
      <w:bookmarkEnd w:id="92"/>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(1)</w:t>
      </w:r>
      <w:r>
        <w:rPr>
          <w:rFonts w:ascii="Times New Roman" w:eastAsia="仿宋_GB2312" w:cs="Times New Roman" w:hAnsi="Times New Roman" w:hint="eastAsia"/>
          <w:color w:val="auto"/>
          <w:kern w:val="0"/>
          <w:sz w:val="32"/>
          <w:szCs w:val="32"/>
          <w:shd w:val="clear" w:color="auto" w:fill="auto"/>
          <w:lang w:val="zh-CN" w:eastAsia="zh-CN"/>
          <w:highlight w:val="auto"/>
        </w:rPr>
        <w:t>人均资产变化率较低，单位属医疗卫生单位资产占比较大，人员较少。</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(2)</w:t>
      </w:r>
      <w:r>
        <w:rPr>
          <w:rFonts w:ascii="Times New Roman" w:eastAsia="仿宋_GB2312" w:cs="Times New Roman" w:hAnsi="Times New Roman" w:hint="eastAsia"/>
          <w:color w:val="auto"/>
          <w:kern w:val="0"/>
          <w:sz w:val="32"/>
          <w:szCs w:val="32"/>
          <w:shd w:val="clear" w:color="auto" w:fill="auto"/>
          <w:lang w:val="zh-CN" w:eastAsia="zh-CN"/>
          <w:highlight w:val="auto"/>
        </w:rPr>
        <w:t>单位办公家具无净值为</w:t>
      </w:r>
      <w:r>
        <w:rPr>
          <w:rFonts w:ascii="Times New Roman" w:eastAsia="仿宋_GB2312" w:cs="Times New Roman" w:hAnsi="Times New Roman" w:hint="eastAsia"/>
          <w:color w:val="auto"/>
          <w:kern w:val="0"/>
          <w:sz w:val="32"/>
          <w:szCs w:val="32"/>
          <w:shd w:val="clear" w:color="auto" w:fill="auto"/>
          <w:lang w:val="en-US" w:eastAsia="zh-CN"/>
          <w:highlight w:val="auto"/>
        </w:rPr>
        <w:t>0的</w:t>
      </w:r>
      <w:r>
        <w:rPr>
          <w:rFonts w:ascii="Times New Roman" w:eastAsia="仿宋_GB2312" w:cs="Times New Roman" w:hAnsi="Times New Roman" w:hint="eastAsia"/>
          <w:color w:val="auto"/>
          <w:kern w:val="0"/>
          <w:sz w:val="32"/>
          <w:szCs w:val="32"/>
          <w:shd w:val="clear" w:color="auto" w:fill="auto"/>
          <w:lang w:val="zh-CN" w:eastAsia="zh-CN"/>
          <w:highlight w:val="auto"/>
        </w:rPr>
        <w:t>资产，折旧年限较长。</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(3）</w:t>
      </w:r>
      <w:r>
        <w:rPr>
          <w:rFonts w:ascii="Times New Roman" w:eastAsia="仿宋_GB2312" w:cs="Times New Roman" w:hAnsi="Times New Roman" w:hint="eastAsia"/>
          <w:color w:val="auto"/>
          <w:kern w:val="0"/>
          <w:sz w:val="32"/>
          <w:szCs w:val="32"/>
          <w:shd w:val="clear" w:color="auto" w:fill="auto"/>
          <w:lang w:val="zh-CN" w:eastAsia="zh-CN"/>
          <w:highlight w:val="auto"/>
        </w:rPr>
        <w:t>无闲置一年以上的资产。</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综上，根据评分标准，该项指标，得</w:t>
      </w:r>
      <w:r>
        <w:rPr>
          <w:rFonts w:ascii="Times New Roman" w:eastAsia="仿宋_GB2312" w:cs="Times New Roman" w:hAnsi="Times New Roman" w:hint="eastAsia"/>
          <w:color w:val="auto"/>
          <w:kern w:val="0"/>
          <w:sz w:val="32"/>
          <w:szCs w:val="32"/>
          <w:shd w:val="clear" w:color="auto" w:fill="auto"/>
          <w:lang w:val="en-US" w:eastAsia="zh-CN"/>
          <w:highlight w:val="auto"/>
        </w:rPr>
        <w:t>3</w:t>
      </w:r>
      <w:r>
        <w:rPr>
          <w:rFonts w:ascii="Times New Roman" w:eastAsia="仿宋_GB2312" w:cs="Times New Roman" w:hAnsi="Times New Roman" w:hint="eastAsia"/>
          <w:color w:val="auto"/>
          <w:kern w:val="0"/>
          <w:sz w:val="32"/>
          <w:szCs w:val="32"/>
          <w:shd w:val="clear" w:color="auto" w:fill="auto"/>
          <w:lang w:val="zh-CN" w:eastAsia="zh-CN"/>
          <w:highlight w:val="auto"/>
        </w:rPr>
        <w:t>分。</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bookmarkStart w:id="93" w:name="_Toc17248"/>
      <w:r>
        <w:rPr>
          <w:rFonts w:ascii="Times New Roman" w:eastAsia="仿宋_GB2312" w:cs="Times New Roman" w:hAnsi="Times New Roman" w:hint="eastAsia"/>
          <w:color w:val="auto"/>
          <w:kern w:val="0"/>
          <w:sz w:val="32"/>
          <w:szCs w:val="32"/>
          <w:shd w:val="clear" w:color="auto" w:fill="auto"/>
          <w:lang w:val="en-US" w:eastAsia="zh-CN"/>
          <w:highlight w:val="auto"/>
        </w:rPr>
        <w:t>5.</w:t>
      </w:r>
      <w:r>
        <w:rPr>
          <w:rFonts w:ascii="Times New Roman" w:eastAsia="仿宋_GB2312" w:cs="Times New Roman" w:hAnsi="Times New Roman"/>
          <w:color w:val="auto"/>
          <w:kern w:val="0"/>
          <w:sz w:val="32"/>
          <w:szCs w:val="32"/>
          <w:shd w:val="clear" w:color="auto" w:fill="auto"/>
          <w:lang w:val="zh-CN" w:eastAsia="zh-CN"/>
          <w:highlight w:val="auto"/>
        </w:rPr>
        <w:t>采购管理</w:t>
      </w:r>
      <w:bookmarkEnd w:id="93"/>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1</w:t>
      </w:r>
      <w:r>
        <w:rPr>
          <w:rFonts w:ascii="Times New Roman" w:eastAsia="仿宋_GB2312" w:cs="Times New Roman" w:hAnsi="Times New Roman" w:hint="eastAsia"/>
          <w:color w:val="auto"/>
          <w:kern w:val="0"/>
          <w:sz w:val="32"/>
          <w:szCs w:val="32"/>
          <w:shd w:val="clear" w:color="auto" w:fill="auto"/>
          <w:lang w:val="zh-CN" w:eastAsia="zh-CN"/>
          <w:highlight w:val="auto"/>
        </w:rPr>
        <w:t>）对适宜由中小企业提供的采购项目和采购包，预留采购份额专门面向中小企业采购，并在采购预算中单独列示。</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（2）单位年度内无政府采购项目资金支付无比例情况。</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综上，根据评分标准，该项指标，得</w:t>
      </w:r>
      <w:r>
        <w:rPr>
          <w:rFonts w:ascii="Times New Roman" w:eastAsia="仿宋_GB2312" w:cs="Times New Roman" w:hAnsi="Times New Roman" w:hint="eastAsia"/>
          <w:color w:val="auto"/>
          <w:kern w:val="0"/>
          <w:sz w:val="32"/>
          <w:szCs w:val="32"/>
          <w:shd w:val="clear" w:color="auto" w:fill="auto"/>
          <w:lang w:val="en-US" w:eastAsia="zh-CN"/>
          <w:highlight w:val="auto"/>
        </w:rPr>
        <w:t>6</w:t>
      </w:r>
      <w:r>
        <w:rPr>
          <w:rFonts w:ascii="Times New Roman" w:eastAsia="仿宋_GB2312" w:cs="Times New Roman" w:hAnsi="Times New Roman" w:hint="eastAsia"/>
          <w:color w:val="auto"/>
          <w:kern w:val="0"/>
          <w:sz w:val="32"/>
          <w:szCs w:val="32"/>
          <w:shd w:val="clear" w:color="auto" w:fill="auto"/>
          <w:lang w:val="zh-CN" w:eastAsia="zh-CN"/>
          <w:highlight w:val="auto"/>
        </w:rPr>
        <w:t>分。</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en-US" w:eastAsia="zh-CN"/>
          <w:highlight w:val="auto"/>
        </w:rPr>
      </w:pPr>
      <w:bookmarkStart w:id="94" w:name="_Toc13617"/>
      <w:r>
        <w:rPr>
          <w:rFonts w:ascii="Times New Roman" w:eastAsia="仿宋_GB2312" w:cs="Times New Roman" w:hAnsi="Times New Roman"/>
          <w:color w:val="auto"/>
          <w:kern w:val="0"/>
          <w:sz w:val="32"/>
          <w:szCs w:val="32"/>
          <w:shd w:val="clear" w:color="auto" w:fill="auto"/>
          <w:lang w:val="zh-CN" w:eastAsia="zh-CN"/>
          <w:highlight w:val="auto"/>
        </w:rPr>
        <w:t>（二）部门预算项目绩效分析</w:t>
      </w:r>
      <w:bookmarkEnd w:id="89"/>
      <w:bookmarkEnd w:id="94"/>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zh-CN" w:eastAsia="zh-CN"/>
          <w:highlight w:val="auto"/>
        </w:rPr>
      </w:pPr>
      <w:r>
        <w:rPr>
          <w:rFonts w:ascii="Times New Roman" w:eastAsia="仿宋_GB2312" w:cs="Times New Roman" w:hAnsi="Times New Roman"/>
          <w:color w:val="auto"/>
          <w:kern w:val="0"/>
          <w:sz w:val="32"/>
          <w:szCs w:val="32"/>
          <w:shd w:val="clear" w:color="auto" w:fill="auto"/>
          <w:lang w:val="en-US" w:eastAsia="zh-CN"/>
          <w:highlight w:val="auto"/>
        </w:rPr>
        <w:t>常年项目绩效分析。</w:t>
      </w:r>
      <w:r>
        <w:rPr>
          <w:rFonts w:ascii="Times New Roman" w:eastAsia="仿宋_GB2312" w:cs="Times New Roman" w:hAnsi="Times New Roman"/>
          <w:color w:val="auto"/>
          <w:kern w:val="0"/>
          <w:sz w:val="32"/>
          <w:szCs w:val="32"/>
          <w:shd w:val="clear" w:color="auto" w:fill="auto"/>
          <w:lang w:val="zh-CN" w:eastAsia="zh-CN"/>
          <w:highlight w:val="auto"/>
        </w:rPr>
        <w:t>该类项目总数</w:t>
      </w:r>
      <w:r>
        <w:rPr>
          <w:rFonts w:ascii="Times New Roman" w:eastAsia="仿宋_GB2312" w:cs="Times New Roman" w:hAnsi="Times New Roman" w:hint="eastAsia"/>
          <w:color w:val="auto"/>
          <w:kern w:val="0"/>
          <w:sz w:val="32"/>
          <w:szCs w:val="32"/>
          <w:shd w:val="clear" w:color="auto" w:fill="auto"/>
          <w:lang w:val="en-US" w:eastAsia="zh-CN"/>
          <w:highlight w:val="auto"/>
        </w:rPr>
        <w:t>6</w:t>
      </w:r>
      <w:r>
        <w:rPr>
          <w:rFonts w:ascii="Times New Roman" w:eastAsia="仿宋_GB2312" w:cs="Times New Roman" w:hAnsi="Times New Roman"/>
          <w:color w:val="auto"/>
          <w:kern w:val="0"/>
          <w:sz w:val="32"/>
          <w:szCs w:val="32"/>
          <w:shd w:val="clear" w:color="auto" w:fill="auto"/>
          <w:lang w:val="zh-CN" w:eastAsia="zh-CN"/>
          <w:highlight w:val="auto"/>
        </w:rPr>
        <w:t>个，涉及预算总金额</w:t>
      </w:r>
      <w:r>
        <w:rPr>
          <w:rFonts w:ascii="Times New Roman" w:eastAsia="仿宋_GB2312" w:cs="Times New Roman" w:hAnsi="Times New Roman" w:hint="eastAsia"/>
          <w:color w:val="auto"/>
          <w:kern w:val="0"/>
          <w:sz w:val="32"/>
          <w:szCs w:val="32"/>
          <w:shd w:val="clear" w:color="auto" w:fill="auto"/>
          <w:lang w:val="en-US" w:eastAsia="zh-CN"/>
          <w:highlight w:val="auto"/>
        </w:rPr>
        <w:t>24.21</w:t>
      </w:r>
      <w:r>
        <w:rPr>
          <w:rFonts w:ascii="Times New Roman" w:eastAsia="仿宋_GB2312" w:cs="Times New Roman" w:hAnsi="Times New Roman"/>
          <w:color w:val="auto"/>
          <w:kern w:val="0"/>
          <w:sz w:val="32"/>
          <w:szCs w:val="32"/>
          <w:shd w:val="clear" w:color="auto" w:fill="auto"/>
          <w:lang w:val="zh-CN" w:eastAsia="zh-CN"/>
          <w:highlight w:val="auto"/>
        </w:rPr>
        <w:t>万元，1</w:t>
      </w: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color w:val="auto"/>
          <w:kern w:val="0"/>
          <w:sz w:val="32"/>
          <w:szCs w:val="32"/>
          <w:shd w:val="clear" w:color="auto" w:fill="auto"/>
          <w:lang w:val="zh-CN" w:eastAsia="zh-CN"/>
          <w:highlight w:val="auto"/>
        </w:rPr>
        <w:t>1</w:t>
      </w:r>
      <w:r>
        <w:rPr>
          <w:rFonts w:ascii="Times New Roman" w:eastAsia="仿宋_GB2312" w:cs="Times New Roman" w:hAnsi="Times New Roman"/>
          <w:color w:val="auto"/>
          <w:kern w:val="0"/>
          <w:sz w:val="32"/>
          <w:szCs w:val="32"/>
          <w:shd w:val="clear" w:color="auto" w:fill="auto"/>
          <w:lang w:val="en-US" w:eastAsia="zh-CN"/>
          <w:highlight w:val="auto"/>
        </w:rPr>
        <w:t>2</w:t>
      </w:r>
      <w:r>
        <w:rPr>
          <w:rFonts w:ascii="Times New Roman" w:eastAsia="仿宋_GB2312" w:cs="Times New Roman" w:hAnsi="Times New Roman"/>
          <w:color w:val="auto"/>
          <w:kern w:val="0"/>
          <w:sz w:val="32"/>
          <w:szCs w:val="32"/>
          <w:shd w:val="clear" w:color="auto" w:fill="auto"/>
          <w:lang w:val="zh-CN" w:eastAsia="zh-CN"/>
          <w:highlight w:val="auto"/>
        </w:rPr>
        <w:t>月预算执行总体进度为</w:t>
      </w:r>
      <w:r>
        <w:rPr>
          <w:rFonts w:ascii="Times New Roman" w:eastAsia="仿宋_GB2312" w:cs="Times New Roman" w:hAnsi="Times New Roman"/>
          <w:color w:val="auto"/>
          <w:kern w:val="0"/>
          <w:sz w:val="32"/>
          <w:szCs w:val="32"/>
          <w:shd w:val="clear" w:color="auto" w:fill="auto"/>
          <w:lang w:val="en-US" w:eastAsia="zh-CN"/>
          <w:highlight w:val="auto"/>
        </w:rPr>
        <w:t xml:space="preserve"> </w:t>
      </w:r>
      <w:r>
        <w:rPr>
          <w:rFonts w:ascii="Times New Roman" w:eastAsia="仿宋_GB2312" w:cs="Times New Roman" w:hAnsi="Times New Roman" w:hint="eastAsia"/>
          <w:color w:val="auto"/>
          <w:kern w:val="0"/>
          <w:sz w:val="32"/>
          <w:szCs w:val="32"/>
          <w:shd w:val="clear" w:color="auto" w:fill="auto"/>
          <w:lang w:val="en-US" w:eastAsia="zh-CN"/>
          <w:highlight w:val="auto"/>
        </w:rPr>
        <w:t>100</w:t>
      </w:r>
      <w:r>
        <w:rPr>
          <w:rFonts w:ascii="Times New Roman" w:eastAsia="仿宋_GB2312" w:cs="Times New Roman" w:hAnsi="Times New Roman"/>
          <w:color w:val="auto"/>
          <w:kern w:val="0"/>
          <w:sz w:val="32"/>
          <w:szCs w:val="32"/>
          <w:shd w:val="clear" w:color="auto" w:fill="auto"/>
          <w:lang w:val="zh-CN" w:eastAsia="zh-CN"/>
          <w:highlight w:val="auto"/>
        </w:rPr>
        <w:t>%，其中：预算结余率大于</w:t>
      </w:r>
      <w:r>
        <w:rPr>
          <w:rFonts w:ascii="Times New Roman" w:eastAsia="仿宋_GB2312" w:cs="Times New Roman" w:hAnsi="Times New Roman"/>
          <w:color w:val="auto"/>
          <w:kern w:val="0"/>
          <w:sz w:val="32"/>
          <w:szCs w:val="32"/>
          <w:shd w:val="clear" w:color="auto" w:fill="auto"/>
          <w:lang w:val="en-US" w:eastAsia="zh-CN"/>
          <w:highlight w:val="auto"/>
        </w:rPr>
        <w:t>10%</w:t>
      </w:r>
      <w:r>
        <w:rPr>
          <w:rFonts w:ascii="Times New Roman" w:eastAsia="仿宋_GB2312" w:cs="Times New Roman" w:hAnsi="Times New Roman"/>
          <w:color w:val="auto"/>
          <w:kern w:val="0"/>
          <w:sz w:val="32"/>
          <w:szCs w:val="32"/>
          <w:shd w:val="clear" w:color="auto" w:fill="auto"/>
          <w:lang w:val="zh-CN" w:eastAsia="zh-CN"/>
          <w:highlight w:val="auto"/>
        </w:rPr>
        <w:t>的项目共计</w:t>
      </w:r>
      <w:r>
        <w:rPr>
          <w:rFonts w:ascii="Times New Roman" w:eastAsia="仿宋_GB2312" w:cs="Times New Roman" w:hAnsi="Times New Roman" w:hint="eastAsia"/>
          <w:color w:val="auto"/>
          <w:kern w:val="0"/>
          <w:sz w:val="32"/>
          <w:szCs w:val="32"/>
          <w:shd w:val="clear" w:color="auto" w:fill="auto"/>
          <w:lang w:val="en-US" w:eastAsia="zh-CN"/>
          <w:highlight w:val="auto"/>
        </w:rPr>
        <w:t>0</w:t>
      </w:r>
      <w:r>
        <w:rPr>
          <w:rFonts w:ascii="Times New Roman" w:eastAsia="仿宋_GB2312" w:cs="Times New Roman" w:hAnsi="Times New Roman"/>
          <w:color w:val="auto"/>
          <w:kern w:val="0"/>
          <w:sz w:val="32"/>
          <w:szCs w:val="32"/>
          <w:shd w:val="clear" w:color="auto" w:fill="auto"/>
          <w:lang w:val="zh-CN" w:eastAsia="zh-CN"/>
          <w:highlight w:val="auto"/>
        </w:rPr>
        <w:t>个。</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zh-CN" w:eastAsia="zh-CN"/>
          <w:highlight w:val="auto"/>
        </w:rPr>
      </w:pPr>
      <w:r>
        <w:rPr>
          <w:rFonts w:ascii="Times New Roman" w:eastAsia="仿宋_GB2312" w:cs="Times New Roman" w:hAnsi="Times New Roman"/>
          <w:color w:val="auto"/>
          <w:kern w:val="0"/>
          <w:sz w:val="32"/>
          <w:szCs w:val="32"/>
          <w:shd w:val="clear" w:color="auto" w:fill="auto"/>
          <w:lang w:val="en-US" w:eastAsia="zh-CN"/>
          <w:highlight w:val="auto"/>
        </w:rPr>
        <w:t>阶段</w:t>
      </w:r>
      <w:r>
        <w:rPr>
          <w:rFonts w:ascii="Times New Roman" w:eastAsia="仿宋_GB2312" w:cs="Times New Roman" w:hAnsi="Times New Roman" w:hint="eastAsia"/>
          <w:color w:val="auto"/>
          <w:kern w:val="0"/>
          <w:sz w:val="32"/>
          <w:szCs w:val="32"/>
          <w:shd w:val="clear" w:color="auto" w:fill="auto"/>
          <w:lang w:val="en-US" w:eastAsia="zh-CN"/>
          <w:highlight w:val="auto"/>
        </w:rPr>
        <w:t>（</w:t>
      </w:r>
      <w:r>
        <w:rPr>
          <w:rFonts w:ascii="Times New Roman" w:eastAsia="仿宋_GB2312" w:cs="Times New Roman" w:hAnsi="Times New Roman"/>
          <w:color w:val="auto"/>
          <w:kern w:val="0"/>
          <w:sz w:val="32"/>
          <w:szCs w:val="32"/>
          <w:shd w:val="clear" w:color="auto" w:fill="auto"/>
          <w:lang w:val="en-US" w:eastAsia="zh-CN"/>
          <w:highlight w:val="auto"/>
        </w:rPr>
        <w:t>一次性</w:t>
      </w:r>
      <w:r>
        <w:rPr>
          <w:rFonts w:ascii="Times New Roman" w:eastAsia="仿宋_GB2312" w:cs="Times New Roman" w:hAnsi="Times New Roman" w:hint="eastAsia"/>
          <w:color w:val="auto"/>
          <w:kern w:val="0"/>
          <w:sz w:val="32"/>
          <w:szCs w:val="32"/>
          <w:shd w:val="clear" w:color="auto" w:fill="auto"/>
          <w:lang w:val="en-US" w:eastAsia="zh-CN"/>
          <w:highlight w:val="auto"/>
        </w:rPr>
        <w:t>）</w:t>
      </w:r>
      <w:r>
        <w:rPr>
          <w:rFonts w:ascii="Times New Roman" w:eastAsia="仿宋_GB2312" w:cs="Times New Roman" w:hAnsi="Times New Roman"/>
          <w:color w:val="auto"/>
          <w:kern w:val="0"/>
          <w:sz w:val="32"/>
          <w:szCs w:val="32"/>
          <w:shd w:val="clear" w:color="auto" w:fill="auto"/>
          <w:lang w:val="en-US" w:eastAsia="zh-CN"/>
          <w:highlight w:val="auto"/>
        </w:rPr>
        <w:t>项目绩效分析。</w:t>
      </w:r>
      <w:r>
        <w:rPr>
          <w:rFonts w:ascii="Times New Roman" w:eastAsia="仿宋_GB2312" w:cs="Times New Roman" w:hAnsi="Times New Roman"/>
          <w:color w:val="auto"/>
          <w:kern w:val="0"/>
          <w:sz w:val="32"/>
          <w:szCs w:val="32"/>
          <w:shd w:val="clear" w:color="auto" w:fill="auto"/>
          <w:lang w:val="zh-CN" w:eastAsia="zh-CN"/>
          <w:highlight w:val="auto"/>
        </w:rPr>
        <w:t>该类项目总数</w:t>
      </w:r>
      <w:r>
        <w:rPr>
          <w:rFonts w:ascii="Times New Roman" w:eastAsia="仿宋_GB2312" w:cs="Times New Roman" w:hAnsi="Times New Roman" w:hint="eastAsia"/>
          <w:color w:val="auto"/>
          <w:kern w:val="0"/>
          <w:sz w:val="32"/>
          <w:szCs w:val="32"/>
          <w:shd w:val="clear" w:color="auto" w:fill="auto"/>
          <w:lang w:val="en-US" w:eastAsia="zh-CN"/>
          <w:highlight w:val="auto"/>
        </w:rPr>
        <w:t>1</w:t>
      </w:r>
      <w:r>
        <w:rPr>
          <w:rFonts w:ascii="Times New Roman" w:eastAsia="仿宋_GB2312" w:cs="Times New Roman" w:hAnsi="Times New Roman"/>
          <w:color w:val="auto"/>
          <w:kern w:val="0"/>
          <w:sz w:val="32"/>
          <w:szCs w:val="32"/>
          <w:shd w:val="clear" w:color="auto" w:fill="auto"/>
          <w:lang w:val="zh-CN" w:eastAsia="zh-CN"/>
          <w:highlight w:val="auto"/>
        </w:rPr>
        <w:t>个，涉及预算总金额</w:t>
      </w:r>
      <w:r>
        <w:rPr>
          <w:rFonts w:ascii="Times New Roman" w:eastAsia="仿宋_GB2312" w:cs="Times New Roman" w:hAnsi="Times New Roman" w:hint="eastAsia"/>
          <w:color w:val="auto"/>
          <w:kern w:val="0"/>
          <w:sz w:val="32"/>
          <w:szCs w:val="32"/>
          <w:shd w:val="clear" w:color="auto" w:fill="auto"/>
          <w:lang w:val="en-US" w:eastAsia="zh-CN"/>
          <w:highlight w:val="auto"/>
        </w:rPr>
        <w:t>1.06</w:t>
      </w:r>
      <w:r>
        <w:rPr>
          <w:rFonts w:ascii="Times New Roman" w:eastAsia="仿宋_GB2312" w:cs="Times New Roman" w:hAnsi="Times New Roman"/>
          <w:color w:val="auto"/>
          <w:kern w:val="0"/>
          <w:sz w:val="32"/>
          <w:szCs w:val="32"/>
          <w:shd w:val="clear" w:color="auto" w:fill="auto"/>
          <w:lang w:val="zh-CN" w:eastAsia="zh-CN"/>
          <w:highlight w:val="auto"/>
        </w:rPr>
        <w:t>万元，1</w:t>
      </w: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color w:val="auto"/>
          <w:kern w:val="0"/>
          <w:sz w:val="32"/>
          <w:szCs w:val="32"/>
          <w:shd w:val="clear" w:color="auto" w:fill="auto"/>
          <w:lang w:val="zh-CN" w:eastAsia="zh-CN"/>
          <w:highlight w:val="auto"/>
        </w:rPr>
        <w:t>1</w:t>
      </w:r>
      <w:r>
        <w:rPr>
          <w:rFonts w:ascii="Times New Roman" w:eastAsia="仿宋_GB2312" w:cs="Times New Roman" w:hAnsi="Times New Roman"/>
          <w:color w:val="auto"/>
          <w:kern w:val="0"/>
          <w:sz w:val="32"/>
          <w:szCs w:val="32"/>
          <w:shd w:val="clear" w:color="auto" w:fill="auto"/>
          <w:lang w:val="en-US" w:eastAsia="zh-CN"/>
          <w:highlight w:val="auto"/>
        </w:rPr>
        <w:t>2</w:t>
      </w:r>
      <w:r>
        <w:rPr>
          <w:rFonts w:ascii="Times New Roman" w:eastAsia="仿宋_GB2312" w:cs="Times New Roman" w:hAnsi="Times New Roman"/>
          <w:color w:val="auto"/>
          <w:kern w:val="0"/>
          <w:sz w:val="32"/>
          <w:szCs w:val="32"/>
          <w:shd w:val="clear" w:color="auto" w:fill="auto"/>
          <w:lang w:val="zh-CN" w:eastAsia="zh-CN"/>
          <w:highlight w:val="auto"/>
        </w:rPr>
        <w:t>月预算执行总体进度为</w:t>
      </w:r>
      <w:r>
        <w:rPr>
          <w:rFonts w:ascii="Times New Roman" w:eastAsia="仿宋_GB2312" w:cs="Times New Roman" w:hAnsi="Times New Roman" w:hint="eastAsia"/>
          <w:color w:val="auto"/>
          <w:kern w:val="0"/>
          <w:sz w:val="32"/>
          <w:szCs w:val="32"/>
          <w:shd w:val="clear" w:color="auto" w:fill="auto"/>
          <w:lang w:val="en-US" w:eastAsia="zh-CN"/>
          <w:highlight w:val="auto"/>
        </w:rPr>
        <w:t>100</w:t>
      </w:r>
      <w:r>
        <w:rPr>
          <w:rFonts w:ascii="Times New Roman" w:eastAsia="仿宋_GB2312" w:cs="Times New Roman" w:hAnsi="Times New Roman"/>
          <w:color w:val="auto"/>
          <w:kern w:val="0"/>
          <w:sz w:val="32"/>
          <w:szCs w:val="32"/>
          <w:shd w:val="clear" w:color="auto" w:fill="auto"/>
          <w:lang w:val="zh-CN" w:eastAsia="zh-CN"/>
          <w:highlight w:val="auto"/>
        </w:rPr>
        <w:t>%，其中：预算结余率大于</w:t>
      </w:r>
      <w:r>
        <w:rPr>
          <w:rFonts w:ascii="Times New Roman" w:eastAsia="仿宋_GB2312" w:cs="Times New Roman" w:hAnsi="Times New Roman"/>
          <w:color w:val="auto"/>
          <w:kern w:val="0"/>
          <w:sz w:val="32"/>
          <w:szCs w:val="32"/>
          <w:shd w:val="clear" w:color="auto" w:fill="auto"/>
          <w:lang w:val="en-US" w:eastAsia="zh-CN"/>
          <w:highlight w:val="auto"/>
        </w:rPr>
        <w:t>10%</w:t>
      </w:r>
      <w:r>
        <w:rPr>
          <w:rFonts w:ascii="Times New Roman" w:eastAsia="仿宋_GB2312" w:cs="Times New Roman" w:hAnsi="Times New Roman"/>
          <w:color w:val="auto"/>
          <w:kern w:val="0"/>
          <w:sz w:val="32"/>
          <w:szCs w:val="32"/>
          <w:shd w:val="clear" w:color="auto" w:fill="auto"/>
          <w:lang w:val="zh-CN" w:eastAsia="zh-CN"/>
          <w:highlight w:val="auto"/>
        </w:rPr>
        <w:t>的项目共计</w:t>
      </w:r>
      <w:r>
        <w:rPr>
          <w:rFonts w:ascii="Times New Roman" w:eastAsia="仿宋_GB2312" w:cs="Times New Roman" w:hAnsi="Times New Roman" w:hint="eastAsia"/>
          <w:color w:val="auto"/>
          <w:kern w:val="0"/>
          <w:sz w:val="32"/>
          <w:szCs w:val="32"/>
          <w:shd w:val="clear" w:color="auto" w:fill="auto"/>
          <w:lang w:val="en-US" w:eastAsia="zh-CN"/>
          <w:highlight w:val="auto"/>
        </w:rPr>
        <w:t>0</w:t>
      </w:r>
      <w:r>
        <w:rPr>
          <w:rFonts w:ascii="Times New Roman" w:eastAsia="仿宋_GB2312" w:cs="Times New Roman" w:hAnsi="Times New Roman"/>
          <w:color w:val="auto"/>
          <w:kern w:val="0"/>
          <w:sz w:val="32"/>
          <w:szCs w:val="32"/>
          <w:shd w:val="clear" w:color="auto" w:fill="auto"/>
          <w:lang w:val="zh-CN" w:eastAsia="zh-CN"/>
          <w:highlight w:val="auto"/>
        </w:rPr>
        <w:t>个。</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bookmarkStart w:id="95" w:name="_Toc15317"/>
      <w:bookmarkStart w:id="96" w:name="_Toc19014"/>
      <w:r>
        <w:rPr>
          <w:rFonts w:ascii="Times New Roman" w:eastAsia="仿宋_GB2312" w:cs="Times New Roman" w:hAnsi="Times New Roman" w:hint="eastAsia"/>
          <w:color w:val="auto"/>
          <w:kern w:val="0"/>
          <w:sz w:val="32"/>
          <w:szCs w:val="32"/>
          <w:shd w:val="clear" w:color="auto" w:fill="auto"/>
          <w:lang w:val="en-US" w:eastAsia="zh-CN"/>
          <w:highlight w:val="auto"/>
        </w:rPr>
        <w:t>1.</w:t>
      </w:r>
      <w:r>
        <w:rPr>
          <w:rFonts w:ascii="Times New Roman" w:eastAsia="仿宋_GB2312" w:cs="Times New Roman" w:hAnsi="Times New Roman" w:hint="eastAsia"/>
          <w:color w:val="auto"/>
          <w:kern w:val="0"/>
          <w:sz w:val="32"/>
          <w:szCs w:val="32"/>
          <w:shd w:val="clear" w:color="auto" w:fill="auto"/>
          <w:lang w:val="zh-CN" w:eastAsia="zh-CN"/>
          <w:highlight w:val="auto"/>
        </w:rPr>
        <w:t>项目决策</w:t>
      </w:r>
      <w:bookmarkEnd w:id="95"/>
      <w:bookmarkEnd w:id="96"/>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bookmarkStart w:id="97" w:name="_Toc16300"/>
      <w:bookmarkStart w:id="98" w:name="_Toc7576"/>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1</w:t>
      </w:r>
      <w:r>
        <w:rPr>
          <w:rFonts w:ascii="Times New Roman" w:eastAsia="仿宋_GB2312" w:cs="Times New Roman" w:hAnsi="Times New Roman" w:hint="eastAsia"/>
          <w:color w:val="auto"/>
          <w:kern w:val="0"/>
          <w:sz w:val="32"/>
          <w:szCs w:val="32"/>
          <w:shd w:val="clear" w:color="auto" w:fill="auto"/>
          <w:lang w:val="zh-CN" w:eastAsia="zh-CN"/>
          <w:highlight w:val="auto"/>
        </w:rPr>
        <w:t>）部门预算项目设立均按规定履行评估论证、申报程序、履行事前评估程序。</w:t>
      </w:r>
      <w:bookmarkEnd w:id="97"/>
      <w:bookmarkEnd w:id="98"/>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2</w:t>
      </w:r>
      <w:r>
        <w:rPr>
          <w:rFonts w:ascii="Times New Roman" w:eastAsia="仿宋_GB2312" w:cs="Times New Roman" w:hAnsi="Times New Roman" w:hint="eastAsia"/>
          <w:color w:val="auto"/>
          <w:kern w:val="0"/>
          <w:sz w:val="32"/>
          <w:szCs w:val="32"/>
          <w:shd w:val="clear" w:color="auto" w:fill="auto"/>
          <w:lang w:val="zh-CN" w:eastAsia="zh-CN"/>
          <w:highlight w:val="auto"/>
        </w:rPr>
        <w:t>）部门预算项目绩效目标与计划期内的任务量和预算安排的资金量相匹配，绩效目标设置按照绩效目标表进行科学合理、规范完整、量化细化设置。</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3</w:t>
      </w:r>
      <w:r>
        <w:rPr>
          <w:rFonts w:ascii="Times New Roman" w:eastAsia="仿宋_GB2312" w:cs="Times New Roman" w:hAnsi="Times New Roman" w:hint="eastAsia"/>
          <w:color w:val="auto"/>
          <w:kern w:val="0"/>
          <w:sz w:val="32"/>
          <w:szCs w:val="32"/>
          <w:shd w:val="clear" w:color="auto" w:fill="auto"/>
          <w:lang w:val="zh-CN" w:eastAsia="zh-CN"/>
          <w:highlight w:val="auto"/>
        </w:rPr>
        <w:t>）部门预算项目在规定时间完成项目入库工作。</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综上，根据评分标准，该项指标，得</w:t>
      </w:r>
      <w:r>
        <w:rPr>
          <w:rFonts w:ascii="Times New Roman" w:eastAsia="仿宋_GB2312" w:cs="Times New Roman" w:hAnsi="Times New Roman" w:hint="eastAsia"/>
          <w:color w:val="auto"/>
          <w:kern w:val="0"/>
          <w:sz w:val="32"/>
          <w:szCs w:val="32"/>
          <w:shd w:val="clear" w:color="auto" w:fill="auto"/>
          <w:lang w:val="en-US" w:eastAsia="zh-CN"/>
          <w:highlight w:val="auto"/>
        </w:rPr>
        <w:t>12</w:t>
      </w:r>
      <w:r>
        <w:rPr>
          <w:rFonts w:ascii="Times New Roman" w:eastAsia="仿宋_GB2312" w:cs="Times New Roman" w:hAnsi="Times New Roman" w:hint="eastAsia"/>
          <w:color w:val="auto"/>
          <w:kern w:val="0"/>
          <w:sz w:val="32"/>
          <w:szCs w:val="32"/>
          <w:shd w:val="clear" w:color="auto" w:fill="auto"/>
          <w:lang w:val="zh-CN" w:eastAsia="zh-CN"/>
          <w:highlight w:val="auto"/>
        </w:rPr>
        <w:t>分。</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bookmarkStart w:id="99" w:name="_Toc12253"/>
      <w:bookmarkStart w:id="100" w:name="_Toc9707"/>
      <w:r>
        <w:rPr>
          <w:rFonts w:ascii="Times New Roman" w:eastAsia="仿宋_GB2312" w:cs="Times New Roman" w:hAnsi="Times New Roman" w:hint="eastAsia"/>
          <w:color w:val="auto"/>
          <w:kern w:val="0"/>
          <w:sz w:val="32"/>
          <w:szCs w:val="32"/>
          <w:shd w:val="clear" w:color="auto" w:fill="auto"/>
          <w:lang w:val="en-US" w:eastAsia="zh-CN"/>
          <w:highlight w:val="auto"/>
        </w:rPr>
        <w:t>2.项目执行</w:t>
      </w:r>
      <w:bookmarkEnd w:id="99"/>
      <w:bookmarkEnd w:id="100"/>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1</w:t>
      </w:r>
      <w:r>
        <w:rPr>
          <w:rFonts w:ascii="Times New Roman" w:eastAsia="仿宋_GB2312" w:cs="Times New Roman" w:hAnsi="Times New Roman" w:hint="eastAsia"/>
          <w:color w:val="auto"/>
          <w:kern w:val="0"/>
          <w:sz w:val="32"/>
          <w:szCs w:val="32"/>
          <w:shd w:val="clear" w:color="auto" w:fill="auto"/>
          <w:lang w:val="zh-CN" w:eastAsia="zh-CN"/>
          <w:highlight w:val="auto"/>
        </w:rPr>
        <w:t>）部门预算项目实际列支内容均按照绩效目标设置方向进行支付</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2</w:t>
      </w:r>
      <w:r>
        <w:rPr>
          <w:rFonts w:ascii="Times New Roman" w:eastAsia="仿宋_GB2312" w:cs="Times New Roman" w:hAnsi="Times New Roman" w:hint="eastAsia"/>
          <w:color w:val="auto"/>
          <w:kern w:val="0"/>
          <w:sz w:val="32"/>
          <w:szCs w:val="32"/>
          <w:shd w:val="clear" w:color="auto" w:fill="auto"/>
          <w:lang w:val="zh-CN" w:eastAsia="zh-CN"/>
          <w:highlight w:val="auto"/>
        </w:rPr>
        <w:t>）全年无相关项目应采取未采取收回预算、调整目标等处置措施。</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3</w:t>
      </w:r>
      <w:r>
        <w:rPr>
          <w:rFonts w:ascii="Times New Roman" w:eastAsia="仿宋_GB2312" w:cs="Times New Roman" w:hAnsi="Times New Roman" w:hint="eastAsia"/>
          <w:color w:val="auto"/>
          <w:kern w:val="0"/>
          <w:sz w:val="32"/>
          <w:szCs w:val="32"/>
          <w:shd w:val="clear" w:color="auto" w:fill="auto"/>
          <w:lang w:val="zh-CN" w:eastAsia="zh-CN"/>
          <w:highlight w:val="auto"/>
        </w:rPr>
        <w:t>）部门预算项目预算执行率为</w:t>
      </w:r>
      <w:r>
        <w:rPr>
          <w:rFonts w:ascii="Times New Roman" w:eastAsia="仿宋_GB2312" w:cs="Times New Roman" w:hAnsi="Times New Roman" w:hint="eastAsia"/>
          <w:color w:val="auto"/>
          <w:kern w:val="0"/>
          <w:sz w:val="32"/>
          <w:szCs w:val="32"/>
          <w:shd w:val="clear" w:color="auto" w:fill="auto"/>
          <w:lang w:val="en-US" w:eastAsia="zh-CN"/>
          <w:highlight w:val="auto"/>
        </w:rPr>
        <w:t>100%，无结余资金。</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综上，根据评分标准，该项指标，得</w:t>
      </w:r>
      <w:r>
        <w:rPr>
          <w:rFonts w:ascii="Times New Roman" w:eastAsia="仿宋_GB2312" w:cs="Times New Roman" w:hAnsi="Times New Roman" w:hint="eastAsia"/>
          <w:color w:val="auto"/>
          <w:kern w:val="0"/>
          <w:sz w:val="32"/>
          <w:szCs w:val="32"/>
          <w:shd w:val="clear" w:color="auto" w:fill="auto"/>
          <w:lang w:val="en-US" w:eastAsia="zh-CN"/>
          <w:highlight w:val="auto"/>
        </w:rPr>
        <w:t>12</w:t>
      </w:r>
      <w:r>
        <w:rPr>
          <w:rFonts w:ascii="Times New Roman" w:eastAsia="仿宋_GB2312" w:cs="Times New Roman" w:hAnsi="Times New Roman" w:hint="eastAsia"/>
          <w:color w:val="auto"/>
          <w:kern w:val="0"/>
          <w:sz w:val="32"/>
          <w:szCs w:val="32"/>
          <w:shd w:val="clear" w:color="auto" w:fill="auto"/>
          <w:lang w:val="zh-CN" w:eastAsia="zh-CN"/>
          <w:highlight w:val="auto"/>
        </w:rPr>
        <w:t>分。</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bookmarkStart w:id="101" w:name="_Toc18707"/>
      <w:bookmarkStart w:id="102" w:name="_Toc1162"/>
      <w:r>
        <w:rPr>
          <w:rFonts w:ascii="Times New Roman" w:eastAsia="仿宋_GB2312" w:cs="Times New Roman" w:hAnsi="Times New Roman" w:hint="eastAsia"/>
          <w:color w:val="auto"/>
          <w:kern w:val="0"/>
          <w:sz w:val="32"/>
          <w:szCs w:val="32"/>
          <w:shd w:val="clear" w:color="auto" w:fill="auto"/>
          <w:lang w:val="en-US" w:eastAsia="zh-CN"/>
          <w:highlight w:val="auto"/>
        </w:rPr>
        <w:t>3.</w:t>
      </w:r>
      <w:r>
        <w:rPr>
          <w:rFonts w:ascii="Times New Roman" w:eastAsia="仿宋_GB2312" w:cs="Times New Roman" w:hAnsi="Times New Roman" w:hint="eastAsia"/>
          <w:color w:val="auto"/>
          <w:kern w:val="0"/>
          <w:sz w:val="32"/>
          <w:szCs w:val="32"/>
          <w:shd w:val="clear" w:color="auto" w:fill="auto"/>
          <w:lang w:val="zh-CN" w:eastAsia="zh-CN"/>
          <w:highlight w:val="auto"/>
        </w:rPr>
        <w:t>目标实现</w:t>
      </w:r>
      <w:bookmarkEnd w:id="101"/>
      <w:bookmarkEnd w:id="102"/>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1</w:t>
      </w:r>
      <w:r>
        <w:rPr>
          <w:rFonts w:ascii="Times New Roman" w:eastAsia="仿宋_GB2312" w:cs="Times New Roman" w:hAnsi="Times New Roman" w:hint="eastAsia"/>
          <w:color w:val="auto"/>
          <w:kern w:val="0"/>
          <w:sz w:val="32"/>
          <w:szCs w:val="32"/>
          <w:shd w:val="clear" w:color="auto" w:fill="auto"/>
          <w:lang w:val="zh-CN" w:eastAsia="zh-CN"/>
          <w:highlight w:val="auto"/>
        </w:rPr>
        <w:t>）完成绩效目标数量指标的部门预算阶段项目（含一次性项目）数量</w:t>
      </w:r>
      <w:r>
        <w:rPr>
          <w:rFonts w:ascii="Times New Roman" w:eastAsia="仿宋_GB2312" w:cs="Times New Roman" w:hAnsi="Times New Roman" w:hint="eastAsia"/>
          <w:color w:val="auto"/>
          <w:kern w:val="0"/>
          <w:sz w:val="32"/>
          <w:szCs w:val="32"/>
          <w:shd w:val="clear" w:color="auto" w:fill="auto"/>
          <w:lang w:val="en-US" w:eastAsia="zh-CN"/>
          <w:highlight w:val="auto"/>
        </w:rPr>
        <w:t>16个。</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2</w:t>
      </w:r>
      <w:r>
        <w:rPr>
          <w:rFonts w:ascii="Times New Roman" w:eastAsia="仿宋_GB2312" w:cs="Times New Roman" w:hAnsi="Times New Roman" w:hint="eastAsia"/>
          <w:color w:val="auto"/>
          <w:kern w:val="0"/>
          <w:sz w:val="32"/>
          <w:szCs w:val="32"/>
          <w:shd w:val="clear" w:color="auto" w:fill="auto"/>
          <w:lang w:val="zh-CN" w:eastAsia="zh-CN"/>
          <w:highlight w:val="auto"/>
        </w:rPr>
        <w:t>）已完成预期指标值的数量指标中偏离度在30%内的指标个数</w:t>
      </w:r>
      <w:r>
        <w:rPr>
          <w:rFonts w:ascii="Times New Roman" w:eastAsia="仿宋_GB2312" w:cs="Times New Roman" w:hAnsi="Times New Roman" w:hint="eastAsia"/>
          <w:color w:val="auto"/>
          <w:kern w:val="0"/>
          <w:sz w:val="32"/>
          <w:szCs w:val="32"/>
          <w:shd w:val="clear" w:color="auto" w:fill="auto"/>
          <w:lang w:val="en-US" w:eastAsia="zh-CN"/>
          <w:highlight w:val="auto"/>
        </w:rPr>
        <w:t>16个</w:t>
      </w:r>
      <w:r>
        <w:rPr>
          <w:rFonts w:ascii="Times New Roman" w:eastAsia="仿宋_GB2312" w:cs="Times New Roman" w:hAnsi="Times New Roman" w:hint="eastAsia"/>
          <w:color w:val="auto"/>
          <w:kern w:val="0"/>
          <w:sz w:val="32"/>
          <w:szCs w:val="32"/>
          <w:shd w:val="clear" w:color="auto" w:fill="auto"/>
          <w:lang w:val="zh-CN" w:eastAsia="zh-CN"/>
          <w:highlight w:val="auto"/>
        </w:rPr>
        <w:t>，已完成预期指标值的数量指标个数</w:t>
      </w:r>
      <w:r>
        <w:rPr>
          <w:rFonts w:ascii="Times New Roman" w:eastAsia="仿宋_GB2312" w:cs="Times New Roman" w:hAnsi="Times New Roman" w:hint="eastAsia"/>
          <w:color w:val="auto"/>
          <w:kern w:val="0"/>
          <w:sz w:val="32"/>
          <w:szCs w:val="32"/>
          <w:shd w:val="clear" w:color="auto" w:fill="auto"/>
          <w:lang w:val="en-US" w:eastAsia="zh-CN"/>
          <w:highlight w:val="auto"/>
        </w:rPr>
        <w:t>16个</w:t>
      </w:r>
      <w:r>
        <w:rPr>
          <w:rFonts w:ascii="Times New Roman" w:eastAsia="仿宋_GB2312" w:cs="Times New Roman" w:hAnsi="Times New Roman" w:hint="eastAsia"/>
          <w:color w:val="auto"/>
          <w:kern w:val="0"/>
          <w:sz w:val="32"/>
          <w:szCs w:val="32"/>
          <w:shd w:val="clear" w:color="auto" w:fill="auto"/>
          <w:lang w:val="zh-CN" w:eastAsia="zh-CN"/>
          <w:highlight w:val="auto"/>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3</w:t>
      </w:r>
      <w:r>
        <w:rPr>
          <w:rFonts w:ascii="Times New Roman" w:eastAsia="仿宋_GB2312" w:cs="Times New Roman" w:hAnsi="Times New Roman" w:hint="eastAsia"/>
          <w:color w:val="auto"/>
          <w:kern w:val="0"/>
          <w:sz w:val="32"/>
          <w:szCs w:val="32"/>
          <w:shd w:val="clear" w:color="auto" w:fill="auto"/>
          <w:lang w:val="zh-CN" w:eastAsia="zh-CN"/>
          <w:highlight w:val="auto"/>
        </w:rPr>
        <w:t>）单个部门预算阶段项目（含一次性项目）完成</w:t>
      </w:r>
      <w:r>
        <w:rPr>
          <w:rFonts w:ascii="Times New Roman" w:eastAsia="仿宋_GB2312" w:cs="Times New Roman" w:hAnsi="Times New Roman" w:hint="eastAsia"/>
          <w:color w:val="auto"/>
          <w:kern w:val="0"/>
          <w:sz w:val="32"/>
          <w:szCs w:val="32"/>
          <w:shd w:val="clear" w:color="auto" w:fill="auto"/>
          <w:lang w:val="en-US" w:eastAsia="zh-CN"/>
          <w:highlight w:val="auto"/>
        </w:rPr>
        <w:t>16个项目</w:t>
      </w:r>
      <w:r>
        <w:rPr>
          <w:rFonts w:ascii="Times New Roman" w:eastAsia="仿宋_GB2312" w:cs="Times New Roman" w:hAnsi="Times New Roman" w:hint="eastAsia"/>
          <w:color w:val="auto"/>
          <w:kern w:val="0"/>
          <w:sz w:val="32"/>
          <w:szCs w:val="32"/>
          <w:shd w:val="clear" w:color="auto" w:fill="auto"/>
          <w:lang w:val="zh-CN" w:eastAsia="zh-CN"/>
          <w:highlight w:val="auto"/>
        </w:rPr>
        <w:t>：单个项目内已完成绩效目标的效益指标个数</w:t>
      </w:r>
      <w:r>
        <w:rPr>
          <w:rFonts w:ascii="Times New Roman" w:eastAsia="仿宋_GB2312" w:cs="Times New Roman" w:hAnsi="Times New Roman" w:hint="eastAsia"/>
          <w:color w:val="auto"/>
          <w:kern w:val="0"/>
          <w:sz w:val="32"/>
          <w:szCs w:val="32"/>
          <w:shd w:val="clear" w:color="auto" w:fill="auto"/>
          <w:lang w:val="en-US" w:eastAsia="zh-CN"/>
          <w:highlight w:val="auto"/>
        </w:rPr>
        <w:t>16个</w:t>
      </w:r>
      <w:r>
        <w:rPr>
          <w:rFonts w:ascii="Times New Roman" w:eastAsia="仿宋_GB2312" w:cs="Times New Roman" w:hAnsi="Times New Roman" w:hint="eastAsia"/>
          <w:color w:val="auto"/>
          <w:kern w:val="0"/>
          <w:sz w:val="32"/>
          <w:szCs w:val="32"/>
          <w:shd w:val="clear" w:color="auto" w:fill="auto"/>
          <w:lang w:val="zh-CN" w:eastAsia="zh-CN"/>
          <w:highlight w:val="auto"/>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zh-CN" w:eastAsia="zh-CN"/>
          <w:highlight w:val="auto"/>
        </w:rPr>
        <w:t>综上，根据评分标准，该项指标，得</w:t>
      </w:r>
      <w:r>
        <w:rPr>
          <w:rFonts w:ascii="Times New Roman" w:eastAsia="仿宋_GB2312" w:cs="Times New Roman" w:hAnsi="Times New Roman" w:hint="eastAsia"/>
          <w:color w:val="auto"/>
          <w:kern w:val="0"/>
          <w:sz w:val="32"/>
          <w:szCs w:val="32"/>
          <w:shd w:val="clear" w:color="auto" w:fill="auto"/>
          <w:lang w:val="en-US" w:eastAsia="zh-CN"/>
          <w:highlight w:val="auto"/>
        </w:rPr>
        <w:t>11</w:t>
      </w:r>
      <w:r>
        <w:rPr>
          <w:rFonts w:ascii="Times New Roman" w:eastAsia="仿宋_GB2312" w:cs="Times New Roman" w:hAnsi="Times New Roman" w:hint="eastAsia"/>
          <w:color w:val="auto"/>
          <w:kern w:val="0"/>
          <w:sz w:val="32"/>
          <w:szCs w:val="32"/>
          <w:shd w:val="clear" w:color="auto" w:fill="auto"/>
          <w:lang w:val="zh-CN" w:eastAsia="zh-CN"/>
          <w:highlight w:val="auto"/>
        </w:rPr>
        <w:t>分。</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bookmarkStart w:id="103" w:name="_Toc28980"/>
      <w:bookmarkStart w:id="104" w:name="_Toc28966"/>
      <w:r>
        <w:rPr>
          <w:rFonts w:ascii="Times New Roman" w:eastAsia="仿宋_GB2312" w:cs="Times New Roman" w:hAnsi="Times New Roman" w:hint="eastAsia"/>
          <w:color w:val="auto"/>
          <w:kern w:val="0"/>
          <w:sz w:val="32"/>
          <w:szCs w:val="32"/>
          <w:shd w:val="clear" w:color="auto" w:fill="auto"/>
          <w:lang w:val="zh-CN" w:eastAsia="zh-CN"/>
          <w:highlight w:val="auto"/>
        </w:rPr>
        <w:t>针对行政事业性国有资产，注重提升资产使用效率，优化资产配置。通过建立健全资产管理制度，加强资产日常管理和维护，有效减少了资产的闲置和浪费。此外，还积极推动资产共享共用，提高了资产的整体利用率。</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在专项资金管理方面，严格执行国家财经纪律和专项资金管理办法，确保了资金使用的合规性和有效性。加强对专项资金的预算编制、执行和监督，确保资金按照既定用途使用，并达到预期效果。</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在政府采购和政府购买服务领域，坚持公开透明、竞争择优的原则，规范了采购行为。加强了采购预算的编制和审核，提高了采购计划的科学性和合理性。对于政府购买服务，注重服务质量和效益的评估，确保了服务供给的优质高效。</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zh-CN" w:eastAsia="zh-CN"/>
          <w:highlight w:val="auto"/>
        </w:rPr>
      </w:pPr>
      <w:r>
        <w:rPr>
          <w:rFonts w:ascii="Times New Roman" w:eastAsia="仿宋_GB2312" w:cs="Times New Roman" w:hAnsi="Times New Roman"/>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三</w:t>
      </w:r>
      <w:r>
        <w:rPr>
          <w:rFonts w:ascii="Times New Roman" w:eastAsia="仿宋_GB2312" w:cs="Times New Roman" w:hAnsi="Times New Roman"/>
          <w:color w:val="auto"/>
          <w:kern w:val="0"/>
          <w:sz w:val="32"/>
          <w:szCs w:val="32"/>
          <w:shd w:val="clear" w:color="auto" w:fill="auto"/>
          <w:lang w:val="zh-CN" w:eastAsia="zh-CN"/>
          <w:highlight w:val="auto"/>
        </w:rPr>
        <w:t>）绩效结果应用情况</w:t>
      </w:r>
      <w:bookmarkEnd w:id="103"/>
      <w:bookmarkEnd w:id="104"/>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bookmarkStart w:id="105" w:name="_Toc16625"/>
      <w:bookmarkStart w:id="106" w:name="_Toc23340"/>
      <w:r>
        <w:rPr>
          <w:rFonts w:ascii="Times New Roman" w:eastAsia="仿宋_GB2312" w:cs="Times New Roman" w:hAnsi="Times New Roman" w:hint="eastAsia"/>
          <w:color w:val="auto"/>
          <w:kern w:val="0"/>
          <w:sz w:val="32"/>
          <w:szCs w:val="32"/>
          <w:shd w:val="clear" w:color="auto" w:fill="auto"/>
          <w:lang w:val="en-US" w:eastAsia="zh-CN"/>
          <w:highlight w:val="auto"/>
        </w:rPr>
        <w:t>1.内部应用情况</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高度重视绩效结果的内部应用，将绩效结果作为优化资源配置、改进工作作风、提升管理水平的重要依据。建立了绩效结果反馈机制，及时将绩效结果传达给相关部门和人员，并督促其根据绩效结果进行工作改进和优化。</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2.信息公开情况</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为了</w:t>
      </w:r>
      <w:r>
        <w:rPr>
          <w:rFonts w:ascii="Times New Roman" w:eastAsia="仿宋_GB2312" w:cs="Times New Roman" w:hAnsi="Times New Roman"/>
          <w:color w:val="auto"/>
          <w:kern w:val="0"/>
          <w:sz w:val="32"/>
          <w:szCs w:val="32"/>
          <w:shd w:val="clear" w:color="auto" w:fill="auto"/>
          <w:lang w:val="en-US" w:eastAsia="zh-CN"/>
          <w:highlight w:val="auto"/>
        </w:rPr>
        <w:t>加强</w:t>
      </w:r>
      <w:r>
        <w:rPr>
          <w:rFonts w:ascii="Times New Roman" w:eastAsia="仿宋_GB2312" w:cs="Times New Roman" w:hAnsi="Times New Roman" w:hint="eastAsia"/>
          <w:color w:val="auto"/>
          <w:kern w:val="0"/>
          <w:sz w:val="32"/>
          <w:szCs w:val="32"/>
          <w:shd w:val="clear" w:color="auto" w:fill="auto"/>
          <w:lang w:val="en-US" w:eastAsia="zh-CN"/>
          <w:highlight w:val="auto"/>
        </w:rPr>
        <w:t>预算绩效管理的透明度和公信力，积极推动绩效结果的信息公开工作。通过官方网站、政府公报等渠道发布了绩效自评报告和重点领域绩效分析情况，接受社会各界监督和评价。</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3.整改反馈情况</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针对绩效结果中反映出的问题和不足，制定了详细的整改计划和措施，并明确了整改责任人和时间节点。加强了对整改工作的跟踪问效和督促检查，确保整改工作落到实处、取得实效。同时，还建立了整改反馈机制，及时将整改情况向相关部门和人员反馈，促进了问题的及时解决和管理水平的持续提升。</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zh-CN" w:eastAsia="zh-CN"/>
          <w:highlight w:val="auto"/>
        </w:rPr>
      </w:pPr>
      <w:r>
        <w:rPr>
          <w:rFonts w:ascii="Times New Roman" w:eastAsia="仿宋_GB2312" w:cs="Times New Roman" w:hAnsi="Times New Roman"/>
          <w:color w:val="auto"/>
          <w:kern w:val="0"/>
          <w:sz w:val="32"/>
          <w:szCs w:val="32"/>
          <w:shd w:val="clear" w:color="auto" w:fill="auto"/>
          <w:lang w:val="zh-CN" w:eastAsia="zh-CN"/>
          <w:highlight w:val="auto"/>
        </w:rPr>
        <w:t>四、评价结论及建议</w:t>
      </w:r>
      <w:bookmarkEnd w:id="105"/>
      <w:bookmarkEnd w:id="106"/>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zh-CN" w:eastAsia="zh-CN"/>
          <w:highlight w:val="auto"/>
        </w:rPr>
      </w:pPr>
      <w:bookmarkStart w:id="107" w:name="_Toc15958"/>
      <w:bookmarkStart w:id="108" w:name="_Toc9724"/>
      <w:r>
        <w:rPr>
          <w:rFonts w:ascii="Times New Roman" w:eastAsia="仿宋_GB2312" w:cs="Times New Roman" w:hAnsi="Times New Roman"/>
          <w:color w:val="auto"/>
          <w:kern w:val="0"/>
          <w:sz w:val="32"/>
          <w:szCs w:val="32"/>
          <w:shd w:val="clear" w:color="auto" w:fill="auto"/>
          <w:lang w:val="zh-CN" w:eastAsia="zh-CN"/>
          <w:highlight w:val="auto"/>
        </w:rPr>
        <w:t>（一）评价结论</w:t>
      </w:r>
      <w:bookmarkEnd w:id="107"/>
      <w:bookmarkEnd w:id="108"/>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1.2025年单位的部门预算编制规范、准确，各项经费足额纳入预算安排，确保了单位正常运行和各专项工作的顺利开展，较好的完成了绩效目标任务。</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2.2025年决算按照上级财政要求进行了编制，准确、详实、真实地反映了本单位财政收支情况。</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3.自我评价得分：总体绩效54.88分，项目绩效35分，合计89.88分。</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zh-CN" w:eastAsia="zh-CN"/>
          <w:highlight w:val="auto"/>
        </w:rPr>
      </w:pPr>
      <w:bookmarkStart w:id="109" w:name="_Toc11460"/>
      <w:bookmarkStart w:id="110" w:name="_Toc16978"/>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hint="eastAsia"/>
          <w:color w:val="auto"/>
          <w:kern w:val="0"/>
          <w:sz w:val="32"/>
          <w:szCs w:val="32"/>
          <w:shd w:val="clear" w:color="auto" w:fill="auto"/>
          <w:lang w:val="en-US" w:eastAsia="zh-CN"/>
          <w:highlight w:val="auto"/>
        </w:rPr>
        <w:t>二</w:t>
      </w:r>
      <w:r>
        <w:rPr>
          <w:rFonts w:ascii="Times New Roman" w:eastAsia="仿宋_GB2312" w:cs="Times New Roman" w:hAnsi="Times New Roman" w:hint="eastAsia"/>
          <w:color w:val="auto"/>
          <w:kern w:val="0"/>
          <w:sz w:val="32"/>
          <w:szCs w:val="32"/>
          <w:shd w:val="clear" w:color="auto" w:fill="auto"/>
          <w:lang w:val="zh-CN" w:eastAsia="zh-CN"/>
          <w:highlight w:val="auto"/>
        </w:rPr>
        <w:t>）</w:t>
      </w:r>
      <w:r>
        <w:rPr>
          <w:rFonts w:ascii="Times New Roman" w:eastAsia="仿宋_GB2312" w:cs="Times New Roman" w:hAnsi="Times New Roman"/>
          <w:color w:val="auto"/>
          <w:kern w:val="0"/>
          <w:sz w:val="32"/>
          <w:szCs w:val="32"/>
          <w:shd w:val="clear" w:color="auto" w:fill="auto"/>
          <w:lang w:val="zh-CN" w:eastAsia="zh-CN"/>
          <w:highlight w:val="auto"/>
        </w:rPr>
        <w:t>存在问题</w:t>
      </w:r>
      <w:bookmarkEnd w:id="109"/>
      <w:bookmarkEnd w:id="110"/>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1.项目执行过程中部分村医生队伍年龄偏大，业务能力不强。</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2.卫生院及村卫生室设施设备不足，不能满足基本公共卫生服务工作需要。</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3.个别绩效目标偏离。</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color w:val="auto"/>
          <w:kern w:val="0"/>
          <w:sz w:val="32"/>
          <w:szCs w:val="32"/>
          <w:shd w:val="clear" w:color="auto" w:fill="auto"/>
          <w:lang w:val="zh-CN" w:eastAsia="zh-CN"/>
          <w:highlight w:val="auto"/>
        </w:rPr>
      </w:pPr>
      <w:bookmarkStart w:id="111" w:name="_Toc29231"/>
      <w:bookmarkStart w:id="112" w:name="_Toc26326"/>
      <w:r>
        <w:rPr>
          <w:rFonts w:ascii="Times New Roman" w:eastAsia="仿宋_GB2312" w:cs="Times New Roman" w:hAnsi="Times New Roman"/>
          <w:color w:val="auto"/>
          <w:kern w:val="0"/>
          <w:sz w:val="32"/>
          <w:szCs w:val="32"/>
          <w:shd w:val="clear" w:color="auto" w:fill="auto"/>
          <w:lang w:val="zh-CN" w:eastAsia="zh-CN"/>
          <w:highlight w:val="auto"/>
        </w:rPr>
        <w:t>（三）改进建议</w:t>
      </w:r>
      <w:bookmarkEnd w:id="111"/>
      <w:bookmarkEnd w:id="112"/>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1.加强预算编制的精细化管理</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在预算编制阶段，应加强对项目需求的调研和论证，确保预算金额与实际需求相符。同时，引入公众参与机制，提高预算编制的科学性和民主性。</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2.加大预算执行监控力度</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建立健全预算执行监控体系，加强对资金使用的实时监控和跟踪分析。利用现代信息技术手段，提高监控效率和准确性。对于发现的问题及时采取措施予以纠正，防止资金闲置或浪费。</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3.完善绩效评价体系</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根据部门特点和预算项目实际情况，不断优化和完善绩效评价指标体系。确保指标设置科学合理、全面覆盖、易于操作。同时，加强绩效评价结果的运用和反馈机制建设，促进预算管理水平的持续提升。</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4.加强信息公开和透明度建设</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严格按照国家有关规定和要求做好预算绩效信息的公开工作。通过官方网站、政府公报等渠道及时发布相关信息接受社会公众的监督和评价。同时加强与社会各界的沟通交流广泛听取意见和建议不断完善预算绩效管理工作。</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Times New Roman" w:hAnsi="Times New Roman" w:hint="eastAsia"/>
          <w:color w:val="auto"/>
          <w:kern w:val="0"/>
          <w:sz w:val="32"/>
          <w:szCs w:val="32"/>
          <w:shd w:val="clear" w:color="auto" w:fill="auto"/>
          <w:lang w:val="en-US" w:eastAsia="zh-CN"/>
          <w:highlight w:val="auto"/>
        </w:rPr>
      </w:pPr>
      <w:r>
        <w:rPr>
          <w:rFonts w:ascii="Times New Roman" w:eastAsia="仿宋_GB2312" w:cs="Times New Roman" w:hAnsi="Times New Roman" w:hint="eastAsia"/>
          <w:color w:val="auto"/>
          <w:kern w:val="0"/>
          <w:sz w:val="32"/>
          <w:szCs w:val="32"/>
          <w:shd w:val="clear" w:color="auto" w:fill="auto"/>
          <w:lang w:val="en-US" w:eastAsia="zh-CN"/>
          <w:highlight w:val="auto"/>
        </w:rPr>
        <w:t>附表：部门整体支出绩效目标完成情况自评表</w:t>
      </w:r>
    </w:p>
    <w:p>
      <w:pPr>
        <w:rPr>
          <w:rFonts w:ascii="黑体" w:eastAsia="黑体" w:hint="eastAsia"/>
          <w:color w:val="auto"/>
          <w:sz w:val="32"/>
          <w:szCs w:val="32"/>
        </w:rPr>
      </w:pPr>
      <w:r>
        <w:rPr>
          <w:rFonts w:ascii="黑体" w:eastAsia="黑体" w:hint="eastAsia"/>
          <w:color w:val="auto"/>
          <w:sz w:val="32"/>
          <w:szCs w:val="32"/>
        </w:rPr>
        <w:br w:type="page"/>
      </w:r>
    </w:p>
    <w:tbl>
      <w:tblPr>
        <w:tblpPr w:leftFromText="180" w:rightFromText="180" w:vertAnchor="text" w:horzAnchor="page" w:tblpX="608" w:tblpY="655"/>
        <w:tblOverlap w:val="never"/>
        <w:tblW w:w="10546" w:type="dxa"/>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750"/>
        <w:gridCol w:w="1482"/>
        <w:gridCol w:w="1022"/>
        <w:gridCol w:w="2066"/>
        <w:gridCol w:w="1887"/>
        <w:gridCol w:w="1170"/>
        <w:gridCol w:w="935"/>
        <w:gridCol w:w="1234"/>
      </w:tblGrid>
      <w:tr>
        <w:trPr>
          <w:trHeight w:val="390"/>
        </w:trPr>
        <w:tc>
          <w:tcPr>
            <w:tcW w:w="10546"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黑体" w:eastAsia="黑体" w:cs="黑体"/>
                <w:i w:val="0"/>
                <w:iCs w:val="0"/>
                <w:color w:val="auto"/>
                <w:sz w:val="22"/>
                <w:szCs w:val="22"/>
                <w:u w:val="none"/>
              </w:rPr>
            </w:pPr>
            <w:r>
              <w:rPr>
                <w:rFonts w:ascii="黑体" w:eastAsia="黑体" w:cs="黑体" w:hint="eastAsia"/>
                <w:i w:val="0"/>
                <w:iCs w:val="0"/>
                <w:color w:val="auto"/>
                <w:kern w:val="0"/>
                <w:sz w:val="22"/>
                <w:szCs w:val="22"/>
                <w:u w:val="none"/>
                <w:lang w:val="en-US" w:eastAsia="zh-CN"/>
              </w:rPr>
              <w:t>部门整体支出绩效自评表</w:t>
            </w:r>
          </w:p>
        </w:tc>
      </w:tr>
      <w:tr>
        <w:trPr>
          <w:trHeight w:val="270"/>
        </w:trPr>
        <w:tc>
          <w:tcPr>
            <w:tcW w:w="10546"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（202</w:t>
            </w:r>
            <w:r>
              <w:rPr>
                <w:rFonts w:ascii="宋体" w:cs="宋体" w:hint="eastAsia"/>
                <w:i w:val="0"/>
                <w:iCs w:val="0"/>
                <w:color w:val="auto"/>
                <w:kern w:val="0"/>
                <w:sz w:val="13"/>
                <w:szCs w:val="13"/>
                <w:u w:val="none"/>
                <w:lang w:val="en-US" w:eastAsia="zh-CN"/>
              </w:rPr>
              <w:t>5</w:t>
            </w:r>
            <w:r>
              <w:rPr>
                <w:rFonts w:ascii="宋体" w:eastAsia="宋体" w:cs="宋体"/>
                <w:i w:val="0"/>
                <w:iCs w:val="0"/>
                <w:color w:val="auto"/>
                <w:kern w:val="0"/>
                <w:sz w:val="13"/>
                <w:szCs w:val="13"/>
                <w:u w:val="none"/>
                <w:lang w:val="en-US" w:eastAsia="zh-CN"/>
              </w:rPr>
              <w:t>年度）</w:t>
            </w:r>
          </w:p>
        </w:tc>
      </w:tr>
      <w:tr>
        <w:trPr>
          <w:trHeight w:val="270"/>
        </w:trPr>
        <w:tc>
          <w:tcPr>
            <w:tcW w:w="10546" w:type="dxa"/>
            <w:gridSpan w:val="8"/>
            <w:tcBorders>
              <w:top w:val="nil"/>
              <w:left w:val="nil"/>
              <w:bottom w:val="single" w:sz="4" w:space="0" w:color="000000"/>
              <w:right w:val="nil"/>
            </w:tcBorders>
            <w:shd w:val="clear" w:color="auto" w:fill="auto"/>
            <w:noWrap/>
            <w:vAlign w:val="center"/>
          </w:tcPr>
          <w:p>
            <w:pPr>
              <w:keepNext w:val="0"/>
              <w:keepLines w:val="0"/>
              <w:widowControl/>
              <w:suppressLineNumbers w:val="0"/>
              <w:jc w:val="right"/>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金额单位：万元</w:t>
            </w:r>
          </w:p>
        </w:tc>
      </w:tr>
      <w:tr>
        <w:trPr>
          <w:trHeight w:val="270"/>
        </w:trPr>
        <w:tc>
          <w:tcPr>
            <w:tcW w:w="5320"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部门名称</w:t>
            </w:r>
          </w:p>
        </w:tc>
        <w:tc>
          <w:tcPr>
            <w:tcW w:w="5226"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汶川县三江镇中心卫生院</w:t>
            </w:r>
          </w:p>
        </w:tc>
      </w:tr>
      <w:tr>
        <w:trPr>
          <w:trHeight w:val="270"/>
        </w:trPr>
        <w:tc>
          <w:tcPr>
            <w:tcW w:w="7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年度部门整体支出预算</w:t>
            </w:r>
          </w:p>
        </w:tc>
        <w:tc>
          <w:tcPr>
            <w:tcW w:w="457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资金总额</w:t>
            </w: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财政拨款</w:t>
            </w:r>
          </w:p>
        </w:tc>
        <w:tc>
          <w:tcPr>
            <w:tcW w:w="3339"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其他资金</w:t>
            </w:r>
          </w:p>
        </w:tc>
      </w:tr>
      <w:tr>
        <w:trPr>
          <w:trHeight w:val="270"/>
        </w:trPr>
        <w:tc>
          <w:tcPr>
            <w:tcW w:w="7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457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lang w:val="en-US"/>
              </w:rPr>
            </w:pPr>
            <w:r>
              <w:rPr>
                <w:rFonts w:ascii="宋体" w:cs="宋体" w:hint="eastAsia"/>
                <w:i w:val="0"/>
                <w:iCs w:val="0"/>
                <w:color w:val="auto"/>
                <w:kern w:val="0"/>
                <w:sz w:val="13"/>
                <w:szCs w:val="13"/>
                <w:u w:val="none"/>
                <w:lang w:val="en-US" w:eastAsia="zh-CN"/>
              </w:rPr>
              <w:t>386.86</w:t>
            </w: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lang w:val="en-US"/>
              </w:rPr>
            </w:pPr>
            <w:r>
              <w:rPr>
                <w:rFonts w:ascii="宋体" w:cs="宋体" w:hint="eastAsia"/>
                <w:i w:val="0"/>
                <w:iCs w:val="0"/>
                <w:color w:val="auto"/>
                <w:kern w:val="0"/>
                <w:sz w:val="13"/>
                <w:szCs w:val="13"/>
                <w:u w:val="none"/>
                <w:lang w:val="en-US" w:eastAsia="zh-CN"/>
              </w:rPr>
              <w:t>327.85</w:t>
            </w:r>
          </w:p>
        </w:tc>
        <w:tc>
          <w:tcPr>
            <w:tcW w:w="3339"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lang w:val="en-US"/>
              </w:rPr>
            </w:pPr>
            <w:r>
              <w:rPr>
                <w:rFonts w:ascii="宋体" w:cs="宋体" w:hint="eastAsia"/>
                <w:i w:val="0"/>
                <w:iCs w:val="0"/>
                <w:color w:val="auto"/>
                <w:kern w:val="0"/>
                <w:sz w:val="13"/>
                <w:szCs w:val="13"/>
                <w:u w:val="none"/>
                <w:lang w:val="en-US" w:eastAsia="zh-CN"/>
              </w:rPr>
              <w:t>59.01</w:t>
            </w:r>
          </w:p>
        </w:tc>
      </w:tr>
      <w:tr>
        <w:trPr>
          <w:trHeight w:val="178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年度总体目标</w:t>
            </w:r>
          </w:p>
        </w:tc>
        <w:tc>
          <w:tcPr>
            <w:tcW w:w="9796"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 xml:space="preserve">    持续深化“三医联动”改革，常态化开展计生服务，扎实开展优质服务基层行活动，实施第二个“十年行动计划”。持续巩固建档立卡贫困人员“医疗有保障”，贫困患者县域内基层医院</w:t>
              <w:br/>
              <w:t xml:space="preserve">    住院医疗费用、加快推进卫生健康事业高质量发展。各项公共卫生服务按进度保质保量完成，为人民健康提供医疗服务和预防保健，提高社会满意度，做人民心中的好医院;贯彻落实医疗</w:t>
              <w:br/>
              <w:t xml:space="preserve">    卫生与计划生育相关政策，指导医疗卫生和计划生育相关工作，指导规范卫生行政执法工作、基本公共卫生、基本公共卫生。</w:t>
            </w:r>
          </w:p>
        </w:tc>
      </w:tr>
      <w:tr>
        <w:trPr>
          <w:trHeight w:val="440"/>
        </w:trPr>
        <w:tc>
          <w:tcPr>
            <w:tcW w:w="7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年度主要任务</w:t>
            </w:r>
          </w:p>
        </w:tc>
        <w:tc>
          <w:tcPr>
            <w:tcW w:w="457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任务名称</w:t>
            </w:r>
          </w:p>
        </w:tc>
        <w:tc>
          <w:tcPr>
            <w:tcW w:w="5226"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主要内容</w:t>
            </w:r>
          </w:p>
        </w:tc>
      </w:tr>
      <w:tr>
        <w:trPr>
          <w:trHeight w:val="680"/>
        </w:trPr>
        <w:tc>
          <w:tcPr>
            <w:tcW w:w="7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457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保障单位正常运转支出</w:t>
            </w:r>
          </w:p>
        </w:tc>
        <w:tc>
          <w:tcPr>
            <w:tcW w:w="5226"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 xml:space="preserve">    保障单位正常运行的日常公用经费包括 ：办公费、培训费、水电费、差旅费、邮电费、福利费、车辆运行费等。</w:t>
            </w:r>
          </w:p>
        </w:tc>
      </w:tr>
      <w:tr>
        <w:trPr>
          <w:trHeight w:val="540"/>
        </w:trPr>
        <w:tc>
          <w:tcPr>
            <w:tcW w:w="7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457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对个人家庭补助支出</w:t>
            </w:r>
          </w:p>
        </w:tc>
        <w:tc>
          <w:tcPr>
            <w:tcW w:w="5226"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 xml:space="preserve">   保障离退休人员生活补助，独生子女费，其他人员生活补助费。</w:t>
            </w:r>
          </w:p>
        </w:tc>
      </w:tr>
      <w:tr>
        <w:trPr>
          <w:trHeight w:val="540"/>
        </w:trPr>
        <w:tc>
          <w:tcPr>
            <w:tcW w:w="7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457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工资福利支出</w:t>
            </w:r>
          </w:p>
        </w:tc>
        <w:tc>
          <w:tcPr>
            <w:tcW w:w="5226"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 xml:space="preserve">   保障在职人员，工资及津贴补贴，奖励工资，医疗保险等其他社会保障缴费，住房公积金。</w:t>
            </w:r>
          </w:p>
        </w:tc>
      </w:tr>
      <w:tr>
        <w:trPr>
          <w:trHeight w:val="270"/>
        </w:trPr>
        <w:tc>
          <w:tcPr>
            <w:tcW w:w="7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457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卫生健康事务</w:t>
            </w:r>
          </w:p>
        </w:tc>
        <w:tc>
          <w:tcPr>
            <w:tcW w:w="5226"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 xml:space="preserve">   卫生健康工作运行保障。</w:t>
            </w:r>
          </w:p>
        </w:tc>
      </w:tr>
      <w:tr>
        <w:trPr>
          <w:trHeight w:val="450"/>
        </w:trPr>
        <w:tc>
          <w:tcPr>
            <w:tcW w:w="7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年度绩效指标</w:t>
            </w:r>
          </w:p>
        </w:tc>
        <w:tc>
          <w:tcPr>
            <w:tcW w:w="14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一级指标</w:t>
            </w:r>
          </w:p>
        </w:tc>
        <w:tc>
          <w:tcPr>
            <w:tcW w:w="10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二级指标</w:t>
            </w:r>
          </w:p>
        </w:tc>
        <w:tc>
          <w:tcPr>
            <w:tcW w:w="20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三级指标</w:t>
            </w: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绩效指标性质</w:t>
            </w:r>
          </w:p>
        </w:tc>
        <w:tc>
          <w:tcPr>
            <w:tcW w:w="11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绩效指标值</w:t>
            </w:r>
          </w:p>
        </w:tc>
        <w:tc>
          <w:tcPr>
            <w:tcW w:w="9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绩效度量单位</w:t>
            </w:r>
          </w:p>
        </w:tc>
        <w:tc>
          <w:tcPr>
            <w:tcW w:w="12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权重</w:t>
            </w:r>
          </w:p>
        </w:tc>
      </w:tr>
      <w:tr>
        <w:trPr>
          <w:trHeight w:val="900"/>
        </w:trPr>
        <w:tc>
          <w:tcPr>
            <w:tcW w:w="7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8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产出指标</w:t>
            </w:r>
          </w:p>
        </w:tc>
        <w:tc>
          <w:tcPr>
            <w:tcW w:w="102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数量指标</w:t>
            </w:r>
          </w:p>
        </w:tc>
        <w:tc>
          <w:tcPr>
            <w:tcW w:w="20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保障单位干部职工工资正常发放人数</w:t>
            </w: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lang w:val="en-US"/>
              </w:rPr>
            </w:pPr>
            <w:r>
              <w:rPr>
                <w:rFonts w:ascii="宋体" w:cs="宋体" w:hint="eastAsia"/>
                <w:i w:val="0"/>
                <w:iCs w:val="0"/>
                <w:color w:val="auto"/>
                <w:kern w:val="0"/>
                <w:sz w:val="13"/>
                <w:szCs w:val="13"/>
                <w:u w:val="none"/>
                <w:lang w:val="en-US" w:eastAsia="zh-CN"/>
              </w:rPr>
              <w:t>17</w:t>
            </w:r>
          </w:p>
        </w:tc>
        <w:tc>
          <w:tcPr>
            <w:tcW w:w="9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人</w:t>
            </w:r>
          </w:p>
        </w:tc>
        <w:tc>
          <w:tcPr>
            <w:tcW w:w="12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10</w:t>
            </w:r>
          </w:p>
        </w:tc>
      </w:tr>
      <w:tr>
        <w:trPr>
          <w:trHeight w:val="450"/>
        </w:trPr>
        <w:tc>
          <w:tcPr>
            <w:tcW w:w="7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8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2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0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保障运转车辆数</w:t>
            </w: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2</w:t>
            </w:r>
          </w:p>
        </w:tc>
        <w:tc>
          <w:tcPr>
            <w:tcW w:w="9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辆</w:t>
            </w:r>
          </w:p>
        </w:tc>
        <w:tc>
          <w:tcPr>
            <w:tcW w:w="12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10</w:t>
            </w:r>
          </w:p>
        </w:tc>
      </w:tr>
      <w:tr>
        <w:trPr>
          <w:trHeight w:val="900"/>
        </w:trPr>
        <w:tc>
          <w:tcPr>
            <w:tcW w:w="7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8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2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0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工资及社保等各项缴费发放及社保缴纳完成率</w:t>
            </w: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100</w:t>
            </w:r>
          </w:p>
        </w:tc>
        <w:tc>
          <w:tcPr>
            <w:tcW w:w="9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w:t>
            </w:r>
          </w:p>
        </w:tc>
        <w:tc>
          <w:tcPr>
            <w:tcW w:w="12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10</w:t>
            </w:r>
          </w:p>
        </w:tc>
      </w:tr>
      <w:tr>
        <w:trPr>
          <w:trHeight w:val="450"/>
        </w:trPr>
        <w:tc>
          <w:tcPr>
            <w:tcW w:w="7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8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质量指标</w:t>
            </w:r>
          </w:p>
        </w:tc>
        <w:tc>
          <w:tcPr>
            <w:tcW w:w="20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车辆正常运转率</w:t>
            </w: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95</w:t>
            </w:r>
          </w:p>
        </w:tc>
        <w:tc>
          <w:tcPr>
            <w:tcW w:w="9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w:t>
            </w:r>
          </w:p>
        </w:tc>
        <w:tc>
          <w:tcPr>
            <w:tcW w:w="12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10</w:t>
            </w:r>
          </w:p>
        </w:tc>
      </w:tr>
      <w:tr>
        <w:trPr>
          <w:trHeight w:val="450"/>
        </w:trPr>
        <w:tc>
          <w:tcPr>
            <w:tcW w:w="7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8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效益指标</w:t>
            </w:r>
          </w:p>
        </w:tc>
        <w:tc>
          <w:tcPr>
            <w:tcW w:w="10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社会效益指标</w:t>
            </w:r>
          </w:p>
        </w:tc>
        <w:tc>
          <w:tcPr>
            <w:tcW w:w="20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保障单位正常运行</w:t>
            </w: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定性</w:t>
            </w:r>
          </w:p>
        </w:tc>
        <w:tc>
          <w:tcPr>
            <w:tcW w:w="11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正常运行</w:t>
            </w:r>
          </w:p>
        </w:tc>
        <w:tc>
          <w:tcPr>
            <w:tcW w:w="9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auto"/>
                <w:sz w:val="13"/>
                <w:szCs w:val="13"/>
                <w:u w:val="none"/>
              </w:rPr>
            </w:pPr>
          </w:p>
        </w:tc>
        <w:tc>
          <w:tcPr>
            <w:tcW w:w="12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10</w:t>
            </w:r>
          </w:p>
        </w:tc>
      </w:tr>
      <w:tr>
        <w:trPr>
          <w:trHeight w:val="675"/>
        </w:trPr>
        <w:tc>
          <w:tcPr>
            <w:tcW w:w="7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8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可持续影响指标</w:t>
            </w:r>
          </w:p>
        </w:tc>
        <w:tc>
          <w:tcPr>
            <w:tcW w:w="20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持续为群众提供卫生公共服务能力</w:t>
            </w: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定性</w:t>
            </w:r>
          </w:p>
        </w:tc>
        <w:tc>
          <w:tcPr>
            <w:tcW w:w="11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持续提供</w:t>
            </w:r>
          </w:p>
        </w:tc>
        <w:tc>
          <w:tcPr>
            <w:tcW w:w="9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auto"/>
                <w:sz w:val="13"/>
                <w:szCs w:val="13"/>
                <w:u w:val="none"/>
              </w:rPr>
            </w:pPr>
          </w:p>
        </w:tc>
        <w:tc>
          <w:tcPr>
            <w:tcW w:w="12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10</w:t>
            </w:r>
          </w:p>
        </w:tc>
      </w:tr>
      <w:tr>
        <w:trPr>
          <w:trHeight w:val="450"/>
        </w:trPr>
        <w:tc>
          <w:tcPr>
            <w:tcW w:w="7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满意度指标</w:t>
            </w:r>
          </w:p>
        </w:tc>
        <w:tc>
          <w:tcPr>
            <w:tcW w:w="10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服务对象满意度指标</w:t>
            </w:r>
          </w:p>
        </w:tc>
        <w:tc>
          <w:tcPr>
            <w:tcW w:w="20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群众满意度</w:t>
            </w: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90</w:t>
            </w:r>
          </w:p>
        </w:tc>
        <w:tc>
          <w:tcPr>
            <w:tcW w:w="9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w:t>
            </w:r>
          </w:p>
        </w:tc>
        <w:tc>
          <w:tcPr>
            <w:tcW w:w="12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10</w:t>
            </w:r>
          </w:p>
        </w:tc>
      </w:tr>
      <w:tr>
        <w:trPr>
          <w:trHeight w:val="450"/>
        </w:trPr>
        <w:tc>
          <w:tcPr>
            <w:tcW w:w="7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成本指标</w:t>
            </w:r>
          </w:p>
        </w:tc>
        <w:tc>
          <w:tcPr>
            <w:tcW w:w="10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经济成本指标</w:t>
            </w:r>
          </w:p>
        </w:tc>
        <w:tc>
          <w:tcPr>
            <w:tcW w:w="20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各项项目保障</w:t>
            </w: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定性</w:t>
            </w:r>
          </w:p>
        </w:tc>
        <w:tc>
          <w:tcPr>
            <w:tcW w:w="11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正常保障</w:t>
            </w:r>
          </w:p>
        </w:tc>
        <w:tc>
          <w:tcPr>
            <w:tcW w:w="9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auto"/>
                <w:sz w:val="13"/>
                <w:szCs w:val="13"/>
                <w:u w:val="none"/>
              </w:rPr>
            </w:pPr>
          </w:p>
        </w:tc>
        <w:tc>
          <w:tcPr>
            <w:tcW w:w="12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auto"/>
                <w:sz w:val="13"/>
                <w:szCs w:val="13"/>
                <w:u w:val="none"/>
              </w:rPr>
            </w:pPr>
            <w:r>
              <w:rPr>
                <w:rFonts w:ascii="宋体" w:eastAsia="宋体" w:cs="宋体"/>
                <w:i w:val="0"/>
                <w:iCs w:val="0"/>
                <w:color w:val="auto"/>
                <w:kern w:val="0"/>
                <w:sz w:val="13"/>
                <w:szCs w:val="13"/>
                <w:u w:val="none"/>
                <w:lang w:val="en-US" w:eastAsia="zh-CN"/>
              </w:rPr>
              <w:t>20</w:t>
            </w:r>
          </w:p>
        </w:tc>
      </w:tr>
    </w:tbl>
    <w:p>
      <w:pPr>
        <w:spacing w:line="578" w:lineRule="exact"/>
        <w:jc w:val="left"/>
        <w:rPr>
          <w:color w:val="auto"/>
        </w:rPr>
      </w:pPr>
      <w:r>
        <w:rPr>
          <w:rFonts w:ascii="黑体" w:eastAsia="黑体" w:cs="黑体" w:hint="eastAsia"/>
          <w:color w:val="auto"/>
          <w:sz w:val="32"/>
          <w:szCs w:val="32"/>
        </w:rPr>
        <w:t>附表：.</w:t>
      </w:r>
    </w:p>
    <w:p>
      <w:pPr>
        <w:rPr>
          <w:rFonts w:ascii="黑体" w:eastAsia="黑体" w:cs="黑体" w:hint="eastAsia"/>
          <w:color w:val="auto"/>
          <w:kern w:val="0"/>
          <w:sz w:val="32"/>
          <w:szCs w:val="32"/>
        </w:rPr>
      </w:pPr>
    </w:p>
    <w:p>
      <w:pPr>
        <w:ind w:firstLineChars="600" w:firstLine="1920"/>
        <w:rPr>
          <w:rFonts w:ascii="黑体" w:eastAsia="黑体" w:hint="eastAsia"/>
          <w:color w:val="auto"/>
          <w:sz w:val="32"/>
          <w:szCs w:val="32"/>
          <w:lang w:val="en-US" w:eastAsia="zh-CN"/>
        </w:rPr>
      </w:pPr>
      <w:r>
        <w:rPr>
          <w:rFonts w:ascii="黑体" w:eastAsia="黑体" w:hint="eastAsia"/>
          <w:color w:val="auto"/>
          <w:sz w:val="32"/>
          <w:szCs w:val="32"/>
        </w:rPr>
        <w:t>2025年</w:t>
      </w:r>
      <w:r>
        <w:rPr>
          <w:rFonts w:ascii="黑体" w:eastAsia="黑体" w:hint="eastAsia"/>
          <w:color w:val="auto"/>
          <w:sz w:val="32"/>
          <w:szCs w:val="32"/>
          <w:lang w:val="en-US" w:eastAsia="zh-CN"/>
        </w:rPr>
        <w:t>三江镇中心卫生院</w:t>
      </w:r>
    </w:p>
    <w:p>
      <w:pPr>
        <w:ind w:firstLineChars="300" w:firstLine="960"/>
        <w:rPr>
          <w:rFonts w:ascii="黑体" w:eastAsia="黑体"/>
          <w:color w:val="auto"/>
          <w:sz w:val="32"/>
          <w:szCs w:val="32"/>
        </w:rPr>
      </w:pPr>
      <w:r>
        <w:rPr>
          <w:rFonts w:ascii="黑体" w:eastAsia="黑体" w:hint="eastAsia"/>
          <w:color w:val="auto"/>
          <w:sz w:val="32"/>
          <w:szCs w:val="32"/>
          <w:lang w:val="en-US" w:eastAsia="zh-CN"/>
        </w:rPr>
        <w:t>基本公共卫生服务项目</w:t>
      </w:r>
      <w:r>
        <w:rPr>
          <w:rFonts w:ascii="黑体" w:eastAsia="黑体" w:hint="eastAsia"/>
          <w:color w:val="auto"/>
          <w:sz w:val="32"/>
          <w:szCs w:val="32"/>
        </w:rPr>
        <w:t>支出绩效自评报告</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rPr>
      </w:pPr>
      <w:r>
        <w:rPr>
          <w:rFonts w:ascii="仿宋_GB2312" w:eastAsia="仿宋_GB2312" w:cs="Times New Roman" w:hint="eastAsia"/>
          <w:color w:val="auto"/>
          <w:sz w:val="32"/>
          <w:szCs w:val="32"/>
          <w:lang w:val="zh-CN"/>
        </w:rPr>
        <w:t>一、项目概况</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rPr>
      </w:pPr>
      <w:r>
        <w:rPr>
          <w:rFonts w:ascii="仿宋_GB2312" w:eastAsia="仿宋_GB2312" w:cs="Times New Roman" w:hint="eastAsia"/>
          <w:color w:val="auto"/>
          <w:sz w:val="32"/>
          <w:szCs w:val="32"/>
          <w:lang w:val="zh-CN"/>
        </w:rPr>
        <w:t>（一）设立背景及基本情况</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rPr>
      </w:pPr>
      <w:r>
        <w:rPr>
          <w:rFonts w:ascii="仿宋_GB2312" w:eastAsia="仿宋_GB2312" w:cs="Times New Roman" w:hint="eastAsia"/>
          <w:color w:val="auto"/>
          <w:sz w:val="32"/>
          <w:szCs w:val="32"/>
          <w:lang w:val="zh-CN"/>
        </w:rPr>
        <w:t>我院202</w:t>
      </w:r>
      <w:r>
        <w:rPr>
          <w:rFonts w:ascii="仿宋_GB2312" w:eastAsia="仿宋_GB2312" w:cs="Times New Roman" w:hint="eastAsia"/>
          <w:color w:val="auto"/>
          <w:sz w:val="32"/>
          <w:szCs w:val="32"/>
          <w:lang w:val="en-US" w:eastAsia="zh-CN"/>
        </w:rPr>
        <w:t>5</w:t>
      </w:r>
      <w:r>
        <w:rPr>
          <w:rFonts w:ascii="仿宋_GB2312" w:eastAsia="仿宋_GB2312" w:cs="Times New Roman" w:hint="eastAsia"/>
          <w:color w:val="auto"/>
          <w:sz w:val="32"/>
          <w:szCs w:val="32"/>
          <w:lang w:val="zh-CN"/>
        </w:rPr>
        <w:t>年基本公共卫生服务补助资金共计</w:t>
      </w:r>
      <w:r>
        <w:rPr>
          <w:rFonts w:ascii="仿宋_GB2312" w:eastAsia="仿宋_GB2312" w:cs="Times New Roman" w:hint="eastAsia"/>
          <w:color w:val="auto"/>
          <w:sz w:val="32"/>
          <w:szCs w:val="32"/>
          <w:lang w:val="en-US" w:eastAsia="zh-CN"/>
        </w:rPr>
        <w:t>35.41</w:t>
      </w:r>
      <w:r>
        <w:rPr>
          <w:rFonts w:ascii="仿宋_GB2312" w:eastAsia="仿宋_GB2312" w:cs="Times New Roman" w:hint="eastAsia"/>
          <w:color w:val="auto"/>
          <w:sz w:val="32"/>
          <w:szCs w:val="32"/>
          <w:lang w:val="zh-CN"/>
        </w:rPr>
        <w:t>万元，其中：县级配套资金</w:t>
      </w:r>
      <w:r>
        <w:rPr>
          <w:rFonts w:ascii="仿宋_GB2312" w:eastAsia="仿宋_GB2312" w:cs="Times New Roman" w:hint="eastAsia"/>
          <w:color w:val="auto"/>
          <w:sz w:val="32"/>
          <w:szCs w:val="32"/>
          <w:lang w:val="en-US" w:eastAsia="zh-CN"/>
        </w:rPr>
        <w:t>2.72</w:t>
      </w:r>
      <w:r>
        <w:rPr>
          <w:rFonts w:ascii="仿宋_GB2312" w:eastAsia="仿宋_GB2312" w:cs="Times New Roman" w:hint="eastAsia"/>
          <w:color w:val="auto"/>
          <w:sz w:val="32"/>
          <w:szCs w:val="32"/>
          <w:lang w:val="zh-CN"/>
        </w:rPr>
        <w:t>万元，阿州财社（2025）52号，2025年州级卫生健康补助资金（12项基本公共卫生服务）</w:t>
      </w:r>
      <w:r>
        <w:rPr>
          <w:rFonts w:ascii="仿宋_GB2312" w:eastAsia="仿宋_GB2312" w:cs="Times New Roman" w:hint="eastAsia"/>
          <w:color w:val="auto"/>
          <w:sz w:val="32"/>
          <w:szCs w:val="32"/>
          <w:lang w:val="en-US" w:eastAsia="zh-CN"/>
        </w:rPr>
        <w:t>1.11万元</w:t>
      </w:r>
      <w:r>
        <w:rPr>
          <w:rFonts w:ascii="仿宋_GB2312" w:eastAsia="仿宋_GB2312" w:cs="Times New Roman" w:hint="eastAsia"/>
          <w:color w:val="auto"/>
          <w:sz w:val="32"/>
          <w:szCs w:val="32"/>
          <w:lang w:val="zh-CN"/>
        </w:rPr>
        <w:t>；阿州财社（2025）34号，2025年基本公共卫生服务中央和省级补助资金</w:t>
      </w:r>
      <w:r>
        <w:rPr>
          <w:rFonts w:ascii="仿宋_GB2312" w:eastAsia="仿宋_GB2312" w:cs="Times New Roman" w:hint="eastAsia"/>
          <w:color w:val="auto"/>
          <w:sz w:val="32"/>
          <w:szCs w:val="32"/>
          <w:lang w:val="en-US" w:eastAsia="zh-CN"/>
        </w:rPr>
        <w:t>17.04万元</w:t>
      </w:r>
      <w:r>
        <w:rPr>
          <w:rFonts w:ascii="仿宋_GB2312" w:eastAsia="仿宋_GB2312" w:cs="Times New Roman" w:hint="eastAsia"/>
          <w:color w:val="auto"/>
          <w:sz w:val="32"/>
          <w:szCs w:val="32"/>
          <w:lang w:val="zh-CN"/>
        </w:rPr>
        <w:t>；阿州财社（2024）98号，2024年中央财政重大公共卫生服务补助资金</w:t>
      </w:r>
      <w:r>
        <w:rPr>
          <w:rFonts w:ascii="仿宋_GB2312" w:eastAsia="仿宋_GB2312" w:cs="Times New Roman" w:hint="eastAsia"/>
          <w:color w:val="auto"/>
          <w:sz w:val="32"/>
          <w:szCs w:val="32"/>
          <w:lang w:val="en-US" w:eastAsia="zh-CN"/>
        </w:rPr>
        <w:t>0.12万元；阿州财社（2025）52号，2025年州级卫生健康补助资金（12项基本公共卫生服务）15.53万元</w:t>
      </w:r>
      <w:r>
        <w:rPr>
          <w:rFonts w:ascii="仿宋_GB2312" w:eastAsia="仿宋_GB2312" w:cs="Times New Roman" w:hint="eastAsia"/>
          <w:color w:val="auto"/>
          <w:sz w:val="32"/>
          <w:szCs w:val="32"/>
          <w:lang w:val="zh-CN"/>
        </w:rPr>
        <w:t>，所有专项资金用于实施建立居民健康档案、健康教育、预防接种、儿童健康管理、孕产妇健康管理、老年人健康管理、高血压和2型糖尿病等慢性病患者健康管理、严重精神障碍患者管理、肺结核患者健康管理、中医药健康管理、传染病和突发公共卫生事件报告和处置、卫生计生监督协管项目,辖区内基本医疗保障。</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r>
        <w:rPr>
          <w:rFonts w:ascii="仿宋_GB2312" w:eastAsia="仿宋_GB2312" w:cs="Times New Roman" w:hint="eastAsia"/>
          <w:color w:val="auto"/>
          <w:sz w:val="32"/>
          <w:szCs w:val="32"/>
          <w:lang w:val="zh-CN" w:eastAsia="zh-CN"/>
        </w:rPr>
        <w:t>基本公共卫生服务</w:t>
      </w:r>
      <w:r>
        <w:rPr>
          <w:rFonts w:ascii="仿宋_GB2312" w:eastAsia="仿宋_GB2312" w:cs="Times New Roman" w:hint="eastAsia"/>
          <w:color w:val="auto"/>
          <w:sz w:val="32"/>
          <w:szCs w:val="32"/>
          <w:lang w:val="en-US" w:eastAsia="zh-CN"/>
        </w:rPr>
        <w:t>项目：可促进居民健康意识的提高和不良生活方式的改变，逐步树立起自我健康管理的理念。</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rPr>
      </w:pPr>
      <w:r>
        <w:rPr>
          <w:rFonts w:ascii="仿宋_GB2312" w:eastAsia="仿宋_GB2312" w:cs="Times New Roman" w:hint="eastAsia"/>
          <w:color w:val="auto"/>
          <w:sz w:val="32"/>
          <w:szCs w:val="32"/>
          <w:lang w:val="zh-CN"/>
        </w:rPr>
        <w:t>（二）</w:t>
      </w:r>
      <w:r>
        <w:rPr>
          <w:rFonts w:ascii="仿宋_GB2312" w:eastAsia="仿宋_GB2312" w:cs="Times New Roman"/>
          <w:color w:val="auto"/>
          <w:sz w:val="32"/>
          <w:szCs w:val="32"/>
          <w:lang w:val="en-US" w:eastAsia="zh-CN"/>
        </w:rPr>
        <w:t>实施目的及支持方向</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rPr>
      </w:pPr>
      <w:r>
        <w:rPr>
          <w:rFonts w:ascii="仿宋_GB2312" w:eastAsia="仿宋_GB2312" w:cs="Times New Roman" w:hint="eastAsia"/>
          <w:color w:val="auto"/>
          <w:sz w:val="32"/>
          <w:szCs w:val="32"/>
          <w:lang w:val="en-US" w:eastAsia="zh-CN"/>
        </w:rPr>
        <w:t>通过实施基本公共卫生服务项目，对城乡居民健康问题主要卫生问题实施干预，减少主要健康危险因素。有效预防和控制主要传染心脏病及慢性病，提高公共卫生服务和突发公共卫生事件应急处置能力，使城乡居民逐步享有均等化的公共卫生服务。</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rPr>
      </w:pPr>
      <w:r>
        <w:rPr>
          <w:rFonts w:ascii="仿宋_GB2312" w:eastAsia="仿宋_GB2312" w:cs="Times New Roman" w:hint="eastAsia"/>
          <w:color w:val="auto"/>
          <w:sz w:val="32"/>
          <w:szCs w:val="32"/>
          <w:lang w:val="zh-CN" w:eastAsia="zh-CN"/>
        </w:rPr>
        <w:t>（三）</w:t>
      </w:r>
      <w:r>
        <w:rPr>
          <w:rFonts w:ascii="仿宋_GB2312" w:eastAsia="仿宋_GB2312" w:cs="Times New Roman"/>
          <w:color w:val="auto"/>
          <w:sz w:val="32"/>
          <w:szCs w:val="32"/>
          <w:lang w:val="en-US" w:eastAsia="zh-CN"/>
        </w:rPr>
        <w:t>预算安排及分配管理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en-US" w:eastAsia="zh-CN"/>
        </w:rPr>
        <w:t>按国家基础标准执行主要采用因素法分配，根据地方常驻人口数量及国家基础标准，中央与地方分摊比例以及绩效等因素分配，本年本单位预算安排为35.41万元</w:t>
      </w:r>
      <w:r>
        <w:rPr>
          <w:rFonts w:ascii="仿宋_GB2312" w:eastAsia="仿宋_GB2312" w:cs="Times New Roman" w:hint="eastAsia"/>
          <w:color w:val="auto"/>
          <w:sz w:val="32"/>
          <w:szCs w:val="32"/>
          <w:lang w:val="zh-CN" w:eastAsia="zh-CN"/>
        </w:rPr>
        <w:t>，</w:t>
      </w:r>
      <w:r>
        <w:rPr>
          <w:rFonts w:ascii="仿宋_GB2312" w:eastAsia="仿宋_GB2312" w:cs="Times New Roman" w:hint="eastAsia"/>
          <w:color w:val="auto"/>
          <w:sz w:val="32"/>
          <w:szCs w:val="32"/>
          <w:lang w:val="en-US" w:eastAsia="zh-CN"/>
        </w:rPr>
        <w:t>用于提供基本公共卫生服务所需支出，包括人员经费公用经费及随访管理及相关工作所需经费等，不得用于基本建设及大型设备购置。</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（四）项目绩效目标设置</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zh-CN" w:eastAsia="zh-CN"/>
        </w:rPr>
      </w:pPr>
      <w:r>
        <w:rPr>
          <w:rFonts w:ascii="仿宋_GB2312" w:eastAsia="仿宋_GB2312" w:cs="Times New Roman" w:hint="eastAsia"/>
          <w:color w:val="auto"/>
          <w:sz w:val="32"/>
          <w:szCs w:val="32"/>
          <w:lang w:val="en-US" w:eastAsia="zh-CN"/>
        </w:rPr>
        <w:t>项目主要为我镇免费向全镇常住城乡居民提供12类国家基本公共卫生服务，开展对点疾病及危将因素检测，有效控制疾病流行，为制定相关政策提供科学依指，助力国家脱</w:t>
      </w:r>
      <w:r>
        <w:rPr>
          <w:rFonts w:ascii="仿宋_GB2312" w:eastAsia="仿宋_GB2312" w:cs="Times New Roman"/>
          <w:color w:val="auto"/>
          <w:sz w:val="32"/>
          <w:szCs w:val="32"/>
          <w:lang w:val="en-US" w:eastAsia="zh-CN"/>
        </w:rPr>
        <w:t>贫</w:t>
      </w:r>
      <w:r>
        <w:rPr>
          <w:rFonts w:ascii="仿宋_GB2312" w:eastAsia="仿宋_GB2312" w:cs="Times New Roman" w:hint="eastAsia"/>
          <w:color w:val="auto"/>
          <w:sz w:val="32"/>
          <w:szCs w:val="32"/>
          <w:lang w:val="en-US" w:eastAsia="zh-CN"/>
        </w:rPr>
        <w:t>攻坚，保持重点地方病防治措施全面落实，开展职业病检测，最大限度地保护工作人员、患者和公众的健康权益。同时推进妇幼健康、健康素养促进、医养结合和老年健康服务、卫生应急、计划生育等方面工作。</w:t>
      </w:r>
      <w:r>
        <w:rPr>
          <w:rFonts w:ascii="仿宋_GB2312" w:eastAsia="仿宋_GB2312" w:cs="Times New Roman" w:hint="eastAsia"/>
          <w:color w:val="auto"/>
          <w:sz w:val="32"/>
          <w:szCs w:val="32"/>
          <w:lang w:val="zh-CN" w:eastAsia="zh-CN"/>
        </w:rPr>
        <w:t>做到</w:t>
      </w:r>
      <w:r>
        <w:rPr>
          <w:rFonts w:ascii="仿宋_GB2312" w:eastAsia="仿宋_GB2312" w:cs="Times New Roman" w:hint="eastAsia"/>
          <w:color w:val="auto"/>
          <w:sz w:val="32"/>
          <w:szCs w:val="32"/>
          <w:lang w:val="en-US" w:eastAsia="zh-CN"/>
        </w:rPr>
        <w:t>小病不出村，大病不出镇。有病治病、无病早防观念被接纳，有病早发现早治疗，送医、送药、送访服务等。不断提高群众的获得感和对基层医疗卫生服务的利用率和满意度。</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rPr>
        <w:t>二、</w:t>
      </w:r>
      <w:r>
        <w:rPr>
          <w:rFonts w:ascii="仿宋_GB2312" w:eastAsia="仿宋_GB2312" w:cs="Times New Roman" w:hint="eastAsia"/>
          <w:color w:val="auto"/>
          <w:sz w:val="32"/>
          <w:szCs w:val="32"/>
          <w:lang w:val="zh-CN" w:eastAsia="zh-CN"/>
        </w:rPr>
        <w:t>评价实施</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rPr>
        <w:t>（一）评价目的</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rPr>
      </w:pPr>
      <w:r>
        <w:rPr>
          <w:rFonts w:ascii="仿宋_GB2312" w:eastAsia="仿宋_GB2312" w:cs="Times New Roman" w:hint="eastAsia"/>
          <w:color w:val="auto"/>
          <w:sz w:val="32"/>
          <w:szCs w:val="32"/>
          <w:lang w:val="zh-CN" w:eastAsia="zh-CN"/>
        </w:rPr>
        <w:t>通过对基本公共卫生服务项目开展情况和实际效果进行考核，发现项目实施中存在的问题，提出解决问题的意见和建议，及时总结经验，规范项目管理，提高组织化程度，保证项目资金安全和发挥效益，促进医改惠民政策的有效落实。</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rPr>
        <w:t>（二）预设问题及评价重点</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为加强工程资金的财务管理工作，所有专项资金的使用都严格按照财政专项资金管理制度开支，做好账务设置和账务管理。在资金使用过程中，严把监视审核关，</w:t>
      </w:r>
      <w:r>
        <w:rPr>
          <w:rFonts w:ascii="仿宋_GB2312" w:eastAsia="仿宋_GB2312" w:cs="Times New Roman"/>
          <w:color w:val="auto"/>
          <w:sz w:val="32"/>
          <w:szCs w:val="32"/>
          <w:lang w:val="zh-CN" w:eastAsia="zh-CN"/>
        </w:rPr>
        <w:t>建</w:t>
      </w:r>
      <w:r>
        <w:rPr>
          <w:rFonts w:ascii="仿宋_GB2312" w:eastAsia="仿宋_GB2312" w:cs="Times New Roman" w:hint="eastAsia"/>
          <w:color w:val="auto"/>
          <w:sz w:val="32"/>
          <w:szCs w:val="32"/>
          <w:lang w:val="zh-CN" w:eastAsia="zh-CN"/>
        </w:rPr>
        <w:t>立健全内部审批。同时，定期或不定期对资金使用、管理处境举行自查和检查，在实施项目过程中，厉行</w:t>
      </w:r>
      <w:r>
        <w:rPr>
          <w:rFonts w:ascii="仿宋_GB2312" w:eastAsia="仿宋_GB2312" w:cs="Times New Roman"/>
          <w:color w:val="auto"/>
          <w:sz w:val="32"/>
          <w:szCs w:val="32"/>
          <w:lang w:val="zh-CN" w:eastAsia="zh-CN"/>
        </w:rPr>
        <w:t>节</w:t>
      </w:r>
      <w:r>
        <w:rPr>
          <w:rFonts w:ascii="仿宋_GB2312" w:eastAsia="仿宋_GB2312" w:cs="Times New Roman" w:hint="eastAsia"/>
          <w:color w:val="auto"/>
          <w:sz w:val="32"/>
          <w:szCs w:val="32"/>
          <w:lang w:val="zh-CN" w:eastAsia="zh-CN"/>
        </w:rPr>
        <w:t>约，制止滥用，使项目资金能最大限度地发挥其作用。</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rPr>
        <w:t>（三）评价选点</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项目绩效自评所抽样点位</w:t>
      </w:r>
      <w:r>
        <w:rPr>
          <w:rFonts w:ascii="仿宋_GB2312" w:eastAsia="仿宋_GB2312" w:cs="Times New Roman" w:hint="eastAsia"/>
          <w:color w:val="auto"/>
          <w:sz w:val="32"/>
          <w:szCs w:val="32"/>
          <w:lang w:val="en-US" w:eastAsia="zh-CN"/>
        </w:rPr>
        <w:t>为</w:t>
      </w:r>
      <w:r>
        <w:rPr>
          <w:rFonts w:ascii="仿宋_GB2312" w:eastAsia="仿宋_GB2312" w:cs="Times New Roman" w:hint="eastAsia"/>
          <w:color w:val="auto"/>
          <w:sz w:val="32"/>
          <w:szCs w:val="32"/>
          <w:lang w:val="zh-CN" w:eastAsia="zh-CN"/>
        </w:rPr>
        <w:t>：</w:t>
      </w:r>
      <w:r>
        <w:rPr>
          <w:rFonts w:ascii="仿宋_GB2312" w:eastAsia="仿宋_GB2312" w:cs="Times New Roman" w:hint="eastAsia"/>
          <w:color w:val="auto"/>
          <w:sz w:val="32"/>
          <w:szCs w:val="32"/>
          <w:lang w:val="en-US" w:eastAsia="zh-CN"/>
        </w:rPr>
        <w:t>汶川县三江镇中心卫生院</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rPr>
        <w:t>（四）评价方法</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en-US" w:eastAsia="zh-CN"/>
        </w:rPr>
        <w:t>本单位主要采取单位自评法和问卷调查相结合的方法</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rPr>
        <w:t>（五）评价组织</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我单位高度基本公共卫生服务项目工作，并成立工作领导小组。</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组  长：张通瑶   党支部书记/院长</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副组长：张  银   执行院长</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 xml:space="preserve">成  员：项目办、各职能科室负责人  </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组长负责项目的整体协调管理工作，副组长负责各分管工作中涉及该项目的具体事宜，领导小组办公室负责项目具体实施。</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en-US" w:eastAsia="zh-CN"/>
        </w:rPr>
        <w:t>本项目采取项目工作领导小组负责制，全体成员积极配合、通力合作。项目工作领导小组负责协调相关工作、项目实施及资金管理。项目资金按计划制定管理制度，对项目资金单独核算，实行“专款专用、专人管理”，不得挤占挪用项目资金。指派专人长期对项目实施定期或不定期的检查和监督，及时协调解决困难和问题，保证项目质量。</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rPr>
      </w:pPr>
      <w:r>
        <w:rPr>
          <w:rFonts w:ascii="仿宋_GB2312" w:eastAsia="仿宋_GB2312" w:cs="Times New Roman" w:hint="eastAsia"/>
          <w:color w:val="auto"/>
          <w:sz w:val="32"/>
          <w:szCs w:val="32"/>
          <w:lang w:val="zh-CN"/>
        </w:rPr>
        <w:t>三、</w:t>
      </w:r>
      <w:r>
        <w:rPr>
          <w:rFonts w:ascii="仿宋_GB2312" w:eastAsia="仿宋_GB2312" w:cs="Times New Roman" w:hint="eastAsia"/>
          <w:color w:val="auto"/>
          <w:sz w:val="32"/>
          <w:szCs w:val="32"/>
          <w:lang w:val="zh-CN" w:eastAsia="zh-CN"/>
        </w:rPr>
        <w:t>绩效分析</w:t>
      </w:r>
      <w:r>
        <w:rPr>
          <w:rFonts w:ascii="仿宋_GB2312" w:eastAsia="仿宋_GB2312" w:cs="Times New Roman" w:hint="eastAsia"/>
          <w:color w:val="auto"/>
          <w:sz w:val="32"/>
          <w:szCs w:val="32"/>
          <w:lang w:val="zh-CN"/>
        </w:rPr>
        <w:tab/>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color w:val="auto"/>
          <w:sz w:val="32"/>
          <w:szCs w:val="32"/>
          <w:lang w:val="zh-CN" w:eastAsia="zh-CN"/>
        </w:rPr>
        <w:t>根据</w:t>
      </w:r>
      <w:r>
        <w:rPr>
          <w:rFonts w:ascii="仿宋_GB2312" w:eastAsia="仿宋_GB2312" w:cs="Times New Roman" w:hint="eastAsia"/>
          <w:color w:val="auto"/>
          <w:sz w:val="32"/>
          <w:szCs w:val="32"/>
          <w:lang w:val="zh-CN" w:eastAsia="zh-CN"/>
        </w:rPr>
        <w:t>项目</w:t>
      </w:r>
      <w:r>
        <w:rPr>
          <w:rFonts w:ascii="仿宋_GB2312" w:eastAsia="仿宋_GB2312" w:cs="Times New Roman"/>
          <w:color w:val="auto"/>
          <w:sz w:val="32"/>
          <w:szCs w:val="32"/>
          <w:lang w:val="zh-CN" w:eastAsia="zh-CN"/>
        </w:rPr>
        <w:t>预算绩效评价指标体系“</w:t>
      </w:r>
      <w:r>
        <w:rPr>
          <w:rFonts w:ascii="仿宋_GB2312" w:eastAsia="仿宋_GB2312" w:cs="Times New Roman" w:hint="eastAsia"/>
          <w:color w:val="auto"/>
          <w:sz w:val="32"/>
          <w:szCs w:val="32"/>
          <w:lang w:val="zh-CN" w:eastAsia="zh-CN"/>
        </w:rPr>
        <w:t>通用指标</w:t>
      </w:r>
      <w:r>
        <w:rPr>
          <w:rFonts w:ascii="仿宋_GB2312" w:eastAsia="仿宋_GB2312" w:cs="Times New Roman"/>
          <w:color w:val="auto"/>
          <w:sz w:val="32"/>
          <w:szCs w:val="32"/>
          <w:lang w:val="zh-CN" w:eastAsia="zh-CN"/>
        </w:rPr>
        <w:t>”</w:t>
      </w:r>
      <w:r>
        <w:rPr>
          <w:rFonts w:ascii="仿宋_GB2312" w:eastAsia="仿宋_GB2312" w:cs="Times New Roman" w:hint="eastAsia"/>
          <w:color w:val="auto"/>
          <w:sz w:val="32"/>
          <w:szCs w:val="32"/>
          <w:lang w:val="zh-CN" w:eastAsia="zh-CN"/>
        </w:rPr>
        <w:t>“专用指标”“个性指标”</w:t>
      </w:r>
      <w:r>
        <w:rPr>
          <w:rFonts w:ascii="仿宋_GB2312" w:eastAsia="仿宋_GB2312" w:cs="Times New Roman"/>
          <w:color w:val="auto"/>
          <w:sz w:val="32"/>
          <w:szCs w:val="32"/>
          <w:lang w:val="zh-CN" w:eastAsia="zh-CN"/>
        </w:rPr>
        <w:t>涉及</w:t>
      </w:r>
      <w:r>
        <w:rPr>
          <w:rFonts w:ascii="仿宋_GB2312" w:eastAsia="仿宋_GB2312" w:cs="Times New Roman" w:hint="eastAsia"/>
          <w:color w:val="auto"/>
          <w:sz w:val="32"/>
          <w:szCs w:val="32"/>
          <w:lang w:val="zh-CN" w:eastAsia="zh-CN"/>
        </w:rPr>
        <w:t>二、三级</w:t>
      </w:r>
      <w:r>
        <w:rPr>
          <w:rFonts w:ascii="仿宋_GB2312" w:eastAsia="仿宋_GB2312" w:cs="Times New Roman"/>
          <w:color w:val="auto"/>
          <w:sz w:val="32"/>
          <w:szCs w:val="32"/>
          <w:lang w:val="zh-CN" w:eastAsia="zh-CN"/>
        </w:rPr>
        <w:t>指标进行</w:t>
      </w:r>
      <w:r>
        <w:rPr>
          <w:rFonts w:ascii="仿宋_GB2312" w:eastAsia="仿宋_GB2312" w:cs="Times New Roman" w:hint="eastAsia"/>
          <w:color w:val="auto"/>
          <w:sz w:val="32"/>
          <w:szCs w:val="32"/>
          <w:lang w:val="zh-CN" w:eastAsia="zh-CN"/>
        </w:rPr>
        <w:t>逐项</w:t>
      </w:r>
      <w:r>
        <w:rPr>
          <w:rFonts w:ascii="仿宋_GB2312" w:eastAsia="仿宋_GB2312" w:cs="Times New Roman"/>
          <w:color w:val="auto"/>
          <w:sz w:val="32"/>
          <w:szCs w:val="32"/>
          <w:lang w:val="zh-CN" w:eastAsia="zh-CN"/>
        </w:rPr>
        <w:t>绩效分析</w:t>
      </w:r>
      <w:r>
        <w:rPr>
          <w:rFonts w:ascii="仿宋_GB2312" w:eastAsia="仿宋_GB2312" w:cs="Times New Roman" w:hint="eastAsia"/>
          <w:color w:val="auto"/>
          <w:sz w:val="32"/>
          <w:szCs w:val="32"/>
          <w:lang w:val="zh-CN" w:eastAsia="zh-CN"/>
        </w:rPr>
        <w:t>并评分</w:t>
      </w:r>
      <w:r>
        <w:rPr>
          <w:rFonts w:ascii="仿宋_GB2312" w:eastAsia="仿宋_GB2312" w:cs="Times New Roman" w:hint="eastAsia"/>
          <w:color w:val="auto"/>
          <w:sz w:val="32"/>
          <w:szCs w:val="32"/>
          <w:lang w:val="en-US" w:eastAsia="zh-CN"/>
        </w:rPr>
        <w:t>。</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zh-CN"/>
        </w:rPr>
        <w:t>（一）</w:t>
      </w:r>
      <w:r>
        <w:rPr>
          <w:rFonts w:ascii="仿宋_GB2312" w:eastAsia="仿宋_GB2312" w:cs="Times New Roman" w:hint="eastAsia"/>
          <w:color w:val="auto"/>
          <w:sz w:val="32"/>
          <w:szCs w:val="32"/>
          <w:lang w:val="en-US" w:eastAsia="zh-CN"/>
        </w:rPr>
        <w:t>通用指标</w:t>
      </w:r>
      <w:r>
        <w:rPr>
          <w:rFonts w:ascii="仿宋_GB2312" w:eastAsia="仿宋_GB2312" w:cs="Times New Roman"/>
          <w:color w:val="auto"/>
          <w:sz w:val="32"/>
          <w:szCs w:val="32"/>
          <w:lang w:val="zh-CN"/>
        </w:rPr>
        <w:t>绩效分析。</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1.</w:t>
      </w:r>
      <w:r>
        <w:rPr>
          <w:rFonts w:ascii="仿宋_GB2312" w:eastAsia="仿宋_GB2312" w:cs="Times New Roman" w:hint="eastAsia"/>
          <w:color w:val="auto"/>
          <w:sz w:val="32"/>
          <w:szCs w:val="32"/>
          <w:lang w:val="zh-CN" w:eastAsia="zh-CN"/>
        </w:rPr>
        <w:t>项目决策（</w:t>
      </w:r>
      <w:r>
        <w:rPr>
          <w:rFonts w:ascii="仿宋_GB2312" w:eastAsia="仿宋_GB2312" w:cs="Times New Roman" w:hint="eastAsia"/>
          <w:color w:val="auto"/>
          <w:sz w:val="32"/>
          <w:szCs w:val="32"/>
          <w:lang w:val="en-US" w:eastAsia="zh-CN"/>
        </w:rPr>
        <w:t>18分）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r>
        <w:rPr>
          <w:rFonts w:ascii="仿宋_GB2312" w:eastAsia="仿宋_GB2312" w:cs="Times New Roman" w:hint="eastAsia"/>
          <w:color w:val="auto"/>
          <w:sz w:val="32"/>
          <w:szCs w:val="32"/>
          <w:lang w:val="en-US" w:eastAsia="zh-CN"/>
        </w:rPr>
        <w:t>项目决策总分18分，通过对项目决策的三级指标评价，本项目在决策依据方面符合统筹安排计划，体现了民主决策的合理性、充分性、重要性；项目预算可行。综上所述，该指标得18分。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2.</w:t>
      </w:r>
      <w:r>
        <w:rPr>
          <w:rFonts w:ascii="仿宋_GB2312" w:eastAsia="仿宋_GB2312" w:cs="Times New Roman" w:hint="eastAsia"/>
          <w:color w:val="auto"/>
          <w:sz w:val="32"/>
          <w:szCs w:val="32"/>
          <w:lang w:val="zh-CN" w:eastAsia="zh-CN"/>
        </w:rPr>
        <w:t>项目管理（</w:t>
      </w:r>
      <w:r>
        <w:rPr>
          <w:rFonts w:ascii="仿宋_GB2312" w:eastAsia="仿宋_GB2312" w:cs="Times New Roman" w:hint="eastAsia"/>
          <w:color w:val="auto"/>
          <w:sz w:val="32"/>
          <w:szCs w:val="32"/>
          <w:lang w:val="en-US" w:eastAsia="zh-CN"/>
        </w:rPr>
        <w:t>18分）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r>
        <w:rPr>
          <w:rFonts w:ascii="仿宋_GB2312" w:eastAsia="仿宋_GB2312" w:cs="Times New Roman" w:hint="eastAsia"/>
          <w:color w:val="auto"/>
          <w:sz w:val="32"/>
          <w:szCs w:val="32"/>
          <w:lang w:val="en-US" w:eastAsia="zh-CN"/>
        </w:rPr>
        <w:t>项目管理总分18分，通过对项目管理的三级指标评价，本项目严格按照要求，资金分配因素选取充分考虑相关行业事业发展实际和发展需求合理公平分配；明确项目申报审核程序，按规定程序履行项目审批；项目绩效监管按要求开展，指导有力有效。综上所述，该指标得15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3.项目实施</w:t>
      </w:r>
      <w:r>
        <w:rPr>
          <w:rFonts w:ascii="仿宋_GB2312" w:eastAsia="仿宋_GB2312" w:cs="Times New Roman" w:hint="eastAsia"/>
          <w:color w:val="auto"/>
          <w:sz w:val="32"/>
          <w:szCs w:val="32"/>
          <w:lang w:val="zh-CN" w:eastAsia="zh-CN"/>
        </w:rPr>
        <w:t>（</w:t>
      </w:r>
      <w:r>
        <w:rPr>
          <w:rFonts w:ascii="仿宋_GB2312" w:eastAsia="仿宋_GB2312" w:cs="Times New Roman" w:hint="eastAsia"/>
          <w:color w:val="auto"/>
          <w:sz w:val="32"/>
          <w:szCs w:val="32"/>
          <w:lang w:val="en-US" w:eastAsia="zh-CN"/>
        </w:rPr>
        <w:t>9分）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r>
        <w:rPr>
          <w:rFonts w:ascii="仿宋_GB2312" w:eastAsia="仿宋_GB2312" w:cs="Times New Roman" w:hint="eastAsia"/>
          <w:color w:val="auto"/>
          <w:sz w:val="32"/>
          <w:szCs w:val="32"/>
          <w:lang w:val="en-US" w:eastAsia="zh-CN"/>
        </w:rPr>
        <w:t>项目实施总分9分，通过对项目实施的三级指标评价，本项目资金足额到位，拨付及时，使用时间、范围、程序合规，没有进行预算调整，财务制度、会计核算健全、规范。综上所述，该指标得9分。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4.项目结果（9分）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项目结果总分9分，通过对项目结果的指标评价，本项目完成预期目标，实施结果与绩效目标相匹配；项目实际完成时间与计划完成时间相符。综上所述，该指标得9分。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rPr>
        <w:t>（二）</w:t>
      </w:r>
      <w:r>
        <w:rPr>
          <w:rFonts w:ascii="仿宋_GB2312" w:eastAsia="仿宋_GB2312" w:cs="Times New Roman" w:hint="eastAsia"/>
          <w:color w:val="auto"/>
          <w:sz w:val="32"/>
          <w:szCs w:val="32"/>
          <w:lang w:val="en-US" w:eastAsia="zh-CN"/>
        </w:rPr>
        <w:t>专用指标</w:t>
      </w:r>
      <w:r>
        <w:rPr>
          <w:rFonts w:ascii="仿宋_GB2312" w:eastAsia="仿宋_GB2312" w:cs="Times New Roman"/>
          <w:color w:val="auto"/>
          <w:sz w:val="32"/>
          <w:szCs w:val="32"/>
          <w:lang w:val="zh-CN"/>
        </w:rPr>
        <w:t>绩效分析</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zh-CN" w:eastAsia="zh-CN"/>
        </w:rPr>
        <w:t>民生保障</w:t>
      </w:r>
      <w:r>
        <w:rPr>
          <w:rFonts w:ascii="仿宋_GB2312" w:eastAsia="仿宋_GB2312" w:cs="Times New Roman" w:hint="eastAsia"/>
          <w:color w:val="auto"/>
          <w:sz w:val="32"/>
          <w:szCs w:val="32"/>
          <w:lang w:val="en-US" w:eastAsia="zh-CN"/>
        </w:rPr>
        <w:t>（30分）</w:t>
      </w:r>
      <w:r>
        <w:rPr>
          <w:rFonts w:ascii="仿宋_GB2312" w:eastAsia="仿宋_GB2312" w:cs="Times New Roman" w:hint="eastAsia"/>
          <w:color w:val="auto"/>
          <w:sz w:val="32"/>
          <w:szCs w:val="32"/>
          <w:lang w:val="zh-CN" w:eastAsia="zh-CN"/>
        </w:rPr>
        <w:t>围绕区域均衡性、对象精准性、标准合理性、群众满意度进行绩效分析。</w:t>
      </w:r>
      <w:r>
        <w:rPr>
          <w:rFonts w:ascii="仿宋_GB2312" w:eastAsia="仿宋_GB2312" w:cs="Times New Roman" w:hint="eastAsia"/>
          <w:color w:val="auto"/>
          <w:sz w:val="32"/>
          <w:szCs w:val="32"/>
          <w:lang w:val="en-US" w:eastAsia="zh-CN"/>
        </w:rPr>
        <w:t>综上所述，该指标得29分。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民生保障总分30分，通过对民生保障的三级指标评价，本项目资金分配均衡公平；资金实际支持对象符合管理要求，符合支持对象范围；资金实际补贴标准符合资金管理办法规定的补助标准，及时按标准兑现.综上所述，该指标得28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扣分原因：根据对10位受益群众的问卷调差，有1位受访者对基本公共卫生服务工作的总体评价为一般，9位受访者对基本公共卫生服务工作表示满意，群众满意度高达90%。根据评价标准，本项评价得分：5</w:t>
      </w:r>
      <w:r>
        <w:rPr>
          <w:rFonts w:ascii="仿宋_GB2312" w:eastAsia="仿宋_GB2312" w:cs="Times New Roman"/>
          <w:color w:val="auto"/>
          <w:sz w:val="32"/>
          <w:szCs w:val="32"/>
          <w:lang w:val="en-US" w:eastAsia="zh-CN"/>
        </w:rPr>
        <w:t>×</w:t>
      </w:r>
      <w:r>
        <w:rPr>
          <w:rFonts w:ascii="仿宋_GB2312" w:eastAsia="仿宋_GB2312" w:cs="Times New Roman" w:hint="eastAsia"/>
          <w:color w:val="auto"/>
          <w:sz w:val="32"/>
          <w:szCs w:val="32"/>
          <w:lang w:val="en-US" w:eastAsia="zh-CN"/>
        </w:rPr>
        <w:t>80%=4，扣减1分。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综上所述，该指标得28分。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rPr>
        <w:t>（三）</w:t>
      </w:r>
      <w:r>
        <w:rPr>
          <w:rFonts w:ascii="仿宋_GB2312" w:eastAsia="仿宋_GB2312" w:cs="Times New Roman" w:hint="eastAsia"/>
          <w:color w:val="auto"/>
          <w:sz w:val="32"/>
          <w:szCs w:val="32"/>
          <w:lang w:val="en-US" w:eastAsia="zh-CN"/>
        </w:rPr>
        <w:t>个性指标</w:t>
      </w:r>
      <w:r>
        <w:rPr>
          <w:rFonts w:ascii="仿宋_GB2312" w:eastAsia="仿宋_GB2312" w:cs="Times New Roman"/>
          <w:color w:val="auto"/>
          <w:sz w:val="32"/>
          <w:szCs w:val="32"/>
          <w:lang w:val="zh-CN"/>
        </w:rPr>
        <w:t>绩效分析</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社会效益指标总分16分，通过对个性指标的分析，我镇采取多专项联合开展基本公共卫生服务，如家庭医生签约服务与老年人健康管理、高血压、糖尿病患者健康管理同行；老年人疫苗接种和居民档案清理更新结合；中医药健康指导门诊并融；结核病督导、传染病防治督导与卫监巡查、健康教育共行；孕产妇健康管理、儿童保健、预防接种开展信息交互，优质高效开展国家基本公共卫生工作.提高了辖区内居民满意度、获得感、幸福感。综上所述，该指标得10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rPr>
      </w:pPr>
      <w:r>
        <w:rPr>
          <w:rFonts w:ascii="仿宋_GB2312" w:eastAsia="仿宋_GB2312" w:cs="Times New Roman" w:hint="eastAsia"/>
          <w:color w:val="auto"/>
          <w:sz w:val="32"/>
          <w:szCs w:val="32"/>
          <w:lang w:val="en-US" w:eastAsia="zh-CN"/>
        </w:rPr>
        <w:t>四</w:t>
      </w:r>
      <w:r>
        <w:rPr>
          <w:rFonts w:ascii="仿宋_GB2312" w:eastAsia="仿宋_GB2312" w:cs="Times New Roman" w:hint="eastAsia"/>
          <w:color w:val="auto"/>
          <w:sz w:val="32"/>
          <w:szCs w:val="32"/>
          <w:lang w:val="en-US"/>
        </w:rPr>
        <w:t>、评价结论</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r>
        <w:rPr>
          <w:rFonts w:ascii="仿宋_GB2312" w:eastAsia="仿宋_GB2312" w:cs="Times New Roman" w:hint="eastAsia"/>
          <w:color w:val="auto"/>
          <w:sz w:val="32"/>
          <w:szCs w:val="32"/>
          <w:lang w:val="en-US" w:eastAsia="zh-CN"/>
        </w:rPr>
        <w:t>总体上看，基本公共卫生服务项目工作绩效考评得分89分。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五、存在主要问题</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r>
        <w:rPr>
          <w:rFonts w:ascii="仿宋_GB2312" w:eastAsia="仿宋_GB2312" w:cs="Times New Roman"/>
          <w:color w:val="auto"/>
          <w:sz w:val="32"/>
          <w:szCs w:val="32"/>
          <w:lang w:val="en-US" w:eastAsia="zh-CN"/>
        </w:rPr>
        <w:t>1、</w:t>
      </w:r>
      <w:r>
        <w:rPr>
          <w:rFonts w:ascii="仿宋_GB2312" w:eastAsia="仿宋_GB2312" w:cs="Times New Roman" w:hint="eastAsia"/>
          <w:color w:val="auto"/>
          <w:sz w:val="32"/>
          <w:szCs w:val="32"/>
          <w:lang w:val="en-US" w:eastAsia="zh-CN"/>
        </w:rPr>
        <w:t>群众对公共卫生服务政策理解不够透彻。</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r>
        <w:rPr>
          <w:rFonts w:ascii="仿宋_GB2312" w:eastAsia="仿宋_GB2312" w:cs="Times New Roman"/>
          <w:color w:val="auto"/>
          <w:sz w:val="32"/>
          <w:szCs w:val="32"/>
          <w:lang w:val="en-US" w:eastAsia="zh-CN"/>
        </w:rPr>
        <w:t>2、</w:t>
      </w:r>
      <w:r>
        <w:rPr>
          <w:rFonts w:ascii="仿宋_GB2312" w:eastAsia="仿宋_GB2312" w:cs="Times New Roman" w:hint="eastAsia"/>
          <w:color w:val="auto"/>
          <w:sz w:val="32"/>
          <w:szCs w:val="32"/>
          <w:lang w:val="en-US" w:eastAsia="zh-CN"/>
        </w:rPr>
        <w:t>项目绩效目标不够细化量化，导致项目没有达到预期的效益和效果。</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六、改进建议</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bookmarkStart w:id="113" w:name="_Hlk110546638"/>
      <w:r>
        <w:rPr>
          <w:rFonts w:ascii="仿宋_GB2312" w:eastAsia="仿宋_GB2312" w:cs="Times New Roman" w:hint="eastAsia"/>
          <w:color w:val="auto"/>
          <w:sz w:val="32"/>
          <w:szCs w:val="32"/>
          <w:lang w:val="en-US" w:eastAsia="zh-CN"/>
        </w:rPr>
        <w:t>1、加强宣传力度，让群众了解公共卫生服务政策的内涵，提高群众知晓率，鼓励群众积极参与，配合基本公共卫生服务工作的开展；加强政府在宣传中的主导作用，消除居民的抵触情绪。</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eastAsia="zh-CN"/>
        </w:rPr>
      </w:pPr>
      <w:r>
        <w:rPr>
          <w:rFonts w:ascii="仿宋_GB2312" w:eastAsia="仿宋_GB2312" w:cs="Times New Roman" w:hint="eastAsia"/>
          <w:color w:val="auto"/>
          <w:sz w:val="32"/>
          <w:szCs w:val="32"/>
          <w:lang w:val="en-US" w:eastAsia="zh-CN"/>
        </w:rPr>
        <w:t>2、努力抓好绩效目标管理工作，在申报专项资金时编制合理的项目绩效目标，进一步做到绩效目标明确、细化、量化。</w:t>
      </w:r>
    </w:p>
    <w:p>
      <w:pPr>
        <w:snapToGrid w:val="0"/>
        <w:spacing w:line="578" w:lineRule="exact"/>
        <w:ind w:firstLineChars="200" w:firstLine="640"/>
        <w:rPr>
          <w:rFonts w:eastAsia="仿宋_GB2312"/>
          <w:color w:val="auto"/>
          <w:kern w:val="0"/>
          <w:sz w:val="32"/>
          <w:szCs w:val="32"/>
          <w:shd w:val="clear" w:color="auto" w:fill="FFFFFF"/>
        </w:rPr>
      </w:pPr>
      <w:bookmarkEnd w:id="113"/>
      <w:r>
        <w:rPr>
          <w:rFonts w:eastAsia="仿宋_GB2312"/>
          <w:color w:val="auto"/>
          <w:kern w:val="0"/>
          <w:sz w:val="32"/>
          <w:szCs w:val="32"/>
          <w:shd w:val="clear" w:color="auto" w:fill="FFFFFF"/>
        </w:rPr>
        <w:t>附表：1.</w:t>
      </w:r>
      <w:r>
        <w:rPr>
          <w:rFonts w:eastAsia="仿宋_GB2312" w:hint="eastAsia"/>
          <w:color w:val="auto"/>
          <w:kern w:val="0"/>
          <w:sz w:val="32"/>
          <w:szCs w:val="32"/>
          <w:shd w:val="clear" w:color="auto" w:fill="FFFFFF"/>
        </w:rPr>
        <w:t>专项</w:t>
      </w:r>
      <w:r>
        <w:rPr>
          <w:rFonts w:eastAsia="仿宋_GB2312"/>
          <w:color w:val="auto"/>
          <w:kern w:val="0"/>
          <w:sz w:val="32"/>
          <w:szCs w:val="32"/>
          <w:shd w:val="clear" w:color="auto" w:fill="FFFFFF"/>
        </w:rPr>
        <w:t>预算绩效自评打分表</w:t>
      </w:r>
    </w:p>
    <w:p>
      <w:pPr>
        <w:snapToGrid w:val="0"/>
        <w:spacing w:line="578" w:lineRule="exact"/>
        <w:ind w:firstLineChars="500" w:firstLine="1600"/>
        <w:rPr>
          <w:rFonts w:eastAsia="仿宋_GB2312"/>
          <w:color w:val="auto"/>
          <w:kern w:val="0"/>
          <w:sz w:val="32"/>
          <w:szCs w:val="32"/>
          <w:shd w:val="clear" w:color="auto" w:fill="FFFFFF"/>
        </w:rPr>
      </w:pPr>
      <w:r>
        <w:rPr>
          <w:rFonts w:eastAsia="仿宋_GB2312"/>
          <w:color w:val="auto"/>
          <w:kern w:val="0"/>
          <w:sz w:val="32"/>
          <w:szCs w:val="32"/>
          <w:shd w:val="clear" w:color="auto" w:fill="FFFFFF"/>
        </w:rPr>
        <w:t>2.专项预算项目绩效目标完成情况自评表</w:t>
      </w:r>
    </w:p>
    <w:p>
      <w:pPr>
        <w:rPr>
          <w:rFonts w:ascii="仿宋" w:eastAsia="仿宋" w:cs="Times New Roman" w:hint="eastAsia"/>
          <w:color w:val="auto"/>
          <w:sz w:val="32"/>
          <w:szCs w:val="32"/>
          <w:lang w:val="en-US" w:eastAsia="zh-CN"/>
        </w:rPr>
      </w:pPr>
    </w:p>
    <w:p>
      <w:pPr>
        <w:rPr>
          <w:rFonts w:eastAsia="黑体"/>
          <w:color w:val="auto"/>
          <w:kern w:val="0"/>
          <w:shd w:val="clear" w:color="auto" w:fill="FFFFFF"/>
          <w:lang w:val="zh-CN"/>
        </w:rPr>
      </w:pPr>
      <w:r>
        <w:rPr>
          <w:rFonts w:eastAsia="黑体"/>
          <w:color w:val="auto"/>
          <w:kern w:val="0"/>
          <w:shd w:val="clear" w:color="auto" w:fill="FFFFFF"/>
          <w:lang w:val="zh-CN"/>
        </w:rPr>
        <w:br w:type="page"/>
      </w:r>
    </w:p>
    <w:p>
      <w:pPr>
        <w:rPr>
          <w:rFonts w:eastAsia="黑体"/>
          <w:color w:val="auto"/>
          <w:kern w:val="0"/>
          <w:shd w:val="clear" w:color="auto" w:fill="FFFFFF"/>
        </w:rPr>
      </w:pPr>
      <w:r>
        <w:rPr>
          <w:rFonts w:eastAsia="黑体"/>
          <w:color w:val="auto"/>
          <w:kern w:val="0"/>
          <w:shd w:val="clear" w:color="auto" w:fill="FFFFFF"/>
          <w:lang w:val="zh-CN"/>
        </w:rPr>
        <w:t>附表</w:t>
      </w:r>
      <w:r>
        <w:rPr>
          <w:rFonts w:eastAsia="黑体"/>
          <w:color w:val="auto"/>
          <w:kern w:val="0"/>
          <w:shd w:val="clear" w:color="auto" w:fill="FFFFFF"/>
        </w:rPr>
        <w:t>1</w:t>
      </w:r>
    </w:p>
    <w:p>
      <w:pPr>
        <w:spacing w:line="578" w:lineRule="exact"/>
        <w:jc w:val="center"/>
        <w:rPr>
          <w:rFonts w:eastAsia="方正小标宋_GBK"/>
          <w:color w:val="auto"/>
          <w:sz w:val="40"/>
          <w:szCs w:val="40"/>
        </w:rPr>
      </w:pPr>
      <w:r>
        <w:rPr>
          <w:rFonts w:eastAsia="方正小标宋_GBK" w:hint="eastAsia"/>
          <w:color w:val="auto"/>
          <w:sz w:val="40"/>
          <w:szCs w:val="40"/>
        </w:rPr>
        <w:t>专项</w:t>
      </w:r>
      <w:r>
        <w:rPr>
          <w:rFonts w:eastAsia="方正小标宋_GBK"/>
          <w:color w:val="auto"/>
          <w:sz w:val="40"/>
          <w:szCs w:val="40"/>
        </w:rPr>
        <w:t>预算绩效自评打分表</w:t>
      </w:r>
    </w:p>
    <w:tbl>
      <w:tblPr>
        <w:jc w:val="center"/>
        <w:tblW w:w="10901"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rPr>
          <w:trHeight w:val="23"/>
        </w:trPr>
        <w:tc>
          <w:tcPr>
            <w:tcW w:w="4361" w:type="dxa"/>
            <w:gridSpan w:val="5"/>
            <w:tcBorders>
              <w:top w:val="single" w:sz="4" w:space="0" w:color="000000"/>
              <w:left w:val="single" w:sz="4" w:space="0" w:color="000000"/>
              <w:bottom w:val="nil"/>
              <w:right w:val="nil"/>
            </w:tcBorders>
            <w:noWrap/>
            <w:vAlign w:val="center"/>
          </w:tcPr>
          <w:p>
            <w:pPr>
              <w:widowControl/>
              <w:spacing w:line="240" w:lineRule="exact"/>
              <w:jc w:val="center"/>
              <w:textAlignment w:val="center"/>
              <w:rPr>
                <w:rFonts w:ascii="黑体" w:eastAsia="黑体" w:cs="黑体"/>
                <w:color w:val="auto"/>
                <w:sz w:val="24"/>
                <w:szCs w:val="24"/>
              </w:rPr>
            </w:pPr>
            <w:r>
              <w:rPr>
                <w:rFonts w:ascii="黑体" w:eastAsia="黑体" w:cs="黑体" w:hint="eastAsia"/>
                <w:color w:val="auto"/>
                <w:kern w:val="0"/>
                <w:sz w:val="24"/>
                <w:szCs w:val="24"/>
              </w:rPr>
              <w:t>绩效评价指标</w:t>
            </w:r>
          </w:p>
        </w:tc>
        <w:tc>
          <w:tcPr>
            <w:tcW w:w="5340"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sz w:val="24"/>
                <w:szCs w:val="24"/>
              </w:rPr>
            </w:pPr>
            <w:r>
              <w:rPr>
                <w:rFonts w:ascii="黑体" w:eastAsia="黑体" w:cs="黑体" w:hint="eastAsia"/>
                <w:color w:val="auto"/>
                <w:kern w:val="0"/>
                <w:sz w:val="24"/>
                <w:szCs w:val="24"/>
              </w:rPr>
              <w:t>指标解释</w:t>
            </w:r>
          </w:p>
        </w:tc>
        <w:tc>
          <w:tcPr>
            <w:tcW w:w="732" w:type="dxa"/>
            <w:vMerge w:val="restart"/>
            <w:tcBorders>
              <w:top w:val="single" w:sz="4" w:space="0" w:color="000000"/>
              <w:left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kern w:val="0"/>
                <w:sz w:val="24"/>
                <w:szCs w:val="24"/>
              </w:rPr>
            </w:pPr>
            <w:r>
              <w:rPr>
                <w:rFonts w:ascii="黑体" w:eastAsia="黑体" w:cs="黑体" w:hint="eastAsia"/>
                <w:color w:val="auto"/>
                <w:kern w:val="0"/>
                <w:sz w:val="24"/>
                <w:szCs w:val="24"/>
              </w:rPr>
              <w:t>自评得分</w:t>
            </w:r>
          </w:p>
        </w:tc>
        <w:tc>
          <w:tcPr>
            <w:tcW w:w="468" w:type="dxa"/>
            <w:vMerge w:val="restart"/>
            <w:tcBorders>
              <w:top w:val="single" w:sz="4" w:space="0" w:color="000000"/>
              <w:left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kern w:val="0"/>
                <w:sz w:val="24"/>
                <w:szCs w:val="24"/>
              </w:rPr>
            </w:pPr>
            <w:r>
              <w:rPr>
                <w:rFonts w:ascii="黑体" w:eastAsia="黑体" w:cs="黑体" w:hint="eastAsia"/>
                <w:color w:val="auto"/>
                <w:kern w:val="0"/>
                <w:sz w:val="24"/>
                <w:szCs w:val="24"/>
              </w:rPr>
              <w:t>备注</w:t>
            </w:r>
          </w:p>
        </w:tc>
      </w:tr>
      <w:tr>
        <w:trPr>
          <w:trHeight w:val="23"/>
        </w:trPr>
        <w:tc>
          <w:tcPr>
            <w:tcW w:w="72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sz w:val="24"/>
                <w:szCs w:val="24"/>
              </w:rPr>
            </w:pPr>
            <w:r>
              <w:rPr>
                <w:rFonts w:ascii="黑体" w:eastAsia="黑体" w:cs="黑体" w:hint="eastAsia"/>
                <w:color w:val="auto"/>
                <w:kern w:val="0"/>
                <w:sz w:val="24"/>
                <w:szCs w:val="24"/>
              </w:rPr>
              <w:t>一级指标</w:t>
            </w:r>
          </w:p>
        </w:tc>
        <w:tc>
          <w:tcPr>
            <w:tcW w:w="1590"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sz w:val="24"/>
                <w:szCs w:val="24"/>
              </w:rPr>
            </w:pPr>
            <w:r>
              <w:rPr>
                <w:rFonts w:ascii="黑体" w:eastAsia="黑体" w:cs="黑体" w:hint="eastAsia"/>
                <w:color w:val="auto"/>
                <w:kern w:val="0"/>
                <w:sz w:val="24"/>
                <w:szCs w:val="24"/>
              </w:rPr>
              <w:t>二级指标</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sz w:val="24"/>
                <w:szCs w:val="24"/>
              </w:rPr>
            </w:pPr>
            <w:r>
              <w:rPr>
                <w:rFonts w:ascii="黑体" w:eastAsia="黑体" w:cs="黑体" w:hint="eastAsia"/>
                <w:color w:val="auto"/>
                <w:kern w:val="0"/>
                <w:sz w:val="24"/>
                <w:szCs w:val="24"/>
              </w:rPr>
              <w:t>三级指标</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sz w:val="24"/>
                <w:szCs w:val="24"/>
              </w:rPr>
            </w:pPr>
            <w:r>
              <w:rPr>
                <w:rFonts w:ascii="黑体" w:eastAsia="黑体" w:cs="黑体" w:hint="eastAsia"/>
                <w:color w:val="auto"/>
                <w:kern w:val="0"/>
                <w:sz w:val="24"/>
                <w:szCs w:val="24"/>
              </w:rPr>
              <w:t>指标</w:t>
              <w:br/>
              <w:t>分值</w:t>
            </w:r>
          </w:p>
        </w:tc>
        <w:tc>
          <w:tcPr>
            <w:tcW w:w="5340" w:type="dxa"/>
            <w:vMerge/>
            <w:tcBorders>
              <w:top w:val="single" w:sz="4" w:space="0" w:color="000000"/>
              <w:left w:val="single" w:sz="4" w:space="0" w:color="000000"/>
              <w:bottom w:val="single" w:sz="4" w:space="0" w:color="000000"/>
              <w:right w:val="single" w:sz="4" w:space="0" w:color="000000"/>
            </w:tcBorders>
            <w:noWrap/>
            <w:vAlign w:val="center"/>
          </w:tcPr>
          <w:p/>
        </w:tc>
        <w:tc>
          <w:tcPr>
            <w:tcW w:w="732" w:type="dxa"/>
            <w:vMerge/>
            <w:tcBorders>
              <w:left w:val="single" w:sz="4" w:space="0" w:color="000000"/>
              <w:bottom w:val="single" w:sz="4" w:space="0" w:color="000000"/>
              <w:right w:val="single" w:sz="4" w:space="0" w:color="000000"/>
            </w:tcBorders>
            <w:noWrap/>
            <w:vAlign w:val="center"/>
          </w:tcPr>
          <w:p/>
        </w:tc>
        <w:tc>
          <w:tcPr>
            <w:tcW w:w="468" w:type="dxa"/>
            <w:vMerge/>
            <w:tcBorders>
              <w:left w:val="single" w:sz="4" w:space="0" w:color="000000"/>
              <w:bottom w:val="single" w:sz="4" w:space="0" w:color="000000"/>
              <w:right w:val="single" w:sz="4" w:space="0" w:color="000000"/>
            </w:tcBorders>
            <w:noWrap/>
            <w:vAlign w:val="center"/>
          </w:tcPr>
          <w:p/>
        </w:tc>
      </w:tr>
      <w:tr>
        <w:trPr>
          <w:trHeight w:val="23"/>
        </w:trPr>
        <w:tc>
          <w:tcPr>
            <w:tcW w:w="720"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通用指标</w:t>
              <w:br/>
              <w:t>（54分）</w:t>
            </w: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项目决策</w:t>
              <w:br/>
              <w:t>（18分）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决策程序</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6</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项目决策程序是否严密</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6</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规划论证</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6</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项目规划论证是否符合中央、省委要求，项目绩效目标设置是否科学合理</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6</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资金投向</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6</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项目资金是否与项目总体规划、相关行业事业发展相匹配，是否聚焦重大任务、重点领域、重点环节和重点项目</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6</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项目管理</w:t>
              <w:br/>
              <w:t>（18分）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制度办法</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2</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项目制度办法是否体系健全、要素完备</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2</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分配管理</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项目资金分配因素选取、权重设置、区域分布，项目管理、审批是否符合管理要求</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8</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绩效监管</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6</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管资金、项目、政策是否管绩效，项目绩效监管是否按要求开展，对下指导是否有力有效</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5</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项目实施</w:t>
              <w:br/>
              <w:t>（9分）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预算执行</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6</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项目资金财政拨付、单位执行和地方配套到位情况</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6</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资金使用</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3</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资金使用拨付、项目实施是否符合规定</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3</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项目结果</w:t>
              <w:br/>
              <w:t>（9分）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目标完成</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6</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项目是否完成预期目标，实施结果是否与绩效目标相匹配，反映目标实现程度</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6</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完成时效</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3</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项目实际完成时间与计划完成时间的比较</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3</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专用指标</w:t>
              <w:br/>
              <w:t>（30分）</w:t>
            </w: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产业发展</w:t>
              <w:br/>
              <w:t>（30分）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符合性</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项目实施是否与省委省政府支持重点、产业支持政策符合</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0</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成长性</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项目实施对相关企业（机构）成长性的促进作用，主要反映支持对象创新创造创业能力情况</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0</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经济性</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项目实施对相关企业（机构）主营业务收入、净利润、税收、产量等方面增长情况</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0</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民生保障</w:t>
              <w:br/>
              <w:t>（30分）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区域均衡性</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项目资金分配体现的均衡公平情况</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color w:val="auto"/>
                <w:kern w:val="0"/>
                <w:sz w:val="24"/>
                <w:szCs w:val="24"/>
                <w:lang w:val="en-US" w:eastAsia="zh-CN"/>
              </w:rPr>
            </w:pPr>
            <w:r>
              <w:rPr>
                <w:rFonts w:ascii="宋体" w:eastAsia="宋体" w:cs="宋体" w:hint="eastAsia"/>
                <w:color w:val="auto"/>
                <w:kern w:val="0"/>
                <w:sz w:val="24"/>
                <w:szCs w:val="24"/>
                <w:lang w:val="en-US" w:eastAsia="zh-CN"/>
              </w:rPr>
              <w:t>10</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对象精准性</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资金实际支持对象是否符合管理要求，是否符合支持对象范围</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color w:val="auto"/>
                <w:kern w:val="0"/>
                <w:sz w:val="24"/>
                <w:szCs w:val="24"/>
                <w:lang w:val="en-US" w:eastAsia="zh-CN"/>
              </w:rPr>
            </w:pPr>
            <w:r>
              <w:rPr>
                <w:rFonts w:ascii="宋体" w:eastAsia="宋体" w:cs="宋体" w:hint="eastAsia"/>
                <w:color w:val="auto"/>
                <w:kern w:val="0"/>
                <w:sz w:val="24"/>
                <w:szCs w:val="24"/>
                <w:lang w:val="en-US" w:eastAsia="zh-CN"/>
              </w:rPr>
              <w:t>10</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标准合理性</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5</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资金实际补贴标准是否符合资金管理办法规定的补助标准，是否及时按标准兑现</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color w:val="auto"/>
                <w:kern w:val="0"/>
                <w:sz w:val="24"/>
                <w:szCs w:val="24"/>
                <w:lang w:val="en-US" w:eastAsia="zh-CN"/>
              </w:rPr>
            </w:pPr>
            <w:r>
              <w:rPr>
                <w:rFonts w:ascii="宋体" w:eastAsia="宋体" w:cs="宋体" w:hint="eastAsia"/>
                <w:color w:val="auto"/>
                <w:kern w:val="0"/>
                <w:sz w:val="24"/>
                <w:szCs w:val="24"/>
                <w:lang w:val="en-US" w:eastAsia="zh-CN"/>
              </w:rPr>
              <w:t>4</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群众满意度</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5</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资金涉及相关受益群体、支持对象的满意度调查访谈情况</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4</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765"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基础</w:t>
              <w:br/>
              <w:t>设施</w:t>
              <w:br/>
              <w:t>（30分）</w:t>
            </w:r>
          </w:p>
        </w:tc>
        <w:tc>
          <w:tcPr>
            <w:tcW w:w="825"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在建</w:t>
              <w:br/>
              <w:t>项目</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工程进度</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15</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项目是否达到计划工程进度</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765" w:type="dxa"/>
            <w:vMerge/>
            <w:tcBorders>
              <w:top w:val="single" w:sz="4" w:space="0" w:color="000000"/>
              <w:left w:val="single" w:sz="4" w:space="0" w:color="000000"/>
              <w:bottom w:val="single" w:sz="4" w:space="0" w:color="000000"/>
              <w:right w:val="single" w:sz="4" w:space="0" w:color="000000"/>
            </w:tcBorders>
            <w:noWrap/>
            <w:vAlign w:val="center"/>
          </w:tcPr>
          <w:p/>
        </w:tc>
        <w:tc>
          <w:tcPr>
            <w:tcW w:w="825" w:type="dxa"/>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资金拨付</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15</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项目是否达到预先确定的资金拨付进度</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765" w:type="dxa"/>
            <w:vMerge/>
            <w:tcBorders>
              <w:top w:val="single" w:sz="4" w:space="0" w:color="000000"/>
              <w:left w:val="single" w:sz="4" w:space="0" w:color="000000"/>
              <w:bottom w:val="single" w:sz="4" w:space="0" w:color="000000"/>
              <w:right w:val="single" w:sz="4" w:space="0" w:color="000000"/>
            </w:tcBorders>
            <w:noWrap/>
            <w:vAlign w:val="center"/>
          </w:tcPr>
          <w:p/>
        </w:tc>
        <w:tc>
          <w:tcPr>
            <w:tcW w:w="825"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建成</w:t>
              <w:br/>
              <w:t>项目</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项目验收</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项目验收是否及时合格</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765" w:type="dxa"/>
            <w:vMerge/>
            <w:tcBorders>
              <w:top w:val="single" w:sz="4" w:space="0" w:color="000000"/>
              <w:left w:val="single" w:sz="4" w:space="0" w:color="000000"/>
              <w:bottom w:val="single" w:sz="4" w:space="0" w:color="000000"/>
              <w:right w:val="single" w:sz="4" w:space="0" w:color="000000"/>
            </w:tcBorders>
            <w:noWrap/>
            <w:vAlign w:val="center"/>
          </w:tcPr>
          <w:p/>
        </w:tc>
        <w:tc>
          <w:tcPr>
            <w:tcW w:w="825" w:type="dxa"/>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功能实现</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项目经济社会功能是否实现</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765" w:type="dxa"/>
            <w:vMerge/>
            <w:tcBorders>
              <w:top w:val="single" w:sz="4" w:space="0" w:color="000000"/>
              <w:left w:val="single" w:sz="4" w:space="0" w:color="000000"/>
              <w:bottom w:val="single" w:sz="4" w:space="0" w:color="000000"/>
              <w:right w:val="single" w:sz="4" w:space="0" w:color="000000"/>
            </w:tcBorders>
            <w:noWrap/>
            <w:vAlign w:val="center"/>
          </w:tcPr>
          <w:p/>
        </w:tc>
        <w:tc>
          <w:tcPr>
            <w:tcW w:w="825" w:type="dxa"/>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后续管护</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项目后续维护是否实现</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专用指标</w:t>
              <w:br/>
              <w:t>（30分）</w:t>
            </w: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行政运转</w:t>
              <w:br/>
              <w:t>（30分）</w:t>
            </w:r>
          </w:p>
        </w:tc>
        <w:tc>
          <w:tcPr>
            <w:tcW w:w="1355" w:type="dxa"/>
            <w:tcBorders>
              <w:top w:val="nil"/>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用途合规性</w:t>
            </w:r>
          </w:p>
        </w:tc>
        <w:tc>
          <w:tcPr>
            <w:tcW w:w="696" w:type="dxa"/>
            <w:tcBorders>
              <w:top w:val="nil"/>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nil"/>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是否按规定用途、适用范围进行本地区专项资金分配</w:t>
            </w:r>
          </w:p>
        </w:tc>
        <w:tc>
          <w:tcPr>
            <w:tcW w:w="732" w:type="dxa"/>
            <w:tcBorders>
              <w:top w:val="nil"/>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nil"/>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nil"/>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程序合规性</w:t>
            </w:r>
          </w:p>
        </w:tc>
        <w:tc>
          <w:tcPr>
            <w:tcW w:w="696" w:type="dxa"/>
            <w:tcBorders>
              <w:top w:val="nil"/>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资金管理程序是否符合专项资金管理要求</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nil"/>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标准合规性</w:t>
            </w:r>
          </w:p>
        </w:tc>
        <w:tc>
          <w:tcPr>
            <w:tcW w:w="696" w:type="dxa"/>
            <w:tcBorders>
              <w:top w:val="nil"/>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资金分配标准是否符合专项资金管理要求</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2310"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个性指标</w:t>
              <w:br/>
              <w:t>（16分）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提高群众防控认知</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通过对个性指标的分析，自该项目的政策实施以来，通过财政补助，注重人文关怀，做好个性化服务，为隔离群众提供良好环境，提高了民众生活幸福感，综上所述，该指标得10分。</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color w:val="auto"/>
                <w:kern w:val="0"/>
                <w:sz w:val="24"/>
                <w:szCs w:val="24"/>
                <w:lang w:val="en-US" w:eastAsia="zh-CN"/>
              </w:rPr>
            </w:pPr>
            <w:r>
              <w:rPr>
                <w:rFonts w:ascii="宋体" w:eastAsia="宋体" w:cs="宋体" w:hint="eastAsia"/>
                <w:color w:val="auto"/>
                <w:kern w:val="0"/>
                <w:sz w:val="24"/>
                <w:szCs w:val="24"/>
                <w:lang w:val="en-US" w:eastAsia="zh-CN"/>
              </w:rPr>
              <w:t>10</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2310"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扣分项</w:t>
              <w:br/>
              <w:t>（10分）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被评价</w:t>
              <w:br/>
              <w:t>部门配合度</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被评价对象工作配合情况</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bl>
    <w:p>
      <w:pPr>
        <w:pStyle w:val="17"/>
        <w:spacing w:beforeLines="0" w:before="30"/>
        <w:rPr>
          <w:rFonts w:cs="仿宋"/>
          <w:color w:val="auto"/>
          <w:sz w:val="32"/>
          <w:szCs w:val="32"/>
        </w:rPr>
      </w:pPr>
    </w:p>
    <w:p>
      <w:pPr>
        <w:rPr>
          <w:rFonts w:eastAsia="黑体" w:hint="eastAsia"/>
          <w:color w:val="auto"/>
          <w:kern w:val="0"/>
          <w:shd w:val="clear" w:color="auto" w:fill="FFFFFF"/>
          <w:lang w:val="en-US" w:eastAsia="zh-CN"/>
        </w:rPr>
      </w:pPr>
      <w:r>
        <w:rPr>
          <w:rFonts w:eastAsia="黑体"/>
          <w:color w:val="auto"/>
          <w:kern w:val="0"/>
          <w:shd w:val="clear" w:color="auto" w:fill="FFFFFF"/>
          <w:lang w:val="zh-CN"/>
        </w:rPr>
        <w:t>附表</w:t>
      </w:r>
      <w:r>
        <w:rPr>
          <w:rFonts w:eastAsia="黑体" w:hint="eastAsia"/>
          <w:color w:val="auto"/>
          <w:kern w:val="0"/>
          <w:shd w:val="clear" w:color="auto" w:fill="FFFFFF"/>
          <w:lang w:val="en-US" w:eastAsia="zh-CN"/>
        </w:rPr>
        <w:t>2</w:t>
      </w:r>
    </w:p>
    <w:p>
      <w:pPr>
        <w:pStyle w:val="17"/>
        <w:spacing w:beforeLines="0" w:before="30"/>
        <w:rPr>
          <w:rFonts w:cs="仿宋"/>
          <w:color w:val="auto"/>
          <w:sz w:val="32"/>
          <w:szCs w:val="32"/>
        </w:rPr>
      </w:pPr>
      <w:r>
        <w:rPr>
          <w:color w:val="auto"/>
        </w:rPr>
        <w:drawing>
          <wp:anchor distT="0" distB="0" distL="114300" distR="114300" simplePos="0" relativeHeight="35" behindDoc="0" locked="0" layoutInCell="1" hidden="0" allowOverlap="1">
            <wp:simplePos x="0" y="0"/>
            <wp:positionH relativeFrom="column">
              <wp:posOffset>-944880</wp:posOffset>
            </wp:positionH>
            <wp:positionV relativeFrom="paragraph">
              <wp:posOffset>176529</wp:posOffset>
            </wp:positionV>
            <wp:extent cx="7324090" cy="7287895"/>
            <wp:effectExtent l="0" t="0" r="0" b="0"/>
            <wp:wrapTopAndBottom/>
            <wp:docPr id="8" name="图片 1"/>
            <wp:cNvGraphicFramePr>
              <a:graphicFrameLocks noChangeAspect="1"/>
            </wp:cNvGraphicFramePr>
            <a:graphic>
              <a:graphicData uri="http://schemas.openxmlformats.org/drawingml/2006/picture">
                <pic:pic>
                  <pic:nvPicPr>
                    <pic:cNvPr id="10" name="图片 1 10"/>
                    <pic:cNvPicPr/>
                  </pic:nvPicPr>
                  <pic:blipFill>
                    <a:blip r:embed="rId11"/>
                    <a:stretch>
                      <a:fillRect/>
                    </a:stretch>
                  </pic:blipFill>
                  <pic:spPr>
                    <a:xfrm rot="0">
                      <a:off x="0" y="0"/>
                      <a:ext cx="7324090" cy="7287895"/>
                    </a:xfrm>
                    <a:prstGeom prst="rect"/>
                    <a:noFill/>
                    <a:ln w="9525" cmpd="sng" cap="flat">
                      <a:noFill/>
                      <a:prstDash val="solid"/>
                      <a:round/>
                    </a:ln>
                  </pic:spPr>
                </pic:pic>
              </a:graphicData>
            </a:graphic>
          </wp:anchor>
        </w:drawing>
      </w:r>
    </w:p>
    <w:p>
      <w:pPr>
        <w:jc w:val="both"/>
        <w:rPr>
          <w:rFonts w:ascii="黑体" w:eastAsia="黑体" w:cs="宋体" w:hint="eastAsia"/>
          <w:color w:val="auto"/>
          <w:kern w:val="0"/>
          <w:sz w:val="32"/>
          <w:szCs w:val="32"/>
          <w:lang w:val="en-US" w:eastAsia="zh-CN" w:bidi="ar-SA"/>
        </w:rPr>
      </w:pPr>
    </w:p>
    <w:p>
      <w:pPr>
        <w:jc w:val="both"/>
        <w:rPr>
          <w:rFonts w:ascii="黑体" w:eastAsia="黑体" w:cs="宋体"/>
          <w:color w:val="auto"/>
          <w:kern w:val="0"/>
          <w:sz w:val="32"/>
          <w:szCs w:val="32"/>
          <w:lang w:val="en-US" w:eastAsia="zh-CN" w:bidi="ar-SA"/>
        </w:rPr>
      </w:pPr>
      <w:r>
        <w:rPr>
          <w:rFonts w:ascii="黑体" w:eastAsia="黑体" w:cs="宋体" w:hint="eastAsia"/>
          <w:color w:val="auto"/>
          <w:kern w:val="0"/>
          <w:sz w:val="32"/>
          <w:szCs w:val="32"/>
          <w:lang w:val="en-US" w:eastAsia="zh-CN" w:bidi="ar-SA"/>
        </w:rPr>
        <w:t>附件2</w:t>
      </w:r>
    </w:p>
    <w:p>
      <w:pPr>
        <w:jc w:val="center"/>
        <w:rPr>
          <w:rFonts w:ascii="黑体" w:eastAsia="黑体" w:cs="宋体" w:hint="eastAsia"/>
          <w:color w:val="auto"/>
          <w:kern w:val="0"/>
          <w:sz w:val="32"/>
          <w:szCs w:val="32"/>
          <w:lang w:val="en-US" w:eastAsia="zh-CN" w:bidi="ar-SA"/>
        </w:rPr>
      </w:pPr>
      <w:r>
        <w:rPr>
          <w:rFonts w:ascii="黑体" w:eastAsia="黑体" w:cs="宋体" w:hint="eastAsia"/>
          <w:color w:val="auto"/>
          <w:kern w:val="0"/>
          <w:sz w:val="32"/>
          <w:szCs w:val="32"/>
          <w:lang w:val="en-US" w:eastAsia="zh-CN" w:bidi="ar-SA"/>
        </w:rPr>
        <w:t>汶川县三江镇中心卫生院</w:t>
      </w:r>
    </w:p>
    <w:p>
      <w:pPr>
        <w:jc w:val="center"/>
        <w:rPr>
          <w:rFonts w:ascii="黑体" w:eastAsia="黑体" w:cs="宋体" w:hint="eastAsia"/>
          <w:color w:val="auto"/>
          <w:kern w:val="0"/>
          <w:sz w:val="32"/>
          <w:szCs w:val="32"/>
          <w:lang w:val="en-US" w:eastAsia="zh-CN" w:bidi="ar-SA"/>
        </w:rPr>
      </w:pPr>
      <w:r>
        <w:rPr>
          <w:rFonts w:ascii="黑体" w:eastAsia="黑体" w:cs="宋体" w:hint="eastAsia"/>
          <w:color w:val="auto"/>
          <w:kern w:val="0"/>
          <w:sz w:val="32"/>
          <w:szCs w:val="32"/>
          <w:lang w:val="en-US" w:eastAsia="zh-CN" w:bidi="ar-SA"/>
        </w:rPr>
        <w:t>村医生生活补助专项预算项目</w:t>
      </w:r>
    </w:p>
    <w:p>
      <w:pPr>
        <w:jc w:val="center"/>
        <w:rPr>
          <w:rFonts w:ascii="黑体" w:eastAsia="黑体" w:cs="宋体" w:hint="eastAsia"/>
          <w:color w:val="auto"/>
          <w:kern w:val="0"/>
          <w:sz w:val="32"/>
          <w:szCs w:val="32"/>
          <w:lang w:val="en-US" w:eastAsia="zh-CN" w:bidi="ar-SA"/>
        </w:rPr>
      </w:pPr>
      <w:r>
        <w:rPr>
          <w:rFonts w:ascii="黑体" w:eastAsia="黑体" w:cs="宋体" w:hint="eastAsia"/>
          <w:color w:val="auto"/>
          <w:kern w:val="0"/>
          <w:sz w:val="32"/>
          <w:szCs w:val="32"/>
          <w:lang w:val="en-US" w:eastAsia="zh-CN" w:bidi="ar-SA"/>
        </w:rPr>
        <w:t>绩效评价报告</w:t>
      </w:r>
    </w:p>
    <w:p>
      <w:pPr>
        <w:widowControl w:val="0"/>
        <w:ind w:leftChars="100" w:left="210" w:rightChars="100" w:right="210"/>
        <w:jc w:val="both"/>
        <w:rPr>
          <w:rFonts w:ascii="Calibri" w:eastAsia="宋体" w:cs="Times New Roman" w:hAnsi="Calibri" w:hint="eastAsia"/>
          <w:color w:val="auto"/>
          <w:kern w:val="2"/>
          <w:sz w:val="24"/>
          <w:szCs w:val="22"/>
          <w:lang w:val="en-US" w:eastAsia="zh-CN" w:bidi="ar-SA"/>
        </w:rPr>
      </w:pP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en-US" w:eastAsia="zh-CN"/>
        </w:rPr>
        <w:t>一、</w:t>
      </w:r>
      <w:r>
        <w:rPr>
          <w:rFonts w:ascii="仿宋_GB2312" w:eastAsia="仿宋_GB2312" w:cs="Times New Roman" w:hint="eastAsia"/>
          <w:color w:val="auto"/>
          <w:sz w:val="32"/>
          <w:szCs w:val="32"/>
          <w:lang w:val="zh-CN" w:eastAsia="zh-CN"/>
        </w:rPr>
        <w:t>项目概况</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（一）设立背景及基本情况</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根据</w:t>
      </w:r>
      <w:r>
        <w:rPr>
          <w:rFonts w:ascii="仿宋_GB2312" w:eastAsia="仿宋_GB2312" w:cs="Times New Roman" w:hint="eastAsia"/>
          <w:color w:val="auto"/>
          <w:sz w:val="32"/>
          <w:szCs w:val="32"/>
          <w:lang w:val="en-US" w:eastAsia="zh-CN"/>
        </w:rPr>
        <w:t>《阿坝州人民政府关于提高乡村医生生活补助标准的批复》（阿府函〔2010〕233号），依照《阿坝州人民政府关于提高乡村医生生活补助标准的批复》（阿府函〔2010〕233号）我州乡村医生生活补助标准为300元/人每月，州、县财政按2：8比例承担。我乡村医生人数14人，年补助金额为14人×（300元×80%）×12个月=40320元。提高乡村医生生活补助标准，同时提高乡村医生工作积极性。</w:t>
      </w:r>
      <w:r>
        <w:rPr>
          <w:rFonts w:ascii="仿宋_GB2312" w:eastAsia="仿宋_GB2312" w:cs="Times New Roman" w:hint="eastAsia"/>
          <w:color w:val="auto"/>
          <w:sz w:val="32"/>
          <w:szCs w:val="32"/>
          <w:lang w:val="zh-CN" w:eastAsia="zh-CN"/>
        </w:rPr>
        <w:t>我院202</w:t>
      </w:r>
      <w:r>
        <w:rPr>
          <w:rFonts w:ascii="仿宋_GB2312" w:eastAsia="仿宋_GB2312" w:cs="Times New Roman" w:hint="eastAsia"/>
          <w:color w:val="auto"/>
          <w:sz w:val="32"/>
          <w:szCs w:val="32"/>
          <w:lang w:val="en-US" w:eastAsia="zh-CN"/>
        </w:rPr>
        <w:t>5</w:t>
      </w:r>
      <w:r>
        <w:rPr>
          <w:rFonts w:ascii="仿宋_GB2312" w:eastAsia="仿宋_GB2312" w:cs="Times New Roman" w:hint="eastAsia"/>
          <w:color w:val="auto"/>
          <w:sz w:val="32"/>
          <w:szCs w:val="32"/>
          <w:lang w:val="zh-CN" w:eastAsia="zh-CN"/>
        </w:rPr>
        <w:t>年村医生生活补助资金</w:t>
      </w:r>
      <w:r>
        <w:rPr>
          <w:rFonts w:ascii="仿宋_GB2312" w:eastAsia="仿宋_GB2312" w:cs="Times New Roman" w:hint="eastAsia"/>
          <w:color w:val="auto"/>
          <w:sz w:val="32"/>
          <w:szCs w:val="32"/>
          <w:lang w:val="en-US" w:eastAsia="zh-CN"/>
        </w:rPr>
        <w:t>县配套资金4.03万元，</w:t>
      </w:r>
      <w:r>
        <w:rPr>
          <w:rFonts w:ascii="仿宋_GB2312" w:eastAsia="仿宋_GB2312" w:cs="Times New Roman" w:hint="eastAsia"/>
          <w:color w:val="auto"/>
          <w:sz w:val="32"/>
          <w:szCs w:val="32"/>
          <w:lang w:val="zh-CN" w:eastAsia="zh-CN"/>
        </w:rPr>
        <w:t>专项用于我镇村卫生室村医生生活补助。项目资金是卫健局根据村医生实际在岗在职人员数下拔，符合资金管理办法等相关规定。</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color w:val="auto"/>
          <w:sz w:val="32"/>
          <w:szCs w:val="32"/>
          <w:lang w:val="en-US" w:eastAsia="zh-CN"/>
        </w:rPr>
        <w:t>实施目的及支持方向</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通过实施村医生生活补助项目，提高乡村医生的收入水平，保障村医生基本生活需求，从而稳定乡村医生队伍，促进乡村医疗卫生服务体系的建设。</w:t>
        <w:tab/>
        <w:tab/>
        <w:tab/>
        <w:tab/>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color w:val="auto"/>
          <w:sz w:val="32"/>
          <w:szCs w:val="32"/>
          <w:lang w:val="en-US" w:eastAsia="zh-CN"/>
        </w:rPr>
        <w:t>预算安排及分配管理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根据辖区村医生数量14人及国家基础标准，市州与地方分摊比例以及绩效等因素分配，依照《阿坝州人民政府关于提高乡村医生生活补助标准的批复》（阿府函〔2010〕233号），我乡村医生人数14人，年补助金额为14人×（300元×80%）×12个月=40320元。提高乡村医生生活补助标准，同时提高乡村医生工作积极性。</w:t>
      </w:r>
      <w:r>
        <w:rPr>
          <w:rFonts w:ascii="仿宋_GB2312" w:eastAsia="仿宋_GB2312" w:cs="Times New Roman" w:hint="eastAsia"/>
          <w:color w:val="auto"/>
          <w:sz w:val="32"/>
          <w:szCs w:val="32"/>
          <w:lang w:val="zh-CN" w:eastAsia="zh-CN"/>
        </w:rPr>
        <w:t>我院202</w:t>
      </w:r>
      <w:r>
        <w:rPr>
          <w:rFonts w:ascii="仿宋_GB2312" w:eastAsia="仿宋_GB2312" w:cs="Times New Roman" w:hint="eastAsia"/>
          <w:color w:val="auto"/>
          <w:sz w:val="32"/>
          <w:szCs w:val="32"/>
          <w:lang w:val="en-US" w:eastAsia="zh-CN"/>
        </w:rPr>
        <w:t>5</w:t>
      </w:r>
      <w:r>
        <w:rPr>
          <w:rFonts w:ascii="仿宋_GB2312" w:eastAsia="仿宋_GB2312" w:cs="Times New Roman" w:hint="eastAsia"/>
          <w:color w:val="auto"/>
          <w:sz w:val="32"/>
          <w:szCs w:val="32"/>
          <w:lang w:val="zh-CN" w:eastAsia="zh-CN"/>
        </w:rPr>
        <w:t>年村医生生活补助资金</w:t>
      </w:r>
      <w:r>
        <w:rPr>
          <w:rFonts w:ascii="仿宋_GB2312" w:eastAsia="仿宋_GB2312" w:cs="Times New Roman" w:hint="eastAsia"/>
          <w:color w:val="auto"/>
          <w:sz w:val="32"/>
          <w:szCs w:val="32"/>
          <w:lang w:val="en-US" w:eastAsia="zh-CN"/>
        </w:rPr>
        <w:t>县配套资金4.03万元，</w:t>
      </w:r>
      <w:r>
        <w:rPr>
          <w:rFonts w:ascii="仿宋_GB2312" w:eastAsia="仿宋_GB2312" w:cs="Times New Roman" w:hint="eastAsia"/>
          <w:color w:val="auto"/>
          <w:sz w:val="32"/>
          <w:szCs w:val="32"/>
          <w:lang w:val="zh-CN" w:eastAsia="zh-CN"/>
        </w:rPr>
        <w:t>专项用于我镇村卫生室村医生生活补助。</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（四）项目绩效目标设置</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en-US" w:eastAsia="zh-CN"/>
        </w:rPr>
        <w:t>项目主要为我镇村医生提供基本生活补助，确保乡村医生在岗位上能获得合理的生活保障，同时促进社会稳定。</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二、评价实施</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zh-CN" w:eastAsia="zh-CN"/>
        </w:rPr>
        <w:t>（一）评价目的</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r>
        <w:rPr>
          <w:rFonts w:ascii="仿宋_GB2312" w:eastAsia="仿宋_GB2312" w:cs="Times New Roman" w:hint="eastAsia"/>
          <w:color w:val="auto"/>
          <w:sz w:val="32"/>
          <w:szCs w:val="32"/>
          <w:lang w:val="en-US" w:eastAsia="zh-CN"/>
        </w:rPr>
        <w:t>通过项目绩效自评，结合自评结果，了解项目实施情况，从而强化绩效目标管理，加强评价结果应用，提高资金配置效率和使用效益，推动村医生生活补助项目工作正常开展。</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预设问题及评价重点</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为加强工程资金的财务管理工作，所有专项资金的使用都严格按照财政专项资金管理制度开支，做好账务设置和账务管理。在资金使用过程中，严把监视审核关，</w:t>
      </w:r>
      <w:r>
        <w:rPr>
          <w:rFonts w:ascii="仿宋_GB2312" w:eastAsia="仿宋_GB2312" w:cs="Times New Roman"/>
          <w:color w:val="auto"/>
          <w:sz w:val="32"/>
          <w:szCs w:val="32"/>
          <w:lang w:val="en-US" w:eastAsia="zh-CN"/>
        </w:rPr>
        <w:t>建</w:t>
      </w:r>
      <w:r>
        <w:rPr>
          <w:rFonts w:ascii="仿宋_GB2312" w:eastAsia="仿宋_GB2312" w:cs="Times New Roman" w:hint="eastAsia"/>
          <w:color w:val="auto"/>
          <w:sz w:val="32"/>
          <w:szCs w:val="32"/>
          <w:lang w:val="en-US" w:eastAsia="zh-CN"/>
        </w:rPr>
        <w:t>立健全内部审批。同时，定期或不定期对资金使用、管理处境举行自查和检查，在实施项目过程中，严格资金支付用途。</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评价选点</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r>
        <w:rPr>
          <w:rFonts w:ascii="仿宋_GB2312" w:eastAsia="仿宋_GB2312" w:cs="Times New Roman" w:hint="eastAsia"/>
          <w:color w:val="auto"/>
          <w:sz w:val="32"/>
          <w:szCs w:val="32"/>
          <w:lang w:val="zh-CN" w:eastAsia="zh-CN"/>
        </w:rPr>
        <w:t>项目绩效自评所抽样点位</w:t>
      </w:r>
      <w:r>
        <w:rPr>
          <w:rFonts w:ascii="仿宋_GB2312" w:eastAsia="仿宋_GB2312" w:cs="Times New Roman" w:hint="eastAsia"/>
          <w:color w:val="auto"/>
          <w:sz w:val="32"/>
          <w:szCs w:val="32"/>
          <w:lang w:val="en-US" w:eastAsia="zh-CN"/>
        </w:rPr>
        <w:t>为</w:t>
      </w:r>
      <w:r>
        <w:rPr>
          <w:rFonts w:ascii="仿宋_GB2312" w:eastAsia="仿宋_GB2312" w:cs="Times New Roman" w:hint="eastAsia"/>
          <w:color w:val="auto"/>
          <w:sz w:val="32"/>
          <w:szCs w:val="32"/>
          <w:lang w:val="zh-CN" w:eastAsia="zh-CN"/>
        </w:rPr>
        <w:t>：</w:t>
      </w:r>
      <w:r>
        <w:rPr>
          <w:rFonts w:ascii="仿宋_GB2312" w:eastAsia="仿宋_GB2312" w:cs="Times New Roman" w:hint="eastAsia"/>
          <w:color w:val="auto"/>
          <w:sz w:val="32"/>
          <w:szCs w:val="32"/>
          <w:lang w:val="en-US" w:eastAsia="zh-CN"/>
        </w:rPr>
        <w:t>汶川县三江镇中心卫生院</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评价方法</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r>
        <w:rPr>
          <w:rFonts w:ascii="仿宋_GB2312" w:eastAsia="仿宋_GB2312" w:cs="Times New Roman" w:hint="eastAsia"/>
          <w:color w:val="auto"/>
          <w:sz w:val="32"/>
          <w:szCs w:val="32"/>
          <w:lang w:val="en-US" w:eastAsia="zh-CN"/>
        </w:rPr>
        <w:t>本单位主要采取单位自评法和问卷调查相结合的方法</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zh-CN" w:eastAsia="zh-CN"/>
        </w:rPr>
        <w:t>评价组织。</w:t>
      </w:r>
      <w:r>
        <w:rPr>
          <w:rFonts w:ascii="仿宋_GB2312" w:eastAsia="仿宋_GB2312" w:cs="Times New Roman" w:hint="eastAsia"/>
          <w:color w:val="auto"/>
          <w:sz w:val="32"/>
          <w:szCs w:val="32"/>
          <w:lang w:val="en-US" w:eastAsia="zh-CN"/>
        </w:rPr>
        <w:t>评价组人员构成和职责分工。</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我单位高度重视村医生生活补助工作，并成立工作领导小组。</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组  长：张通瑶   党支部书记/院长</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副组长：张  银   执行院长</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 xml:space="preserve">成  员：项目办、各职能科室负责人  </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组长负责项目的整体协调管理工作，副组长负责各分管工作中涉及该项目的具体事宜，领导小组办公室负责项目具体实施。</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本项目采取项目工作领导小组负责制，全体成员积极配合、通力合作。项目工作领导小组负责协调相关工作、项目实施及资金管理。项目资金按计划制定管理制度，对项目资金单独核算，实行“专款专用、专人管理”，不得挤占挪用项目资金。指派专人长期对项目实施定期或不定期的检查和监督，及时协调解决困难和问题，保证项目质量。</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en-US" w:eastAsia="zh-CN"/>
        </w:rPr>
        <w:t>三、绩效分析</w:t>
      </w:r>
      <w:r>
        <w:rPr>
          <w:rFonts w:ascii="仿宋_GB2312" w:eastAsia="仿宋_GB2312" w:cs="Times New Roman" w:hint="eastAsia"/>
          <w:color w:val="auto"/>
          <w:sz w:val="32"/>
          <w:szCs w:val="32"/>
          <w:lang w:val="zh-CN" w:eastAsia="zh-CN"/>
        </w:rPr>
        <w:tab/>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zh-CN" w:eastAsia="zh-CN"/>
        </w:rPr>
        <w:t>（一）</w:t>
      </w:r>
      <w:r>
        <w:rPr>
          <w:rFonts w:ascii="仿宋_GB2312" w:eastAsia="仿宋_GB2312" w:cs="Times New Roman" w:hint="eastAsia"/>
          <w:color w:val="auto"/>
          <w:sz w:val="32"/>
          <w:szCs w:val="32"/>
          <w:lang w:val="en-US" w:eastAsia="zh-CN"/>
        </w:rPr>
        <w:t>通用指标</w:t>
      </w:r>
      <w:r>
        <w:rPr>
          <w:rFonts w:ascii="仿宋_GB2312" w:eastAsia="仿宋_GB2312" w:cs="Times New Roman"/>
          <w:color w:val="auto"/>
          <w:sz w:val="32"/>
          <w:szCs w:val="32"/>
          <w:lang w:val="zh-CN" w:eastAsia="zh-CN"/>
        </w:rPr>
        <w:t>绩效分析</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1.项目决策（18分）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项目决策总分18分，通过对项目决策的三级指标评价，本项目在决策依据方面符合统筹安排计划，体现了民主决策的合理性、充分性、重要性；项目预算可行。综上所述，该指标得18分。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2.项目管理（18分）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项目管理总分18分，通过对项目管理的三级指标评价，本项目严格按照要求，资金分配因素选取充分考虑相关行业事业发展实际和发展需求合理公平分配；明确项目申报审核程序，按规定程序履行项目审批；项目绩效监管按要求开展，指导有力有效。综上所述，该指标得18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3.项目实施（9分）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项目实施总分9分，通过对项目实施的三级指标评价，本项目资金足额到位，拨付及时，使用时间、范围、程序合规，没有进行预算调整，财务制度、会计核算健全、规范。综上所述，该指标得9分。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4.项目结果（9分）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项目结果总分9分，通过对项目结果的指标评价，本项目完成预期目标，实施结果与绩效目标相匹配；项目实际完成时间与计划完成时间相符。综上所述，该指标得9分。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（二）</w:t>
      </w:r>
      <w:r>
        <w:rPr>
          <w:rFonts w:ascii="仿宋_GB2312" w:eastAsia="仿宋_GB2312" w:cs="Times New Roman" w:hint="eastAsia"/>
          <w:color w:val="auto"/>
          <w:sz w:val="32"/>
          <w:szCs w:val="32"/>
          <w:lang w:val="en-US" w:eastAsia="zh-CN"/>
        </w:rPr>
        <w:t>专用指标</w:t>
      </w:r>
      <w:r>
        <w:rPr>
          <w:rFonts w:ascii="仿宋_GB2312" w:eastAsia="仿宋_GB2312" w:cs="Times New Roman"/>
          <w:color w:val="auto"/>
          <w:sz w:val="32"/>
          <w:szCs w:val="32"/>
          <w:lang w:val="zh-CN" w:eastAsia="zh-CN"/>
        </w:rPr>
        <w:t>绩效分析</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zh-CN" w:eastAsia="zh-CN"/>
        </w:rPr>
        <w:t>民生保障</w:t>
      </w:r>
      <w:r>
        <w:rPr>
          <w:rFonts w:ascii="仿宋_GB2312" w:eastAsia="仿宋_GB2312" w:cs="Times New Roman" w:hint="eastAsia"/>
          <w:color w:val="auto"/>
          <w:sz w:val="32"/>
          <w:szCs w:val="32"/>
          <w:lang w:val="en-US" w:eastAsia="zh-CN"/>
        </w:rPr>
        <w:t>（30分）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民生保障总分30分，通过对民生保障的三级指标评价，本项目资金分配均衡公平；资金实际支持对象符合管理要求，符合支持对象范围；资金实际补贴标准符合资金管理办法规定的补助标准，及时按标准兑现，群众满意度指标较高，综上所述，该指标得29.5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扣分原因：根据对10位受益群众的调查，有1位受访者对村医生生活补助工作的总体评价为一般，9位受访者对工作表示满意，群众满意度高达90%。根据评价标准，本项评价得分：90×100%×5=4.5，扣减0.5分。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en-US" w:eastAsia="zh-CN"/>
        </w:rPr>
        <w:t>（三）个性指标</w:t>
      </w:r>
      <w:r>
        <w:rPr>
          <w:rFonts w:ascii="仿宋_GB2312" w:eastAsia="仿宋_GB2312" w:cs="Times New Roman"/>
          <w:color w:val="auto"/>
          <w:sz w:val="32"/>
          <w:szCs w:val="32"/>
          <w:lang w:val="zh-CN" w:eastAsia="zh-CN"/>
        </w:rPr>
        <w:t>绩效分析</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社会效益指标总分16分，通过对个性指标的分析，本项目完成了对辖区14名村医生生活补助的拨付，为村医生提供基本生活补助，确保乡村医生在岗位上能获得合理的生活保障，同时促进社会稳定，综上所述，该指标得6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rPr>
      </w:pPr>
      <w:r>
        <w:rPr>
          <w:rFonts w:ascii="仿宋_GB2312" w:eastAsia="仿宋_GB2312" w:cs="Times New Roman" w:hint="eastAsia"/>
          <w:color w:val="auto"/>
          <w:sz w:val="32"/>
          <w:szCs w:val="32"/>
          <w:lang w:val="en-US" w:eastAsia="zh-CN"/>
        </w:rPr>
        <w:t>四</w:t>
      </w:r>
      <w:r>
        <w:rPr>
          <w:rFonts w:ascii="仿宋_GB2312" w:eastAsia="仿宋_GB2312" w:cs="Times New Roman" w:hint="eastAsia"/>
          <w:color w:val="auto"/>
          <w:sz w:val="32"/>
          <w:szCs w:val="32"/>
          <w:lang w:val="en-US"/>
        </w:rPr>
        <w:t>、评价结论</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r>
        <w:rPr>
          <w:rFonts w:ascii="仿宋_GB2312" w:eastAsia="仿宋_GB2312" w:cs="Times New Roman" w:hint="eastAsia"/>
          <w:color w:val="auto"/>
          <w:sz w:val="32"/>
          <w:szCs w:val="32"/>
          <w:lang w:val="en-US" w:eastAsia="zh-CN"/>
        </w:rPr>
        <w:t>项目决策科学，依据充分，项目管理较为规范，项目完成效果好，实施后达到了预期目的。绩效考评得89.5分。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五、存在主要问题</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1.个别村医生相关本职工作完成不理想。</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r>
        <w:rPr>
          <w:rFonts w:ascii="仿宋_GB2312" w:eastAsia="仿宋_GB2312" w:cs="Times New Roman" w:hint="eastAsia"/>
          <w:color w:val="auto"/>
          <w:sz w:val="32"/>
          <w:szCs w:val="32"/>
          <w:lang w:val="en-US" w:eastAsia="zh-CN"/>
        </w:rPr>
        <w:t>2.村医生约束性不强。</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六、改进建议</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en-US" w:eastAsia="zh-CN"/>
        </w:rPr>
        <w:t>提升乡村医生队伍相关水平，完善村医生准入和退出机制。</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附表：1.专项预算绩效自评打分表</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500" w:firstLine="160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2.专项预算项目绩效目标完成情况自评表</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p>
    <w:p>
      <w:pPr>
        <w:pStyle w:val="17"/>
        <w:spacing w:beforeLines="0" w:before="30"/>
        <w:rPr>
          <w:rFonts w:cs="仿宋"/>
          <w:color w:val="auto"/>
          <w:sz w:val="32"/>
          <w:szCs w:val="32"/>
        </w:rPr>
      </w:pPr>
    </w:p>
    <w:p>
      <w:pPr>
        <w:pStyle w:val="17"/>
        <w:spacing w:beforeLines="0" w:before="30"/>
        <w:rPr>
          <w:rFonts w:cs="仿宋"/>
          <w:color w:val="auto"/>
          <w:sz w:val="32"/>
          <w:szCs w:val="32"/>
        </w:rPr>
      </w:pPr>
    </w:p>
    <w:p>
      <w:pPr>
        <w:rPr>
          <w:rFonts w:cs="仿宋"/>
          <w:color w:val="auto"/>
          <w:sz w:val="32"/>
          <w:szCs w:val="32"/>
        </w:rPr>
      </w:pPr>
      <w:r>
        <w:rPr>
          <w:rFonts w:cs="仿宋"/>
          <w:color w:val="auto"/>
          <w:sz w:val="32"/>
          <w:szCs w:val="32"/>
        </w:rPr>
        <w:br w:type="page"/>
      </w:r>
    </w:p>
    <w:p>
      <w:pPr>
        <w:pStyle w:val="16"/>
        <w:ind w:left="0" w:firstLine="0"/>
        <w:rPr>
          <w:rFonts w:hint="eastAsia"/>
          <w:color w:val="auto"/>
          <w:lang w:val="en-US" w:eastAsia="zh-CN"/>
        </w:rPr>
      </w:pPr>
      <w:r>
        <w:rPr>
          <w:rFonts w:hint="eastAsia"/>
          <w:color w:val="auto"/>
          <w:lang w:val="en-US" w:eastAsia="zh-CN"/>
        </w:rPr>
        <w:t>附表1：</w:t>
      </w:r>
    </w:p>
    <w:p>
      <w:pPr>
        <w:spacing w:line="578" w:lineRule="exact"/>
        <w:jc w:val="center"/>
        <w:rPr>
          <w:rFonts w:eastAsia="方正小标宋_GBK"/>
          <w:color w:val="auto"/>
          <w:sz w:val="40"/>
          <w:szCs w:val="40"/>
        </w:rPr>
      </w:pPr>
      <w:r>
        <w:rPr>
          <w:rFonts w:eastAsia="方正小标宋_GBK" w:hint="eastAsia"/>
          <w:color w:val="auto"/>
          <w:sz w:val="40"/>
          <w:szCs w:val="40"/>
        </w:rPr>
        <w:t>专项</w:t>
      </w:r>
      <w:r>
        <w:rPr>
          <w:rFonts w:eastAsia="方正小标宋_GBK"/>
          <w:color w:val="auto"/>
          <w:sz w:val="40"/>
          <w:szCs w:val="40"/>
        </w:rPr>
        <w:t>预算绩效自评打分表</w:t>
      </w:r>
    </w:p>
    <w:tbl>
      <w:tblPr>
        <w:jc w:val="center"/>
        <w:tblW w:w="10901"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rPr>
          <w:trHeight w:val="23"/>
        </w:trPr>
        <w:tc>
          <w:tcPr>
            <w:tcW w:w="4361" w:type="dxa"/>
            <w:gridSpan w:val="5"/>
            <w:tcBorders>
              <w:top w:val="single" w:sz="4" w:space="0" w:color="000000"/>
              <w:left w:val="single" w:sz="4" w:space="0" w:color="000000"/>
              <w:bottom w:val="nil"/>
              <w:right w:val="nil"/>
            </w:tcBorders>
            <w:noWrap/>
            <w:vAlign w:val="center"/>
          </w:tcPr>
          <w:p>
            <w:pPr>
              <w:widowControl/>
              <w:spacing w:line="240" w:lineRule="exact"/>
              <w:jc w:val="center"/>
              <w:textAlignment w:val="center"/>
              <w:rPr>
                <w:rFonts w:ascii="黑体" w:eastAsia="黑体" w:cs="黑体"/>
                <w:color w:val="auto"/>
                <w:sz w:val="24"/>
                <w:szCs w:val="24"/>
              </w:rPr>
            </w:pPr>
            <w:r>
              <w:rPr>
                <w:rFonts w:ascii="黑体" w:eastAsia="黑体" w:cs="黑体" w:hint="eastAsia"/>
                <w:color w:val="auto"/>
                <w:kern w:val="0"/>
                <w:sz w:val="24"/>
                <w:szCs w:val="24"/>
              </w:rPr>
              <w:t>绩效评价指标</w:t>
            </w:r>
          </w:p>
        </w:tc>
        <w:tc>
          <w:tcPr>
            <w:tcW w:w="5340"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sz w:val="24"/>
                <w:szCs w:val="24"/>
              </w:rPr>
            </w:pPr>
            <w:r>
              <w:rPr>
                <w:rFonts w:ascii="黑体" w:eastAsia="黑体" w:cs="黑体" w:hint="eastAsia"/>
                <w:color w:val="auto"/>
                <w:kern w:val="0"/>
                <w:sz w:val="24"/>
                <w:szCs w:val="24"/>
              </w:rPr>
              <w:t>指标解释</w:t>
            </w:r>
          </w:p>
        </w:tc>
        <w:tc>
          <w:tcPr>
            <w:tcW w:w="732" w:type="dxa"/>
            <w:vMerge w:val="restart"/>
            <w:tcBorders>
              <w:top w:val="single" w:sz="4" w:space="0" w:color="000000"/>
              <w:left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kern w:val="0"/>
                <w:sz w:val="24"/>
                <w:szCs w:val="24"/>
              </w:rPr>
            </w:pPr>
            <w:r>
              <w:rPr>
                <w:rFonts w:ascii="黑体" w:eastAsia="黑体" w:cs="黑体" w:hint="eastAsia"/>
                <w:color w:val="auto"/>
                <w:kern w:val="0"/>
                <w:sz w:val="24"/>
                <w:szCs w:val="24"/>
              </w:rPr>
              <w:t>自评得分</w:t>
            </w:r>
          </w:p>
        </w:tc>
        <w:tc>
          <w:tcPr>
            <w:tcW w:w="468" w:type="dxa"/>
            <w:vMerge w:val="restart"/>
            <w:tcBorders>
              <w:top w:val="single" w:sz="4" w:space="0" w:color="000000"/>
              <w:left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kern w:val="0"/>
                <w:sz w:val="24"/>
                <w:szCs w:val="24"/>
              </w:rPr>
            </w:pPr>
            <w:r>
              <w:rPr>
                <w:rFonts w:ascii="黑体" w:eastAsia="黑体" w:cs="黑体" w:hint="eastAsia"/>
                <w:color w:val="auto"/>
                <w:kern w:val="0"/>
                <w:sz w:val="24"/>
                <w:szCs w:val="24"/>
              </w:rPr>
              <w:t>备注</w:t>
            </w:r>
          </w:p>
        </w:tc>
      </w:tr>
      <w:tr>
        <w:trPr>
          <w:trHeight w:val="23"/>
        </w:trPr>
        <w:tc>
          <w:tcPr>
            <w:tcW w:w="72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sz w:val="24"/>
                <w:szCs w:val="24"/>
              </w:rPr>
            </w:pPr>
            <w:r>
              <w:rPr>
                <w:rFonts w:ascii="黑体" w:eastAsia="黑体" w:cs="黑体" w:hint="eastAsia"/>
                <w:color w:val="auto"/>
                <w:kern w:val="0"/>
                <w:sz w:val="24"/>
                <w:szCs w:val="24"/>
              </w:rPr>
              <w:t>一级指标</w:t>
            </w:r>
          </w:p>
        </w:tc>
        <w:tc>
          <w:tcPr>
            <w:tcW w:w="1590"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sz w:val="24"/>
                <w:szCs w:val="24"/>
              </w:rPr>
            </w:pPr>
            <w:r>
              <w:rPr>
                <w:rFonts w:ascii="黑体" w:eastAsia="黑体" w:cs="黑体" w:hint="eastAsia"/>
                <w:color w:val="auto"/>
                <w:kern w:val="0"/>
                <w:sz w:val="24"/>
                <w:szCs w:val="24"/>
              </w:rPr>
              <w:t>二级指标</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sz w:val="24"/>
                <w:szCs w:val="24"/>
              </w:rPr>
            </w:pPr>
            <w:r>
              <w:rPr>
                <w:rFonts w:ascii="黑体" w:eastAsia="黑体" w:cs="黑体" w:hint="eastAsia"/>
                <w:color w:val="auto"/>
                <w:kern w:val="0"/>
                <w:sz w:val="24"/>
                <w:szCs w:val="24"/>
              </w:rPr>
              <w:t>三级指标</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sz w:val="24"/>
                <w:szCs w:val="24"/>
              </w:rPr>
            </w:pPr>
            <w:r>
              <w:rPr>
                <w:rFonts w:ascii="黑体" w:eastAsia="黑体" w:cs="黑体" w:hint="eastAsia"/>
                <w:color w:val="auto"/>
                <w:kern w:val="0"/>
                <w:sz w:val="24"/>
                <w:szCs w:val="24"/>
              </w:rPr>
              <w:t>指标</w:t>
              <w:br/>
              <w:t>分值</w:t>
            </w:r>
          </w:p>
        </w:tc>
        <w:tc>
          <w:tcPr>
            <w:tcW w:w="5340" w:type="dxa"/>
            <w:vMerge/>
            <w:tcBorders>
              <w:top w:val="single" w:sz="4" w:space="0" w:color="000000"/>
              <w:left w:val="single" w:sz="4" w:space="0" w:color="000000"/>
              <w:bottom w:val="single" w:sz="4" w:space="0" w:color="000000"/>
              <w:right w:val="single" w:sz="4" w:space="0" w:color="000000"/>
            </w:tcBorders>
            <w:noWrap/>
            <w:vAlign w:val="center"/>
          </w:tcPr>
          <w:p/>
        </w:tc>
        <w:tc>
          <w:tcPr>
            <w:tcW w:w="732" w:type="dxa"/>
            <w:vMerge/>
            <w:tcBorders>
              <w:left w:val="single" w:sz="4" w:space="0" w:color="000000"/>
              <w:bottom w:val="single" w:sz="4" w:space="0" w:color="000000"/>
              <w:right w:val="single" w:sz="4" w:space="0" w:color="000000"/>
            </w:tcBorders>
            <w:noWrap/>
            <w:vAlign w:val="center"/>
          </w:tcPr>
          <w:p/>
        </w:tc>
        <w:tc>
          <w:tcPr>
            <w:tcW w:w="468" w:type="dxa"/>
            <w:vMerge/>
            <w:tcBorders>
              <w:left w:val="single" w:sz="4" w:space="0" w:color="000000"/>
              <w:bottom w:val="single" w:sz="4" w:space="0" w:color="000000"/>
              <w:right w:val="single" w:sz="4" w:space="0" w:color="000000"/>
            </w:tcBorders>
            <w:noWrap/>
            <w:vAlign w:val="center"/>
          </w:tcPr>
          <w:p/>
        </w:tc>
      </w:tr>
      <w:tr>
        <w:trPr>
          <w:trHeight w:val="23"/>
        </w:trPr>
        <w:tc>
          <w:tcPr>
            <w:tcW w:w="720"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通用指标</w:t>
              <w:br/>
              <w:t>（54分）</w:t>
            </w: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项目决策</w:t>
              <w:br/>
              <w:t>（18分）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决策程序</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6</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项目决策程序是否严密</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6</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规划论证</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6</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项目规划论证是否符合中央、省委要求，项目绩效目标设置是否科学合理</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6</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资金投向</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6</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项目资金是否与项目总体规划、相关行业事业发展相匹配，是否聚焦重大任务、重点领域、重点环节和重点项目</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6</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项目管理</w:t>
              <w:br/>
              <w:t>（18分）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制度办法</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2</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项目制度办法是否体系健全、要素完备</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2</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分配管理</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项目资金分配因素选取、权重设置、区域分布，项目管理、审批是否符合管理要求</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color w:val="auto"/>
                <w:kern w:val="0"/>
                <w:sz w:val="24"/>
                <w:szCs w:val="24"/>
                <w:lang w:val="en-US" w:eastAsia="zh-CN"/>
              </w:rPr>
            </w:pPr>
            <w:r>
              <w:rPr>
                <w:rFonts w:ascii="宋体" w:eastAsia="宋体" w:cs="宋体" w:hint="eastAsia"/>
                <w:color w:val="auto"/>
                <w:kern w:val="0"/>
                <w:sz w:val="24"/>
                <w:szCs w:val="24"/>
                <w:lang w:val="en-US" w:eastAsia="zh-CN"/>
              </w:rPr>
              <w:t>10</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绩效监管</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6</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管资金、项目、政策是否管绩效，项目绩效监管是否按要求开展，对下指导是否有力有效</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color w:val="auto"/>
                <w:kern w:val="0"/>
                <w:sz w:val="24"/>
                <w:szCs w:val="24"/>
                <w:lang w:val="en-US" w:eastAsia="zh-CN"/>
              </w:rPr>
            </w:pPr>
            <w:r>
              <w:rPr>
                <w:rFonts w:ascii="宋体" w:eastAsia="宋体" w:cs="宋体" w:hint="eastAsia"/>
                <w:color w:val="auto"/>
                <w:kern w:val="0"/>
                <w:sz w:val="24"/>
                <w:szCs w:val="24"/>
                <w:lang w:val="en-US" w:eastAsia="zh-CN"/>
              </w:rPr>
              <w:t>6</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项目实施</w:t>
              <w:br/>
              <w:t>（9分）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预算执行</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6</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项目资金财政拨付、单位执行和地方配套到位情况</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6</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资金使用</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3</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资金使用拨付、项目实施是否符合规定</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3</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项目结果</w:t>
              <w:br/>
              <w:t>（9分）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目标完成</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6</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项目是否完成预期目标，实施结果是否与绩效目标相匹配，反映目标实现程度</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6</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完成时效</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3</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项目实际完成时间与计划完成时间的比较</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3</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专用指标</w:t>
              <w:br/>
              <w:t>（30分）</w:t>
            </w: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产业发展</w:t>
              <w:br/>
              <w:t>（30分）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符合性</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项目实施是否与省委省政府支持重点、产业支持政策符合</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0</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成长性</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项目实施对相关企业（机构）成长性的促进作用，主要反映支持对象创新创造创业能力情况</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0</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经济性</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项目实施对相关企业（机构）主营业务收入、净利润、税收、产量等方面增长情况</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0</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民生保障</w:t>
              <w:br/>
              <w:t>（30分）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区域均衡性</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项目资金分配体现的均衡公平情况</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color w:val="auto"/>
                <w:kern w:val="0"/>
                <w:sz w:val="24"/>
                <w:szCs w:val="24"/>
                <w:lang w:val="en-US" w:eastAsia="zh-CN"/>
              </w:rPr>
            </w:pPr>
            <w:r>
              <w:rPr>
                <w:rFonts w:ascii="宋体" w:eastAsia="宋体" w:cs="宋体" w:hint="eastAsia"/>
                <w:color w:val="auto"/>
                <w:kern w:val="0"/>
                <w:sz w:val="24"/>
                <w:szCs w:val="24"/>
                <w:lang w:val="en-US" w:eastAsia="zh-CN"/>
              </w:rPr>
              <w:t>10</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对象精准性</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资金实际支持对象是否符合管理要求，是否符合支持对象范围</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color w:val="auto"/>
                <w:kern w:val="0"/>
                <w:sz w:val="24"/>
                <w:szCs w:val="24"/>
                <w:lang w:val="en-US" w:eastAsia="zh-CN"/>
              </w:rPr>
            </w:pPr>
            <w:r>
              <w:rPr>
                <w:rFonts w:ascii="宋体" w:eastAsia="宋体" w:cs="宋体" w:hint="eastAsia"/>
                <w:color w:val="auto"/>
                <w:kern w:val="0"/>
                <w:sz w:val="24"/>
                <w:szCs w:val="24"/>
                <w:lang w:val="en-US" w:eastAsia="zh-CN"/>
              </w:rPr>
              <w:t>10</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标准合理性</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5</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资金实际补贴标准是否符合资金管理办法规定的补助标准，是否及时按标准兑现</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color w:val="auto"/>
                <w:kern w:val="0"/>
                <w:sz w:val="24"/>
                <w:szCs w:val="24"/>
                <w:lang w:val="en-US" w:eastAsia="zh-CN"/>
              </w:rPr>
            </w:pPr>
            <w:r>
              <w:rPr>
                <w:rFonts w:ascii="宋体" w:eastAsia="宋体" w:cs="宋体" w:hint="eastAsia"/>
                <w:color w:val="auto"/>
                <w:kern w:val="0"/>
                <w:sz w:val="24"/>
                <w:szCs w:val="24"/>
                <w:lang w:val="en-US" w:eastAsia="zh-CN"/>
              </w:rPr>
              <w:t>5</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群众满意度</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5</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资金涉及相关受益群体、支持对象的满意度调查访谈情况</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color w:val="auto"/>
                <w:kern w:val="0"/>
                <w:sz w:val="24"/>
                <w:szCs w:val="24"/>
                <w:lang w:val="en-US" w:eastAsia="zh-CN"/>
              </w:rPr>
            </w:pPr>
            <w:r>
              <w:rPr>
                <w:rFonts w:ascii="宋体" w:eastAsia="宋体" w:cs="宋体" w:hint="eastAsia"/>
                <w:color w:val="auto"/>
                <w:kern w:val="0"/>
                <w:sz w:val="24"/>
                <w:szCs w:val="24"/>
                <w:lang w:val="en-US" w:eastAsia="zh-CN"/>
              </w:rPr>
              <w:t>4.5</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765"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基础</w:t>
              <w:br/>
              <w:t>设施</w:t>
              <w:br/>
              <w:t>（30分）</w:t>
            </w:r>
          </w:p>
        </w:tc>
        <w:tc>
          <w:tcPr>
            <w:tcW w:w="825"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在建</w:t>
              <w:br/>
              <w:t>项目</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工程进度</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15</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项目是否达到计划工程进度</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765" w:type="dxa"/>
            <w:vMerge/>
            <w:tcBorders>
              <w:top w:val="single" w:sz="4" w:space="0" w:color="000000"/>
              <w:left w:val="single" w:sz="4" w:space="0" w:color="000000"/>
              <w:bottom w:val="single" w:sz="4" w:space="0" w:color="000000"/>
              <w:right w:val="single" w:sz="4" w:space="0" w:color="000000"/>
            </w:tcBorders>
            <w:noWrap/>
            <w:vAlign w:val="center"/>
          </w:tcPr>
          <w:p/>
        </w:tc>
        <w:tc>
          <w:tcPr>
            <w:tcW w:w="825" w:type="dxa"/>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资金拨付</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15</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项目是否达到预先确定的资金拨付进度</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765" w:type="dxa"/>
            <w:vMerge/>
            <w:tcBorders>
              <w:top w:val="single" w:sz="4" w:space="0" w:color="000000"/>
              <w:left w:val="single" w:sz="4" w:space="0" w:color="000000"/>
              <w:bottom w:val="single" w:sz="4" w:space="0" w:color="000000"/>
              <w:right w:val="single" w:sz="4" w:space="0" w:color="000000"/>
            </w:tcBorders>
            <w:noWrap/>
            <w:vAlign w:val="center"/>
          </w:tcPr>
          <w:p/>
        </w:tc>
        <w:tc>
          <w:tcPr>
            <w:tcW w:w="825"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建成</w:t>
              <w:br/>
              <w:t>项目</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项目验收</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项目验收是否及时合格</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765" w:type="dxa"/>
            <w:vMerge/>
            <w:tcBorders>
              <w:top w:val="single" w:sz="4" w:space="0" w:color="000000"/>
              <w:left w:val="single" w:sz="4" w:space="0" w:color="000000"/>
              <w:bottom w:val="single" w:sz="4" w:space="0" w:color="000000"/>
              <w:right w:val="single" w:sz="4" w:space="0" w:color="000000"/>
            </w:tcBorders>
            <w:noWrap/>
            <w:vAlign w:val="center"/>
          </w:tcPr>
          <w:p/>
        </w:tc>
        <w:tc>
          <w:tcPr>
            <w:tcW w:w="825" w:type="dxa"/>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功能实现</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项目经济社会功能是否实现</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765" w:type="dxa"/>
            <w:vMerge/>
            <w:tcBorders>
              <w:top w:val="single" w:sz="4" w:space="0" w:color="000000"/>
              <w:left w:val="single" w:sz="4" w:space="0" w:color="000000"/>
              <w:bottom w:val="single" w:sz="4" w:space="0" w:color="000000"/>
              <w:right w:val="single" w:sz="4" w:space="0" w:color="000000"/>
            </w:tcBorders>
            <w:noWrap/>
            <w:vAlign w:val="center"/>
          </w:tcPr>
          <w:p/>
        </w:tc>
        <w:tc>
          <w:tcPr>
            <w:tcW w:w="825" w:type="dxa"/>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后续管护</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项目后续维护是否实现</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专用指标</w:t>
              <w:br/>
              <w:t>（30分）</w:t>
            </w: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行政运转</w:t>
              <w:br/>
              <w:t>（30分）</w:t>
            </w:r>
          </w:p>
        </w:tc>
        <w:tc>
          <w:tcPr>
            <w:tcW w:w="1355" w:type="dxa"/>
            <w:tcBorders>
              <w:top w:val="nil"/>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用途合规性</w:t>
            </w:r>
          </w:p>
        </w:tc>
        <w:tc>
          <w:tcPr>
            <w:tcW w:w="696" w:type="dxa"/>
            <w:tcBorders>
              <w:top w:val="nil"/>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nil"/>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是否按规定用途、适用范围进行本地区专项资金分配</w:t>
            </w:r>
          </w:p>
        </w:tc>
        <w:tc>
          <w:tcPr>
            <w:tcW w:w="732" w:type="dxa"/>
            <w:tcBorders>
              <w:top w:val="nil"/>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nil"/>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nil"/>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程序合规性</w:t>
            </w:r>
          </w:p>
        </w:tc>
        <w:tc>
          <w:tcPr>
            <w:tcW w:w="696" w:type="dxa"/>
            <w:tcBorders>
              <w:top w:val="nil"/>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资金管理程序是否符合专项资金管理要求</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nil"/>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标准合规性</w:t>
            </w:r>
          </w:p>
        </w:tc>
        <w:tc>
          <w:tcPr>
            <w:tcW w:w="696" w:type="dxa"/>
            <w:tcBorders>
              <w:top w:val="nil"/>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资金分配标准是否符合专项资金管理要求</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2310"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个性指标</w:t>
              <w:br/>
              <w:t>（16分）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提高群众防控认知</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通过对个性指标的分析，自该项目的政策实施以来，通过财政补助，注重人文关怀，做好个性化服务，为隔离群众提供良好环境，提高了民众生活幸福感，综上所述，该指标得10分。</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color w:val="auto"/>
                <w:kern w:val="0"/>
                <w:sz w:val="24"/>
                <w:szCs w:val="24"/>
                <w:lang w:val="en-US" w:eastAsia="zh-CN"/>
              </w:rPr>
            </w:pPr>
            <w:r>
              <w:rPr>
                <w:rFonts w:ascii="宋体" w:eastAsia="宋体" w:cs="宋体" w:hint="eastAsia"/>
                <w:color w:val="auto"/>
                <w:kern w:val="0"/>
                <w:sz w:val="24"/>
                <w:szCs w:val="24"/>
                <w:lang w:val="en-US" w:eastAsia="zh-CN"/>
              </w:rPr>
              <w:t>6</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2310"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扣分项</w:t>
              <w:br/>
              <w:t>（10分）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被评价</w:t>
              <w:br/>
              <w:t>部门配合度</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被评价对象工作配合情况</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bl>
    <w:p>
      <w:pPr>
        <w:rPr>
          <w:color w:val="auto"/>
          <w:lang w:val="en-US" w:eastAsia="zh-CN"/>
        </w:rPr>
      </w:pPr>
      <w:r>
        <w:rPr>
          <w:rFonts w:hint="eastAsia"/>
          <w:color w:val="auto"/>
          <w:lang w:val="en-US" w:eastAsia="zh-CN"/>
        </w:rPr>
        <w:br w:type="page"/>
        <w:t>附表2：</w:t>
      </w:r>
    </w:p>
    <w:p>
      <w:pPr>
        <w:pStyle w:val="17"/>
        <w:spacing w:beforeLines="0" w:before="30"/>
        <w:rPr>
          <w:rFonts w:cs="仿宋"/>
          <w:color w:val="auto"/>
          <w:sz w:val="32"/>
          <w:szCs w:val="32"/>
        </w:rPr>
      </w:pPr>
      <w:r>
        <w:rPr>
          <w:color w:val="auto"/>
        </w:rPr>
        <w:drawing>
          <wp:anchor distT="0" distB="0" distL="114300" distR="114300" simplePos="0" relativeHeight="37" behindDoc="0" locked="0" layoutInCell="1" hidden="0" allowOverlap="1">
            <wp:simplePos x="0" y="0"/>
            <wp:positionH relativeFrom="column">
              <wp:posOffset>-941705</wp:posOffset>
            </wp:positionH>
            <wp:positionV relativeFrom="paragraph">
              <wp:posOffset>104775</wp:posOffset>
            </wp:positionV>
            <wp:extent cx="7324090" cy="6965315"/>
            <wp:effectExtent l="0" t="0" r="0" b="0"/>
            <wp:wrapTopAndBottom/>
            <wp:docPr id="11" name="图片 2"/>
            <wp:cNvGraphicFramePr>
              <a:graphicFrameLocks noChangeAspect="1"/>
            </wp:cNvGraphicFramePr>
            <a:graphic>
              <a:graphicData uri="http://schemas.openxmlformats.org/drawingml/2006/picture">
                <pic:pic>
                  <pic:nvPicPr>
                    <pic:cNvPr id="13" name="图片 2 13"/>
                    <pic:cNvPicPr/>
                  </pic:nvPicPr>
                  <pic:blipFill>
                    <a:blip r:embed="rId12"/>
                    <a:stretch>
                      <a:fillRect/>
                    </a:stretch>
                  </pic:blipFill>
                  <pic:spPr>
                    <a:xfrm rot="0">
                      <a:off x="0" y="0"/>
                      <a:ext cx="7324090" cy="6965315"/>
                    </a:xfrm>
                    <a:prstGeom prst="rect"/>
                    <a:noFill/>
                    <a:ln w="9525" cmpd="sng" cap="flat">
                      <a:noFill/>
                      <a:prstDash val="solid"/>
                      <a:round/>
                    </a:ln>
                  </pic:spPr>
                </pic:pic>
              </a:graphicData>
            </a:graphic>
          </wp:anchor>
        </w:drawing>
      </w:r>
    </w:p>
    <w:p>
      <w:pPr>
        <w:spacing w:line="600" w:lineRule="exact"/>
        <w:jc w:val="center"/>
        <w:outlineLvl w:val="0"/>
        <w:rPr>
          <w:rFonts w:ascii="黑体" w:eastAsia="黑体" w:hint="eastAsia"/>
          <w:color w:val="auto"/>
          <w:sz w:val="44"/>
          <w:szCs w:val="44"/>
        </w:rPr>
      </w:pPr>
    </w:p>
    <w:p>
      <w:pPr>
        <w:spacing w:line="600" w:lineRule="exact"/>
        <w:jc w:val="center"/>
        <w:outlineLvl w:val="0"/>
        <w:rPr>
          <w:rFonts w:ascii="黑体" w:eastAsia="黑体" w:hint="eastAsia"/>
          <w:color w:val="auto"/>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黑体" w:eastAsia="黑体" w:hint="eastAsia"/>
          <w:color w:val="auto"/>
          <w:sz w:val="44"/>
          <w:szCs w:val="44"/>
        </w:rPr>
      </w:pPr>
      <w:r>
        <w:rPr>
          <w:rFonts w:ascii="黑体" w:eastAsia="黑体" w:hint="eastAsia"/>
          <w:color w:val="auto"/>
          <w:sz w:val="44"/>
          <w:szCs w:val="44"/>
        </w:rPr>
        <w:br w:type="page"/>
      </w:r>
    </w:p>
    <w:p>
      <w:pPr>
        <w:jc w:val="both"/>
        <w:rPr>
          <w:rFonts w:ascii="黑体" w:eastAsia="黑体" w:cs="宋体"/>
          <w:color w:val="auto"/>
          <w:kern w:val="0"/>
          <w:sz w:val="32"/>
          <w:szCs w:val="32"/>
          <w:lang w:val="en-US" w:eastAsia="zh-CN" w:bidi="ar-SA"/>
        </w:rPr>
      </w:pPr>
      <w:r>
        <w:rPr>
          <w:rFonts w:ascii="黑体" w:eastAsia="黑体" w:cs="宋体" w:hint="eastAsia"/>
          <w:color w:val="auto"/>
          <w:kern w:val="0"/>
          <w:sz w:val="32"/>
          <w:szCs w:val="32"/>
          <w:lang w:val="en-US" w:eastAsia="zh-CN" w:bidi="ar-SA"/>
        </w:rPr>
        <w:t>附件3</w:t>
      </w:r>
    </w:p>
    <w:p>
      <w:pPr>
        <w:jc w:val="center"/>
        <w:rPr>
          <w:rFonts w:ascii="黑体" w:eastAsia="黑体" w:cs="宋体" w:hint="eastAsia"/>
          <w:color w:val="auto"/>
          <w:kern w:val="0"/>
          <w:sz w:val="32"/>
          <w:szCs w:val="32"/>
          <w:lang w:val="en-US" w:eastAsia="zh-CN" w:bidi="ar-SA"/>
        </w:rPr>
      </w:pPr>
      <w:r>
        <w:rPr>
          <w:rFonts w:ascii="黑体" w:eastAsia="黑体" w:cs="宋体" w:hint="eastAsia"/>
          <w:color w:val="auto"/>
          <w:kern w:val="0"/>
          <w:sz w:val="32"/>
          <w:szCs w:val="32"/>
          <w:lang w:val="en-US" w:eastAsia="zh-CN" w:bidi="ar-SA"/>
        </w:rPr>
        <w:t>汶川县三江镇中心卫生院</w:t>
      </w:r>
    </w:p>
    <w:p>
      <w:pPr>
        <w:jc w:val="center"/>
        <w:rPr>
          <w:rFonts w:ascii="黑体" w:eastAsia="黑体" w:cs="宋体" w:hint="eastAsia"/>
          <w:color w:val="auto"/>
          <w:kern w:val="0"/>
          <w:sz w:val="32"/>
          <w:szCs w:val="32"/>
          <w:lang w:val="en-US" w:eastAsia="zh-CN" w:bidi="ar-SA"/>
        </w:rPr>
      </w:pPr>
      <w:r>
        <w:rPr>
          <w:rFonts w:ascii="黑体" w:eastAsia="黑体" w:cs="宋体" w:hint="eastAsia"/>
          <w:color w:val="auto"/>
          <w:kern w:val="0"/>
          <w:sz w:val="32"/>
          <w:szCs w:val="32"/>
          <w:lang w:val="en-US" w:eastAsia="zh-CN" w:bidi="ar-SA"/>
        </w:rPr>
        <w:t>老年乡村医生养老生活补助</w:t>
      </w:r>
    </w:p>
    <w:p>
      <w:pPr>
        <w:jc w:val="center"/>
        <w:rPr>
          <w:rFonts w:ascii="Arial" w:eastAsia="黑体" w:cs="Times New Roman" w:hAnsi="Arial"/>
          <w:b/>
          <w:color w:val="auto"/>
          <w:kern w:val="2"/>
          <w:sz w:val="24"/>
          <w:szCs w:val="28"/>
          <w:lang w:val="en-US" w:eastAsia="zh-CN" w:bidi="ar-SA"/>
        </w:rPr>
      </w:pPr>
      <w:r>
        <w:rPr>
          <w:rFonts w:ascii="黑体" w:eastAsia="黑体" w:cs="宋体" w:hint="eastAsia"/>
          <w:color w:val="auto"/>
          <w:kern w:val="0"/>
          <w:sz w:val="32"/>
          <w:szCs w:val="32"/>
          <w:lang w:val="en-US" w:eastAsia="zh-CN" w:bidi="ar-SA"/>
        </w:rPr>
        <w:t>项目专项预算项目绩效评价报告</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en-US" w:eastAsia="zh-CN"/>
        </w:rPr>
        <w:t>一、</w:t>
      </w:r>
      <w:r>
        <w:rPr>
          <w:rFonts w:ascii="仿宋_GB2312" w:eastAsia="仿宋_GB2312" w:cs="Times New Roman" w:hint="eastAsia"/>
          <w:color w:val="auto"/>
          <w:sz w:val="32"/>
          <w:szCs w:val="32"/>
          <w:lang w:val="zh-CN" w:eastAsia="zh-CN"/>
        </w:rPr>
        <w:t>项目概况</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（一）设立背景及基本情况。</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r>
        <w:rPr>
          <w:rFonts w:ascii="仿宋_GB2312" w:eastAsia="仿宋_GB2312" w:cs="Times New Roman"/>
          <w:color w:val="auto"/>
          <w:sz w:val="32"/>
          <w:szCs w:val="32"/>
          <w:lang w:val="en-US" w:eastAsia="zh-CN"/>
        </w:rPr>
        <w:t>老年乡村医生养老生活补助</w:t>
      </w:r>
      <w:r>
        <w:rPr>
          <w:rFonts w:ascii="仿宋_GB2312" w:eastAsia="仿宋_GB2312" w:cs="Times New Roman" w:hint="eastAsia"/>
          <w:color w:val="auto"/>
          <w:sz w:val="32"/>
          <w:szCs w:val="32"/>
          <w:lang w:val="en-US" w:eastAsia="zh-CN"/>
        </w:rPr>
        <w:t>项目：为进一步建立健全乡村医生队伍进入退出机制，解决我县村医养老保障问题，筑牢县镇村三级卫生服务网底， 根据《中共阿坝州委办公室阿坝州人民政府办公室关于印发＜阿坝州关于做好乡镇行政区划和村级建制调整改革"后半篇"文章的实施方案等"1+26+1"方案＞的通知》（阿委办发〔2021〕17号） 《四川省人民政府办公厅关于进一步加强乡村医生队伍建设的实施意见》（川办发〔2015〕74号）以及《四川省委组织部、省委编办、省</w:t>
      </w:r>
      <w:r>
        <w:rPr>
          <w:rFonts w:ascii="仿宋_GB2312" w:eastAsia="仿宋_GB2312" w:cs="Times New Roman"/>
          <w:color w:val="auto"/>
          <w:sz w:val="32"/>
          <w:szCs w:val="32"/>
          <w:lang w:val="en-US" w:eastAsia="zh-CN"/>
        </w:rPr>
        <w:t>卫生健康</w:t>
      </w:r>
      <w:r>
        <w:rPr>
          <w:rFonts w:ascii="仿宋_GB2312" w:eastAsia="仿宋_GB2312" w:cs="Times New Roman" w:hint="eastAsia"/>
          <w:color w:val="auto"/>
          <w:sz w:val="32"/>
          <w:szCs w:val="32"/>
          <w:lang w:val="en-US" w:eastAsia="zh-CN"/>
        </w:rPr>
        <w:t>委等八部门关于印发＜四川省加强基层卫生人才队伍建设的若干措施＞的通知》（川卫发〔2019〕45号）精神和《阿坝州卫生健康委、阿坝州人力资源</w:t>
      </w:r>
      <w:r>
        <w:rPr>
          <w:rFonts w:ascii="仿宋_GB2312" w:eastAsia="仿宋_GB2312" w:cs="Times New Roman"/>
          <w:color w:val="auto"/>
          <w:sz w:val="32"/>
          <w:szCs w:val="32"/>
          <w:lang w:val="en-US" w:eastAsia="zh-CN"/>
        </w:rPr>
        <w:t>和</w:t>
      </w:r>
      <w:r>
        <w:rPr>
          <w:rFonts w:ascii="仿宋_GB2312" w:eastAsia="仿宋_GB2312" w:cs="Times New Roman" w:hint="eastAsia"/>
          <w:color w:val="auto"/>
          <w:sz w:val="32"/>
          <w:szCs w:val="32"/>
          <w:lang w:val="en-US" w:eastAsia="zh-CN"/>
        </w:rPr>
        <w:t>社会保障局、阿坝州财政局关于解决村医养老保障指导意见的通知》（阿州卫健发〔2021〕45号）要求，县卫生健康局结合我县实际，起草了《汶川县乡村医生养老保障实施方案》，并实施该方案。我镇共22名乡村医生，按标准核定补助金额共6.19万元。</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（二）</w:t>
      </w:r>
      <w:r>
        <w:rPr>
          <w:rFonts w:ascii="仿宋_GB2312" w:eastAsia="仿宋_GB2312" w:cs="Times New Roman"/>
          <w:color w:val="auto"/>
          <w:sz w:val="32"/>
          <w:szCs w:val="32"/>
          <w:lang w:val="en-US" w:eastAsia="zh-CN"/>
        </w:rPr>
        <w:t>实施目的及支持方向</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en-US" w:eastAsia="zh-CN"/>
        </w:rPr>
        <w:t>结合我镇</w:t>
      </w:r>
      <w:r>
        <w:rPr>
          <w:rFonts w:ascii="仿宋_GB2312" w:eastAsia="仿宋_GB2312" w:cs="Times New Roman" w:hint="eastAsia"/>
          <w:color w:val="auto"/>
          <w:sz w:val="32"/>
          <w:szCs w:val="32"/>
          <w:lang w:val="zh-CN" w:eastAsia="zh-CN"/>
        </w:rPr>
        <w:t>乡村医生队伍</w:t>
      </w:r>
      <w:r>
        <w:rPr>
          <w:rFonts w:ascii="仿宋_GB2312" w:eastAsia="仿宋_GB2312" w:cs="Times New Roman" w:hint="eastAsia"/>
          <w:color w:val="auto"/>
          <w:sz w:val="32"/>
          <w:szCs w:val="32"/>
          <w:lang w:val="en-US" w:eastAsia="zh-CN"/>
        </w:rPr>
        <w:t>实际，基本医疗卫生制度长远建设出发,建立完善村医生退出和养老保障机制，解决村医后顾之忧，稳定优化村医队伍，筑牢农村医疗卫生服务网底，激发在岗村医积极性，提升基层医疗卫生服务水平。</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（三）</w:t>
      </w:r>
      <w:r>
        <w:rPr>
          <w:rFonts w:ascii="仿宋_GB2312" w:eastAsia="仿宋_GB2312" w:cs="Times New Roman"/>
          <w:color w:val="auto"/>
          <w:sz w:val="32"/>
          <w:szCs w:val="32"/>
          <w:lang w:val="en-US" w:eastAsia="zh-CN"/>
        </w:rPr>
        <w:t>预算安排及分配管理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 xml:space="preserve">   按汶卫健〔2022〕94号，老年乡村医生养老生活补助，从事乡村医生服务年限5年以上，10年以下(含10年)，按照150元/年标准给予生活补助，计算方法为:年补助标准=服务年限x150元。从事村医服务10年以上，以1500元/人为基数，超过10年服务年限每增加1年,增加补助120元。计算方法:年补助标准=1500+(服务年限-10年) x120元。我单位按6.19万元申报预算。保障退休村医生生活，维护社会安定。</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（四）项目绩效目标设置</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1.总体目标</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color w:val="auto"/>
          <w:sz w:val="32"/>
          <w:szCs w:val="32"/>
          <w:lang w:val="en-US" w:eastAsia="zh-CN"/>
        </w:rPr>
        <w:t>坚持以习近平新时代中国特色社会主义思想和党的十九大精神为指导，落实“保基本、强基层、建机制”的医改总体要求，做好乡镇行政区划和村级建制调整改革“后半篇”文章，从我县基本医疗卫生制度长远建设出发,建立完善村医生退出和养老保障机制，解决村医后顾之忧，稳定优化村医队伍，筑牢农村医疗卫生服务网底，激发在岗村医积极性，提升基层医疗卫生服务水平</w:t>
      </w:r>
      <w:r>
        <w:rPr>
          <w:rFonts w:ascii="仿宋_GB2312" w:eastAsia="仿宋_GB2312" w:cs="Times New Roman" w:hint="eastAsia"/>
          <w:color w:val="auto"/>
          <w:sz w:val="32"/>
          <w:szCs w:val="32"/>
          <w:lang w:val="en-US" w:eastAsia="zh-CN"/>
        </w:rPr>
        <w:t>。</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r>
        <w:rPr>
          <w:rFonts w:ascii="仿宋_GB2312" w:eastAsia="仿宋_GB2312" w:cs="Times New Roman" w:hint="eastAsia"/>
          <w:color w:val="auto"/>
          <w:sz w:val="32"/>
          <w:szCs w:val="32"/>
          <w:lang w:val="en-US" w:eastAsia="zh-CN"/>
        </w:rPr>
        <w:t>2.阶段目标</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zh-CN" w:eastAsia="zh-CN"/>
        </w:rPr>
      </w:pPr>
      <w:r>
        <w:rPr>
          <w:rFonts w:ascii="仿宋_GB2312" w:eastAsia="仿宋_GB2312" w:cs="Times New Roman"/>
          <w:color w:val="auto"/>
          <w:sz w:val="32"/>
          <w:szCs w:val="32"/>
          <w:lang w:val="en-US" w:eastAsia="zh-CN"/>
        </w:rPr>
        <w:t>改革乡村医生服务模式和激励机制，落实和完善乡村医生补偿、养老和培养培训政策，加强医疗卫生服务监管，稳定和优化乡村医生队伍，全面提升村级医疗卫生服务水平。提升村级医疗卫生服务水平，筑牢农村医疗卫生服务网底，促进基层首诊、分级诊疗制度的建立，更好地保障农村居民享受均等化的基本公共卫生服务和安全、有效、方便、价廉的基本医疗服务。</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二、评价实施</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zh-CN" w:eastAsia="zh-CN"/>
        </w:rPr>
        <w:t>（一）评价目的</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为了解和掌握项目的具体实施情况，提出加强支出管理建议，促进财政资金使用绩效。根据绩效评价中发现的问题，认真整改，及时调整和完善单位工作计划和绩效目标并加强项目管理。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zh-CN" w:eastAsia="zh-CN"/>
        </w:rPr>
        <w:t>（二）预设问题及评价重点</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为加强项目资金的财务管理工作，我单位成立了老年乡村医生补助经费工作使用</w:t>
      </w:r>
      <w:bookmarkStart w:id="114" w:name="_GoBack"/>
      <w:bookmarkEnd w:id="114"/>
      <w:r>
        <w:rPr>
          <w:rFonts w:ascii="仿宋_GB2312" w:eastAsia="仿宋_GB2312" w:cs="Times New Roman" w:hint="eastAsia"/>
          <w:color w:val="auto"/>
          <w:sz w:val="32"/>
          <w:szCs w:val="32"/>
          <w:lang w:val="en-US" w:eastAsia="zh-CN"/>
        </w:rPr>
        <w:t>管理领导小组。制定了财政专项资金管理制度，所有专项资金的使用都严格按照财政专项资金管理制度开支，做好账务设置和账务管理。在资金使用过程中，严把监视审核关，</w:t>
      </w:r>
      <w:r>
        <w:rPr>
          <w:rFonts w:ascii="仿宋_GB2312" w:eastAsia="仿宋_GB2312" w:cs="Times New Roman"/>
          <w:color w:val="auto"/>
          <w:sz w:val="32"/>
          <w:szCs w:val="32"/>
          <w:lang w:val="en-US" w:eastAsia="zh-CN"/>
        </w:rPr>
        <w:t>建立</w:t>
      </w:r>
      <w:r>
        <w:rPr>
          <w:rFonts w:ascii="仿宋_GB2312" w:eastAsia="仿宋_GB2312" w:cs="Times New Roman" w:hint="eastAsia"/>
          <w:color w:val="auto"/>
          <w:sz w:val="32"/>
          <w:szCs w:val="32"/>
          <w:lang w:val="en-US" w:eastAsia="zh-CN"/>
        </w:rPr>
        <w:t>健全内部审批。同时，定期或不定期对资金使用、管理处境举行自查和检查，在实施项目过程中，厉行</w:t>
      </w:r>
      <w:r>
        <w:rPr>
          <w:rFonts w:ascii="仿宋_GB2312" w:eastAsia="仿宋_GB2312" w:cs="Times New Roman"/>
          <w:color w:val="auto"/>
          <w:sz w:val="32"/>
          <w:szCs w:val="32"/>
          <w:lang w:val="en-US" w:eastAsia="zh-CN"/>
        </w:rPr>
        <w:t>节</w:t>
      </w:r>
      <w:r>
        <w:rPr>
          <w:rFonts w:ascii="仿宋_GB2312" w:eastAsia="仿宋_GB2312" w:cs="Times New Roman" w:hint="eastAsia"/>
          <w:color w:val="auto"/>
          <w:sz w:val="32"/>
          <w:szCs w:val="32"/>
          <w:lang w:val="en-US" w:eastAsia="zh-CN"/>
        </w:rPr>
        <w:t>约，制止滥用，使项目资金能最大限度地发挥其作用。</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（三）评价选点</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项目绩效自评所抽样点位</w:t>
      </w:r>
      <w:r>
        <w:rPr>
          <w:rFonts w:ascii="仿宋_GB2312" w:eastAsia="仿宋_GB2312" w:cs="Times New Roman" w:hint="eastAsia"/>
          <w:color w:val="auto"/>
          <w:sz w:val="32"/>
          <w:szCs w:val="32"/>
          <w:lang w:val="en-US" w:eastAsia="zh-CN"/>
        </w:rPr>
        <w:t>为</w:t>
      </w:r>
      <w:r>
        <w:rPr>
          <w:rFonts w:ascii="仿宋_GB2312" w:eastAsia="仿宋_GB2312" w:cs="Times New Roman" w:hint="eastAsia"/>
          <w:color w:val="auto"/>
          <w:sz w:val="32"/>
          <w:szCs w:val="32"/>
          <w:lang w:val="zh-CN" w:eastAsia="zh-CN"/>
        </w:rPr>
        <w:t>：</w:t>
      </w:r>
      <w:r>
        <w:rPr>
          <w:rFonts w:ascii="仿宋_GB2312" w:eastAsia="仿宋_GB2312" w:cs="Times New Roman" w:hint="eastAsia"/>
          <w:color w:val="auto"/>
          <w:sz w:val="32"/>
          <w:szCs w:val="32"/>
          <w:lang w:val="en-US" w:eastAsia="zh-CN"/>
        </w:rPr>
        <w:t>汶川县三江镇中心卫生院</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zh-CN" w:eastAsia="zh-CN"/>
        </w:rPr>
        <w:t>（四）评价方法</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本单位采取单位自评法和座谈调研法相结合的方法。</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zh-CN" w:eastAsia="zh-CN"/>
        </w:rPr>
        <w:t>（五）评价组织</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我单位高度老年乡村医生补助工作，并成立工作领导小组。</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组  长：张通瑶   党支部书记/院长</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副组长：张  银   执行院长</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 xml:space="preserve">成  员：项目办、各职能科室负责人  </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组长负责项目的整体协调管理工作，副组长负责各分管工作中涉及该项目的具体事宜，领导小组办公室负责项目具体实施。</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本项目采取项目工作领导小组负责制，全体成员积极配合、通力合作。项目工作领导小组负责协调相关工作、项目实施及资金管理。项目资金按计划制定管理制度，对项目资金单独核算，实行“专款专用、专人管理”，不得挤占挪用项目资金。指派专人长期对项目实施定期或不定期的检查和监督，及时协调解决困难和问题，保证项目质量。</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en-US" w:eastAsia="zh-CN"/>
        </w:rPr>
        <w:t>三、绩效分析</w:t>
      </w:r>
      <w:r>
        <w:rPr>
          <w:rFonts w:ascii="仿宋_GB2312" w:eastAsia="仿宋_GB2312" w:cs="Times New Roman" w:hint="eastAsia"/>
          <w:color w:val="auto"/>
          <w:sz w:val="32"/>
          <w:szCs w:val="32"/>
          <w:lang w:val="zh-CN" w:eastAsia="zh-CN"/>
        </w:rPr>
        <w:tab/>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color w:val="auto"/>
          <w:sz w:val="32"/>
          <w:szCs w:val="32"/>
          <w:lang w:val="zh-CN" w:eastAsia="zh-CN"/>
        </w:rPr>
        <w:t>根据</w:t>
      </w:r>
      <w:r>
        <w:rPr>
          <w:rFonts w:ascii="仿宋_GB2312" w:eastAsia="仿宋_GB2312" w:cs="Times New Roman" w:hint="eastAsia"/>
          <w:color w:val="auto"/>
          <w:sz w:val="32"/>
          <w:szCs w:val="32"/>
          <w:lang w:val="zh-CN" w:eastAsia="zh-CN"/>
        </w:rPr>
        <w:t>项目</w:t>
      </w:r>
      <w:r>
        <w:rPr>
          <w:rFonts w:ascii="仿宋_GB2312" w:eastAsia="仿宋_GB2312" w:cs="Times New Roman"/>
          <w:color w:val="auto"/>
          <w:sz w:val="32"/>
          <w:szCs w:val="32"/>
          <w:lang w:val="zh-CN" w:eastAsia="zh-CN"/>
        </w:rPr>
        <w:t>预算绩效评价指标体系“</w:t>
      </w:r>
      <w:r>
        <w:rPr>
          <w:rFonts w:ascii="仿宋_GB2312" w:eastAsia="仿宋_GB2312" w:cs="Times New Roman" w:hint="eastAsia"/>
          <w:color w:val="auto"/>
          <w:sz w:val="32"/>
          <w:szCs w:val="32"/>
          <w:lang w:val="zh-CN" w:eastAsia="zh-CN"/>
        </w:rPr>
        <w:t>通用指标</w:t>
      </w:r>
      <w:r>
        <w:rPr>
          <w:rFonts w:ascii="仿宋_GB2312" w:eastAsia="仿宋_GB2312" w:cs="Times New Roman"/>
          <w:color w:val="auto"/>
          <w:sz w:val="32"/>
          <w:szCs w:val="32"/>
          <w:lang w:val="zh-CN" w:eastAsia="zh-CN"/>
        </w:rPr>
        <w:t>”</w:t>
      </w:r>
      <w:r>
        <w:rPr>
          <w:rFonts w:ascii="仿宋_GB2312" w:eastAsia="仿宋_GB2312" w:cs="Times New Roman" w:hint="eastAsia"/>
          <w:color w:val="auto"/>
          <w:sz w:val="32"/>
          <w:szCs w:val="32"/>
          <w:lang w:val="zh-CN" w:eastAsia="zh-CN"/>
        </w:rPr>
        <w:t>“专用指标”“个性指标”</w:t>
      </w:r>
      <w:r>
        <w:rPr>
          <w:rFonts w:ascii="仿宋_GB2312" w:eastAsia="仿宋_GB2312" w:cs="Times New Roman"/>
          <w:color w:val="auto"/>
          <w:sz w:val="32"/>
          <w:szCs w:val="32"/>
          <w:lang w:val="zh-CN" w:eastAsia="zh-CN"/>
        </w:rPr>
        <w:t>涉及</w:t>
      </w:r>
      <w:r>
        <w:rPr>
          <w:rFonts w:ascii="仿宋_GB2312" w:eastAsia="仿宋_GB2312" w:cs="Times New Roman" w:hint="eastAsia"/>
          <w:color w:val="auto"/>
          <w:sz w:val="32"/>
          <w:szCs w:val="32"/>
          <w:lang w:val="zh-CN" w:eastAsia="zh-CN"/>
        </w:rPr>
        <w:t>二、三级</w:t>
      </w:r>
      <w:r>
        <w:rPr>
          <w:rFonts w:ascii="仿宋_GB2312" w:eastAsia="仿宋_GB2312" w:cs="Times New Roman"/>
          <w:color w:val="auto"/>
          <w:sz w:val="32"/>
          <w:szCs w:val="32"/>
          <w:lang w:val="zh-CN" w:eastAsia="zh-CN"/>
        </w:rPr>
        <w:t>指标进行</w:t>
      </w:r>
      <w:r>
        <w:rPr>
          <w:rFonts w:ascii="仿宋_GB2312" w:eastAsia="仿宋_GB2312" w:cs="Times New Roman" w:hint="eastAsia"/>
          <w:color w:val="auto"/>
          <w:sz w:val="32"/>
          <w:szCs w:val="32"/>
          <w:lang w:val="zh-CN" w:eastAsia="zh-CN"/>
        </w:rPr>
        <w:t>逐项</w:t>
      </w:r>
      <w:r>
        <w:rPr>
          <w:rFonts w:ascii="仿宋_GB2312" w:eastAsia="仿宋_GB2312" w:cs="Times New Roman"/>
          <w:color w:val="auto"/>
          <w:sz w:val="32"/>
          <w:szCs w:val="32"/>
          <w:lang w:val="zh-CN" w:eastAsia="zh-CN"/>
        </w:rPr>
        <w:t>绩效分析</w:t>
      </w:r>
      <w:r>
        <w:rPr>
          <w:rFonts w:ascii="仿宋_GB2312" w:eastAsia="仿宋_GB2312" w:cs="Times New Roman" w:hint="eastAsia"/>
          <w:color w:val="auto"/>
          <w:sz w:val="32"/>
          <w:szCs w:val="32"/>
          <w:lang w:val="zh-CN" w:eastAsia="zh-CN"/>
        </w:rPr>
        <w:t>并评分</w:t>
      </w:r>
      <w:r>
        <w:rPr>
          <w:rFonts w:ascii="仿宋_GB2312" w:eastAsia="仿宋_GB2312" w:cs="Times New Roman" w:hint="eastAsia"/>
          <w:color w:val="auto"/>
          <w:sz w:val="32"/>
          <w:szCs w:val="32"/>
          <w:lang w:val="en-US" w:eastAsia="zh-CN"/>
        </w:rPr>
        <w:t>。</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zh-CN" w:eastAsia="zh-CN"/>
        </w:rPr>
        <w:t>（一）</w:t>
      </w:r>
      <w:r>
        <w:rPr>
          <w:rFonts w:ascii="仿宋_GB2312" w:eastAsia="仿宋_GB2312" w:cs="Times New Roman" w:hint="eastAsia"/>
          <w:color w:val="auto"/>
          <w:sz w:val="32"/>
          <w:szCs w:val="32"/>
          <w:lang w:val="en-US" w:eastAsia="zh-CN"/>
        </w:rPr>
        <w:t>通用指标</w:t>
      </w:r>
      <w:r>
        <w:rPr>
          <w:rFonts w:ascii="仿宋_GB2312" w:eastAsia="仿宋_GB2312" w:cs="Times New Roman"/>
          <w:color w:val="auto"/>
          <w:sz w:val="32"/>
          <w:szCs w:val="32"/>
          <w:lang w:val="zh-CN" w:eastAsia="zh-CN"/>
        </w:rPr>
        <w:t>绩效分析。</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1.项目决策（18分）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r>
        <w:rPr>
          <w:rFonts w:ascii="仿宋_GB2312" w:eastAsia="仿宋_GB2312" w:cs="Times New Roman" w:hint="eastAsia"/>
          <w:color w:val="auto"/>
          <w:sz w:val="32"/>
          <w:szCs w:val="32"/>
          <w:lang w:val="en-US" w:eastAsia="zh-CN"/>
        </w:rPr>
        <w:t>项目决策总分18分，通过对项目决策的三级指标评价，本项目在决策依据方面符合统筹安排计划，体现了民主决策的合理性、充分性、重要性；项目预算可行。综上所述，该指标得18分。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2.项目管理（18分）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r>
        <w:rPr>
          <w:rFonts w:ascii="仿宋_GB2312" w:eastAsia="仿宋_GB2312" w:cs="Times New Roman" w:hint="eastAsia"/>
          <w:color w:val="auto"/>
          <w:sz w:val="32"/>
          <w:szCs w:val="32"/>
          <w:lang w:val="en-US" w:eastAsia="zh-CN"/>
        </w:rPr>
        <w:t>项目管理总分18分，通过对项目管理的三级指标评价，本项目严格按照要求，资金分配因素选取充分考虑相关行业事业发展实际和发展需求合理公平分配；明确项目申报审核程序，按规定程序履行项目审批；项目绩效监管按要求开展，指导有力有效。综上所述，该指标得18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3.项目实施（9分）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r>
        <w:rPr>
          <w:rFonts w:ascii="仿宋_GB2312" w:eastAsia="仿宋_GB2312" w:cs="Times New Roman" w:hint="eastAsia"/>
          <w:color w:val="auto"/>
          <w:sz w:val="32"/>
          <w:szCs w:val="32"/>
          <w:lang w:val="en-US" w:eastAsia="zh-CN"/>
        </w:rPr>
        <w:t>项目实施总分9分，通过对项目实施的三级指标评价，本项目资金足额到位，拨付及时，使用时间、范围、程序合规，没有进行预算调整，财务制度、会计核算健全、规范。综上所述，该指标得9分。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4.项目结果（9分）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项目结果总分9分，通过对项目结果的指标评价，本项目完成预期目标，实施结果与绩效目标相匹配；项目实际完成时间与计划完成时间相符。综上所述，该指标得9分。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（二）</w:t>
      </w:r>
      <w:r>
        <w:rPr>
          <w:rFonts w:ascii="仿宋_GB2312" w:eastAsia="仿宋_GB2312" w:cs="Times New Roman" w:hint="eastAsia"/>
          <w:color w:val="auto"/>
          <w:sz w:val="32"/>
          <w:szCs w:val="32"/>
          <w:lang w:val="en-US" w:eastAsia="zh-CN"/>
        </w:rPr>
        <w:t>专用指标</w:t>
      </w:r>
      <w:r>
        <w:rPr>
          <w:rFonts w:ascii="仿宋_GB2312" w:eastAsia="仿宋_GB2312" w:cs="Times New Roman"/>
          <w:color w:val="auto"/>
          <w:sz w:val="32"/>
          <w:szCs w:val="32"/>
          <w:lang w:val="zh-CN" w:eastAsia="zh-CN"/>
        </w:rPr>
        <w:t>绩效分析。</w:t>
      </w:r>
      <w:r>
        <w:rPr>
          <w:rFonts w:ascii="仿宋_GB2312" w:eastAsia="仿宋_GB2312" w:cs="Times New Roman" w:hint="eastAsia"/>
          <w:color w:val="auto"/>
          <w:sz w:val="32"/>
          <w:szCs w:val="32"/>
          <w:lang w:val="zh-CN" w:eastAsia="zh-CN"/>
        </w:rPr>
        <w:t>根据</w:t>
      </w:r>
      <w:r>
        <w:rPr>
          <w:rFonts w:ascii="仿宋_GB2312" w:eastAsia="仿宋_GB2312" w:cs="Times New Roman" w:hint="eastAsia"/>
          <w:color w:val="auto"/>
          <w:sz w:val="32"/>
          <w:szCs w:val="32"/>
          <w:lang w:val="en-US" w:eastAsia="zh-CN"/>
        </w:rPr>
        <w:t>专项预算项目资金支持对象选择所属指标进行绩效分析。支持对象</w:t>
      </w:r>
      <w:r>
        <w:rPr>
          <w:rFonts w:ascii="仿宋_GB2312" w:eastAsia="仿宋_GB2312" w:cs="Times New Roman" w:hint="eastAsia"/>
          <w:color w:val="auto"/>
          <w:sz w:val="32"/>
          <w:szCs w:val="32"/>
          <w:lang w:val="zh-CN" w:eastAsia="zh-CN"/>
        </w:rPr>
        <w:t>包括产业发展、民生保障、基础设施、行政运转等方面。</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zh-CN" w:eastAsia="zh-CN"/>
        </w:rPr>
        <w:t>民生保障</w:t>
      </w:r>
      <w:r>
        <w:rPr>
          <w:rFonts w:ascii="仿宋_GB2312" w:eastAsia="仿宋_GB2312" w:cs="Times New Roman" w:hint="eastAsia"/>
          <w:color w:val="auto"/>
          <w:sz w:val="32"/>
          <w:szCs w:val="32"/>
          <w:lang w:val="en-US" w:eastAsia="zh-CN"/>
        </w:rPr>
        <w:t>（30分）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民生保障总分30分，通过对民生保障的三级指标评价，本项目资金分配均衡公平；资金实际支持对象符合管理要求，符合支持对象范围；资金实际补贴标准符合资金管理办法规定的补助标准，及时按标准兑现.综上所述，该指标得24.5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扣分原因：根据对10位受益群众的问卷调差，有1位受访者对老年乡村医生补助工作的总体评价为一般，9位受访者对老年乡村医生补助工作表示满意，群众满意度高达90%。根据评价标准，本项评价得分：5</w:t>
      </w:r>
      <w:r>
        <w:rPr>
          <w:rFonts w:ascii="仿宋_GB2312" w:eastAsia="仿宋_GB2312" w:cs="Times New Roman"/>
          <w:color w:val="auto"/>
          <w:sz w:val="32"/>
          <w:szCs w:val="32"/>
          <w:lang w:val="en-US" w:eastAsia="zh-CN"/>
        </w:rPr>
        <w:t>×</w:t>
      </w:r>
      <w:r>
        <w:rPr>
          <w:rFonts w:ascii="仿宋_GB2312" w:eastAsia="仿宋_GB2312" w:cs="Times New Roman" w:hint="eastAsia"/>
          <w:color w:val="auto"/>
          <w:sz w:val="32"/>
          <w:szCs w:val="32"/>
          <w:lang w:val="en-US" w:eastAsia="zh-CN"/>
        </w:rPr>
        <w:t>90%=4.5，扣减0.5分。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综上所述，该指标得24.5分。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（三）</w:t>
      </w:r>
      <w:r>
        <w:rPr>
          <w:rFonts w:ascii="仿宋_GB2312" w:eastAsia="仿宋_GB2312" w:cs="Times New Roman" w:hint="eastAsia"/>
          <w:color w:val="auto"/>
          <w:sz w:val="32"/>
          <w:szCs w:val="32"/>
          <w:lang w:val="en-US" w:eastAsia="zh-CN"/>
        </w:rPr>
        <w:t>个性指标</w:t>
      </w:r>
      <w:r>
        <w:rPr>
          <w:rFonts w:ascii="仿宋_GB2312" w:eastAsia="仿宋_GB2312" w:cs="Times New Roman"/>
          <w:color w:val="auto"/>
          <w:sz w:val="32"/>
          <w:szCs w:val="32"/>
          <w:lang w:val="zh-CN" w:eastAsia="zh-CN"/>
        </w:rPr>
        <w:t>绩效分析</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社会效益指标总分16分，通过对个性指标的分析，本项目完善“政府组织领导、部门各负其责。全社会共同参与”的工作机制；</w:t>
      </w:r>
      <w:r>
        <w:rPr>
          <w:rFonts w:ascii="仿宋_GB2312" w:eastAsia="仿宋_GB2312" w:cs="Times New Roman"/>
          <w:color w:val="auto"/>
          <w:sz w:val="32"/>
          <w:szCs w:val="32"/>
          <w:lang w:val="en-US" w:eastAsia="zh-CN"/>
        </w:rPr>
        <w:t>建立完善村医生退出和养老保障机制，解决村医后顾之忧，稳定优化村医队伍，筑牢农村医疗卫生服务网底，激发在岗村医积极性，提升基层医疗卫生服务水平</w:t>
      </w:r>
      <w:r>
        <w:rPr>
          <w:rFonts w:ascii="仿宋_GB2312" w:eastAsia="仿宋_GB2312" w:cs="Times New Roman" w:hint="eastAsia"/>
          <w:color w:val="auto"/>
          <w:sz w:val="32"/>
          <w:szCs w:val="32"/>
          <w:lang w:val="en-US" w:eastAsia="zh-CN"/>
        </w:rPr>
        <w:t>。综上所述，该指标得10分。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rPr>
      </w:pPr>
      <w:r>
        <w:rPr>
          <w:rFonts w:ascii="仿宋_GB2312" w:eastAsia="仿宋_GB2312" w:cs="Times New Roman" w:hint="eastAsia"/>
          <w:color w:val="auto"/>
          <w:sz w:val="32"/>
          <w:szCs w:val="32"/>
          <w:lang w:val="en-US" w:eastAsia="zh-CN"/>
        </w:rPr>
        <w:t>四</w:t>
      </w:r>
      <w:r>
        <w:rPr>
          <w:rFonts w:ascii="仿宋_GB2312" w:eastAsia="仿宋_GB2312" w:cs="Times New Roman" w:hint="eastAsia"/>
          <w:color w:val="auto"/>
          <w:sz w:val="32"/>
          <w:szCs w:val="32"/>
          <w:lang w:val="en-US"/>
        </w:rPr>
        <w:t>、评价结论</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总体上看，老年村医生生活补助工作绩效考评得分88.5分。</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五、存在主要问题</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r>
        <w:rPr>
          <w:rFonts w:ascii="仿宋_GB2312" w:eastAsia="仿宋_GB2312" w:cs="Times New Roman"/>
          <w:color w:val="auto"/>
          <w:sz w:val="32"/>
          <w:szCs w:val="32"/>
          <w:lang w:val="en-US" w:eastAsia="zh-CN"/>
        </w:rPr>
        <w:t>1、在岗村医积极性</w:t>
      </w:r>
      <w:r>
        <w:rPr>
          <w:rFonts w:ascii="仿宋_GB2312" w:eastAsia="仿宋_GB2312" w:cs="Times New Roman" w:hint="eastAsia"/>
          <w:color w:val="auto"/>
          <w:sz w:val="32"/>
          <w:szCs w:val="32"/>
          <w:lang w:val="en-US" w:eastAsia="zh-CN"/>
        </w:rPr>
        <w:t>较低，缺乏主动参加服务的积极性。</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color w:val="auto"/>
          <w:sz w:val="32"/>
          <w:szCs w:val="32"/>
          <w:lang w:val="en-US" w:eastAsia="zh-CN"/>
        </w:rPr>
        <w:t>2、</w:t>
      </w:r>
      <w:r>
        <w:rPr>
          <w:rFonts w:ascii="仿宋_GB2312" w:eastAsia="仿宋_GB2312" w:cs="Times New Roman" w:hint="eastAsia"/>
          <w:color w:val="auto"/>
          <w:sz w:val="32"/>
          <w:szCs w:val="32"/>
          <w:lang w:val="en-US" w:eastAsia="zh-CN"/>
        </w:rPr>
        <w:t>资金投入量不够。</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r>
        <w:rPr>
          <w:rFonts w:ascii="仿宋_GB2312" w:eastAsia="仿宋_GB2312" w:cs="Times New Roman" w:hint="eastAsia"/>
          <w:color w:val="auto"/>
          <w:sz w:val="32"/>
          <w:szCs w:val="32"/>
          <w:lang w:val="zh-CN" w:eastAsia="zh-CN"/>
        </w:rPr>
        <w:t>六、改进建议</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color w:val="auto"/>
          <w:sz w:val="32"/>
          <w:szCs w:val="32"/>
          <w:lang w:val="en-US" w:eastAsia="zh-CN"/>
        </w:rPr>
      </w:pPr>
      <w:r>
        <w:rPr>
          <w:rFonts w:ascii="仿宋_GB2312" w:eastAsia="仿宋_GB2312" w:cs="Times New Roman" w:hint="eastAsia"/>
          <w:color w:val="auto"/>
          <w:sz w:val="32"/>
          <w:szCs w:val="32"/>
          <w:lang w:val="en-US" w:eastAsia="zh-CN"/>
        </w:rPr>
        <w:t>进一步加大财政资金投入，加强服务能力建设，提高服务水平。加大项目配套经费投入，适当增加在岗村医生能力提升，提高待遇，稳定队伍。加大基础设施建设力度，加强业务培训工作，提高服务能力。</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zh-CN" w:eastAsia="zh-CN"/>
        </w:rPr>
      </w:pP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附表：1.专项预算绩效自评打分表</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500" w:firstLine="160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t>2.专项预算项目绩效目标完成情况自评表</w:t>
      </w:r>
    </w:p>
    <w:p>
      <w:pPr>
        <w:keepNext w:val="0"/>
        <w:keepLines w:val="0"/>
        <w:pageBreakBefore w:val="0"/>
        <w:widowControl w:val="0"/>
        <w:kinsoku/>
        <w:wordWrap/>
        <w:overflowPunct w:val="0"/>
        <w:topLinePunct w:val="0"/>
        <w:autoSpaceDE/>
        <w:autoSpaceDN/>
        <w:bidi w:val="0"/>
        <w:adjustRightInd w:val="0"/>
        <w:snapToGrid w:val="0"/>
        <w:spacing w:line="560" w:lineRule="exact"/>
        <w:ind w:left="0" w:firstLineChars="200" w:firstLine="640"/>
        <w:contextualSpacing/>
        <w:jc w:val="both"/>
        <w:textAlignment w:val="auto"/>
        <w:rPr>
          <w:rFonts w:ascii="仿宋_GB2312" w:eastAsia="仿宋_GB2312" w:cs="Times New Roman" w:hint="eastAsia"/>
          <w:color w:val="auto"/>
          <w:sz w:val="32"/>
          <w:szCs w:val="32"/>
          <w:lang w:val="en-US" w:eastAsia="zh-CN"/>
        </w:rPr>
      </w:pPr>
      <w:r>
        <w:rPr>
          <w:rFonts w:ascii="仿宋_GB2312" w:eastAsia="仿宋_GB2312" w:cs="Times New Roman" w:hint="eastAsia"/>
          <w:color w:val="auto"/>
          <w:sz w:val="32"/>
          <w:szCs w:val="32"/>
          <w:lang w:val="en-US" w:eastAsia="zh-CN"/>
        </w:rPr>
        <w:br w:type="page"/>
      </w:r>
    </w:p>
    <w:p>
      <w:pPr>
        <w:rPr>
          <w:rFonts w:eastAsia="黑体"/>
          <w:color w:val="auto"/>
          <w:kern w:val="0"/>
          <w:shd w:val="clear" w:color="auto" w:fill="FFFFFF"/>
        </w:rPr>
      </w:pPr>
      <w:r>
        <w:rPr>
          <w:rFonts w:ascii="Times New Roman" w:eastAsia="宋体" w:cs="Times New Roman" w:hAnsi="Times New Roman" w:hint="eastAsia"/>
          <w:color w:val="auto"/>
          <w:lang w:val="en-US" w:eastAsia="zh-CN"/>
        </w:rPr>
        <w:t>附表1：</w:t>
      </w:r>
    </w:p>
    <w:p>
      <w:pPr>
        <w:spacing w:line="578" w:lineRule="exact"/>
        <w:jc w:val="center"/>
        <w:rPr>
          <w:rFonts w:eastAsia="方正小标宋_GBK"/>
          <w:color w:val="auto"/>
          <w:sz w:val="40"/>
          <w:szCs w:val="40"/>
        </w:rPr>
      </w:pPr>
      <w:r>
        <w:rPr>
          <w:rFonts w:eastAsia="方正小标宋_GBK" w:hint="eastAsia"/>
          <w:color w:val="auto"/>
          <w:sz w:val="40"/>
          <w:szCs w:val="40"/>
        </w:rPr>
        <w:t>专项</w:t>
      </w:r>
      <w:r>
        <w:rPr>
          <w:rFonts w:eastAsia="方正小标宋_GBK"/>
          <w:color w:val="auto"/>
          <w:sz w:val="40"/>
          <w:szCs w:val="40"/>
        </w:rPr>
        <w:t>预算绩效自评打分表</w:t>
      </w:r>
    </w:p>
    <w:tbl>
      <w:tblPr>
        <w:jc w:val="center"/>
        <w:tblW w:w="10901"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rPr>
          <w:trHeight w:val="23"/>
        </w:trPr>
        <w:tc>
          <w:tcPr>
            <w:tcW w:w="4361" w:type="dxa"/>
            <w:gridSpan w:val="5"/>
            <w:tcBorders>
              <w:top w:val="single" w:sz="4" w:space="0" w:color="000000"/>
              <w:left w:val="single" w:sz="4" w:space="0" w:color="000000"/>
              <w:bottom w:val="nil"/>
              <w:right w:val="nil"/>
            </w:tcBorders>
            <w:noWrap/>
            <w:vAlign w:val="center"/>
          </w:tcPr>
          <w:p>
            <w:pPr>
              <w:widowControl/>
              <w:spacing w:line="240" w:lineRule="exact"/>
              <w:jc w:val="center"/>
              <w:textAlignment w:val="center"/>
              <w:rPr>
                <w:rFonts w:ascii="黑体" w:eastAsia="黑体" w:cs="黑体"/>
                <w:color w:val="auto"/>
                <w:sz w:val="24"/>
                <w:szCs w:val="24"/>
              </w:rPr>
            </w:pPr>
            <w:r>
              <w:rPr>
                <w:rFonts w:ascii="黑体" w:eastAsia="黑体" w:cs="黑体" w:hint="eastAsia"/>
                <w:color w:val="auto"/>
                <w:kern w:val="0"/>
                <w:sz w:val="24"/>
                <w:szCs w:val="24"/>
              </w:rPr>
              <w:t>绩效评价指标</w:t>
            </w:r>
          </w:p>
        </w:tc>
        <w:tc>
          <w:tcPr>
            <w:tcW w:w="5340"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sz w:val="24"/>
                <w:szCs w:val="24"/>
              </w:rPr>
            </w:pPr>
            <w:r>
              <w:rPr>
                <w:rFonts w:ascii="黑体" w:eastAsia="黑体" w:cs="黑体" w:hint="eastAsia"/>
                <w:color w:val="auto"/>
                <w:kern w:val="0"/>
                <w:sz w:val="24"/>
                <w:szCs w:val="24"/>
              </w:rPr>
              <w:t>指标解释</w:t>
            </w:r>
          </w:p>
        </w:tc>
        <w:tc>
          <w:tcPr>
            <w:tcW w:w="732" w:type="dxa"/>
            <w:vMerge w:val="restart"/>
            <w:tcBorders>
              <w:top w:val="single" w:sz="4" w:space="0" w:color="000000"/>
              <w:left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kern w:val="0"/>
                <w:sz w:val="24"/>
                <w:szCs w:val="24"/>
              </w:rPr>
            </w:pPr>
            <w:r>
              <w:rPr>
                <w:rFonts w:ascii="黑体" w:eastAsia="黑体" w:cs="黑体" w:hint="eastAsia"/>
                <w:color w:val="auto"/>
                <w:kern w:val="0"/>
                <w:sz w:val="24"/>
                <w:szCs w:val="24"/>
              </w:rPr>
              <w:t>自评得分</w:t>
            </w:r>
          </w:p>
        </w:tc>
        <w:tc>
          <w:tcPr>
            <w:tcW w:w="468" w:type="dxa"/>
            <w:vMerge w:val="restart"/>
            <w:tcBorders>
              <w:top w:val="single" w:sz="4" w:space="0" w:color="000000"/>
              <w:left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kern w:val="0"/>
                <w:sz w:val="24"/>
                <w:szCs w:val="24"/>
              </w:rPr>
            </w:pPr>
            <w:r>
              <w:rPr>
                <w:rFonts w:ascii="黑体" w:eastAsia="黑体" w:cs="黑体" w:hint="eastAsia"/>
                <w:color w:val="auto"/>
                <w:kern w:val="0"/>
                <w:sz w:val="24"/>
                <w:szCs w:val="24"/>
              </w:rPr>
              <w:t>备注</w:t>
            </w:r>
          </w:p>
        </w:tc>
      </w:tr>
      <w:tr>
        <w:trPr>
          <w:trHeight w:val="23"/>
        </w:trPr>
        <w:tc>
          <w:tcPr>
            <w:tcW w:w="72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sz w:val="24"/>
                <w:szCs w:val="24"/>
              </w:rPr>
            </w:pPr>
            <w:r>
              <w:rPr>
                <w:rFonts w:ascii="黑体" w:eastAsia="黑体" w:cs="黑体" w:hint="eastAsia"/>
                <w:color w:val="auto"/>
                <w:kern w:val="0"/>
                <w:sz w:val="24"/>
                <w:szCs w:val="24"/>
              </w:rPr>
              <w:t>一级指标</w:t>
            </w:r>
          </w:p>
        </w:tc>
        <w:tc>
          <w:tcPr>
            <w:tcW w:w="1590"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sz w:val="24"/>
                <w:szCs w:val="24"/>
              </w:rPr>
            </w:pPr>
            <w:r>
              <w:rPr>
                <w:rFonts w:ascii="黑体" w:eastAsia="黑体" w:cs="黑体" w:hint="eastAsia"/>
                <w:color w:val="auto"/>
                <w:kern w:val="0"/>
                <w:sz w:val="24"/>
                <w:szCs w:val="24"/>
              </w:rPr>
              <w:t>二级指标</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sz w:val="24"/>
                <w:szCs w:val="24"/>
              </w:rPr>
            </w:pPr>
            <w:r>
              <w:rPr>
                <w:rFonts w:ascii="黑体" w:eastAsia="黑体" w:cs="黑体" w:hint="eastAsia"/>
                <w:color w:val="auto"/>
                <w:kern w:val="0"/>
                <w:sz w:val="24"/>
                <w:szCs w:val="24"/>
              </w:rPr>
              <w:t>三级指标</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黑体" w:eastAsia="黑体" w:cs="黑体" w:hint="eastAsia"/>
                <w:color w:val="auto"/>
                <w:sz w:val="24"/>
                <w:szCs w:val="24"/>
              </w:rPr>
            </w:pPr>
            <w:r>
              <w:rPr>
                <w:rFonts w:ascii="黑体" w:eastAsia="黑体" w:cs="黑体" w:hint="eastAsia"/>
                <w:color w:val="auto"/>
                <w:kern w:val="0"/>
                <w:sz w:val="24"/>
                <w:szCs w:val="24"/>
              </w:rPr>
              <w:t>指标</w:t>
              <w:br/>
              <w:t>分值</w:t>
            </w:r>
          </w:p>
        </w:tc>
        <w:tc>
          <w:tcPr>
            <w:tcW w:w="5340" w:type="dxa"/>
            <w:vMerge/>
            <w:tcBorders>
              <w:top w:val="single" w:sz="4" w:space="0" w:color="000000"/>
              <w:left w:val="single" w:sz="4" w:space="0" w:color="000000"/>
              <w:bottom w:val="single" w:sz="4" w:space="0" w:color="000000"/>
              <w:right w:val="single" w:sz="4" w:space="0" w:color="000000"/>
            </w:tcBorders>
            <w:noWrap/>
            <w:vAlign w:val="center"/>
          </w:tcPr>
          <w:p/>
        </w:tc>
        <w:tc>
          <w:tcPr>
            <w:tcW w:w="732" w:type="dxa"/>
            <w:vMerge/>
            <w:tcBorders>
              <w:left w:val="single" w:sz="4" w:space="0" w:color="000000"/>
              <w:bottom w:val="single" w:sz="4" w:space="0" w:color="000000"/>
              <w:right w:val="single" w:sz="4" w:space="0" w:color="000000"/>
            </w:tcBorders>
            <w:noWrap/>
            <w:vAlign w:val="center"/>
          </w:tcPr>
          <w:p/>
        </w:tc>
        <w:tc>
          <w:tcPr>
            <w:tcW w:w="468" w:type="dxa"/>
            <w:vMerge/>
            <w:tcBorders>
              <w:left w:val="single" w:sz="4" w:space="0" w:color="000000"/>
              <w:bottom w:val="single" w:sz="4" w:space="0" w:color="000000"/>
              <w:right w:val="single" w:sz="4" w:space="0" w:color="000000"/>
            </w:tcBorders>
            <w:noWrap/>
            <w:vAlign w:val="center"/>
          </w:tcPr>
          <w:p/>
        </w:tc>
      </w:tr>
      <w:tr>
        <w:trPr>
          <w:trHeight w:val="23"/>
        </w:trPr>
        <w:tc>
          <w:tcPr>
            <w:tcW w:w="720"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通用指标</w:t>
              <w:br/>
              <w:t>（54分）</w:t>
            </w: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项目决策</w:t>
              <w:br/>
              <w:t>（18分）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决策程序</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6</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项目决策程序是否严密</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6</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规划论证</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6</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项目规划论证是否符合中央、省委要求，项目绩效目标设置是否科学合理</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6</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资金投向</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6</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项目资金是否与项目总体规划、相关行业事业发展相匹配，是否聚焦重大任务、重点领域、重点环节和重点项目</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6</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项目管理</w:t>
              <w:br/>
              <w:t>（18分）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制度办法</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2</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项目制度办法是否体系健全、要素完备</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2</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分配管理</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项目资金分配因素选取、权重设置、区域分布，项目管理、审批是否符合管理要求</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color w:val="auto"/>
                <w:kern w:val="0"/>
                <w:sz w:val="24"/>
                <w:szCs w:val="24"/>
                <w:lang w:val="en-US" w:eastAsia="zh-CN"/>
              </w:rPr>
            </w:pPr>
            <w:r>
              <w:rPr>
                <w:rFonts w:ascii="宋体" w:eastAsia="宋体" w:cs="宋体" w:hint="eastAsia"/>
                <w:color w:val="auto"/>
                <w:kern w:val="0"/>
                <w:sz w:val="24"/>
                <w:szCs w:val="24"/>
                <w:lang w:val="en-US" w:eastAsia="zh-CN"/>
              </w:rPr>
              <w:t>10</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绩效监管</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6</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管资金、项目、政策是否管绩效，项目绩效监管是否按要求开展，对下指导是否有力有效</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color w:val="auto"/>
                <w:kern w:val="0"/>
                <w:sz w:val="24"/>
                <w:szCs w:val="24"/>
                <w:lang w:val="en-US" w:eastAsia="zh-CN"/>
              </w:rPr>
            </w:pPr>
            <w:r>
              <w:rPr>
                <w:rFonts w:ascii="宋体" w:eastAsia="宋体" w:cs="宋体" w:hint="eastAsia"/>
                <w:color w:val="auto"/>
                <w:kern w:val="0"/>
                <w:sz w:val="24"/>
                <w:szCs w:val="24"/>
                <w:lang w:val="en-US" w:eastAsia="zh-CN"/>
              </w:rPr>
              <w:t>6</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项目实施</w:t>
              <w:br/>
              <w:t>（9分）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预算执行</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6</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项目资金财政拨付、单位执行和地方配套到位情况</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6</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资金使用</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3</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资金使用拨付、项目实施是否符合规定</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3</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项目结果</w:t>
              <w:br/>
              <w:t>（9分）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目标完成</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6</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项目是否完成预期目标，实施结果是否与绩效目标相匹配，反映目标实现程度</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6</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完成时效</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3</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项目实际完成时间与计划完成时间的比较</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3</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专用指标</w:t>
              <w:br/>
              <w:t>（30分）</w:t>
            </w: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产业发展</w:t>
              <w:br/>
              <w:t>（30分）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符合性</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项目实施是否与省委省政府支持重点、产业支持政策符合</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0</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成长性</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项目实施对相关企业（机构）成长性的促进作用，主要反映支持对象创新创造创业能力情况</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0</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经济性</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项目实施对相关企业（机构）主营业务收入、净利润、税收、产量等方面增长情况</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lang w:val="en-US" w:eastAsia="zh-CN"/>
              </w:rPr>
            </w:pPr>
            <w:r>
              <w:rPr>
                <w:rFonts w:ascii="宋体" w:eastAsia="宋体" w:cs="宋体" w:hint="eastAsia"/>
                <w:color w:val="auto"/>
                <w:kern w:val="0"/>
                <w:sz w:val="24"/>
                <w:szCs w:val="24"/>
                <w:lang w:val="en-US" w:eastAsia="zh-CN"/>
              </w:rPr>
              <w:t>0</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民生保障</w:t>
              <w:br/>
              <w:t>（30分）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区域均衡性</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项目资金分配体现的均衡公平情况</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color w:val="auto"/>
                <w:kern w:val="0"/>
                <w:sz w:val="24"/>
                <w:szCs w:val="24"/>
                <w:lang w:val="en-US" w:eastAsia="zh-CN"/>
              </w:rPr>
            </w:pPr>
            <w:r>
              <w:rPr>
                <w:rFonts w:ascii="宋体" w:eastAsia="宋体" w:cs="宋体" w:hint="eastAsia"/>
                <w:color w:val="auto"/>
                <w:kern w:val="0"/>
                <w:sz w:val="24"/>
                <w:szCs w:val="24"/>
                <w:lang w:val="en-US" w:eastAsia="zh-CN"/>
              </w:rPr>
              <w:t>5</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对象精准性</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资金实际支持对象是否符合管理要求，是否符合支持对象范围</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color w:val="auto"/>
                <w:kern w:val="0"/>
                <w:sz w:val="24"/>
                <w:szCs w:val="24"/>
                <w:lang w:val="en-US" w:eastAsia="zh-CN"/>
              </w:rPr>
            </w:pPr>
            <w:r>
              <w:rPr>
                <w:rFonts w:ascii="宋体" w:eastAsia="宋体" w:cs="宋体" w:hint="eastAsia"/>
                <w:color w:val="auto"/>
                <w:kern w:val="0"/>
                <w:sz w:val="24"/>
                <w:szCs w:val="24"/>
                <w:lang w:val="en-US" w:eastAsia="zh-CN"/>
              </w:rPr>
              <w:t>10</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标准合理性</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5</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资金实际补贴标准是否符合资金管理办法规定的补助标准，是否及时按标准兑现</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color w:val="auto"/>
                <w:kern w:val="0"/>
                <w:sz w:val="24"/>
                <w:szCs w:val="24"/>
                <w:lang w:val="en-US" w:eastAsia="zh-CN"/>
              </w:rPr>
            </w:pPr>
            <w:r>
              <w:rPr>
                <w:rFonts w:ascii="宋体" w:eastAsia="宋体" w:cs="宋体" w:hint="eastAsia"/>
                <w:color w:val="auto"/>
                <w:kern w:val="0"/>
                <w:sz w:val="24"/>
                <w:szCs w:val="24"/>
                <w:lang w:val="en-US" w:eastAsia="zh-CN"/>
              </w:rPr>
              <w:t>5</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群众满意度</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5</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资金涉及相关受益群体、支持对象的满意度调查访谈情况</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color w:val="auto"/>
                <w:kern w:val="0"/>
                <w:sz w:val="24"/>
                <w:szCs w:val="24"/>
                <w:lang w:val="en-US" w:eastAsia="zh-CN"/>
              </w:rPr>
            </w:pPr>
            <w:r>
              <w:rPr>
                <w:rFonts w:ascii="宋体" w:eastAsia="宋体" w:cs="宋体" w:hint="eastAsia"/>
                <w:color w:val="auto"/>
                <w:kern w:val="0"/>
                <w:sz w:val="24"/>
                <w:szCs w:val="24"/>
                <w:lang w:val="en-US" w:eastAsia="zh-CN"/>
              </w:rPr>
              <w:t>4.5</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765"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基础</w:t>
              <w:br/>
              <w:t>设施</w:t>
              <w:br/>
              <w:t>（30分）</w:t>
            </w:r>
          </w:p>
        </w:tc>
        <w:tc>
          <w:tcPr>
            <w:tcW w:w="825"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在建</w:t>
              <w:br/>
              <w:t>项目</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工程进度</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15</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项目是否达到计划工程进度</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765" w:type="dxa"/>
            <w:vMerge/>
            <w:tcBorders>
              <w:top w:val="single" w:sz="4" w:space="0" w:color="000000"/>
              <w:left w:val="single" w:sz="4" w:space="0" w:color="000000"/>
              <w:bottom w:val="single" w:sz="4" w:space="0" w:color="000000"/>
              <w:right w:val="single" w:sz="4" w:space="0" w:color="000000"/>
            </w:tcBorders>
            <w:noWrap/>
            <w:vAlign w:val="center"/>
          </w:tcPr>
          <w:p/>
        </w:tc>
        <w:tc>
          <w:tcPr>
            <w:tcW w:w="825" w:type="dxa"/>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资金拨付</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15</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项目是否达到预先确定的资金拨付进度</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765" w:type="dxa"/>
            <w:vMerge/>
            <w:tcBorders>
              <w:top w:val="single" w:sz="4" w:space="0" w:color="000000"/>
              <w:left w:val="single" w:sz="4" w:space="0" w:color="000000"/>
              <w:bottom w:val="single" w:sz="4" w:space="0" w:color="000000"/>
              <w:right w:val="single" w:sz="4" w:space="0" w:color="000000"/>
            </w:tcBorders>
            <w:noWrap/>
            <w:vAlign w:val="center"/>
          </w:tcPr>
          <w:p/>
        </w:tc>
        <w:tc>
          <w:tcPr>
            <w:tcW w:w="825"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建成</w:t>
              <w:br/>
              <w:t>项目</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项目验收</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项目验收是否及时合格</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765" w:type="dxa"/>
            <w:vMerge/>
            <w:tcBorders>
              <w:top w:val="single" w:sz="4" w:space="0" w:color="000000"/>
              <w:left w:val="single" w:sz="4" w:space="0" w:color="000000"/>
              <w:bottom w:val="single" w:sz="4" w:space="0" w:color="000000"/>
              <w:right w:val="single" w:sz="4" w:space="0" w:color="000000"/>
            </w:tcBorders>
            <w:noWrap/>
            <w:vAlign w:val="center"/>
          </w:tcPr>
          <w:p/>
        </w:tc>
        <w:tc>
          <w:tcPr>
            <w:tcW w:w="825" w:type="dxa"/>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功能实现</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项目经济社会功能是否实现</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765" w:type="dxa"/>
            <w:vMerge/>
            <w:tcBorders>
              <w:top w:val="single" w:sz="4" w:space="0" w:color="000000"/>
              <w:left w:val="single" w:sz="4" w:space="0" w:color="000000"/>
              <w:bottom w:val="single" w:sz="4" w:space="0" w:color="000000"/>
              <w:right w:val="single" w:sz="4" w:space="0" w:color="000000"/>
            </w:tcBorders>
            <w:noWrap/>
            <w:vAlign w:val="center"/>
          </w:tcPr>
          <w:p/>
        </w:tc>
        <w:tc>
          <w:tcPr>
            <w:tcW w:w="825" w:type="dxa"/>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后续管护</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项目后续维护是否实现</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专用指标</w:t>
              <w:br/>
              <w:t>（30分）</w:t>
            </w:r>
          </w:p>
        </w:tc>
        <w:tc>
          <w:tcPr>
            <w:tcW w:w="1590"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行政运转</w:t>
              <w:br/>
              <w:t>（30分）</w:t>
            </w:r>
          </w:p>
        </w:tc>
        <w:tc>
          <w:tcPr>
            <w:tcW w:w="1355" w:type="dxa"/>
            <w:tcBorders>
              <w:top w:val="nil"/>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用途合规性</w:t>
            </w:r>
          </w:p>
        </w:tc>
        <w:tc>
          <w:tcPr>
            <w:tcW w:w="696" w:type="dxa"/>
            <w:tcBorders>
              <w:top w:val="nil"/>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nil"/>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是否按规定用途、适用范围进行本地区专项资金分配</w:t>
            </w:r>
          </w:p>
        </w:tc>
        <w:tc>
          <w:tcPr>
            <w:tcW w:w="732" w:type="dxa"/>
            <w:tcBorders>
              <w:top w:val="nil"/>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nil"/>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nil"/>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程序合规性</w:t>
            </w:r>
          </w:p>
        </w:tc>
        <w:tc>
          <w:tcPr>
            <w:tcW w:w="696" w:type="dxa"/>
            <w:tcBorders>
              <w:top w:val="nil"/>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资金管理程序是否符合专项资金管理要求</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720" w:type="dxa"/>
            <w:vMerge/>
            <w:tcBorders>
              <w:top w:val="single" w:sz="4" w:space="0" w:color="000000"/>
              <w:left w:val="single" w:sz="4" w:space="0" w:color="000000"/>
              <w:bottom w:val="single" w:sz="4" w:space="0" w:color="000000"/>
              <w:right w:val="single" w:sz="4" w:space="0" w:color="000000"/>
            </w:tcBorders>
            <w:noWrap/>
            <w:vAlign w:val="center"/>
          </w:tcPr>
          <w:p/>
        </w:tc>
        <w:tc>
          <w:tcPr>
            <w:tcW w:w="1590"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355" w:type="dxa"/>
            <w:tcBorders>
              <w:top w:val="nil"/>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标准合规性</w:t>
            </w:r>
          </w:p>
        </w:tc>
        <w:tc>
          <w:tcPr>
            <w:tcW w:w="696" w:type="dxa"/>
            <w:tcBorders>
              <w:top w:val="nil"/>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10</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资金分配标准是否符合专项资金管理要求</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2310"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个性指标</w:t>
              <w:br/>
              <w:t>（16分）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提高群众防控认知</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通过对个性指标的分析，自该项目的政策实施以来，通过财政补助，注重人文关怀，做好个性化服务，为隔离群众提供良好环境，提高了民众生活幸福感，综上所述，该指标得10分。</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color w:val="auto"/>
                <w:kern w:val="0"/>
                <w:sz w:val="24"/>
                <w:szCs w:val="24"/>
                <w:lang w:val="en-US" w:eastAsia="zh-CN"/>
              </w:rPr>
            </w:pPr>
            <w:r>
              <w:rPr>
                <w:rFonts w:ascii="宋体" w:eastAsia="宋体" w:cs="宋体" w:hint="eastAsia"/>
                <w:color w:val="auto"/>
                <w:kern w:val="0"/>
                <w:sz w:val="24"/>
                <w:szCs w:val="24"/>
                <w:lang w:val="en-US" w:eastAsia="zh-CN"/>
              </w:rPr>
              <w:t>10</w:t>
            </w: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r>
        <w:trPr>
          <w:trHeight w:val="23"/>
        </w:trPr>
        <w:tc>
          <w:tcPr>
            <w:tcW w:w="2310"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b/>
                <w:color w:val="auto"/>
                <w:sz w:val="24"/>
                <w:szCs w:val="24"/>
              </w:rPr>
            </w:pPr>
            <w:r>
              <w:rPr>
                <w:rFonts w:ascii="宋体" w:eastAsia="宋体" w:cs="宋体" w:hint="eastAsia"/>
                <w:b/>
                <w:color w:val="auto"/>
                <w:kern w:val="0"/>
                <w:sz w:val="24"/>
                <w:szCs w:val="24"/>
              </w:rPr>
              <w:t>扣分项</w:t>
              <w:br/>
              <w:t>（10分）</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被评价</w:t>
              <w:br/>
              <w:t>部门配合度</w:t>
            </w:r>
          </w:p>
        </w:tc>
        <w:tc>
          <w:tcPr>
            <w:tcW w:w="696"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eastAsia="宋体" w:cs="宋体" w:hint="eastAsia"/>
                <w:color w:val="auto"/>
                <w:sz w:val="24"/>
                <w:szCs w:val="24"/>
              </w:rPr>
            </w:pPr>
            <w:r>
              <w:rPr>
                <w:rFonts w:ascii="宋体" w:eastAsia="宋体" w:cs="宋体" w:hint="eastAsia"/>
                <w:color w:val="auto"/>
                <w:kern w:val="0"/>
                <w:sz w:val="24"/>
                <w:szCs w:val="24"/>
              </w:rPr>
              <w:t>—</w:t>
            </w:r>
          </w:p>
        </w:tc>
        <w:tc>
          <w:tcPr>
            <w:tcW w:w="5340"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sz w:val="24"/>
                <w:szCs w:val="24"/>
              </w:rPr>
            </w:pPr>
            <w:r>
              <w:rPr>
                <w:rFonts w:ascii="宋体" w:eastAsia="宋体" w:cs="宋体" w:hint="eastAsia"/>
                <w:color w:val="auto"/>
                <w:kern w:val="0"/>
                <w:sz w:val="24"/>
                <w:szCs w:val="24"/>
              </w:rPr>
              <w:t>被评价对象工作配合情况</w:t>
            </w:r>
          </w:p>
        </w:tc>
        <w:tc>
          <w:tcPr>
            <w:tcW w:w="732"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c>
          <w:tcPr>
            <w:tcW w:w="46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left"/>
              <w:textAlignment w:val="center"/>
              <w:rPr>
                <w:rFonts w:ascii="宋体" w:eastAsia="宋体" w:cs="宋体" w:hint="eastAsia"/>
                <w:color w:val="auto"/>
                <w:kern w:val="0"/>
                <w:sz w:val="24"/>
                <w:szCs w:val="24"/>
              </w:rPr>
            </w:pPr>
          </w:p>
        </w:tc>
      </w:tr>
    </w:tbl>
    <w:p>
      <w:pPr>
        <w:rPr>
          <w:rFonts w:ascii="黑体" w:eastAsia="黑体" w:hint="eastAsia"/>
          <w:color w:val="auto"/>
          <w:sz w:val="44"/>
          <w:szCs w:val="44"/>
        </w:rPr>
      </w:pPr>
      <w:r>
        <w:rPr>
          <w:rFonts w:ascii="黑体" w:eastAsia="黑体" w:hint="eastAsia"/>
          <w:color w:val="auto"/>
          <w:sz w:val="44"/>
          <w:szCs w:val="44"/>
        </w:rPr>
        <w:br w:type="page"/>
      </w:r>
    </w:p>
    <w:p>
      <w:pPr>
        <w:rPr>
          <w:color w:val="auto"/>
          <w:lang w:val="en-US" w:eastAsia="zh-CN"/>
        </w:rPr>
      </w:pPr>
      <w:r>
        <w:rPr>
          <w:rFonts w:ascii="Times New Roman" w:eastAsia="宋体" w:cs="Times New Roman" w:hAnsi="Times New Roman" w:hint="eastAsia"/>
          <w:color w:val="auto"/>
          <w:lang w:val="en-US" w:eastAsia="zh-CN"/>
        </w:rPr>
        <w:t>附件2：</w:t>
      </w:r>
    </w:p>
    <w:p>
      <w:pPr>
        <w:pStyle w:val="15"/>
        <w:rPr>
          <w:rFonts w:hint="eastAsia"/>
          <w:color w:val="auto"/>
        </w:rPr>
      </w:pPr>
      <w:r>
        <w:rPr>
          <w:color w:val="auto"/>
        </w:rPr>
        <w:drawing>
          <wp:anchor distT="0" distB="0" distL="114300" distR="114300" simplePos="0" relativeHeight="39" behindDoc="0" locked="0" layoutInCell="1" hidden="0" allowOverlap="1">
            <wp:simplePos x="0" y="0"/>
            <wp:positionH relativeFrom="column">
              <wp:posOffset>-1087120</wp:posOffset>
            </wp:positionH>
            <wp:positionV relativeFrom="paragraph">
              <wp:posOffset>41275</wp:posOffset>
            </wp:positionV>
            <wp:extent cx="7352031" cy="7120255"/>
            <wp:effectExtent l="0" t="0" r="0" b="0"/>
            <wp:wrapTopAndBottom/>
            <wp:docPr id="14" name="图片 3"/>
            <wp:cNvGraphicFramePr>
              <a:graphicFrameLocks noChangeAspect="1"/>
            </wp:cNvGraphicFramePr>
            <a:graphic>
              <a:graphicData uri="http://schemas.openxmlformats.org/drawingml/2006/picture">
                <pic:pic>
                  <pic:nvPicPr>
                    <pic:cNvPr id="16" name="图片 3 16"/>
                    <pic:cNvPicPr/>
                  </pic:nvPicPr>
                  <pic:blipFill>
                    <a:blip r:embed="rId13"/>
                    <a:stretch>
                      <a:fillRect/>
                    </a:stretch>
                  </pic:blipFill>
                  <pic:spPr>
                    <a:xfrm rot="0">
                      <a:off x="0" y="0"/>
                      <a:ext cx="7352031" cy="7120255"/>
                    </a:xfrm>
                    <a:prstGeom prst="rect"/>
                    <a:noFill/>
                    <a:ln w="9525" cmpd="sng" cap="flat">
                      <a:noFill/>
                      <a:prstDash val="solid"/>
                      <a:round/>
                    </a:ln>
                  </pic:spPr>
                </pic:pic>
              </a:graphicData>
            </a:graphic>
          </wp:anchor>
        </w:drawing>
      </w:r>
    </w:p>
    <w:p>
      <w:pPr>
        <w:pStyle w:val="15"/>
        <w:rPr>
          <w:rFonts w:hint="eastAsia"/>
          <w:color w:val="auto"/>
        </w:rPr>
      </w:pPr>
    </w:p>
    <w:p>
      <w:pPr>
        <w:spacing w:line="600" w:lineRule="exact"/>
        <w:jc w:val="center"/>
        <w:outlineLvl w:val="0"/>
        <w:rPr>
          <w:rFonts w:ascii="黑体" w:eastAsia="黑体" w:hint="eastAsia"/>
          <w:color w:val="auto"/>
          <w:sz w:val="44"/>
          <w:szCs w:val="44"/>
        </w:rPr>
      </w:pPr>
    </w:p>
    <w:p>
      <w:pPr>
        <w:spacing w:line="600" w:lineRule="exact"/>
        <w:jc w:val="center"/>
        <w:outlineLvl w:val="0"/>
        <w:rPr>
          <w:rFonts w:ascii="黑体" w:eastAsia="黑体" w:hint="eastAsia"/>
          <w:color w:val="auto"/>
          <w:sz w:val="44"/>
          <w:szCs w:val="44"/>
        </w:rPr>
      </w:pPr>
    </w:p>
    <w:p>
      <w:pPr>
        <w:spacing w:line="600" w:lineRule="exact"/>
        <w:jc w:val="center"/>
        <w:outlineLvl w:val="0"/>
        <w:rPr>
          <w:rFonts w:ascii="黑体" w:eastAsia="黑体" w:hint="eastAsia"/>
          <w:color w:val="auto"/>
          <w:sz w:val="44"/>
          <w:szCs w:val="44"/>
        </w:rPr>
      </w:pPr>
    </w:p>
    <w:p>
      <w:pPr>
        <w:spacing w:line="600" w:lineRule="exact"/>
        <w:jc w:val="center"/>
        <w:outlineLvl w:val="0"/>
        <w:rPr>
          <w:rFonts w:ascii="仿宋" w:eastAsia="仿宋"/>
          <w:color w:val="auto"/>
        </w:rPr>
      </w:pPr>
      <w:bookmarkStart w:id="115" w:name="_Toc25533"/>
      <w:r>
        <w:rPr>
          <w:rFonts w:ascii="黑体" w:eastAsia="黑体" w:hint="eastAsia"/>
          <w:color w:val="auto"/>
          <w:sz w:val="44"/>
          <w:szCs w:val="44"/>
        </w:rPr>
        <w:t>第</w:t>
      </w:r>
      <w:r>
        <w:rPr>
          <w:rStyle w:val="1Char"/>
          <w:rFonts w:ascii="黑体" w:eastAsia="黑体" w:hint="eastAsia"/>
          <w:b w:val="0"/>
          <w:color w:val="auto"/>
        </w:rPr>
        <w:t>五部分 附表</w:t>
      </w:r>
      <w:bookmarkStart w:id="116" w:name="_Toc15396619"/>
      <w:bookmarkEnd w:id="68"/>
      <w:bookmarkEnd w:id="70"/>
      <w:bookmarkEnd w:id="115"/>
    </w:p>
    <w:p>
      <w:pPr>
        <w:pStyle w:val="2"/>
        <w:rPr>
          <w:rStyle w:val="2Char"/>
          <w:rFonts w:ascii="仿宋" w:eastAsia="仿宋"/>
          <w:b w:val="0"/>
          <w:bCs w:val="0"/>
          <w:color w:val="auto"/>
        </w:rPr>
      </w:pPr>
      <w:bookmarkStart w:id="117" w:name="_Toc316"/>
      <w:r>
        <w:rPr>
          <w:rStyle w:val="2Char"/>
          <w:rFonts w:ascii="仿宋" w:eastAsia="仿宋" w:hint="eastAsia"/>
          <w:b w:val="0"/>
          <w:bCs w:val="0"/>
          <w:color w:val="auto"/>
        </w:rPr>
        <w:t>一、收入支出决算总表</w:t>
      </w:r>
      <w:bookmarkEnd w:id="116"/>
      <w:bookmarkEnd w:id="117"/>
    </w:p>
    <w:p>
      <w:pPr>
        <w:pStyle w:val="2"/>
        <w:rPr>
          <w:rStyle w:val="2Char"/>
          <w:rFonts w:ascii="仿宋" w:eastAsia="仿宋"/>
          <w:b w:val="0"/>
          <w:bCs w:val="0"/>
          <w:color w:val="auto"/>
        </w:rPr>
      </w:pPr>
      <w:bookmarkStart w:id="118" w:name="_Toc15396620"/>
      <w:bookmarkStart w:id="119" w:name="_Toc20622"/>
      <w:r>
        <w:rPr>
          <w:rStyle w:val="2Char"/>
          <w:rFonts w:ascii="仿宋" w:eastAsia="仿宋" w:hint="eastAsia"/>
          <w:b w:val="0"/>
          <w:bCs w:val="0"/>
          <w:color w:val="auto"/>
        </w:rPr>
        <w:t>二、收入决算表</w:t>
      </w:r>
      <w:bookmarkEnd w:id="118"/>
      <w:bookmarkEnd w:id="119"/>
    </w:p>
    <w:p>
      <w:pPr>
        <w:pStyle w:val="2"/>
        <w:rPr>
          <w:rStyle w:val="2Char"/>
          <w:rFonts w:ascii="仿宋" w:eastAsia="仿宋"/>
          <w:b w:val="0"/>
          <w:bCs w:val="0"/>
          <w:color w:val="auto"/>
        </w:rPr>
      </w:pPr>
      <w:bookmarkStart w:id="120" w:name="_Toc11032"/>
      <w:bookmarkStart w:id="121" w:name="_Toc15396621"/>
      <w:r>
        <w:rPr>
          <w:rStyle w:val="2Char"/>
          <w:rFonts w:ascii="仿宋" w:eastAsia="仿宋" w:hint="eastAsia"/>
          <w:b w:val="0"/>
          <w:bCs w:val="0"/>
          <w:color w:val="auto"/>
        </w:rPr>
        <w:t>三、支出决算表</w:t>
      </w:r>
      <w:bookmarkEnd w:id="120"/>
      <w:bookmarkEnd w:id="121"/>
    </w:p>
    <w:p>
      <w:pPr>
        <w:pStyle w:val="2"/>
        <w:rPr>
          <w:rStyle w:val="2Char"/>
          <w:rFonts w:ascii="仿宋" w:eastAsia="仿宋"/>
          <w:b w:val="0"/>
          <w:bCs w:val="0"/>
          <w:color w:val="auto"/>
        </w:rPr>
      </w:pPr>
      <w:bookmarkStart w:id="122" w:name="_Toc16931"/>
      <w:bookmarkStart w:id="123" w:name="_Toc15396622"/>
      <w:r>
        <w:rPr>
          <w:rStyle w:val="2Char"/>
          <w:rFonts w:ascii="仿宋" w:eastAsia="仿宋" w:hint="eastAsia"/>
          <w:b w:val="0"/>
          <w:bCs w:val="0"/>
          <w:color w:val="auto"/>
        </w:rPr>
        <w:t>四、财政拨款收入支出决算总表</w:t>
      </w:r>
      <w:bookmarkEnd w:id="122"/>
      <w:bookmarkEnd w:id="123"/>
    </w:p>
    <w:p>
      <w:pPr>
        <w:pStyle w:val="2"/>
        <w:rPr>
          <w:rStyle w:val="2Char"/>
          <w:rFonts w:ascii="仿宋" w:eastAsia="仿宋"/>
          <w:b w:val="0"/>
          <w:bCs w:val="0"/>
          <w:color w:val="auto"/>
        </w:rPr>
      </w:pPr>
      <w:bookmarkStart w:id="124" w:name="_Toc18551"/>
      <w:bookmarkStart w:id="125" w:name="_Toc15396623"/>
      <w:r>
        <w:rPr>
          <w:rStyle w:val="2Char"/>
          <w:rFonts w:ascii="仿宋" w:eastAsia="仿宋" w:hint="eastAsia"/>
          <w:b w:val="0"/>
          <w:bCs w:val="0"/>
          <w:color w:val="auto"/>
        </w:rPr>
        <w:t>五、财政拨款支出决算明细表</w:t>
      </w:r>
      <w:bookmarkStart w:id="126" w:name="_Toc15396624"/>
      <w:bookmarkEnd w:id="124"/>
      <w:bookmarkEnd w:id="125"/>
    </w:p>
    <w:p>
      <w:pPr>
        <w:pStyle w:val="2"/>
        <w:rPr>
          <w:rStyle w:val="2Char"/>
          <w:rFonts w:ascii="仿宋" w:eastAsia="仿宋"/>
          <w:b w:val="0"/>
          <w:bCs w:val="0"/>
          <w:color w:val="auto"/>
        </w:rPr>
      </w:pPr>
      <w:bookmarkStart w:id="127" w:name="_Toc21711"/>
      <w:r>
        <w:rPr>
          <w:rStyle w:val="2Char"/>
          <w:rFonts w:ascii="仿宋" w:eastAsia="仿宋" w:hint="eastAsia"/>
          <w:b w:val="0"/>
          <w:bCs w:val="0"/>
          <w:color w:val="auto"/>
        </w:rPr>
        <w:t>六、一般公共预算财政拨款支出决算表</w:t>
      </w:r>
      <w:bookmarkEnd w:id="126"/>
      <w:bookmarkEnd w:id="127"/>
    </w:p>
    <w:p>
      <w:pPr>
        <w:pStyle w:val="2"/>
        <w:rPr>
          <w:rStyle w:val="2Char"/>
          <w:rFonts w:ascii="仿宋" w:eastAsia="仿宋"/>
          <w:b w:val="0"/>
          <w:bCs w:val="0"/>
          <w:color w:val="auto"/>
        </w:rPr>
      </w:pPr>
      <w:bookmarkStart w:id="128" w:name="_Toc15396625"/>
      <w:bookmarkStart w:id="129" w:name="_Toc3265"/>
      <w:r>
        <w:rPr>
          <w:rStyle w:val="2Char"/>
          <w:rFonts w:ascii="仿宋" w:eastAsia="仿宋" w:hint="eastAsia"/>
          <w:b w:val="0"/>
          <w:bCs w:val="0"/>
          <w:color w:val="auto"/>
        </w:rPr>
        <w:t>七、一般公共预算财政拨款支出决算明细表</w:t>
      </w:r>
      <w:bookmarkEnd w:id="128"/>
      <w:bookmarkEnd w:id="129"/>
    </w:p>
    <w:p>
      <w:pPr>
        <w:pStyle w:val="2"/>
        <w:rPr>
          <w:rStyle w:val="2Char"/>
          <w:rFonts w:ascii="仿宋" w:eastAsia="仿宋"/>
          <w:b w:val="0"/>
          <w:bCs w:val="0"/>
          <w:color w:val="auto"/>
        </w:rPr>
      </w:pPr>
      <w:bookmarkStart w:id="130" w:name="_Toc23853"/>
      <w:bookmarkStart w:id="131" w:name="_Toc15396626"/>
      <w:r>
        <w:rPr>
          <w:rStyle w:val="2Char"/>
          <w:rFonts w:ascii="仿宋" w:eastAsia="仿宋" w:hint="eastAsia"/>
          <w:b w:val="0"/>
          <w:bCs w:val="0"/>
          <w:color w:val="auto"/>
        </w:rPr>
        <w:t>八、一般公共预算财政拨款基本支出决算表</w:t>
      </w:r>
      <w:bookmarkEnd w:id="130"/>
      <w:bookmarkEnd w:id="131"/>
    </w:p>
    <w:p>
      <w:pPr>
        <w:pStyle w:val="2"/>
        <w:rPr>
          <w:rStyle w:val="2Char"/>
          <w:rFonts w:ascii="仿宋" w:eastAsia="仿宋"/>
          <w:b w:val="0"/>
          <w:bCs w:val="0"/>
          <w:color w:val="auto"/>
        </w:rPr>
      </w:pPr>
      <w:bookmarkStart w:id="132" w:name="_Toc15396627"/>
      <w:bookmarkStart w:id="133" w:name="_Toc5524"/>
      <w:r>
        <w:rPr>
          <w:rStyle w:val="2Char"/>
          <w:rFonts w:ascii="仿宋" w:eastAsia="仿宋" w:hint="eastAsia"/>
          <w:b w:val="0"/>
          <w:bCs w:val="0"/>
          <w:color w:val="auto"/>
        </w:rPr>
        <w:t>九、一般公共预算财政拨款项目支出决算表</w:t>
      </w:r>
      <w:bookmarkEnd w:id="132"/>
      <w:bookmarkEnd w:id="133"/>
    </w:p>
    <w:p>
      <w:pPr>
        <w:pStyle w:val="2"/>
        <w:rPr>
          <w:rStyle w:val="2Char"/>
          <w:rFonts w:ascii="仿宋" w:eastAsia="仿宋"/>
          <w:b w:val="0"/>
          <w:bCs w:val="0"/>
          <w:color w:val="auto"/>
        </w:rPr>
      </w:pPr>
      <w:bookmarkStart w:id="134" w:name="_Toc15396628"/>
      <w:bookmarkStart w:id="135" w:name="_Toc30735"/>
      <w:r>
        <w:rPr>
          <w:rStyle w:val="2Char"/>
          <w:rFonts w:ascii="仿宋" w:eastAsia="仿宋" w:hint="eastAsia"/>
          <w:b w:val="0"/>
          <w:bCs w:val="0"/>
          <w:color w:val="auto"/>
        </w:rPr>
        <w:t>十、</w:t>
      </w:r>
      <w:bookmarkEnd w:id="134"/>
      <w:r>
        <w:rPr>
          <w:rStyle w:val="2Char"/>
          <w:rFonts w:ascii="仿宋" w:eastAsia="仿宋" w:hint="eastAsia"/>
          <w:b w:val="0"/>
          <w:bCs w:val="0"/>
          <w:color w:val="auto"/>
        </w:rPr>
        <w:t>政府性基金预算财政拨款收入支出决算表</w:t>
      </w:r>
      <w:bookmarkEnd w:id="135"/>
    </w:p>
    <w:p>
      <w:pPr>
        <w:pStyle w:val="2"/>
        <w:rPr>
          <w:rStyle w:val="2Char"/>
          <w:rFonts w:ascii="仿宋" w:eastAsia="仿宋"/>
          <w:b w:val="0"/>
          <w:bCs w:val="0"/>
          <w:color w:val="auto"/>
        </w:rPr>
      </w:pPr>
      <w:bookmarkStart w:id="136" w:name="_Toc15396629"/>
      <w:bookmarkStart w:id="137" w:name="_Toc21372"/>
      <w:r>
        <w:rPr>
          <w:rStyle w:val="2Char"/>
          <w:rFonts w:ascii="仿宋" w:eastAsia="仿宋" w:hint="eastAsia"/>
          <w:b w:val="0"/>
          <w:bCs w:val="0"/>
          <w:color w:val="auto"/>
        </w:rPr>
        <w:t>十一、</w:t>
      </w:r>
      <w:bookmarkEnd w:id="136"/>
      <w:r>
        <w:rPr>
          <w:rStyle w:val="2Char"/>
          <w:rFonts w:ascii="仿宋" w:eastAsia="仿宋" w:hint="eastAsia"/>
          <w:b w:val="0"/>
          <w:bCs w:val="0"/>
          <w:color w:val="auto"/>
        </w:rPr>
        <w:t>国有资本经营预算财政拨款收入支出决算表</w:t>
      </w:r>
      <w:bookmarkEnd w:id="137"/>
    </w:p>
    <w:p>
      <w:pPr>
        <w:pStyle w:val="2"/>
        <w:rPr>
          <w:rFonts w:ascii="仿宋" w:eastAsia="仿宋"/>
          <w:color w:val="auto"/>
        </w:rPr>
      </w:pPr>
      <w:bookmarkStart w:id="138" w:name="_Toc15396630"/>
      <w:bookmarkStart w:id="139" w:name="_Toc1737"/>
      <w:r>
        <w:rPr>
          <w:rStyle w:val="2Char"/>
          <w:rFonts w:ascii="仿宋" w:eastAsia="仿宋" w:hint="eastAsia"/>
          <w:b w:val="0"/>
          <w:bCs w:val="0"/>
          <w:color w:val="auto"/>
        </w:rPr>
        <w:t>十二、</w:t>
      </w:r>
      <w:bookmarkEnd w:id="138"/>
      <w:r>
        <w:rPr>
          <w:rStyle w:val="2Char"/>
          <w:rFonts w:ascii="仿宋" w:eastAsia="仿宋" w:hint="eastAsia"/>
          <w:b w:val="0"/>
          <w:bCs w:val="0"/>
          <w:color w:val="auto"/>
        </w:rPr>
        <w:t>国有资本经营预算财政拨款支出决算表</w:t>
      </w:r>
      <w:bookmarkEnd w:id="139"/>
    </w:p>
    <w:p>
      <w:pPr>
        <w:pStyle w:val="2"/>
        <w:rPr>
          <w:rFonts w:eastAsia="仿宋"/>
          <w:color w:val="auto"/>
        </w:rPr>
      </w:pPr>
      <w:bookmarkStart w:id="140" w:name="_Toc15396631"/>
      <w:bookmarkStart w:id="141" w:name="_Toc29071"/>
      <w:r>
        <w:rPr>
          <w:rStyle w:val="2Char"/>
          <w:rFonts w:ascii="仿宋" w:eastAsia="仿宋" w:hint="eastAsia"/>
          <w:b w:val="0"/>
          <w:bCs w:val="0"/>
          <w:color w:val="auto"/>
        </w:rPr>
        <w:t>十三、</w:t>
      </w:r>
      <w:bookmarkEnd w:id="140"/>
      <w:r>
        <w:rPr>
          <w:rStyle w:val="2Char"/>
          <w:rFonts w:ascii="仿宋" w:eastAsia="仿宋" w:hint="eastAsia"/>
          <w:b w:val="0"/>
          <w:bCs w:val="0"/>
          <w:color w:val="auto"/>
        </w:rPr>
        <w:t>财政拨款“三公”经费支出决算表</w:t>
      </w:r>
      <w:bookmarkEnd w:id="141"/>
    </w:p>
    <w:p>
      <w:pPr>
        <w:rPr>
          <w:color w:val="auto"/>
        </w:rPr>
      </w:pPr>
    </w:p>
    <w:sectPr>
      <w:headerReference w:type="default" r:id="rId2"/>
      <w:footerReference w:type="default" r:id="rId3"/>
      <w:pgSz w:w="11906" w:h="16838"/>
      <w:pgMar w:top="1440" w:right="1800" w:bottom="1440" w:left="1800" w:header="851" w:footer="992" w:gutter="0"/>
      <w:pgNumType w:start="1"/>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黑体">
    <w:altName w:val="方正黑体_GBK"/>
    <w:panose1 w:val="02010609060101010101"/>
    <w:charset w:val="86"/>
    <w:family w:val="auto"/>
    <w:pitch w:val="variable"/>
    <w:sig w:usb0="800002BF" w:usb1="38CF7CFA" w:usb2="00000016" w:usb3="00000000" w:csb0="00040001" w:csb1="00000000"/>
  </w:font>
  <w:font w:name="方正小标宋简体">
    <w:panose1 w:val="02000000000000000000"/>
    <w:charset w:val="86"/>
    <w:family w:val="script"/>
    <w:pitch w:val="variable"/>
    <w:sig w:usb0="A00002BF" w:usb1="184F6CFA" w:usb2="00000012" w:usb3="00000000" w:csb0="00040001" w:csb1="00000000"/>
  </w:font>
  <w:font w:name="宋体">
    <w:altName w:val="方正书宋_GBK"/>
    <w:panose1 w:val="00000000000000000000"/>
    <w:charset w:val="00"/>
    <w:family w:val="auto"/>
    <w:pitch w:val="variable"/>
    <w:sig w:usb0="00000000" w:usb1="00000000" w:usb2="00000000" w:usb3="00000000" w:csb0="00000000" w:csb1="00000000"/>
  </w:font>
  <w:font w:name="仿宋_GB2312">
    <w:altName w:val="方正仿宋_GBK"/>
    <w:panose1 w:val="02010609030101010101"/>
    <w:charset w:val="86"/>
    <w:family w:val="modern"/>
    <w:pitch w:val="variable"/>
    <w:sig w:usb0="00000000" w:usb1="00000000" w:usb2="00000000" w:usb3="00000000" w:csb0="00040000" w:csb1="00000000"/>
  </w:font>
  <w:font w:name="Times New Roman">
    <w:altName w:val="DejaVu Sans"/>
    <w:panose1 w:val="02020603050405020304"/>
    <w:charset w:val="01"/>
    <w:family w:val="auto"/>
    <w:pitch w:val="variable"/>
    <w:sig w:usb0="00000000" w:usb1="00000000" w:usb2="00000009" w:usb3="00000000" w:csb0="400001FF" w:csb1="FFFF0000"/>
  </w:font>
  <w:font w:name="仿宋">
    <w:altName w:val="方正仿宋_GBK"/>
    <w:panose1 w:val="02010609060101010101"/>
    <w:charset w:val="86"/>
    <w:family w:val="modern"/>
    <w:pitch w:val="variable"/>
    <w:sig w:usb0="00000000" w:usb1="00000000" w:usb2="00000016" w:usb3="00000000" w:csb0="00040001" w:csb1="00000000"/>
  </w:font>
  <w:font w:name="方正小标宋_GBK">
    <w:altName w:val="微软雅黑"/>
    <w:panose1 w:val="02000000000000000000"/>
    <w:charset w:val="86"/>
    <w:family w:val="auto"/>
    <w:pitch w:val="variable"/>
    <w:sig w:usb0="00000001" w:usb1="08000000" w:usb2="00000000" w:usb3="00000000" w:csb0="00040000" w:csb1="00000000"/>
  </w:font>
  <w:font w:name="Calibri">
    <w:altName w:val="DejaVu Sans"/>
    <w:panose1 w:val="020F0502020204030204"/>
    <w:charset w:val="00"/>
    <w:family w:val="swiss"/>
    <w:pitch w:val="variable"/>
    <w:sig w:usb0="00000000" w:usb1="00000000" w:usb2="00000001" w:usb3="00000000" w:csb0="0000019F" w:csb1="00000000"/>
  </w:font>
  <w:font w:name="Arial">
    <w:altName w:val="DejaVu Sans"/>
    <w:panose1 w:val="020B0604020202020204"/>
    <w:charset w:val="01"/>
    <w:family w:val="swiss"/>
    <w:pitch w:val="variable"/>
    <w:sig w:usb0="E0002AFF" w:usb1="C0007843" w:usb2="00000009" w:usb3="00000000" w:csb0="400001FF" w:csb1="FFFF0000"/>
  </w:font>
  <w:font w:name="Cambria">
    <w:altName w:val="FreeSerif"/>
    <w:panose1 w:val="02040503050406030204"/>
    <w:charset w:val="00"/>
    <w:family w:val="roman"/>
    <w:pitch w:val="variable"/>
    <w:sig w:usb0="00000000" w:usb1="00000000" w:usb2="02000000" w:usb3="00000000" w:csb0="2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sdt>
    <w:sdtPr>
      <w:id w:val="716208272"/>
    </w:sdtPr>
    <w:sdtContent>
      <w:p>
        <w:pPr>
          <w:pStyle w:val="20"/>
          <w:tabs>
            <w:tab w:val="center" w:pos="4153"/>
            <w:tab w:val="right" w:pos="8306"/>
          </w:tabs>
          <w:jc w:val="center"/>
        </w:pPr>
        <w:r>
          <w:fldChar w:fldCharType="begin"/>
        </w:r>
        <w:r>
          <w:instrText>PAGE   \* MERGEFORMAT</w:instrText>
        </w:r>
        <w:r>
          <w:fldChar w:fldCharType="separate"/>
        </w:r>
        <w:r>
          <w:rPr>
            <w:lang w:val="zh-CN"/>
          </w:rPr>
          <w:t>15</w:t>
        </w:r>
        <w:r>
          <w:fldChar w:fldCharType="end"/>
        </w:r>
      </w:p>
    </w:sdtContent>
  </w:sdt>
  <w:p>
    <w:pPr>
      <w:pStyle w:val="20"/>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3818A09A"/>
    <w:multiLevelType w:val="singleLevel"/>
    <w:tmpl w:val="3818A09A"/>
    <w:lvl w:ilvl="0">
      <w:start w:val="1"/>
      <w:numFmt w:val="chineseCounting"/>
      <w:lvlRestart w:val="0"/>
      <w:suff w:val="nothing"/>
      <w:lvlText w:val="%1、"/>
      <w:lvlJc w:val="left"/>
      <w:pPr>
        <w:ind w:left="0" w:hanging="0"/>
      </w:pPr>
      <w:rPr>
        <w:rFonts w:hint="eastAsia"/>
      </w:rPr>
    </w:lvl>
  </w:abstractNum>
  <w:abstractNum w:abstractNumId="1">
    <w:nsid w:val="1272550B"/>
    <w:multiLevelType w:val="multilevel"/>
    <w:tmpl w:val="1272550B"/>
    <w:lvl w:ilvl="0">
      <w:start w:val="1"/>
      <w:numFmt w:val="japaneseCounting"/>
      <w:lvlRestart w:val="0"/>
      <w:lvlText w:val="%1、"/>
      <w:lvlJc w:val="left"/>
      <w:pPr>
        <w:ind w:left="1360" w:hanging="720"/>
      </w:pPr>
      <w:rPr>
        <w:rFonts w:hint="default"/>
        <w:b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2">
    <w:nsid w:val="CF652CEC"/>
    <w:multiLevelType w:val="singleLevel"/>
    <w:tmpl w:val="CF652CEC"/>
    <w:lvl w:ilvl="0">
      <w:start w:val="9"/>
      <w:numFmt w:val="chineseCounting"/>
      <w:lvlRestart w:val="0"/>
      <w:suff w:val="nothing"/>
      <w:lvlText w:val="%1、"/>
      <w:lvlJc w:val="left"/>
      <w:pPr>
        <w:ind w:left="0" w:hanging="0"/>
      </w:pPr>
      <w:rPr>
        <w:rFonts w:hint="eastAsia"/>
      </w:rPr>
    </w:lvl>
  </w:abstractNum>
  <w:abstractNum w:abstractNumId="3">
    <w:nsid w:val="E2FA047D"/>
    <w:multiLevelType w:val="singleLevel"/>
    <w:tmpl w:val="E2FA047D"/>
    <w:lvl w:ilvl="0">
      <w:start w:val="3"/>
      <w:numFmt w:val="chineseCounting"/>
      <w:lvlRestart w:val="0"/>
      <w:suff w:val="space"/>
      <w:lvlText w:val="第%1部分"/>
      <w:lvlJc w:val="left"/>
      <w:pPr>
        <w:ind w:left="0" w:hanging="0"/>
      </w:pPr>
      <w:rPr>
        <w:rFonts w:ascii="黑体" w:hAnsi="黑体" w:eastAsia="黑体" w:cs="黑体" w:hint="eastAsia"/>
        <w:sz w:val="44"/>
        <w:szCs w:val="44"/>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customStyle="1" w:styleId="15">
    <w:name w:val="标题 5（有编号）（绿盟科技）"/>
    <w:autoRedefine/>
    <w:next w:val="0"/>
    <w:pPr>
      <w:keepNext/>
      <w:keepLines/>
      <w:widowControl w:val="0"/>
      <w:spacing w:before="280" w:after="156" w:line="377" w:lineRule="auto"/>
      <w:outlineLvl w:val="4"/>
    </w:pPr>
    <w:rPr>
      <w:rFonts w:ascii="Arial" w:eastAsia="黑体" w:cs="Times New Roman" w:hAnsi="Arial"/>
      <w:b/>
      <w:kern w:val="2"/>
      <w:sz w:val="24"/>
      <w:szCs w:val="28"/>
      <w:lang w:val="en-US" w:eastAsia="zh-CN" w:bidi="ar-SA"/>
    </w:rPr>
  </w:style>
  <w:style w:type="paragraph" w:styleId="16">
    <w:name w:val="index 8"/>
    <w:basedOn w:val="0"/>
    <w:next w:val="0"/>
    <w:pPr>
      <w:ind w:left="2940"/>
    </w:pPr>
  </w:style>
  <w:style w:type="paragraph" w:styleId="17">
    <w:name w:val="Body Text"/>
    <w:basedOn w:val="0"/>
    <w:next w:val="16"/>
    <w:pPr>
      <w:spacing w:beforeLines="30" w:before="30"/>
    </w:pPr>
    <w:rPr>
      <w:rFonts w:ascii="仿宋_GB2312" w:eastAsia="仿宋_GB2312"/>
      <w:kern w:val="0"/>
      <w:sz w:val="30"/>
    </w:rPr>
  </w:style>
  <w:style w:type="paragraph" w:styleId="18">
    <w:name w:val="toc 3"/>
    <w:basedOn w:val="0"/>
    <w:next w:val="0"/>
    <w:pPr>
      <w:tabs>
        <w:tab w:val="right" w:leader="dot" w:pos="8296"/>
      </w:tabs>
      <w:ind w:leftChars="400" w:left="400"/>
    </w:pPr>
  </w:style>
  <w:style w:type="paragraph" w:styleId="19">
    <w:name w:val="Balloon Text"/>
    <w:basedOn w:val="0"/>
    <w:rPr>
      <w:sz w:val="18"/>
      <w:szCs w:val="18"/>
    </w:rPr>
  </w:style>
  <w:style w:type="paragraph" w:styleId="20">
    <w:name w:val="footer"/>
    <w:basedOn w:val="0"/>
    <w:pPr>
      <w:tabs>
        <w:tab w:val="center" w:pos="4153"/>
        <w:tab w:val="right" w:pos="8306"/>
      </w:tabs>
      <w:snapToGrid w:val="0"/>
      <w:jc w:val="left"/>
    </w:pPr>
    <w:rPr>
      <w:rFonts w:ascii="Calibri" w:hAnsi="Calibri"/>
      <w:kern w:val="0"/>
      <w:sz w:val="18"/>
      <w:szCs w:val="18"/>
    </w:rPr>
  </w:style>
  <w:style w:type="paragraph" w:styleId="21">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2">
    <w:name w:val="toc 1"/>
    <w:basedOn w:val="0"/>
    <w:next w:val="0"/>
    <w:pPr>
      <w:tabs>
        <w:tab w:val="right" w:leader="dot" w:pos="8296"/>
      </w:tabs>
      <w:spacing w:before="93"/>
      <w:jc w:val="center"/>
    </w:pPr>
    <w:rPr>
      <w:rFonts w:ascii="仿宋" w:eastAsia="仿宋"/>
      <w:sz w:val="28"/>
      <w:szCs w:val="28"/>
    </w:rPr>
  </w:style>
  <w:style w:type="paragraph" w:styleId="23">
    <w:name w:val="toc 2"/>
    <w:basedOn w:val="0"/>
    <w:next w:val="0"/>
    <w:pPr>
      <w:tabs>
        <w:tab w:val="right" w:leader="dot" w:pos="8296"/>
      </w:tabs>
      <w:ind w:leftChars="200" w:left="200"/>
    </w:pPr>
  </w:style>
  <w:style w:type="paragraph" w:styleId="24">
    <w:name w:val="Normal (Web)"/>
    <w:basedOn w:val="0"/>
    <w:pPr>
      <w:widowControl/>
      <w:spacing w:before="100" w:beforeAutospacing="1" w:after="100" w:afterAutospacing="1"/>
      <w:jc w:val="left"/>
    </w:pPr>
    <w:rPr>
      <w:rFonts w:ascii="宋体" w:cs="宋体"/>
      <w:kern w:val="0"/>
      <w:sz w:val="24"/>
    </w:rPr>
  </w:style>
  <w:style w:type="character" w:styleId="25">
    <w:name w:val="Strong"/>
    <w:basedOn w:val="10"/>
    <w:rPr>
      <w:b/>
    </w:rPr>
  </w:style>
  <w:style w:type="character" w:styleId="26">
    <w:name w:val="Hyperlink"/>
    <w:basedOn w:val="10"/>
    <w:rPr>
      <w:color w:val="0000FF"/>
      <w:u w:val="single"/>
    </w:rPr>
  </w:style>
  <w:style w:type="paragraph" w:customStyle="1" w:styleId="27">
    <w:name w:val="无间隔1"/>
    <w:basedOn w:val="0"/>
    <w:pPr>
      <w:keepNext w:val="0"/>
      <w:keepLines w:val="0"/>
      <w:widowControl w:val="0"/>
      <w:suppressLineNumbers w:val="0"/>
      <w:ind w:leftChars="100" w:left="100" w:rightChars="100" w:right="100"/>
      <w:jc w:val="both"/>
    </w:pPr>
    <w:rPr>
      <w:rFonts w:ascii="Calibri" w:eastAsia="宋体" w:cs="Times New Roman" w:hAnsi="Calibri"/>
      <w:kern w:val="2"/>
      <w:sz w:val="24"/>
      <w:szCs w:val="24"/>
      <w:lang w:val="en-US" w:eastAsia="zh-CN"/>
    </w:rPr>
  </w:style>
  <w:style w:type="character" w:customStyle="1" w:styleId="28">
    <w:name w:val="Header Char"/>
    <w:basedOn w:val="10"/>
    <w:rPr>
      <w:rFonts w:ascii="Times New Roman" w:hAnsi="Times New Roman"/>
      <w:sz w:val="18"/>
      <w:szCs w:val="18"/>
    </w:rPr>
  </w:style>
  <w:style w:type="character" w:customStyle="1" w:styleId="29">
    <w:name w:val="Footer Char"/>
    <w:basedOn w:val="10"/>
    <w:rPr>
      <w:rFonts w:ascii="Times New Roman" w:hAnsi="Times New Roman"/>
      <w:sz w:val="18"/>
      <w:szCs w:val="18"/>
    </w:rPr>
  </w:style>
  <w:style w:type="character" w:customStyle="1" w:styleId="30">
    <w:name w:val="Body Text Char"/>
    <w:basedOn w:val="10"/>
    <w:rPr>
      <w:rFonts w:ascii="Times New Roman" w:hAnsi="Times New Roman"/>
      <w:szCs w:val="24"/>
    </w:rPr>
  </w:style>
  <w:style w:type="paragraph" w:customStyle="1" w:styleId="31">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2">
    <w:name w:val="List Paragraph"/>
    <w:basedOn w:val="0"/>
    <w:pPr>
      <w:ind w:firstLineChars="200" w:firstLine="200"/>
    </w:pPr>
  </w:style>
  <w:style w:type="paragraph" w:customStyle="1" w:styleId="33">
    <w:name w:val="TOC 标题1"/>
    <w:basedOn w:val="1"/>
    <w:next w:val="0"/>
    <w:pPr>
      <w:keepNext/>
      <w:keepLines/>
      <w:widowControl/>
      <w:spacing w:before="480" w:after="0" w:line="276" w:lineRule="auto"/>
      <w:jc w:val="left"/>
      <w:outlineLvl w:val="9"/>
    </w:pPr>
    <w:rPr>
      <w:rFonts w:ascii="Cambria" w:hAnsi="Cambria"/>
      <w:color w:val="365F91"/>
      <w:kern w:val="0"/>
      <w:sz w:val="28"/>
      <w:szCs w:val="28"/>
    </w:rPr>
  </w:style>
  <w:style w:type="paragraph" w:customStyle="1" w:styleId="34">
    <w:name w:val="TOC 标题2"/>
    <w:basedOn w:val="1"/>
    <w:next w:val="0"/>
    <w:pPr>
      <w:keepNext/>
      <w:keepLines/>
      <w:widowControl/>
      <w:spacing w:before="480" w:after="0" w:line="276" w:lineRule="auto"/>
      <w:jc w:val="left"/>
      <w:outlineLvl w:val="9"/>
    </w:pPr>
    <w:rPr>
      <w:rFonts w:ascii="Cambria" w:hAnsi="Cambria"/>
      <w:color w:val="365F91"/>
      <w:kern w:val="0"/>
      <w:sz w:val="28"/>
      <w:szCs w:val="28"/>
    </w:rPr>
  </w:style>
  <w:style w:type="paragraph" w:customStyle="1" w:styleId="35">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6"/>
    <w:pPr>
      <w:widowControl w:val="0"/>
      <w:jc w:val="both"/>
    </w:pPr>
    <w:rPr>
      <w:rFonts w:ascii="Times New Roman" w:eastAsia="宋体" w:cs="Times New Roman" w:hAnsi="Times New Roman"/>
      <w:kern w:val="2"/>
      <w:sz w:val="21"/>
      <w:szCs w:val="20"/>
      <w:lang w:val="en-US" w:eastAsia="zh-CN"/>
    </w:rPr>
  </w:style>
  <w:style w:type="paragraph" w:customStyle="1" w:styleId="36">
    <w:name w:val="正文-公1"/>
    <w:basedOn w:val="35"/>
    <w:next w:val="0"/>
    <w:pPr>
      <w:ind w:firstLineChars="200" w:firstLine="200"/>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chart" Target="charts/chart1.xml"/><Relationship Id="rId5" Type="http://schemas.openxmlformats.org/officeDocument/2006/relationships/chart" Target="charts/chart2.xml"/><Relationship Id="rId6" Type="http://schemas.openxmlformats.org/officeDocument/2006/relationships/chart" Target="charts/chart3.xml"/><Relationship Id="rId7" Type="http://schemas.openxmlformats.org/officeDocument/2006/relationships/chart" Target="charts/chart4.xml"/><Relationship Id="rId8" Type="http://schemas.openxmlformats.org/officeDocument/2006/relationships/chart" Target="charts/chart5.xml"/><Relationship Id="rId9" Type="http://schemas.openxmlformats.org/officeDocument/2006/relationships/chart" Target="charts/chart6.xml"/><Relationship Id="rId10" Type="http://schemas.openxmlformats.org/officeDocument/2006/relationships/chart" Target="charts/chart7.xml"/><Relationship Id="rId11" Type="http://schemas.openxmlformats.org/officeDocument/2006/relationships/image" Target="media/9.png"/><Relationship Id="rId12" Type="http://schemas.openxmlformats.org/officeDocument/2006/relationships/image" Target="media/12.png"/><Relationship Id="rId13" Type="http://schemas.openxmlformats.org/officeDocument/2006/relationships/image" Target="media/15.png"/><Relationship Id="rId14" Type="http://schemas.openxmlformats.org/officeDocument/2006/relationships/styles" Target="styles.xml"/><Relationship Id="rId15" Type="http://schemas.openxmlformats.org/officeDocument/2006/relationships/numbering" Target="numbering.xml"/><Relationship Id="rId16"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char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Arial"/>
              </a:defRPr>
            </a:pPr>
            <a:r>
              <a:rPr lang="zh-CN"/>
              <a:t>图1：收入、支出决算总计变动情况图</a:t>
            </a:r>
          </a:p>
        </c:rich>
      </c:tx>
      <c:layout>
        <c:manualLayout>
          <c:xMode val="edge"/>
          <c:yMode val="edge"/>
          <c:x val="0.14479704"/>
          <c:y val="0.017515924"/>
        </c:manualLayout>
      </c:layout>
      <c:overlay val="0"/>
      <c:spPr>
        <a:noFill/>
        <a:ln>
          <a:noFill/>
        </a:ln>
      </c:spPr>
    </c:title>
    <c:autoTitleDeleted val="1"/>
    <c:plotArea>
      <c:layout/>
      <c:barChart>
        <c:barDir val="col"/>
        <c:grouping val="clustered"/>
        <c:varyColors val="0"/>
        <c:ser>
          <c:idx val="0"/>
          <c:order val="0"/>
          <c:tx>
            <c:v>2024</c:v>
          </c:tx>
          <c:spPr>
            <a:solidFill>
              <a:srgbClr val="4F81B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0.00" sourceLinked="0"/>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Lit>
              <c:ptCount val="2"/>
              <c:pt idx="0">
                <c:v>收入</c:v>
              </c:pt>
              <c:pt idx="1">
                <c:v>支出</c:v>
              </c:pt>
            </c:strLit>
          </c:cat>
          <c:val>
            <c:numRef>
              <c:f/>
              <c:numCache>
                <c:formatCode>#,##0.00</c:formatCode>
                <c:ptCount val="2"/>
                <c:pt idx="0">
                  <c:v>369.18</c:v>
                </c:pt>
                <c:pt idx="1">
                  <c:v>359.62</c:v>
                </c:pt>
              </c:numCache>
            </c:numRef>
          </c:val>
        </c:ser>
        <c:ser>
          <c:idx val="1"/>
          <c:order val="1"/>
          <c:tx>
            <c:v>2025</c:v>
          </c:tx>
          <c:spPr>
            <a:solidFill>
              <a:srgbClr val="C0504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0.00" sourceLinked="0"/>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Lit>
              <c:ptCount val="2"/>
              <c:pt idx="0">
                <c:v>收入</c:v>
              </c:pt>
              <c:pt idx="1">
                <c:v>支出</c:v>
              </c:pt>
            </c:strLit>
          </c:cat>
          <c:val>
            <c:numRef>
              <c:f/>
              <c:numCache>
                <c:formatCode>#,##0.00</c:formatCode>
                <c:ptCount val="2"/>
                <c:pt idx="0">
                  <c:v>386.86</c:v>
                </c:pt>
                <c:pt idx="1">
                  <c:v>374.03</c:v>
                </c:pt>
              </c:numCache>
            </c:numRef>
          </c:val>
        </c:ser>
        <c:overlap val="-28"/>
        <c:gapWidth val="246"/>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0.00"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Arial"/>
              </a:defRPr>
            </a:pPr>
            <a:r>
              <a:rPr lang="zh-CN"/>
              <a:t>图2：收入决算结构图</a:t>
            </a:r>
          </a:p>
        </c:rich>
      </c:tx>
      <c:layout/>
      <c:overlay val="0"/>
      <c:spPr>
        <a:noFill/>
        <a:ln>
          <a:noFill/>
        </a:ln>
      </c:spPr>
    </c:title>
    <c:autoTitleDeleted val="1"/>
    <c:plotArea>
      <c:layout/>
      <c:pieChart>
        <c:varyColors val="1"/>
        <c:ser>
          <c:idx val="0"/>
          <c:order val="0"/>
          <c:spPr>
            <a:ln>
              <a:noFill/>
            </a:ln>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General" sourceLinked="0"/>
            <c:showLegendKey val="0"/>
            <c:showVal val="1"/>
            <c:showCatName val="0"/>
            <c:showSerName val="0"/>
            <c:showPercent val="0"/>
            <c:showBubbleSize val="0"/>
            <c:showLeaderLines val="1"/>
          </c:dLbls>
          <c:cat>
            <c:strLit>
              <c:ptCount val="3"/>
              <c:pt idx="0">
                <c:v>一般公共预算财政拨款收入</c:v>
              </c:pt>
              <c:pt idx="1">
                <c:v>事业收入</c:v>
              </c:pt>
              <c:pt idx="2">
                <c:v>其他收入</c:v>
              </c:pt>
            </c:strLit>
          </c:cat>
          <c:val>
            <c:numRef>
              <c:f/>
              <c:numCache>
                <c:formatCode>General</c:formatCode>
                <c:ptCount val="3"/>
                <c:pt idx="0">
                  <c:v>327.85</c:v>
                </c:pt>
                <c:pt idx="1">
                  <c:v>59.01</c:v>
                </c:pt>
                <c:pt idx="2">
                  <c:v>0.0</c:v>
                </c:pt>
              </c:numCache>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Arial"/>
              </a:defRPr>
            </a:pPr>
            <a:r>
              <a:rPr lang="zh-CN"/>
              <a:t>图3：支出决算结构图</a:t>
            </a:r>
          </a:p>
        </c:rich>
      </c:tx>
      <c:layout>
        <c:manualLayout>
          <c:xMode val="edge"/>
          <c:yMode val="edge"/>
          <c:x val="0.41436464"/>
          <c:y val="0.028571429"/>
        </c:manualLayout>
      </c:layout>
      <c:overlay val="0"/>
      <c:spPr>
        <a:noFill/>
        <a:ln>
          <a:noFill/>
        </a:ln>
      </c:spPr>
    </c:title>
    <c:autoTitleDeleted val="1"/>
    <c:plotArea>
      <c:layout/>
      <c:pieChart>
        <c:varyColors val="1"/>
        <c:ser>
          <c:idx val="0"/>
          <c:order val="0"/>
          <c:spPr>
            <a:ln>
              <a:noFill/>
            </a:ln>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Pt>
            <c:idx val="3"/>
            <c:bubble3D val="0"/>
            <c:spPr>
              <a:solidFill>
                <a:srgbClr val="8064A2"/>
              </a:solidFill>
              <a:ln w="6350">
                <a:solidFill>
                  <a:srgbClr val="FFFFFF"/>
                </a:solidFill>
                <a:prstDash val="solid"/>
              </a:ln>
            </c:spPr>
          </c:dPt>
          <c:dPt>
            <c:idx val="4"/>
            <c:bubble3D val="0"/>
            <c:spPr>
              <a:solidFill>
                <a:srgbClr val="4BACC6"/>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0.00" sourceLinked="0"/>
            <c:showLegendKey val="0"/>
            <c:showVal val="1"/>
            <c:showCatName val="0"/>
            <c:showSerName val="0"/>
            <c:showPercent val="0"/>
            <c:showBubbleSize val="0"/>
            <c:showLeaderLines val="1"/>
          </c:dLbls>
          <c:cat>
            <c:strLit>
              <c:ptCount val="5"/>
              <c:pt idx="0">
                <c:v>基本支出</c:v>
              </c:pt>
              <c:pt idx="1">
                <c:v>项目支出</c:v>
              </c:pt>
              <c:pt idx="2">
                <c:v>上缴上级支出</c:v>
              </c:pt>
              <c:pt idx="3">
                <c:v>经营支出</c:v>
              </c:pt>
              <c:pt idx="4">
                <c:v>对附属单位补助支出</c:v>
              </c:pt>
            </c:strLit>
          </c:cat>
          <c:val>
            <c:numRef>
              <c:f/>
              <c:numCache>
                <c:formatCode>General</c:formatCode>
                <c:ptCount val="5"/>
                <c:pt idx="0">
                  <c:v>311.72</c:v>
                </c:pt>
                <c:pt idx="1">
                  <c:v>62.31</c:v>
                </c:pt>
                <c:pt idx="2">
                  <c:v>0.0</c:v>
                </c:pt>
                <c:pt idx="3">
                  <c:v>0.0</c:v>
                </c:pt>
                <c:pt idx="4">
                  <c:v>0.0</c:v>
                </c:pt>
              </c:numCache>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Arial"/>
              </a:defRPr>
            </a:pPr>
            <a:r>
              <a:rPr lang="zh-CN"/>
              <a:t>图4：财政拨款收、支决算总计变动情况</a:t>
            </a:r>
          </a:p>
        </c:rich>
      </c:tx>
      <c:layout/>
      <c:overlay val="0"/>
      <c:spPr>
        <a:noFill/>
        <a:ln>
          <a:noFill/>
        </a:ln>
      </c:spPr>
    </c:title>
    <c:autoTitleDeleted val="1"/>
    <c:plotArea>
      <c:layout/>
      <c:barChart>
        <c:barDir val="col"/>
        <c:grouping val="clustered"/>
        <c:varyColors val="0"/>
        <c:ser>
          <c:idx val="0"/>
          <c:order val="0"/>
          <c:tx>
            <c:v>2024年财政拨款</c:v>
          </c:tx>
          <c:spPr>
            <a:solidFill>
              <a:srgbClr val="4F81B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0.00" sourceLinked="0"/>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Lit>
              <c:ptCount val="2"/>
              <c:pt idx="0">
                <c:v>收入</c:v>
              </c:pt>
              <c:pt idx="1">
                <c:v>支出</c:v>
              </c:pt>
            </c:strLit>
          </c:cat>
          <c:val>
            <c:numRef>
              <c:f/>
              <c:numCache>
                <c:formatCode>#,##0.00</c:formatCode>
                <c:ptCount val="2"/>
                <c:pt idx="0">
                  <c:v>300.52</c:v>
                </c:pt>
                <c:pt idx="1">
                  <c:v>300.52</c:v>
                </c:pt>
              </c:numCache>
            </c:numRef>
          </c:val>
        </c:ser>
        <c:ser>
          <c:idx val="1"/>
          <c:order val="1"/>
          <c:tx>
            <c:v>2025年财政拨款</c:v>
          </c:tx>
          <c:spPr>
            <a:solidFill>
              <a:srgbClr val="C0504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0.00" sourceLinked="0"/>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Lit>
              <c:ptCount val="2"/>
              <c:pt idx="0">
                <c:v>收入</c:v>
              </c:pt>
              <c:pt idx="1">
                <c:v>支出</c:v>
              </c:pt>
            </c:strLit>
          </c:cat>
          <c:val>
            <c:numRef>
              <c:f/>
              <c:numCache>
                <c:formatCode>#,##0.00</c:formatCode>
                <c:ptCount val="2"/>
                <c:pt idx="0">
                  <c:v>327.85</c:v>
                </c:pt>
                <c:pt idx="1">
                  <c:v>327.85</c:v>
                </c:pt>
              </c:numCache>
            </c:numRef>
          </c:val>
        </c:ser>
        <c:overlap val="-28"/>
        <c:gapWidth val="246"/>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0.00"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Arial"/>
              </a:defRPr>
            </a:pPr>
            <a:r>
              <a:rPr lang="zh-CN"/>
              <a:t>图5：一般公共预算财政拨款支出决算变动情况</a:t>
            </a:r>
          </a:p>
        </c:rich>
      </c:tx>
      <c:layout/>
      <c:overlay val="0"/>
      <c:spPr>
        <a:noFill/>
        <a:ln>
          <a:noFill/>
        </a:ln>
      </c:spPr>
    </c:title>
    <c:autoTitleDeleted val="1"/>
    <c:plotArea>
      <c:layout/>
      <c:barChart>
        <c:barDir val="col"/>
        <c:grouping val="clustered"/>
        <c:varyColors val="0"/>
        <c:ser>
          <c:idx val="0"/>
          <c:order val="0"/>
          <c:tx>
            <c:v>支出</c:v>
          </c:tx>
          <c:spPr>
            <a:solidFill>
              <a:srgbClr val="4F81B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0.00" sourceLinked="0"/>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Lit>
              <c:ptCount val="2"/>
              <c:pt idx="0">
                <c:v>2024年一般公共预算财政拨款支出</c:v>
              </c:pt>
              <c:pt idx="1">
                <c:v>2025年一般公共预算财政拨款支出</c:v>
              </c:pt>
            </c:strLit>
          </c:cat>
          <c:val>
            <c:numRef>
              <c:f/>
              <c:numCache>
                <c:formatCode>#,##0.00</c:formatCode>
                <c:ptCount val="2"/>
                <c:pt idx="0">
                  <c:v>300.52</c:v>
                </c:pt>
                <c:pt idx="1">
                  <c:v>327.85</c:v>
                </c:pt>
              </c:numCache>
            </c:numRef>
          </c:val>
        </c:ser>
        <c:overlap val="-28"/>
        <c:gapWidth val="246"/>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0.00"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Arial"/>
              </a:defRPr>
            </a:pPr>
            <a:r>
              <a:rPr lang="zh-CN"/>
              <a:t>图6：一般公共预算财政拨款支出决算结构</a:t>
            </a:r>
          </a:p>
        </c:rich>
      </c:tx>
      <c:layout/>
      <c:overlay val="0"/>
      <c:spPr>
        <a:noFill/>
        <a:ln>
          <a:noFill/>
        </a:ln>
      </c:spPr>
    </c:title>
    <c:autoTitleDeleted val="1"/>
    <c:plotArea>
      <c:layout/>
      <c:pieChart>
        <c:varyColors val="1"/>
        <c:ser>
          <c:idx val="0"/>
          <c:order val="0"/>
          <c:tx>
            <c:v>一般公共预算财政拨款支出</c:v>
          </c:tx>
          <c:spPr>
            <a:ln>
              <a:noFill/>
            </a:ln>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General" sourceLinked="0"/>
            <c:showLegendKey val="0"/>
            <c:showVal val="1"/>
            <c:showCatName val="0"/>
            <c:showSerName val="0"/>
            <c:showPercent val="0"/>
            <c:showBubbleSize val="0"/>
            <c:showLeaderLines val="1"/>
          </c:dLbls>
          <c:cat>
            <c:strLit>
              <c:ptCount val="3"/>
              <c:pt idx="0">
                <c:v>社会保障和就业支出</c:v>
              </c:pt>
              <c:pt idx="1">
                <c:v>卫生健康支出</c:v>
              </c:pt>
              <c:pt idx="2">
                <c:v>住房保障支出</c:v>
              </c:pt>
            </c:strLit>
          </c:cat>
          <c:val>
            <c:numRef>
              <c:f/>
              <c:numCache>
                <c:formatCode>General</c:formatCode>
                <c:ptCount val="3"/>
                <c:pt idx="0">
                  <c:v>37.83</c:v>
                </c:pt>
                <c:pt idx="1">
                  <c:v>270.72</c:v>
                </c:pt>
                <c:pt idx="2">
                  <c:v>19.3</c:v>
                </c:pt>
              </c:numCache>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333333"/>
                </a:solidFill>
                <a:latin typeface="宋体"/>
                <a:ea typeface="宋体"/>
                <a:cs typeface="Arial"/>
              </a:defRPr>
            </a:pPr>
            <a:r>
              <a:rPr lang="zh-CN"/>
              <a:t>图7：财政拨款“三公”经费支出结构</a:t>
            </a:r>
          </a:p>
        </c:rich>
      </c:tx>
      <c:layout/>
      <c:overlay val="0"/>
      <c:spPr>
        <a:noFill/>
        <a:ln>
          <a:noFill/>
        </a:ln>
      </c:spPr>
    </c:title>
    <c:autoTitleDeleted val="1"/>
    <c:plotArea>
      <c:layout>
        <c:manualLayout>
          <c:layoutTarget val="inner"/>
          <c:xMode val="edge"/>
          <c:yMode val="edge"/>
          <c:x val="0.31026316"/>
          <c:y val="0.2800926"/>
          <c:w val="0.38026315"/>
          <c:h val="0.6689815"/>
        </c:manualLayout>
      </c:layout>
      <c:pieChart>
        <c:varyColors val="1"/>
        <c:ser>
          <c:idx val="0"/>
          <c:order val="0"/>
          <c:spPr>
            <a:ln>
              <a:noFill/>
            </a:ln>
          </c:spPr>
          <c:dPt>
            <c:idx val="0"/>
            <c:bubble3D val="0"/>
            <c:explosion val="0"/>
            <c:spPr>
              <a:solidFill>
                <a:srgbClr val="4F81BD"/>
              </a:solidFill>
              <a:ln>
                <a:noFill/>
              </a:ln>
            </c:spPr>
          </c:dPt>
          <c:dPt>
            <c:idx val="1"/>
            <c:bubble3D val="0"/>
            <c:explosion val="0"/>
            <c:spPr>
              <a:solidFill>
                <a:srgbClr val="C0504D"/>
              </a:solidFill>
              <a:ln>
                <a:noFill/>
              </a:ln>
            </c:spPr>
          </c:dPt>
          <c:dPt>
            <c:idx val="2"/>
            <c:bubble3D val="0"/>
            <c:explosion val="0"/>
            <c:spPr>
              <a:solidFill>
                <a:srgbClr val="9BBB59"/>
              </a:solidFill>
              <a:ln>
                <a:noFill/>
              </a:ln>
            </c:spPr>
          </c:dPt>
          <c:dLbls>
            <c:dLbl>
              <c:idx val="0"/>
              <c:layout>
                <c:manualLayout>
                  <c:x val="-0.0926635"/>
                  <c:y val="0.093744785"/>
                </c:manualLayout>
              </c:layout>
              <c:numFmt formatCode="General"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tx>
                <c:rich>
                  <a:bodyPr vert="horz"/>
                  <a:lstStyle/>
                  <a:p>
                    <a:pPr>
                      <a:defRPr sz="1000" b="0" i="0" u="none" strike="noStrike" baseline="0">
                        <a:solidFill>
                          <a:srgbClr val="404040"/>
                        </a:solidFill>
                        <a:latin typeface="Times New Roman"/>
                        <a:ea typeface="宋体"/>
                        <a:cs typeface="Arial"/>
                      </a:defRPr>
                    </a:pPr>
                    <a:r>
                      <a:rPr lang="zh-CN"/>
                      <a:t>0</a:t>
                    </a:r>
                  </a:p>
                </c:rich>
              </c:tx>
              <c:showLegendKey val="0"/>
              <c:showVal val="1"/>
              <c:showCatName val="0"/>
              <c:showSerName val="0"/>
              <c:showPercent val="0"/>
              <c:showBubbleSize val="0"/>
            </c:dLbl>
            <c:dLbl>
              <c:idx val="1"/>
              <c:layout>
                <c:manualLayout>
                  <c:x val="-0.005920998"/>
                  <c:y val="-0.154403"/>
                </c:manualLayout>
              </c:layout>
              <c:numFmt formatCode="General"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tx>
                <c:rich>
                  <a:bodyPr vert="horz"/>
                  <a:lstStyle/>
                  <a:p>
                    <a:pPr>
                      <a:defRPr sz="1000" b="0" i="0" u="none" strike="noStrike" baseline="0">
                        <a:solidFill>
                          <a:srgbClr val="404040"/>
                        </a:solidFill>
                        <a:latin typeface="Times New Roman"/>
                        <a:ea typeface="宋体"/>
                        <a:cs typeface="Arial"/>
                      </a:defRPr>
                    </a:pPr>
                    <a:r>
                      <a:rPr lang="zh-CN"/>
                      <a:t>0</a:t>
                    </a:r>
                  </a:p>
                </c:rich>
              </c:tx>
              <c:showLegendKey val="0"/>
              <c:showVal val="1"/>
              <c:showCatName val="0"/>
              <c:showSerName val="0"/>
              <c:showPercent val="0"/>
              <c:showBubbleSize val="0"/>
            </c:dLbl>
            <c:dLbl>
              <c:idx val="2"/>
              <c:layout>
                <c:manualLayout>
                  <c:x val="0.10250955"/>
                  <c:y val="0.080129534"/>
                </c:manualLayout>
              </c:layout>
              <c:numFmt formatCode="General"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tx>
                <c:rich>
                  <a:bodyPr vert="horz"/>
                  <a:lstStyle/>
                  <a:p>
                    <a:pPr>
                      <a:defRPr sz="1000" b="0" i="0" u="none" strike="noStrike" baseline="0">
                        <a:solidFill>
                          <a:srgbClr val="404040"/>
                        </a:solidFill>
                        <a:latin typeface="Times New Roman"/>
                        <a:ea typeface="宋体"/>
                        <a:cs typeface="Arial"/>
                      </a:defRPr>
                    </a:pPr>
                    <a:r>
                      <a:rPr lang="zh-CN"/>
                      <a:t>0</a:t>
                    </a:r>
                  </a:p>
                </c:rich>
              </c:tx>
              <c:showLegendKey val="0"/>
              <c:showVal val="1"/>
              <c:showCatName val="0"/>
              <c:showSerName val="0"/>
              <c:showPercent val="0"/>
              <c:showBubbleSize val="0"/>
            </c:dLbl>
            <c:showLegendKey val="0"/>
            <c:showVal val="0"/>
            <c:showCatName val="0"/>
            <c:showSerName val="0"/>
            <c:showPercent val="0"/>
            <c:showBubbleSize val="0"/>
            <c:showLeaderLines val="1"/>
          </c:dLbls>
          <c:cat>
            <c:strLit>
              <c:ptCount val="3"/>
              <c:pt idx="0">
                <c:v>因公出国（镜）费</c:v>
              </c:pt>
              <c:pt idx="1">
                <c:v>公务用车购置及运行维护费</c:v>
              </c:pt>
              <c:pt idx="2">
                <c:v>公务接待费</c:v>
              </c:pt>
            </c:strLit>
          </c:cat>
          <c:val>
            <c:numRef>
              <c:f/>
              <c:numCache>
                <c:formatCode>General</c:formatCode>
                <c:ptCount val="3"/>
                <c:pt idx="0">
                  <c:v>0.1</c:v>
                </c:pt>
                <c:pt idx="1">
                  <c:v>0.1</c:v>
                </c:pt>
                <c:pt idx="2">
                  <c:v>0.1</c:v>
                </c:pt>
              </c:numCache>
            </c:numRef>
          </c:val>
        </c:ser>
        <c:firstSliceAng val="0"/>
      </c:pieChart>
      <c:spPr>
        <a:noFill/>
        <a:ln>
          <a:noFill/>
        </a:ln>
      </c:spPr>
    </c:plotArea>
    <c:legend>
      <c:legendPos val="t"/>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10</TotalTime>
  <Application>Yozo_Office27021597764231179</Application>
  <Pages>51</Pages>
  <Words>21078</Words>
  <Characters>22142</Characters>
  <Lines>1714</Lines>
  <Paragraphs>858</Paragraphs>
  <CharactersWithSpaces>22400</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Administrator</cp:lastModifiedBy>
  <cp:revision>55</cp:revision>
  <cp:lastPrinted>2023-07-31T10:35:00Z</cp:lastPrinted>
  <dcterms:created xsi:type="dcterms:W3CDTF">2020-08-05T09:49:00Z</dcterms:created>
  <dcterms:modified xsi:type="dcterms:W3CDTF">2026-10-20T09:26:01Z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2052-12.1.2.25882</vt:lpwstr>
  </property>
  <property fmtid="{D5CDD505-2E9C-101B-9397-08002B2CF9AE}" pid="3" name="KSOTemplateDocerSaveRecord">
    <vt:lpwstr>eyJoZGlkIjoiOTcwNWEyNTgzMjFiYjk4NjdkYmRkMzQ1ZmVjM2I0ZjEiLCJ1c2VySWQiOiIyMDg4OTczMjUifQ==</vt:lpwstr>
  </property>
  <property fmtid="{D5CDD505-2E9C-101B-9397-08002B2CF9AE}" pid="4" name="ICV">
    <vt:lpwstr>F3EEE1951CB94072B196DF043E853B37_13</vt:lpwstr>
  </property>
</Properties>
</file>