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spacing w:line="600" w:lineRule="exact"/>
        <w:jc w:val="left"/>
        <w:outlineLvl w:val="0"/>
        <w:rPr>
          <w:rFonts w:ascii="方正小标宋简体" w:eastAsia="方正小标宋简体"/>
          <w:szCs w:val="21"/>
        </w:rPr>
      </w:pPr>
      <w:bookmarkStart w:id="0" w:name="_Toc15306267"/>
    </w:p>
    <w:p>
      <w:pPr>
        <w:spacing w:line="600" w:lineRule="exact"/>
        <w:jc w:val="center"/>
        <w:outlineLvl w:val="0"/>
        <w:rPr>
          <w:rFonts w:ascii="方正小标宋简体" w:eastAsia="方正小标宋简体"/>
          <w:sz w:val="72"/>
          <w:szCs w:val="72"/>
        </w:rPr>
      </w:pPr>
    </w:p>
    <w:p>
      <w:pPr>
        <w:spacing w:line="600" w:lineRule="exact"/>
        <w:jc w:val="center"/>
        <w:outlineLvl w:val="0"/>
        <w:rPr>
          <w:rFonts w:ascii="方正小标宋简体" w:eastAsia="方正小标宋简体"/>
          <w:sz w:val="72"/>
          <w:szCs w:val="72"/>
        </w:rPr>
      </w:pPr>
    </w:p>
    <w:p>
      <w:pPr>
        <w:jc w:val="center"/>
        <w:rPr>
          <w:rFonts w:ascii="方正小标宋简体" w:eastAsia="方正小标宋简体" w:cs="方正小标宋简体"/>
          <w:sz w:val="72"/>
          <w:szCs w:val="72"/>
        </w:rPr>
      </w:pPr>
      <w:bookmarkStart w:id="1" w:name="_Toc15396475"/>
      <w:bookmarkStart w:id="2" w:name="_Toc15377425"/>
      <w:bookmarkStart w:id="3" w:name="_Toc15377193"/>
      <w:bookmarkStart w:id="4" w:name="_Toc15378441"/>
      <w:bookmarkStart w:id="5" w:name="_Toc15396597"/>
      <w:bookmarkStart w:id="6" w:name="_Toc15396476"/>
      <w:bookmarkStart w:id="7" w:name="_Toc15306268"/>
      <w:bookmarkStart w:id="8" w:name="_Toc15396598"/>
      <w:bookmarkStart w:id="9" w:name="_Toc15377426"/>
      <w:bookmarkStart w:id="10" w:name="_Toc15378442"/>
      <w:bookmarkStart w:id="11" w:name="_Toc15377194"/>
      <w:bookmarkEnd w:id="0"/>
      <w:r>
        <w:rPr>
          <w:rFonts w:ascii="方正小标宋简体" w:eastAsia="方正小标宋简体" w:cs="方正小标宋简体" w:hint="eastAsia"/>
          <w:sz w:val="72"/>
          <w:szCs w:val="72"/>
        </w:rPr>
        <w:t>2025年度</w:t>
      </w:r>
      <w:bookmarkEnd w:id="1"/>
      <w:bookmarkEnd w:id="2"/>
      <w:bookmarkEnd w:id="3"/>
      <w:bookmarkEnd w:id="4"/>
      <w:bookmarkEnd w:id="5"/>
    </w:p>
    <w:p>
      <w:pPr>
        <w:jc w:val="center"/>
        <w:rPr>
          <w:rFonts w:ascii="黑体" w:eastAsia="黑体" w:cs="黑体"/>
          <w:b/>
          <w:bCs/>
          <w:w w:val="92"/>
          <w:sz w:val="72"/>
          <w:szCs w:val="72"/>
        </w:rPr>
      </w:pPr>
      <w:r>
        <w:rPr>
          <w:rFonts w:ascii="黑体" w:eastAsia="黑体" w:cs="黑体" w:hint="eastAsia"/>
          <w:b/>
          <w:bCs/>
          <w:sz w:val="72"/>
          <w:szCs w:val="72"/>
        </w:rPr>
        <w:t>四川省阿坝州</w:t>
      </w:r>
      <w:bookmarkEnd w:id="6"/>
      <w:bookmarkEnd w:id="7"/>
      <w:bookmarkEnd w:id="8"/>
      <w:bookmarkEnd w:id="9"/>
      <w:bookmarkEnd w:id="10"/>
      <w:bookmarkEnd w:id="11"/>
      <w:r>
        <w:rPr>
          <w:rFonts w:ascii="黑体" w:eastAsia="黑体" w:cs="黑体" w:hint="eastAsia"/>
          <w:b/>
          <w:bCs/>
          <w:w w:val="92"/>
          <w:sz w:val="72"/>
          <w:szCs w:val="72"/>
        </w:rPr>
        <w:t>汶川县社情民意调查中心单位决算公开</w:t>
      </w:r>
    </w:p>
    <w:p>
      <w:pPr>
        <w:autoSpaceDE w:val="0"/>
        <w:autoSpaceDN w:val="0"/>
        <w:adjustRightInd w:val="0"/>
        <w:ind w:leftChars="200" w:left="420"/>
        <w:jc w:val="center"/>
        <w:rPr>
          <w:rFonts w:ascii="宋体" w:cs="仿宋_GB2312"/>
          <w:sz w:val="32"/>
          <w:szCs w:val="32"/>
        </w:rPr>
      </w:pPr>
    </w:p>
    <w:p>
      <w:pPr>
        <w:autoSpaceDE w:val="0"/>
        <w:autoSpaceDN w:val="0"/>
        <w:adjustRightInd w:val="0"/>
        <w:ind w:leftChars="200" w:left="420"/>
        <w:jc w:val="left"/>
        <w:rPr>
          <w:rFonts w:ascii="宋体" w:cs="仿宋_GB2312"/>
          <w:sz w:val="32"/>
          <w:szCs w:val="32"/>
        </w:rPr>
      </w:pPr>
    </w:p>
    <w:p>
      <w:pPr>
        <w:autoSpaceDE w:val="0"/>
        <w:autoSpaceDN w:val="0"/>
        <w:adjustRightInd w:val="0"/>
        <w:ind w:leftChars="200" w:left="420"/>
        <w:jc w:val="left"/>
        <w:rPr>
          <w:rFonts w:ascii="宋体" w:cs="仿宋_GB2312"/>
          <w:sz w:val="32"/>
          <w:szCs w:val="32"/>
        </w:rPr>
      </w:pPr>
    </w:p>
    <w:p>
      <w:pPr>
        <w:autoSpaceDE w:val="0"/>
        <w:autoSpaceDN w:val="0"/>
        <w:adjustRightInd w:val="0"/>
        <w:ind w:leftChars="200" w:left="420"/>
        <w:jc w:val="left"/>
        <w:rPr>
          <w:rFonts w:ascii="宋体" w:cs="仿宋_GB2312"/>
          <w:sz w:val="32"/>
          <w:szCs w:val="32"/>
        </w:rPr>
      </w:pPr>
    </w:p>
    <w:p>
      <w:pPr>
        <w:autoSpaceDE w:val="0"/>
        <w:autoSpaceDN w:val="0"/>
        <w:adjustRightInd w:val="0"/>
        <w:ind w:leftChars="200" w:left="420"/>
        <w:jc w:val="left"/>
        <w:rPr>
          <w:rFonts w:ascii="宋体" w:cs="仿宋_GB2312"/>
          <w:sz w:val="32"/>
          <w:szCs w:val="32"/>
        </w:rPr>
      </w:pPr>
    </w:p>
    <w:p>
      <w:pPr>
        <w:autoSpaceDE w:val="0"/>
        <w:autoSpaceDN w:val="0"/>
        <w:adjustRightInd w:val="0"/>
        <w:ind w:leftChars="200" w:left="420"/>
        <w:jc w:val="left"/>
        <w:rPr>
          <w:rFonts w:ascii="宋体" w:cs="仿宋_GB2312"/>
          <w:sz w:val="32"/>
          <w:szCs w:val="32"/>
        </w:rPr>
      </w:pPr>
    </w:p>
    <w:p>
      <w:pPr>
        <w:autoSpaceDE w:val="0"/>
        <w:autoSpaceDN w:val="0"/>
        <w:adjustRightInd w:val="0"/>
        <w:ind w:leftChars="200" w:left="420"/>
        <w:jc w:val="left"/>
        <w:rPr>
          <w:rFonts w:ascii="宋体" w:cs="仿宋_GB2312"/>
          <w:sz w:val="32"/>
          <w:szCs w:val="32"/>
        </w:rPr>
      </w:pPr>
    </w:p>
    <w:p>
      <w:pPr>
        <w:autoSpaceDE w:val="0"/>
        <w:autoSpaceDN w:val="0"/>
        <w:adjustRightInd w:val="0"/>
        <w:ind w:leftChars="200" w:left="420"/>
        <w:jc w:val="left"/>
        <w:rPr>
          <w:rFonts w:ascii="宋体" w:cs="仿宋_GB2312"/>
          <w:sz w:val="32"/>
          <w:szCs w:val="32"/>
        </w:rPr>
      </w:pPr>
    </w:p>
    <w:p>
      <w:pPr>
        <w:autoSpaceDE w:val="0"/>
        <w:autoSpaceDN w:val="0"/>
        <w:adjustRightInd w:val="0"/>
        <w:ind w:leftChars="200" w:left="420"/>
        <w:jc w:val="left"/>
        <w:rPr>
          <w:rFonts w:ascii="宋体" w:cs="仿宋_GB2312"/>
          <w:sz w:val="32"/>
          <w:szCs w:val="32"/>
        </w:rPr>
      </w:pPr>
    </w:p>
    <w:p>
      <w:pPr>
        <w:autoSpaceDE w:val="0"/>
        <w:autoSpaceDN w:val="0"/>
        <w:adjustRightInd w:val="0"/>
        <w:ind w:leftChars="200" w:left="420"/>
        <w:jc w:val="left"/>
        <w:rPr>
          <w:rFonts w:ascii="宋体" w:cs="仿宋_GB2312"/>
          <w:sz w:val="32"/>
          <w:szCs w:val="32"/>
        </w:rPr>
      </w:pPr>
    </w:p>
    <w:p>
      <w:pPr>
        <w:autoSpaceDE w:val="0"/>
        <w:autoSpaceDN w:val="0"/>
        <w:adjustRightInd w:val="0"/>
        <w:ind w:leftChars="200" w:left="420"/>
        <w:jc w:val="left"/>
        <w:rPr>
          <w:rFonts w:ascii="宋体" w:cs="仿宋_GB2312"/>
          <w:sz w:val="32"/>
          <w:szCs w:val="32"/>
        </w:rPr>
      </w:pPr>
    </w:p>
    <w:p>
      <w:pPr>
        <w:autoSpaceDE w:val="0"/>
        <w:autoSpaceDN w:val="0"/>
        <w:adjustRightInd w:val="0"/>
        <w:ind w:leftChars="200" w:left="420"/>
        <w:jc w:val="left"/>
        <w:rPr>
          <w:rFonts w:ascii="宋体"/>
          <w:sz w:val="32"/>
          <w:szCs w:val="32"/>
        </w:rPr>
      </w:pPr>
      <w:r>
        <w:rPr>
          <w:rFonts w:ascii="宋体" w:cs="仿宋_GB2312" w:hint="eastAsia"/>
          <w:sz w:val="32"/>
          <w:szCs w:val="32"/>
        </w:rPr>
        <w:t>保密审查情况：已审查，内容审定</w:t>
      </w:r>
    </w:p>
    <w:p>
      <w:pPr>
        <w:autoSpaceDE w:val="0"/>
        <w:autoSpaceDN w:val="0"/>
        <w:adjustRightInd w:val="0"/>
        <w:ind w:leftChars="200" w:left="420"/>
        <w:jc w:val="left"/>
        <w:rPr>
          <w:rFonts w:ascii="宋体"/>
          <w:sz w:val="32"/>
          <w:szCs w:val="32"/>
        </w:rPr>
      </w:pPr>
      <w:r>
        <w:rPr>
          <w:rFonts w:ascii="宋体" w:cs="仿宋_GB2312" w:hint="eastAsia"/>
          <w:sz w:val="32"/>
          <w:szCs w:val="32"/>
        </w:rPr>
        <w:t>部门主要负责人审签情况：已审签，同意对外公开</w:t>
      </w:r>
    </w:p>
    <w:p>
      <w:pPr>
        <w:widowControl/>
        <w:jc w:val="center"/>
        <w:rPr>
          <w:rFonts w:ascii="黑体" w:eastAsia="黑体"/>
          <w:sz w:val="48"/>
          <w:szCs w:val="48"/>
        </w:rPr>
      </w:pPr>
    </w:p>
    <w:p>
      <w:pPr>
        <w:widowControl/>
        <w:jc w:val="center"/>
        <w:rPr>
          <w:rFonts w:ascii="黑体" w:eastAsia="黑体"/>
          <w:sz w:val="48"/>
          <w:szCs w:val="48"/>
        </w:rPr>
      </w:pPr>
      <w:r>
        <w:rPr>
          <w:rFonts w:ascii="黑体" w:eastAsia="黑体" w:hint="eastAsia"/>
          <w:sz w:val="48"/>
          <w:szCs w:val="48"/>
        </w:rPr>
        <w:t>目录</w:t>
      </w:r>
    </w:p>
    <w:p>
      <w:pPr>
        <w:widowControl/>
        <w:jc w:val="center"/>
        <w:rPr>
          <w:rFonts w:ascii="黑体" w:eastAsia="黑体" w:cs="Arial"/>
          <w:sz w:val="28"/>
          <w:szCs w:val="28"/>
        </w:rPr>
      </w:pPr>
    </w:p>
    <w:p>
      <w:pPr>
        <w:pStyle w:val="21"/>
        <w:tabs>
          <w:tab w:val="right" w:leader="dot" w:pos="8296"/>
        </w:tabs>
      </w:pPr>
      <w:r>
        <w:rPr>
          <w:rFonts w:hint="eastAsia"/>
        </w:rPr>
        <w:t>公开时间：2026年10月9日</w:t>
      </w:r>
    </w:p>
    <w:p/>
    <w:p>
      <w:pPr>
        <w:pStyle w:val="21"/>
        <w:tabs>
          <w:tab w:val="right" w:leader="dot" w:pos="8296"/>
        </w:tabs>
        <w:adjustRightInd w:val="0"/>
        <w:snapToGrid w:val="0"/>
        <w:spacing w:before="0" w:line="440" w:lineRule="exact"/>
        <w:jc w:val="left"/>
        <w:rPr>
          <w:rFonts w:cs="Arial"/>
          <w:sz w:val="24"/>
          <w:szCs w:val="24"/>
        </w:rPr>
      </w:pPr>
      <w:r>
        <w:rPr>
          <w:rFonts w:hint="eastAsia"/>
          <w:sz w:val="24"/>
        </w:rPr>
        <w:t>第一部分</w:t>
      </w:r>
      <w:r>
        <w:rPr>
          <w:sz w:val="24"/>
        </w:rPr>
        <w:t xml:space="preserve"> </w:t>
      </w:r>
      <w:r>
        <w:rPr>
          <w:rFonts w:hint="eastAsia"/>
          <w:sz w:val="24"/>
        </w:rPr>
        <w:t>单位概况</w:t>
      </w:r>
    </w:p>
    <w:p>
      <w:pPr>
        <w:pStyle w:val="22"/>
        <w:tabs>
          <w:tab w:val="right" w:leader="dot" w:pos="8296"/>
        </w:tabs>
        <w:adjustRightInd w:val="0"/>
        <w:snapToGrid w:val="0"/>
        <w:spacing w:line="440" w:lineRule="exact"/>
        <w:jc w:val="left"/>
        <w:rPr>
          <w:sz w:val="24"/>
        </w:rPr>
      </w:pPr>
      <w:r>
        <w:rPr>
          <w:rFonts w:hint="eastAsia"/>
          <w:sz w:val="24"/>
        </w:rPr>
        <w:t>一、主要职责</w:t>
      </w:r>
    </w:p>
    <w:p>
      <w:pPr>
        <w:pStyle w:val="22"/>
        <w:tabs>
          <w:tab w:val="right" w:leader="dot" w:pos="8296"/>
        </w:tabs>
        <w:adjustRightInd w:val="0"/>
        <w:snapToGrid w:val="0"/>
        <w:spacing w:line="440" w:lineRule="exact"/>
        <w:jc w:val="left"/>
      </w:pPr>
      <w:r>
        <w:rPr>
          <w:rFonts w:hint="eastAsia"/>
          <w:sz w:val="24"/>
        </w:rPr>
        <w:t>二、机构设置</w:t>
      </w:r>
    </w:p>
    <w:p>
      <w:pPr>
        <w:pStyle w:val="21"/>
        <w:tabs>
          <w:tab w:val="right" w:leader="dot" w:pos="8296"/>
        </w:tabs>
        <w:adjustRightInd w:val="0"/>
        <w:snapToGrid w:val="0"/>
        <w:spacing w:before="0" w:line="440" w:lineRule="exact"/>
        <w:jc w:val="left"/>
        <w:rPr>
          <w:sz w:val="24"/>
          <w:szCs w:val="24"/>
        </w:rPr>
      </w:pPr>
      <w:r>
        <w:rPr>
          <w:rFonts w:hint="eastAsia"/>
          <w:sz w:val="24"/>
        </w:rPr>
        <w:t>第二部分 2025年度单位决算情况说明</w:t>
      </w:r>
    </w:p>
    <w:p>
      <w:pPr>
        <w:pStyle w:val="22"/>
        <w:tabs>
          <w:tab w:val="right" w:leader="dot" w:pos="8296"/>
        </w:tabs>
        <w:adjustRightInd w:val="0"/>
        <w:snapToGrid w:val="0"/>
        <w:spacing w:line="440" w:lineRule="exact"/>
        <w:jc w:val="left"/>
        <w:rPr>
          <w:rFonts w:ascii="仿宋" w:eastAsia="仿宋" w:cs="Arial"/>
          <w:sz w:val="24"/>
        </w:rPr>
      </w:pPr>
      <w:r>
        <w:rPr>
          <w:rFonts w:hint="eastAsia"/>
          <w:sz w:val="24"/>
        </w:rPr>
        <w:t>一、收入支出决算总体情况说明</w:t>
      </w:r>
    </w:p>
    <w:p>
      <w:pPr>
        <w:pStyle w:val="22"/>
        <w:tabs>
          <w:tab w:val="right" w:leader="dot" w:pos="8296"/>
        </w:tabs>
        <w:adjustRightInd w:val="0"/>
        <w:snapToGrid w:val="0"/>
        <w:spacing w:line="440" w:lineRule="exact"/>
        <w:jc w:val="left"/>
        <w:rPr>
          <w:rFonts w:ascii="仿宋" w:eastAsia="仿宋" w:cs="Arial"/>
          <w:sz w:val="24"/>
        </w:rPr>
      </w:pPr>
      <w:r>
        <w:rPr>
          <w:rFonts w:hint="eastAsia"/>
          <w:sz w:val="24"/>
        </w:rPr>
        <w:t>二、收入决算情况说明</w:t>
      </w:r>
    </w:p>
    <w:p>
      <w:pPr>
        <w:pStyle w:val="22"/>
        <w:tabs>
          <w:tab w:val="right" w:leader="dot" w:pos="8296"/>
        </w:tabs>
        <w:adjustRightInd w:val="0"/>
        <w:snapToGrid w:val="0"/>
        <w:spacing w:line="440" w:lineRule="exact"/>
        <w:jc w:val="left"/>
        <w:rPr>
          <w:rFonts w:ascii="仿宋" w:eastAsia="仿宋" w:cs="Arial"/>
          <w:sz w:val="24"/>
        </w:rPr>
      </w:pPr>
      <w:r>
        <w:rPr>
          <w:rFonts w:hint="eastAsia"/>
          <w:sz w:val="24"/>
        </w:rPr>
        <w:t>三、支出决算情况说明</w:t>
      </w:r>
    </w:p>
    <w:p>
      <w:pPr>
        <w:pStyle w:val="22"/>
        <w:tabs>
          <w:tab w:val="right" w:leader="dot" w:pos="8296"/>
        </w:tabs>
        <w:adjustRightInd w:val="0"/>
        <w:snapToGrid w:val="0"/>
        <w:spacing w:line="440" w:lineRule="exact"/>
        <w:jc w:val="left"/>
        <w:rPr>
          <w:rFonts w:ascii="仿宋" w:eastAsia="仿宋" w:cs="Arial"/>
          <w:sz w:val="24"/>
        </w:rPr>
      </w:pPr>
      <w:r>
        <w:rPr>
          <w:rFonts w:hint="eastAsia"/>
          <w:sz w:val="24"/>
        </w:rPr>
        <w:t>四、财政拨款收入支出决算总体情况说明</w:t>
      </w:r>
    </w:p>
    <w:p>
      <w:pPr>
        <w:pStyle w:val="22"/>
        <w:tabs>
          <w:tab w:val="right" w:leader="dot" w:pos="8296"/>
        </w:tabs>
        <w:adjustRightInd w:val="0"/>
        <w:snapToGrid w:val="0"/>
        <w:spacing w:line="440" w:lineRule="exact"/>
        <w:jc w:val="left"/>
        <w:rPr>
          <w:rFonts w:ascii="仿宋" w:eastAsia="仿宋" w:cs="Arial"/>
          <w:sz w:val="24"/>
        </w:rPr>
      </w:pPr>
      <w:r>
        <w:rPr>
          <w:rFonts w:hint="eastAsia"/>
          <w:sz w:val="24"/>
        </w:rPr>
        <w:t>五、一般公共预算财政拨款支出决算情况说明</w:t>
      </w:r>
    </w:p>
    <w:p>
      <w:pPr>
        <w:pStyle w:val="22"/>
        <w:tabs>
          <w:tab w:val="right" w:leader="dot" w:pos="8296"/>
        </w:tabs>
        <w:adjustRightInd w:val="0"/>
        <w:snapToGrid w:val="0"/>
        <w:spacing w:line="440" w:lineRule="exact"/>
        <w:jc w:val="left"/>
        <w:rPr>
          <w:rFonts w:ascii="仿宋" w:eastAsia="仿宋" w:cs="Arial"/>
          <w:sz w:val="24"/>
        </w:rPr>
      </w:pPr>
      <w:r>
        <w:rPr>
          <w:rFonts w:hint="eastAsia"/>
          <w:sz w:val="24"/>
        </w:rPr>
        <w:t>六、一般公共预算财政拨款基本支出决算情况说明</w:t>
      </w:r>
    </w:p>
    <w:p>
      <w:pPr>
        <w:pStyle w:val="22"/>
        <w:tabs>
          <w:tab w:val="right" w:leader="dot" w:pos="8296"/>
        </w:tabs>
        <w:adjustRightInd w:val="0"/>
        <w:snapToGrid w:val="0"/>
        <w:spacing w:line="440" w:lineRule="exact"/>
        <w:jc w:val="left"/>
        <w:rPr>
          <w:rFonts w:ascii="仿宋" w:eastAsia="仿宋" w:cs="Arial"/>
          <w:sz w:val="24"/>
        </w:rPr>
      </w:pPr>
      <w:r>
        <w:rPr>
          <w:rFonts w:hint="eastAsia"/>
          <w:sz w:val="24"/>
        </w:rPr>
        <w:t>七、财政拨款“三公”经费支出决算情况说明</w:t>
      </w:r>
    </w:p>
    <w:p>
      <w:pPr>
        <w:pStyle w:val="22"/>
        <w:tabs>
          <w:tab w:val="right" w:leader="dot" w:pos="8296"/>
        </w:tabs>
        <w:adjustRightInd w:val="0"/>
        <w:snapToGrid w:val="0"/>
        <w:spacing w:line="440" w:lineRule="exact"/>
        <w:jc w:val="left"/>
        <w:rPr>
          <w:rFonts w:ascii="仿宋" w:eastAsia="仿宋" w:cs="Arial"/>
          <w:sz w:val="24"/>
        </w:rPr>
      </w:pPr>
      <w:r>
        <w:rPr>
          <w:rFonts w:hint="eastAsia"/>
          <w:sz w:val="24"/>
        </w:rPr>
        <w:t>八、政府性基金预算支出决算情况说明</w:t>
      </w:r>
    </w:p>
    <w:p>
      <w:pPr>
        <w:pStyle w:val="22"/>
        <w:tabs>
          <w:tab w:val="right" w:leader="dot" w:pos="8296"/>
        </w:tabs>
        <w:adjustRightInd w:val="0"/>
        <w:snapToGrid w:val="0"/>
        <w:spacing w:line="440" w:lineRule="exact"/>
        <w:jc w:val="left"/>
        <w:rPr>
          <w:sz w:val="24"/>
        </w:rPr>
      </w:pPr>
      <w:r>
        <w:rPr>
          <w:rFonts w:hint="eastAsia"/>
          <w:sz w:val="24"/>
        </w:rPr>
        <w:t>九、国有资本经营预算支出决算情况说明</w:t>
      </w:r>
    </w:p>
    <w:p>
      <w:pPr>
        <w:pStyle w:val="22"/>
        <w:tabs>
          <w:tab w:val="right" w:leader="dot" w:pos="8296"/>
        </w:tabs>
        <w:adjustRightInd w:val="0"/>
        <w:snapToGrid w:val="0"/>
        <w:spacing w:line="440" w:lineRule="exact"/>
        <w:jc w:val="left"/>
        <w:rPr>
          <w:sz w:val="24"/>
        </w:rPr>
      </w:pPr>
      <w:r>
        <w:rPr>
          <w:rFonts w:hint="eastAsia"/>
          <w:sz w:val="24"/>
        </w:rPr>
        <w:t>十、其他重要事项的情况说明</w:t>
      </w:r>
    </w:p>
    <w:p>
      <w:pPr>
        <w:pStyle w:val="21"/>
        <w:tabs>
          <w:tab w:val="right" w:leader="dot" w:pos="8296"/>
        </w:tabs>
        <w:adjustRightInd w:val="0"/>
        <w:snapToGrid w:val="0"/>
        <w:spacing w:before="0" w:line="440" w:lineRule="exact"/>
        <w:jc w:val="left"/>
        <w:rPr>
          <w:rFonts w:cs="Arial"/>
          <w:sz w:val="24"/>
          <w:szCs w:val="24"/>
        </w:rPr>
      </w:pPr>
      <w:r>
        <w:rPr>
          <w:rFonts w:hint="eastAsia"/>
          <w:sz w:val="24"/>
        </w:rPr>
        <w:t>第三部分</w:t>
      </w:r>
      <w:r>
        <w:rPr>
          <w:sz w:val="24"/>
        </w:rPr>
        <w:t xml:space="preserve"> </w:t>
      </w:r>
      <w:r>
        <w:rPr>
          <w:rFonts w:hint="eastAsia"/>
          <w:sz w:val="24"/>
        </w:rPr>
        <w:t>名词解释</w:t>
      </w:r>
    </w:p>
    <w:p>
      <w:pPr>
        <w:pStyle w:val="21"/>
        <w:tabs>
          <w:tab w:val="right" w:leader="dot" w:pos="8296"/>
        </w:tabs>
        <w:adjustRightInd w:val="0"/>
        <w:snapToGrid w:val="0"/>
        <w:spacing w:before="0" w:line="440" w:lineRule="exact"/>
        <w:jc w:val="left"/>
        <w:rPr>
          <w:rFonts w:cs="Arial"/>
          <w:sz w:val="24"/>
          <w:szCs w:val="24"/>
        </w:rPr>
      </w:pPr>
      <w:r>
        <w:rPr>
          <w:rFonts w:hint="eastAsia"/>
          <w:sz w:val="24"/>
        </w:rPr>
        <w:t>第四部分</w:t>
      </w:r>
      <w:r>
        <w:rPr>
          <w:sz w:val="24"/>
        </w:rPr>
        <w:t xml:space="preserve"> </w:t>
      </w:r>
      <w:r>
        <w:rPr>
          <w:rFonts w:hint="eastAsia"/>
          <w:sz w:val="24"/>
        </w:rPr>
        <w:t>附件</w:t>
      </w:r>
    </w:p>
    <w:p>
      <w:pPr>
        <w:pStyle w:val="21"/>
        <w:tabs>
          <w:tab w:val="right" w:leader="dot" w:pos="8296"/>
        </w:tabs>
        <w:adjustRightInd w:val="0"/>
        <w:snapToGrid w:val="0"/>
        <w:spacing w:before="0" w:line="440" w:lineRule="exact"/>
        <w:jc w:val="left"/>
        <w:rPr>
          <w:rFonts w:cs="Arial"/>
          <w:sz w:val="24"/>
          <w:szCs w:val="24"/>
        </w:rPr>
      </w:pPr>
      <w:r>
        <w:rPr>
          <w:rFonts w:hint="eastAsia"/>
          <w:sz w:val="24"/>
        </w:rPr>
        <w:t>第五部分</w:t>
      </w:r>
      <w:r>
        <w:rPr>
          <w:sz w:val="24"/>
        </w:rPr>
        <w:t xml:space="preserve"> </w:t>
      </w:r>
      <w:r>
        <w:rPr>
          <w:rFonts w:hint="eastAsia"/>
          <w:sz w:val="24"/>
        </w:rPr>
        <w:t>附表</w:t>
      </w:r>
    </w:p>
    <w:p>
      <w:pPr>
        <w:pStyle w:val="22"/>
        <w:tabs>
          <w:tab w:val="right" w:leader="dot" w:pos="8296"/>
        </w:tabs>
        <w:adjustRightInd w:val="0"/>
        <w:snapToGrid w:val="0"/>
        <w:spacing w:line="440" w:lineRule="exact"/>
        <w:jc w:val="left"/>
        <w:rPr>
          <w:sz w:val="24"/>
        </w:rPr>
      </w:pPr>
      <w:r>
        <w:rPr>
          <w:rFonts w:hint="eastAsia"/>
          <w:sz w:val="24"/>
        </w:rPr>
        <w:t>一、收入支出决算总表</w:t>
      </w:r>
    </w:p>
    <w:p>
      <w:pPr>
        <w:pStyle w:val="22"/>
        <w:tabs>
          <w:tab w:val="right" w:leader="dot" w:pos="8296"/>
        </w:tabs>
        <w:adjustRightInd w:val="0"/>
        <w:snapToGrid w:val="0"/>
        <w:spacing w:line="440" w:lineRule="exact"/>
        <w:jc w:val="left"/>
        <w:rPr>
          <w:sz w:val="24"/>
        </w:rPr>
      </w:pPr>
      <w:r>
        <w:rPr>
          <w:rFonts w:hint="eastAsia"/>
          <w:sz w:val="24"/>
        </w:rPr>
        <w:t>二、收入决算表</w:t>
      </w:r>
    </w:p>
    <w:p>
      <w:pPr>
        <w:pStyle w:val="22"/>
        <w:tabs>
          <w:tab w:val="right" w:leader="dot" w:pos="8296"/>
        </w:tabs>
        <w:adjustRightInd w:val="0"/>
        <w:snapToGrid w:val="0"/>
        <w:spacing w:line="440" w:lineRule="exact"/>
        <w:jc w:val="left"/>
        <w:rPr>
          <w:sz w:val="24"/>
        </w:rPr>
      </w:pPr>
      <w:r>
        <w:rPr>
          <w:rFonts w:hint="eastAsia"/>
          <w:sz w:val="24"/>
        </w:rPr>
        <w:t>三、支出决算表</w:t>
      </w:r>
    </w:p>
    <w:p>
      <w:pPr>
        <w:pStyle w:val="22"/>
        <w:tabs>
          <w:tab w:val="right" w:leader="dot" w:pos="8296"/>
        </w:tabs>
        <w:adjustRightInd w:val="0"/>
        <w:snapToGrid w:val="0"/>
        <w:spacing w:line="440" w:lineRule="exact"/>
        <w:jc w:val="left"/>
        <w:rPr>
          <w:sz w:val="24"/>
        </w:rPr>
      </w:pPr>
      <w:r>
        <w:rPr>
          <w:rFonts w:hint="eastAsia"/>
          <w:sz w:val="24"/>
        </w:rPr>
        <w:t>四、财政拨款收入支出决算总表</w:t>
      </w:r>
    </w:p>
    <w:p>
      <w:pPr>
        <w:pStyle w:val="22"/>
        <w:tabs>
          <w:tab w:val="right" w:leader="dot" w:pos="8296"/>
        </w:tabs>
        <w:adjustRightInd w:val="0"/>
        <w:snapToGrid w:val="0"/>
        <w:spacing w:line="440" w:lineRule="exact"/>
        <w:jc w:val="left"/>
        <w:rPr>
          <w:sz w:val="24"/>
        </w:rPr>
      </w:pPr>
      <w:r>
        <w:rPr>
          <w:rFonts w:hint="eastAsia"/>
          <w:sz w:val="24"/>
        </w:rPr>
        <w:t>五、财政拨款支出决算明细表</w:t>
      </w:r>
    </w:p>
    <w:p>
      <w:pPr>
        <w:pStyle w:val="22"/>
        <w:tabs>
          <w:tab w:val="right" w:leader="dot" w:pos="8296"/>
        </w:tabs>
        <w:adjustRightInd w:val="0"/>
        <w:snapToGrid w:val="0"/>
        <w:spacing w:line="440" w:lineRule="exact"/>
        <w:jc w:val="left"/>
        <w:rPr>
          <w:sz w:val="24"/>
        </w:rPr>
      </w:pPr>
      <w:r>
        <w:rPr>
          <w:rFonts w:hint="eastAsia"/>
          <w:sz w:val="24"/>
        </w:rPr>
        <w:t>六、一般公共预算财政拨款支出决算表</w:t>
      </w:r>
    </w:p>
    <w:p>
      <w:pPr>
        <w:pStyle w:val="22"/>
        <w:tabs>
          <w:tab w:val="right" w:leader="dot" w:pos="8296"/>
        </w:tabs>
        <w:adjustRightInd w:val="0"/>
        <w:snapToGrid w:val="0"/>
        <w:spacing w:line="440" w:lineRule="exact"/>
        <w:jc w:val="left"/>
        <w:rPr>
          <w:sz w:val="24"/>
        </w:rPr>
      </w:pPr>
      <w:r>
        <w:rPr>
          <w:rFonts w:hint="eastAsia"/>
          <w:sz w:val="24"/>
        </w:rPr>
        <w:t>七、一般公共预算财政拨款支出决算明细表</w:t>
      </w:r>
    </w:p>
    <w:p>
      <w:pPr>
        <w:pStyle w:val="22"/>
        <w:tabs>
          <w:tab w:val="right" w:leader="dot" w:pos="8296"/>
        </w:tabs>
        <w:adjustRightInd w:val="0"/>
        <w:snapToGrid w:val="0"/>
        <w:spacing w:line="440" w:lineRule="exact"/>
        <w:jc w:val="left"/>
        <w:rPr>
          <w:sz w:val="24"/>
        </w:rPr>
      </w:pPr>
      <w:r>
        <w:rPr>
          <w:rFonts w:hint="eastAsia"/>
          <w:sz w:val="24"/>
        </w:rPr>
        <w:t>八、一般公共预算财政拨款基本支出决算明细表</w:t>
      </w:r>
    </w:p>
    <w:p>
      <w:pPr>
        <w:pStyle w:val="22"/>
        <w:tabs>
          <w:tab w:val="right" w:leader="dot" w:pos="8296"/>
        </w:tabs>
        <w:adjustRightInd w:val="0"/>
        <w:snapToGrid w:val="0"/>
        <w:spacing w:line="440" w:lineRule="exact"/>
        <w:jc w:val="left"/>
        <w:rPr>
          <w:sz w:val="24"/>
        </w:rPr>
      </w:pPr>
      <w:r>
        <w:rPr>
          <w:rFonts w:hint="eastAsia"/>
          <w:sz w:val="24"/>
        </w:rPr>
        <w:t>九、一般公共预算财政拨款项目支出决算表</w:t>
      </w:r>
    </w:p>
    <w:p>
      <w:pPr>
        <w:pStyle w:val="22"/>
        <w:tabs>
          <w:tab w:val="right" w:leader="dot" w:pos="8296"/>
        </w:tabs>
        <w:adjustRightInd w:val="0"/>
        <w:snapToGrid w:val="0"/>
        <w:spacing w:line="440" w:lineRule="exact"/>
        <w:jc w:val="left"/>
        <w:rPr>
          <w:sz w:val="24"/>
        </w:rPr>
      </w:pPr>
      <w:r>
        <w:rPr>
          <w:rFonts w:hint="eastAsia"/>
          <w:sz w:val="24"/>
        </w:rPr>
        <w:t>十、政府性基金预算财政拨款收入支出决算表</w:t>
      </w:r>
    </w:p>
    <w:p>
      <w:pPr>
        <w:pStyle w:val="22"/>
        <w:tabs>
          <w:tab w:val="right" w:leader="dot" w:pos="8296"/>
        </w:tabs>
        <w:adjustRightInd w:val="0"/>
        <w:snapToGrid w:val="0"/>
        <w:spacing w:line="440" w:lineRule="exact"/>
        <w:jc w:val="left"/>
        <w:rPr>
          <w:sz w:val="24"/>
        </w:rPr>
      </w:pPr>
      <w:r>
        <w:rPr>
          <w:rFonts w:hint="eastAsia"/>
          <w:sz w:val="24"/>
        </w:rPr>
        <w:t>十一、国有资本经营预算财政拨款收入支出决算表</w:t>
      </w:r>
    </w:p>
    <w:p>
      <w:pPr>
        <w:pStyle w:val="22"/>
        <w:tabs>
          <w:tab w:val="right" w:leader="dot" w:pos="8296"/>
        </w:tabs>
        <w:adjustRightInd w:val="0"/>
        <w:snapToGrid w:val="0"/>
        <w:spacing w:line="440" w:lineRule="exact"/>
        <w:jc w:val="left"/>
        <w:rPr>
          <w:sz w:val="24"/>
        </w:rPr>
      </w:pPr>
      <w:r>
        <w:rPr>
          <w:rFonts w:hint="eastAsia"/>
          <w:sz w:val="24"/>
        </w:rPr>
        <w:t>十二、国有资本经营预算财政拨款支出决算表</w:t>
      </w:r>
    </w:p>
    <w:p>
      <w:pPr>
        <w:pStyle w:val="22"/>
        <w:tabs>
          <w:tab w:val="right" w:leader="dot" w:pos="8296"/>
        </w:tabs>
        <w:adjustRightInd w:val="0"/>
        <w:snapToGrid w:val="0"/>
        <w:spacing w:line="440" w:lineRule="exact"/>
        <w:jc w:val="left"/>
        <w:rPr>
          <w:sz w:val="24"/>
        </w:rPr>
      </w:pPr>
      <w:r>
        <w:rPr>
          <w:rFonts w:hint="eastAsia"/>
          <w:sz w:val="24"/>
        </w:rPr>
        <w:t>十三、财政拨款“三公”经费支出决算表</w:t>
      </w:r>
    </w:p>
    <w:p>
      <w:pPr>
        <w:widowControl/>
        <w:adjustRightInd w:val="0"/>
        <w:snapToGrid w:val="0"/>
        <w:spacing w:line="440" w:lineRule="exact"/>
        <w:ind w:firstLineChars="550" w:firstLine="1320"/>
        <w:jc w:val="left"/>
        <w:rPr>
          <w:rFonts w:ascii="仿宋" w:eastAsia="仿宋"/>
          <w:sz w:val="24"/>
        </w:rPr>
      </w:pPr>
      <w:r>
        <w:rPr>
          <w:rFonts w:ascii="仿宋" w:eastAsia="仿宋"/>
          <w:sz w:val="24"/>
        </w:rPr>
        <w:t>(注：</w:t>
      </w:r>
      <w:r>
        <w:rPr>
          <w:rFonts w:ascii="仿宋" w:eastAsia="仿宋" w:hint="eastAsia"/>
          <w:sz w:val="24"/>
        </w:rPr>
        <w:t>请单位根据实际注明页码</w:t>
      </w:r>
      <w:r>
        <w:rPr>
          <w:rFonts w:ascii="仿宋" w:eastAsia="仿宋"/>
          <w:sz w:val="24"/>
        </w:rPr>
        <w:t>)</w:t>
      </w:r>
    </w:p>
    <w:p>
      <w:pPr>
        <w:widowControl/>
        <w:spacing w:line="440" w:lineRule="exact"/>
        <w:jc w:val="left"/>
        <w:rPr>
          <w:rFonts w:ascii="仿宋" w:eastAsia="仿宋"/>
          <w:bCs/>
          <w:kern w:val="44"/>
          <w:sz w:val="24"/>
        </w:rPr>
      </w:pPr>
      <w:bookmarkStart w:id="12" w:name="_Toc15396599"/>
      <w:bookmarkStart w:id="13" w:name="_Toc15377196"/>
      <w:r>
        <w:rPr>
          <w:rFonts w:ascii="仿宋" w:eastAsia="仿宋"/>
          <w:b/>
          <w:sz w:val="24"/>
        </w:rPr>
        <w:br w:type="page"/>
      </w:r>
    </w:p>
    <w:p>
      <w:pPr>
        <w:pStyle w:val="1"/>
        <w:jc w:val="center"/>
        <w:rPr>
          <w:rStyle w:val="1Char"/>
          <w:rFonts w:ascii="黑体" w:eastAsia="黑体"/>
          <w:b/>
          <w:bCs w:val="0"/>
        </w:rPr>
      </w:pPr>
      <w:r>
        <w:rPr>
          <w:rFonts w:ascii="黑体" w:eastAsia="黑体" w:hint="eastAsia"/>
          <w:b w:val="0"/>
        </w:rPr>
        <w:t>第一部分 单位</w:t>
      </w:r>
      <w:r>
        <w:rPr>
          <w:rStyle w:val="1Char"/>
          <w:rFonts w:ascii="黑体" w:eastAsia="黑体" w:hint="eastAsia"/>
          <w:b w:val="0"/>
          <w:bCs w:val="0"/>
        </w:rPr>
        <w:t>概况</w:t>
      </w:r>
      <w:bookmarkEnd w:id="12"/>
      <w:bookmarkEnd w:id="13"/>
    </w:p>
    <w:p>
      <w:pPr>
        <w:widowControl/>
        <w:jc w:val="left"/>
        <w:rPr>
          <w:rFonts w:ascii="黑体" w:eastAsia="黑体"/>
          <w:sz w:val="32"/>
          <w:szCs w:val="32"/>
        </w:rPr>
      </w:pPr>
    </w:p>
    <w:p>
      <w:pPr>
        <w:pStyle w:val="2"/>
        <w:tabs>
          <w:tab w:val="left" w:pos="0"/>
        </w:tabs>
        <w:ind w:firstLineChars="200" w:firstLine="640"/>
        <w:rPr>
          <w:rStyle w:val="2Char"/>
          <w:rFonts w:ascii="黑体" w:eastAsia="黑体"/>
          <w:b w:val="0"/>
          <w:bCs w:val="0"/>
        </w:rPr>
      </w:pPr>
      <w:bookmarkStart w:id="14" w:name="_Toc15396600"/>
      <w:bookmarkStart w:id="15" w:name="_Toc15377197"/>
      <w:r>
        <w:rPr>
          <w:rStyle w:val="2Char"/>
          <w:rFonts w:ascii="黑体" w:eastAsia="黑体" w:hint="eastAsia"/>
          <w:b w:val="0"/>
          <w:bCs w:val="0"/>
        </w:rPr>
        <w:t>一、主要职责</w:t>
      </w:r>
    </w:p>
    <w:p>
      <w:pPr>
        <w:pStyle w:val="2"/>
        <w:tabs>
          <w:tab w:val="left" w:pos="0"/>
        </w:tabs>
        <w:ind w:firstLineChars="200" w:firstLine="640"/>
        <w:rPr>
          <w:rStyle w:val="24"/>
          <w:rFonts w:ascii="仿宋" w:eastAsia="仿宋" w:cs="仿宋"/>
          <w:b w:val="0"/>
        </w:rPr>
      </w:pPr>
      <w:r>
        <w:rPr>
          <w:rStyle w:val="24"/>
          <w:rFonts w:ascii="仿宋" w:eastAsia="仿宋" w:cs="仿宋" w:hint="eastAsia"/>
          <w:b w:val="0"/>
        </w:rPr>
        <w:t>汶川县社情民意调查中心主要承担全县统计系统信息化建设及统计大数据应用的技术性辅助性等工作。</w:t>
      </w:r>
    </w:p>
    <w:p>
      <w:pPr>
        <w:pStyle w:val="23"/>
        <w:shd w:val="clear" w:color="auto" w:fill="FFFFFF"/>
        <w:adjustRightInd w:val="0"/>
        <w:snapToGrid w:val="0"/>
        <w:spacing w:beforeAutospacing="0" w:afterAutospacing="0" w:line="560" w:lineRule="exact"/>
        <w:ind w:firstLineChars="200" w:firstLine="640"/>
        <w:rPr>
          <w:rStyle w:val="24"/>
          <w:rFonts w:ascii="仿宋" w:eastAsia="仿宋" w:cs="仿宋"/>
          <w:b w:val="0"/>
          <w:sz w:val="32"/>
          <w:szCs w:val="32"/>
        </w:rPr>
      </w:pPr>
      <w:r>
        <w:rPr>
          <w:rStyle w:val="24"/>
          <w:rFonts w:ascii="仿宋" w:eastAsia="仿宋" w:cs="仿宋" w:hint="eastAsia"/>
          <w:b w:val="0"/>
          <w:sz w:val="32"/>
          <w:szCs w:val="32"/>
        </w:rPr>
        <w:t>1.利用多种调查手段，充分反映民意。</w:t>
      </w:r>
    </w:p>
    <w:p>
      <w:pPr>
        <w:pStyle w:val="23"/>
        <w:shd w:val="clear" w:color="auto" w:fill="FFFFFF"/>
        <w:adjustRightInd w:val="0"/>
        <w:snapToGrid w:val="0"/>
        <w:spacing w:beforeAutospacing="0" w:afterAutospacing="0" w:line="560" w:lineRule="exact"/>
        <w:ind w:firstLineChars="200" w:firstLine="640"/>
        <w:rPr>
          <w:rStyle w:val="24"/>
          <w:rFonts w:ascii="仿宋" w:eastAsia="仿宋" w:cs="仿宋"/>
          <w:b w:val="0"/>
          <w:sz w:val="32"/>
          <w:szCs w:val="32"/>
        </w:rPr>
      </w:pPr>
      <w:r>
        <w:rPr>
          <w:rStyle w:val="24"/>
          <w:rFonts w:ascii="仿宋" w:eastAsia="仿宋" w:cs="仿宋" w:hint="eastAsia"/>
          <w:b w:val="0"/>
          <w:sz w:val="32"/>
          <w:szCs w:val="32"/>
        </w:rPr>
        <w:t>2.承接政府各部委社情民意调查项目。</w:t>
      </w:r>
    </w:p>
    <w:p>
      <w:pPr>
        <w:pStyle w:val="23"/>
        <w:shd w:val="clear" w:color="auto" w:fill="FFFFFF"/>
        <w:adjustRightInd w:val="0"/>
        <w:snapToGrid w:val="0"/>
        <w:spacing w:beforeAutospacing="0" w:afterAutospacing="0" w:line="560" w:lineRule="exact"/>
        <w:ind w:firstLineChars="200" w:firstLine="640"/>
        <w:rPr>
          <w:rStyle w:val="24"/>
          <w:rFonts w:ascii="仿宋" w:eastAsia="仿宋" w:cs="仿宋"/>
          <w:b w:val="0"/>
          <w:sz w:val="32"/>
          <w:szCs w:val="32"/>
        </w:rPr>
      </w:pPr>
      <w:r>
        <w:rPr>
          <w:rStyle w:val="24"/>
          <w:rFonts w:ascii="仿宋" w:eastAsia="仿宋" w:cs="仿宋" w:hint="eastAsia"/>
          <w:b w:val="0"/>
          <w:sz w:val="32"/>
          <w:szCs w:val="32"/>
        </w:rPr>
        <w:t>3.对统计系统社情民意调查中心人员培训。</w:t>
      </w:r>
    </w:p>
    <w:p>
      <w:pPr>
        <w:pStyle w:val="23"/>
        <w:shd w:val="clear" w:color="auto" w:fill="FFFFFF"/>
        <w:adjustRightInd w:val="0"/>
        <w:snapToGrid w:val="0"/>
        <w:spacing w:beforeAutospacing="0" w:afterAutospacing="0" w:line="560" w:lineRule="exact"/>
        <w:ind w:firstLineChars="200" w:firstLine="640"/>
        <w:rPr>
          <w:rStyle w:val="24"/>
          <w:rFonts w:ascii="仿宋" w:eastAsia="仿宋" w:cs="仿宋"/>
          <w:b w:val="0"/>
          <w:sz w:val="32"/>
          <w:szCs w:val="32"/>
        </w:rPr>
      </w:pPr>
      <w:r>
        <w:rPr>
          <w:rStyle w:val="24"/>
          <w:rFonts w:ascii="仿宋" w:eastAsia="仿宋" w:cs="仿宋" w:hint="eastAsia"/>
          <w:b w:val="0"/>
          <w:sz w:val="32"/>
          <w:szCs w:val="32"/>
        </w:rPr>
        <w:t>4.对调查数据分析及成果利用。</w:t>
      </w:r>
    </w:p>
    <w:p>
      <w:pPr>
        <w:pStyle w:val="2"/>
        <w:ind w:firstLineChars="200" w:firstLine="640"/>
        <w:rPr>
          <w:rFonts w:ascii="黑体" w:eastAsia="黑体"/>
          <w:b w:val="0"/>
        </w:rPr>
      </w:pPr>
      <w:r>
        <w:rPr>
          <w:rFonts w:ascii="黑体" w:eastAsia="黑体" w:hint="eastAsia"/>
          <w:b w:val="0"/>
        </w:rPr>
        <w:t>二、机构设置</w:t>
      </w:r>
    </w:p>
    <w:p>
      <w:pPr>
        <w:widowControl/>
        <w:adjustRightInd w:val="0"/>
        <w:snapToGrid w:val="0"/>
        <w:spacing w:line="560" w:lineRule="exact"/>
        <w:ind w:firstLineChars="200" w:firstLine="640"/>
        <w:jc w:val="left"/>
        <w:rPr>
          <w:rFonts w:ascii="仿宋" w:eastAsia="仿宋"/>
          <w:kern w:val="0"/>
          <w:sz w:val="32"/>
          <w:szCs w:val="32"/>
        </w:rPr>
      </w:pPr>
      <w:r>
        <w:rPr>
          <w:rFonts w:ascii="仿宋" w:eastAsia="仿宋" w:hint="eastAsia"/>
          <w:sz w:val="32"/>
          <w:szCs w:val="32"/>
        </w:rPr>
        <w:t>汶川县社情民意调查中心属汶川县统计局二级预算单位，县委编办核定为股级事业单位，编制2名，截至202</w:t>
      </w:r>
      <w:r>
        <w:rPr>
          <w:rFonts w:ascii="仿宋" w:eastAsia="仿宋" w:hint="eastAsia"/>
          <w:sz w:val="32"/>
          <w:szCs w:val="32"/>
          <w:lang w:val="en-US" w:eastAsia="zh-CN"/>
        </w:rPr>
        <w:t>5</w:t>
      </w:r>
      <w:r>
        <w:rPr>
          <w:rFonts w:ascii="仿宋" w:eastAsia="仿宋" w:hint="eastAsia"/>
          <w:sz w:val="32"/>
          <w:szCs w:val="32"/>
        </w:rPr>
        <w:t>年末在职人员2名。</w:t>
      </w:r>
    </w:p>
    <w:p/>
    <w:p>
      <w:pPr>
        <w:widowControl/>
        <w:jc w:val="left"/>
        <w:rPr>
          <w:rFonts w:ascii="仿宋" w:eastAsia="仿宋"/>
          <w:kern w:val="0"/>
          <w:sz w:val="32"/>
          <w:szCs w:val="32"/>
        </w:rPr>
      </w:pPr>
      <w:bookmarkEnd w:id="14"/>
      <w:bookmarkEnd w:id="15"/>
      <w:r>
        <w:rPr>
          <w:rFonts w:ascii="仿宋" w:eastAsia="仿宋"/>
          <w:sz w:val="32"/>
          <w:szCs w:val="32"/>
        </w:rPr>
        <w:br w:type="page"/>
      </w:r>
    </w:p>
    <w:p>
      <w:pPr>
        <w:pStyle w:val="1"/>
        <w:ind w:right="440"/>
        <w:jc w:val="center"/>
        <w:rPr>
          <w:rStyle w:val="1Char"/>
          <w:rFonts w:ascii="黑体" w:eastAsia="黑体"/>
          <w:b w:val="0"/>
          <w:bCs/>
        </w:rPr>
      </w:pPr>
      <w:bookmarkStart w:id="16" w:name="_Toc15396602"/>
      <w:bookmarkStart w:id="17" w:name="_Toc15377204"/>
      <w:r>
        <w:rPr>
          <w:rFonts w:ascii="黑体" w:eastAsia="黑体" w:hint="eastAsia"/>
          <w:b w:val="0"/>
        </w:rPr>
        <w:t>第二部分 2025年度</w:t>
      </w:r>
      <w:r>
        <w:rPr>
          <w:rStyle w:val="1Char"/>
          <w:rFonts w:ascii="黑体" w:eastAsia="黑体" w:hint="eastAsia"/>
          <w:b w:val="0"/>
          <w:bCs/>
        </w:rPr>
        <w:t>单位决算情况说明</w:t>
      </w:r>
      <w:bookmarkEnd w:id="16"/>
      <w:bookmarkEnd w:id="17"/>
    </w:p>
    <w:p/>
    <w:p>
      <w:pPr>
        <w:pStyle w:val="30"/>
        <w:numPr>
          <w:ilvl w:val="0"/>
          <w:numId w:val="1"/>
        </w:numPr>
        <w:spacing w:line="600" w:lineRule="exact"/>
        <w:ind w:firstLineChars="0"/>
        <w:outlineLvl w:val="1"/>
        <w:rPr>
          <w:rStyle w:val="2Char"/>
          <w:rFonts w:ascii="黑体" w:eastAsia="黑体"/>
          <w:b w:val="0"/>
        </w:rPr>
      </w:pPr>
      <w:bookmarkStart w:id="18" w:name="_Toc15377205"/>
      <w:bookmarkStart w:id="19" w:name="_Toc15396603"/>
      <w:r>
        <w:rPr>
          <w:rFonts w:ascii="黑体" w:eastAsia="黑体" w:hint="eastAsia"/>
          <w:sz w:val="32"/>
          <w:szCs w:val="32"/>
        </w:rPr>
        <w:t>收</w:t>
      </w:r>
      <w:r>
        <w:rPr>
          <w:rStyle w:val="2Char"/>
          <w:rFonts w:ascii="黑体" w:eastAsia="黑体" w:hint="eastAsia"/>
          <w:b w:val="0"/>
        </w:rPr>
        <w:t>入支出决算总体情况说明</w:t>
      </w:r>
      <w:bookmarkEnd w:id="18"/>
      <w:bookmarkEnd w:id="19"/>
    </w:p>
    <w:p>
      <w:pPr>
        <w:spacing w:line="600" w:lineRule="exact"/>
        <w:ind w:firstLineChars="200" w:firstLine="640"/>
        <w:rPr>
          <w:rFonts w:ascii="仿宋" w:eastAsia="仿宋"/>
          <w:sz w:val="32"/>
          <w:szCs w:val="32"/>
        </w:rPr>
      </w:pPr>
      <w:r>
        <w:rPr>
          <w:rFonts w:ascii="仿宋" w:eastAsia="仿宋" w:hint="eastAsia"/>
          <w:sz w:val="32"/>
          <w:szCs w:val="32"/>
        </w:rPr>
        <w:t>2025年度收、支总计36.86万元。与2024年相比，收、支总计各增加4.16万元，增长12.72</w:t>
      </w:r>
      <w:r>
        <w:rPr>
          <w:rFonts w:ascii="仿宋" w:eastAsia="仿宋"/>
          <w:sz w:val="32"/>
          <w:szCs w:val="32"/>
        </w:rPr>
        <w:t>%</w:t>
      </w:r>
      <w:r>
        <w:rPr>
          <w:rFonts w:ascii="仿宋" w:eastAsia="仿宋" w:hint="eastAsia"/>
          <w:sz w:val="32"/>
          <w:szCs w:val="32"/>
        </w:rPr>
        <w:t>。主要变动原因是2025年新增加福利费和在职职工体检费。</w:t>
      </w:r>
    </w:p>
    <w:p>
      <w:pPr>
        <w:spacing w:line="600" w:lineRule="exact"/>
        <w:ind w:firstLineChars="200" w:firstLine="420"/>
        <w:rPr>
          <w:rStyle w:val="2Char"/>
          <w:rFonts w:ascii="黑体" w:eastAsia="黑体"/>
          <w:b w:val="0"/>
        </w:rPr>
      </w:pPr>
      <w:bookmarkStart w:id="20" w:name="_Toc15396604"/>
      <w:bookmarkStart w:id="21" w:name="_Toc15377206"/>
      <w:r>
        <w:drawing>
          <wp:anchor distT="0" distB="0" distL="114300" distR="114300" simplePos="0" relativeHeight="17" behindDoc="0" locked="0" layoutInCell="1" hidden="0" allowOverlap="1">
            <wp:simplePos x="0" y="0"/>
            <wp:positionH relativeFrom="column">
              <wp:posOffset>499745</wp:posOffset>
            </wp:positionH>
            <wp:positionV relativeFrom="paragraph">
              <wp:posOffset>147320</wp:posOffset>
            </wp:positionV>
            <wp:extent cx="4572635" cy="2743200"/>
            <wp:effectExtent l="0" t="0" r="0" b="0"/>
            <wp:wrapTopAndBottom/>
            <wp:docPr id="1" name="图表 5"/>
            <wp:cNvGraphicFramePr>
              <a:graphicFrameLocks noChangeAspect="0"/>
            </wp:cNvGraphicFramePr>
            <a:graphic>
              <a:graphicData uri="http://schemas.openxmlformats.org/drawingml/2006/chart">
                <c:chart xmlns:c="http://schemas.openxmlformats.org/drawingml/2006/chart" r:id="rId4"/>
              </a:graphicData>
            </a:graphic>
          </wp:anchor>
        </w:drawing>
      </w:r>
      <w:r>
        <w:rPr>
          <w:rFonts w:hint="eastAsia"/>
        </w:rPr>
        <w:t xml:space="preserve">  </w:t>
      </w:r>
      <w:r>
        <w:rPr>
          <w:rFonts w:ascii="黑体" w:eastAsia="黑体" w:cs="黑体" w:hint="eastAsia"/>
          <w:sz w:val="32"/>
          <w:szCs w:val="32"/>
        </w:rPr>
        <w:t>二、</w:t>
      </w:r>
      <w:r>
        <w:rPr>
          <w:rFonts w:ascii="黑体" w:eastAsia="黑体" w:hint="eastAsia"/>
          <w:sz w:val="32"/>
          <w:szCs w:val="32"/>
        </w:rPr>
        <w:t>收</w:t>
      </w:r>
      <w:r>
        <w:rPr>
          <w:rStyle w:val="2Char"/>
          <w:rFonts w:ascii="黑体" w:eastAsia="黑体" w:hint="eastAsia"/>
          <w:b w:val="0"/>
        </w:rPr>
        <w:t>入决算情况说明</w:t>
      </w:r>
      <w:bookmarkEnd w:id="20"/>
      <w:bookmarkEnd w:id="21"/>
    </w:p>
    <w:p>
      <w:pPr>
        <w:spacing w:line="600" w:lineRule="exact"/>
        <w:ind w:firstLineChars="200" w:firstLine="640"/>
        <w:outlineLvl w:val="1"/>
        <w:rPr>
          <w:rFonts w:ascii="仿宋" w:eastAsia="仿宋"/>
          <w:sz w:val="32"/>
          <w:szCs w:val="32"/>
        </w:rPr>
      </w:pPr>
      <w:r>
        <w:rPr>
          <w:rFonts w:ascii="仿宋" w:eastAsia="仿宋"/>
          <w:sz w:val="32"/>
          <w:szCs w:val="32"/>
        </w:rPr>
        <w:t>202</w:t>
      </w:r>
      <w:r>
        <w:rPr>
          <w:rFonts w:ascii="仿宋" w:eastAsia="仿宋" w:hint="eastAsia"/>
          <w:sz w:val="32"/>
          <w:szCs w:val="32"/>
        </w:rPr>
        <w:t>5年本年收入合计36.86万元，其中：一般公共预算财政拨款收入36.86万元，占100</w:t>
      </w:r>
      <w:r>
        <w:rPr>
          <w:rFonts w:ascii="仿宋" w:eastAsia="仿宋"/>
          <w:sz w:val="32"/>
          <w:szCs w:val="32"/>
        </w:rPr>
        <w:t>%</w:t>
      </w:r>
      <w:r>
        <w:rPr>
          <w:rFonts w:ascii="仿宋" w:eastAsia="仿宋" w:hint="eastAsia"/>
          <w:sz w:val="32"/>
          <w:szCs w:val="32"/>
        </w:rPr>
        <w:t>；政府性基金预算财政拨款收入0万元，占0</w:t>
      </w:r>
      <w:r>
        <w:rPr>
          <w:rFonts w:ascii="仿宋" w:eastAsia="仿宋"/>
          <w:sz w:val="32"/>
          <w:szCs w:val="32"/>
        </w:rPr>
        <w:t>%</w:t>
      </w:r>
      <w:r>
        <w:rPr>
          <w:rFonts w:ascii="仿宋" w:eastAsia="仿宋" w:hint="eastAsia"/>
          <w:sz w:val="32"/>
          <w:szCs w:val="32"/>
        </w:rPr>
        <w:t>；国有资本经营预算财政拨款收入0万元，占0</w:t>
      </w:r>
      <w:r>
        <w:rPr>
          <w:rFonts w:ascii="仿宋" w:eastAsia="仿宋"/>
          <w:sz w:val="32"/>
          <w:szCs w:val="32"/>
        </w:rPr>
        <w:t>%</w:t>
      </w:r>
      <w:r>
        <w:rPr>
          <w:rFonts w:ascii="仿宋" w:eastAsia="仿宋" w:hint="eastAsia"/>
          <w:sz w:val="32"/>
          <w:szCs w:val="32"/>
        </w:rPr>
        <w:t>；上级补助收入0万元，占0</w:t>
      </w:r>
      <w:r>
        <w:rPr>
          <w:rFonts w:ascii="仿宋" w:eastAsia="仿宋"/>
          <w:sz w:val="32"/>
          <w:szCs w:val="32"/>
        </w:rPr>
        <w:t>%</w:t>
      </w:r>
      <w:r>
        <w:rPr>
          <w:rFonts w:ascii="仿宋" w:eastAsia="仿宋" w:hint="eastAsia"/>
          <w:sz w:val="32"/>
          <w:szCs w:val="32"/>
        </w:rPr>
        <w:t>；事业收入0万元，占0</w:t>
      </w:r>
      <w:r>
        <w:rPr>
          <w:rFonts w:ascii="仿宋" w:eastAsia="仿宋"/>
          <w:sz w:val="32"/>
          <w:szCs w:val="32"/>
        </w:rPr>
        <w:t>%</w:t>
      </w:r>
      <w:r>
        <w:rPr>
          <w:rFonts w:ascii="仿宋" w:eastAsia="仿宋" w:hint="eastAsia"/>
          <w:sz w:val="32"/>
          <w:szCs w:val="32"/>
        </w:rPr>
        <w:t>；经营收入0万元，占0</w:t>
      </w:r>
      <w:r>
        <w:rPr>
          <w:rFonts w:ascii="仿宋" w:eastAsia="仿宋"/>
          <w:sz w:val="32"/>
          <w:szCs w:val="32"/>
        </w:rPr>
        <w:t>%</w:t>
      </w:r>
      <w:r>
        <w:rPr>
          <w:rFonts w:ascii="仿宋" w:eastAsia="仿宋" w:hint="eastAsia"/>
          <w:sz w:val="32"/>
          <w:szCs w:val="32"/>
        </w:rPr>
        <w:t>；附属单位上缴收入0万元，占0</w:t>
      </w:r>
      <w:r>
        <w:rPr>
          <w:rFonts w:ascii="仿宋" w:eastAsia="仿宋"/>
          <w:sz w:val="32"/>
          <w:szCs w:val="32"/>
        </w:rPr>
        <w:t>%</w:t>
      </w:r>
      <w:r>
        <w:rPr>
          <w:rFonts w:ascii="仿宋" w:eastAsia="仿宋" w:hint="eastAsia"/>
          <w:sz w:val="32"/>
          <w:szCs w:val="32"/>
        </w:rPr>
        <w:t>；其他收入0万元，占0</w:t>
      </w:r>
      <w:r>
        <w:rPr>
          <w:rFonts w:ascii="仿宋" w:eastAsia="仿宋"/>
          <w:sz w:val="32"/>
          <w:szCs w:val="32"/>
        </w:rPr>
        <w:t>%</w:t>
      </w:r>
      <w:r>
        <w:rPr>
          <w:rFonts w:ascii="仿宋" w:eastAsia="仿宋" w:hint="eastAsia"/>
          <w:sz w:val="32"/>
          <w:szCs w:val="32"/>
        </w:rPr>
        <w:t>。</w:t>
      </w:r>
    </w:p>
    <w:p>
      <w:pPr>
        <w:spacing w:line="600" w:lineRule="exact"/>
        <w:ind w:firstLineChars="200" w:firstLine="640"/>
        <w:outlineLvl w:val="1"/>
        <w:rPr>
          <w:rFonts w:ascii="仿宋" w:eastAsia="仿宋"/>
          <w:b/>
          <w:sz w:val="32"/>
          <w:szCs w:val="32"/>
        </w:rPr>
      </w:pPr>
      <w:r>
        <w:rPr>
          <w:rFonts w:ascii="仿宋" w:eastAsia="仿宋" w:hint="eastAsia"/>
          <w:b/>
          <w:sz w:val="32"/>
          <w:szCs w:val="32"/>
        </w:rPr>
        <w:t>（注：数据来源于财决</w:t>
      </w:r>
      <w:r>
        <w:rPr>
          <w:rFonts w:ascii="仿宋" w:eastAsia="仿宋"/>
          <w:b/>
          <w:sz w:val="32"/>
          <w:szCs w:val="32"/>
        </w:rPr>
        <w:t>01表</w:t>
      </w:r>
      <w:r>
        <w:rPr>
          <w:rFonts w:ascii="仿宋" w:eastAsia="仿宋" w:hint="eastAsia"/>
          <w:b/>
          <w:sz w:val="32"/>
          <w:szCs w:val="32"/>
        </w:rPr>
        <w:t>，仅罗列本单位涉及的收入。</w:t>
      </w:r>
      <w:r>
        <w:rPr>
          <w:rFonts w:ascii="仿宋" w:eastAsia="仿宋"/>
          <w:b/>
          <w:sz w:val="32"/>
          <w:szCs w:val="32"/>
        </w:rPr>
        <w:t>）</w:t>
      </w:r>
    </w:p>
    <w:p>
      <w:pPr>
        <w:spacing w:line="600" w:lineRule="exact"/>
        <w:ind w:firstLineChars="300" w:firstLine="630"/>
        <w:outlineLvl w:val="1"/>
        <w:rPr>
          <w:rStyle w:val="2Char"/>
          <w:rFonts w:ascii="黑体" w:eastAsia="黑体"/>
          <w:b w:val="0"/>
        </w:rPr>
      </w:pPr>
      <w:bookmarkStart w:id="22" w:name="_Toc15377207"/>
      <w:bookmarkStart w:id="23" w:name="_Toc15396605"/>
      <w:r>
        <w:drawing>
          <wp:anchor distT="0" distB="0" distL="114300" distR="114300" simplePos="0" relativeHeight="21" behindDoc="0" locked="0" layoutInCell="1" hidden="0" allowOverlap="1">
            <wp:simplePos x="0" y="0"/>
            <wp:positionH relativeFrom="column">
              <wp:posOffset>325120</wp:posOffset>
            </wp:positionH>
            <wp:positionV relativeFrom="paragraph">
              <wp:posOffset>5701029</wp:posOffset>
            </wp:positionV>
            <wp:extent cx="4572000" cy="2743200"/>
            <wp:effectExtent l="0" t="0" r="0" b="0"/>
            <wp:wrapTopAndBottom/>
            <wp:docPr id="2" name="图表 1"/>
            <wp:cNvGraphicFramePr>
              <a:graphicFrameLocks noChangeAspect="0"/>
            </wp:cNvGraphicFramePr>
            <a:graphic>
              <a:graphicData uri="http://schemas.openxmlformats.org/drawingml/2006/chart">
                <c:chart xmlns:c="http://schemas.openxmlformats.org/drawingml/2006/chart" r:id="rId5"/>
              </a:graphicData>
            </a:graphic>
          </wp:anchor>
        </w:drawing>
      </w:r>
      <w:r>
        <w:drawing>
          <wp:anchor distT="0" distB="0" distL="114300" distR="114300" simplePos="0" relativeHeight="19" behindDoc="0" locked="0" layoutInCell="1" hidden="0" allowOverlap="1">
            <wp:simplePos x="0" y="0"/>
            <wp:positionH relativeFrom="column">
              <wp:posOffset>271145</wp:posOffset>
            </wp:positionH>
            <wp:positionV relativeFrom="paragraph">
              <wp:posOffset>13969</wp:posOffset>
            </wp:positionV>
            <wp:extent cx="4572000" cy="2743200"/>
            <wp:effectExtent l="0" t="0" r="0" b="0"/>
            <wp:wrapTopAndBottom/>
            <wp:docPr id="3" name="图表 1"/>
            <wp:cNvGraphicFramePr>
              <a:graphicFrameLocks noChangeAspect="0"/>
            </wp:cNvGraphicFramePr>
            <a:graphic>
              <a:graphicData uri="http://schemas.openxmlformats.org/drawingml/2006/chart">
                <c:chart xmlns:c="http://schemas.openxmlformats.org/drawingml/2006/chart" r:id="rId6"/>
              </a:graphicData>
            </a:graphic>
          </wp:anchor>
        </w:drawing>
      </w:r>
      <w:r>
        <w:rPr>
          <w:rFonts w:ascii="黑体" w:eastAsia="黑体" w:hint="eastAsia"/>
          <w:sz w:val="32"/>
          <w:szCs w:val="32"/>
        </w:rPr>
        <w:t>三、支</w:t>
      </w:r>
      <w:r>
        <w:rPr>
          <w:rStyle w:val="2Char"/>
          <w:rFonts w:ascii="黑体" w:eastAsia="黑体" w:hint="eastAsia"/>
          <w:b w:val="0"/>
        </w:rPr>
        <w:t>出决算情况说明</w:t>
      </w:r>
      <w:bookmarkEnd w:id="22"/>
      <w:bookmarkEnd w:id="23"/>
    </w:p>
    <w:p>
      <w:pPr>
        <w:spacing w:line="600" w:lineRule="exact"/>
        <w:ind w:firstLineChars="200" w:firstLine="640"/>
        <w:outlineLvl w:val="1"/>
        <w:rPr>
          <w:rFonts w:ascii="仿宋" w:eastAsia="仿宋"/>
          <w:sz w:val="32"/>
          <w:szCs w:val="32"/>
        </w:rPr>
      </w:pPr>
      <w:r>
        <w:rPr>
          <w:rFonts w:ascii="仿宋" w:eastAsia="仿宋"/>
          <w:sz w:val="32"/>
          <w:szCs w:val="32"/>
        </w:rPr>
        <w:t>202</w:t>
      </w:r>
      <w:r>
        <w:rPr>
          <w:rFonts w:ascii="仿宋" w:eastAsia="仿宋" w:hint="eastAsia"/>
          <w:sz w:val="32"/>
          <w:szCs w:val="32"/>
        </w:rPr>
        <w:t>5年本年支出合计36.86万元，其中：基本支出36.86万元，占100</w:t>
      </w:r>
      <w:r>
        <w:rPr>
          <w:rFonts w:ascii="仿宋" w:eastAsia="仿宋"/>
          <w:sz w:val="32"/>
          <w:szCs w:val="32"/>
        </w:rPr>
        <w:t>%</w:t>
      </w:r>
      <w:r>
        <w:rPr>
          <w:rFonts w:ascii="仿宋" w:eastAsia="仿宋" w:hint="eastAsia"/>
          <w:sz w:val="32"/>
          <w:szCs w:val="32"/>
        </w:rPr>
        <w:t>；项目支出0万元，占0</w:t>
      </w:r>
      <w:r>
        <w:rPr>
          <w:rFonts w:ascii="仿宋" w:eastAsia="仿宋"/>
          <w:sz w:val="32"/>
          <w:szCs w:val="32"/>
        </w:rPr>
        <w:t>%</w:t>
      </w:r>
      <w:r>
        <w:rPr>
          <w:rFonts w:ascii="仿宋" w:eastAsia="仿宋" w:hint="eastAsia"/>
          <w:sz w:val="32"/>
          <w:szCs w:val="32"/>
        </w:rPr>
        <w:t>；上缴上级支出0万元，占0</w:t>
      </w:r>
      <w:r>
        <w:rPr>
          <w:rFonts w:ascii="仿宋" w:eastAsia="仿宋"/>
          <w:sz w:val="32"/>
          <w:szCs w:val="32"/>
        </w:rPr>
        <w:t>%</w:t>
      </w:r>
      <w:r>
        <w:rPr>
          <w:rFonts w:ascii="仿宋" w:eastAsia="仿宋" w:hint="eastAsia"/>
          <w:sz w:val="32"/>
          <w:szCs w:val="32"/>
        </w:rPr>
        <w:t>；经营支出0万元，占0</w:t>
      </w:r>
      <w:r>
        <w:rPr>
          <w:rFonts w:ascii="仿宋" w:eastAsia="仿宋"/>
          <w:sz w:val="32"/>
          <w:szCs w:val="32"/>
        </w:rPr>
        <w:t>%</w:t>
      </w:r>
      <w:r>
        <w:rPr>
          <w:rFonts w:ascii="仿宋" w:eastAsia="仿宋" w:hint="eastAsia"/>
          <w:sz w:val="32"/>
          <w:szCs w:val="32"/>
        </w:rPr>
        <w:t>；对附属单位补助支出0万元，占0</w:t>
      </w:r>
      <w:r>
        <w:rPr>
          <w:rFonts w:ascii="仿宋" w:eastAsia="仿宋"/>
          <w:sz w:val="32"/>
          <w:szCs w:val="32"/>
        </w:rPr>
        <w:t>%</w:t>
      </w:r>
      <w:r>
        <w:rPr>
          <w:rFonts w:ascii="仿宋" w:eastAsia="仿宋" w:hint="eastAsia"/>
          <w:sz w:val="32"/>
          <w:szCs w:val="32"/>
        </w:rPr>
        <w:t>。</w:t>
      </w:r>
    </w:p>
    <w:p>
      <w:pPr>
        <w:spacing w:line="600" w:lineRule="exact"/>
        <w:ind w:firstLineChars="200" w:firstLine="640"/>
        <w:outlineLvl w:val="1"/>
        <w:rPr>
          <w:rFonts w:ascii="仿宋" w:eastAsia="仿宋"/>
          <w:b/>
          <w:sz w:val="32"/>
          <w:szCs w:val="32"/>
        </w:rPr>
      </w:pPr>
      <w:r>
        <w:rPr>
          <w:rFonts w:ascii="仿宋" w:eastAsia="仿宋" w:hint="eastAsia"/>
          <w:b/>
          <w:sz w:val="32"/>
          <w:szCs w:val="32"/>
        </w:rPr>
        <w:t>（注：数据来源于财决</w:t>
      </w:r>
      <w:r>
        <w:rPr>
          <w:rFonts w:ascii="仿宋" w:eastAsia="仿宋"/>
          <w:b/>
          <w:sz w:val="32"/>
          <w:szCs w:val="32"/>
        </w:rPr>
        <w:t>04</w:t>
      </w:r>
      <w:r>
        <w:rPr>
          <w:rFonts w:ascii="仿宋" w:eastAsia="仿宋" w:hint="eastAsia"/>
          <w:b/>
          <w:sz w:val="32"/>
          <w:szCs w:val="32"/>
        </w:rPr>
        <w:t>表，仅罗列本单位涉及的支出。）</w:t>
      </w:r>
    </w:p>
    <w:p>
      <w:pPr>
        <w:spacing w:line="600" w:lineRule="exact"/>
        <w:ind w:firstLine="640"/>
        <w:rPr>
          <w:rFonts w:ascii="黑体" w:eastAsia="黑体"/>
          <w:sz w:val="32"/>
          <w:szCs w:val="32"/>
        </w:rPr>
      </w:pPr>
      <w:bookmarkStart w:id="24" w:name="_Toc15396606"/>
      <w:bookmarkStart w:id="25" w:name="_Toc15377208"/>
    </w:p>
    <w:p>
      <w:pPr>
        <w:spacing w:line="560" w:lineRule="exact"/>
        <w:ind w:firstLine="640"/>
        <w:rPr>
          <w:rStyle w:val="2Char"/>
          <w:rFonts w:ascii="黑体" w:eastAsia="黑体"/>
          <w:b w:val="0"/>
        </w:rPr>
      </w:pPr>
      <w:r>
        <w:rPr>
          <w:rFonts w:ascii="黑体" w:eastAsia="黑体" w:hint="eastAsia"/>
          <w:sz w:val="32"/>
          <w:szCs w:val="32"/>
        </w:rPr>
        <w:t>四、财</w:t>
      </w:r>
      <w:r>
        <w:rPr>
          <w:rStyle w:val="2Char"/>
          <w:rFonts w:ascii="黑体" w:eastAsia="黑体" w:hint="eastAsia"/>
          <w:b w:val="0"/>
        </w:rPr>
        <w:t>政拨款收入支出决算总体情况说明</w:t>
      </w:r>
      <w:bookmarkEnd w:id="24"/>
      <w:bookmarkEnd w:id="25"/>
    </w:p>
    <w:p>
      <w:pPr>
        <w:spacing w:line="560" w:lineRule="exact"/>
        <w:ind w:firstLineChars="200" w:firstLine="640"/>
        <w:rPr>
          <w:rFonts w:ascii="仿宋" w:eastAsia="仿宋"/>
          <w:sz w:val="32"/>
          <w:szCs w:val="32"/>
        </w:rPr>
      </w:pPr>
      <w:r>
        <w:rPr>
          <w:rFonts w:ascii="仿宋" w:eastAsia="仿宋"/>
          <w:sz w:val="32"/>
          <w:szCs w:val="32"/>
        </w:rPr>
        <w:t>202</w:t>
      </w:r>
      <w:r>
        <w:rPr>
          <w:rFonts w:ascii="仿宋" w:eastAsia="仿宋" w:hint="eastAsia"/>
          <w:sz w:val="32"/>
          <w:szCs w:val="32"/>
        </w:rPr>
        <w:t>5年财政拨款收、支总计36.86万元。与</w:t>
      </w:r>
      <w:r>
        <w:rPr>
          <w:rFonts w:ascii="仿宋" w:eastAsia="仿宋"/>
          <w:sz w:val="32"/>
          <w:szCs w:val="32"/>
        </w:rPr>
        <w:t>202</w:t>
      </w:r>
      <w:r>
        <w:rPr>
          <w:rFonts w:ascii="仿宋" w:eastAsia="仿宋" w:hint="eastAsia"/>
          <w:sz w:val="32"/>
          <w:szCs w:val="32"/>
        </w:rPr>
        <w:t>4年相比，财政拨款收、支总计各增加4.16万元，增长12.72</w:t>
      </w:r>
      <w:r>
        <w:rPr>
          <w:rFonts w:ascii="仿宋" w:eastAsia="仿宋"/>
          <w:sz w:val="32"/>
          <w:szCs w:val="32"/>
        </w:rPr>
        <w:t>%</w:t>
      </w:r>
      <w:r>
        <w:rPr>
          <w:rFonts w:ascii="仿宋" w:eastAsia="仿宋" w:hint="eastAsia"/>
          <w:sz w:val="32"/>
          <w:szCs w:val="32"/>
        </w:rPr>
        <w:t>。主要变动原因是2025年新增加福利费和在职职工体检费。</w:t>
      </w:r>
    </w:p>
    <w:p>
      <w:pPr>
        <w:spacing w:line="600" w:lineRule="exact"/>
        <w:ind w:firstLine="640"/>
        <w:rPr>
          <w:rFonts w:ascii="仿宋" w:eastAsia="仿宋"/>
          <w:b/>
          <w:sz w:val="32"/>
          <w:szCs w:val="32"/>
        </w:rPr>
      </w:pPr>
      <w:r>
        <w:rPr>
          <w:rFonts w:ascii="仿宋" w:eastAsia="仿宋" w:hint="eastAsia"/>
          <w:b/>
          <w:sz w:val="32"/>
          <w:szCs w:val="32"/>
        </w:rPr>
        <w:t>（注：数据来源于财决</w:t>
      </w:r>
      <w:r>
        <w:rPr>
          <w:rFonts w:ascii="仿宋" w:eastAsia="仿宋"/>
          <w:b/>
          <w:sz w:val="32"/>
          <w:szCs w:val="32"/>
        </w:rPr>
        <w:t>01-1</w:t>
      </w:r>
      <w:r>
        <w:rPr>
          <w:rFonts w:ascii="仿宋" w:eastAsia="仿宋" w:hint="eastAsia"/>
          <w:b/>
          <w:sz w:val="32"/>
          <w:szCs w:val="32"/>
        </w:rPr>
        <w:t>表</w:t>
      </w:r>
      <w:r>
        <w:rPr>
          <w:rFonts w:ascii="仿宋" w:eastAsia="仿宋"/>
          <w:b/>
          <w:sz w:val="32"/>
          <w:szCs w:val="32"/>
        </w:rPr>
        <w:t>）</w:t>
      </w:r>
    </w:p>
    <w:p>
      <w:pPr>
        <w:spacing w:line="560" w:lineRule="exact"/>
        <w:rPr>
          <w:rStyle w:val="2Char"/>
          <w:rFonts w:ascii="黑体" w:eastAsia="黑体"/>
          <w:b w:val="0"/>
        </w:rPr>
      </w:pPr>
      <w:bookmarkStart w:id="26" w:name="_Toc15377209"/>
      <w:bookmarkStart w:id="27" w:name="_Toc15396607"/>
      <w:r>
        <w:drawing>
          <wp:anchor distT="0" distB="0" distL="114300" distR="114300" simplePos="0" relativeHeight="23" behindDoc="0" locked="0" layoutInCell="1" hidden="0" allowOverlap="1">
            <wp:simplePos x="0" y="0"/>
            <wp:positionH relativeFrom="column">
              <wp:posOffset>290195</wp:posOffset>
            </wp:positionH>
            <wp:positionV relativeFrom="paragraph">
              <wp:posOffset>90170</wp:posOffset>
            </wp:positionV>
            <wp:extent cx="4524375" cy="2115820"/>
            <wp:effectExtent l="0" t="0" r="0" b="0"/>
            <wp:wrapTopAndBottom/>
            <wp:docPr id="4" name="图表 2"/>
            <wp:cNvGraphicFramePr>
              <a:graphicFrameLocks noChangeAspect="0"/>
            </wp:cNvGraphicFramePr>
            <a:graphic>
              <a:graphicData uri="http://schemas.openxmlformats.org/drawingml/2006/chart">
                <c:chart xmlns:c="http://schemas.openxmlformats.org/drawingml/2006/chart" r:id="rId7"/>
              </a:graphicData>
            </a:graphic>
          </wp:anchor>
        </w:drawing>
      </w:r>
      <w:r>
        <w:rPr>
          <w:rFonts w:hint="eastAsia"/>
        </w:rPr>
        <w:t xml:space="preserve">       </w:t>
      </w:r>
      <w:r>
        <w:rPr>
          <w:rFonts w:ascii="黑体" w:eastAsia="黑体" w:hint="eastAsia"/>
          <w:sz w:val="32"/>
          <w:szCs w:val="32"/>
        </w:rPr>
        <w:t>五、</w:t>
      </w:r>
      <w:r>
        <w:rPr>
          <w:rFonts w:ascii="黑体" w:eastAsia="黑体" w:hint="eastAsia"/>
          <w:b/>
          <w:sz w:val="32"/>
          <w:szCs w:val="32"/>
        </w:rPr>
        <w:t>一</w:t>
      </w:r>
      <w:r>
        <w:rPr>
          <w:rStyle w:val="2Char"/>
          <w:rFonts w:ascii="黑体" w:eastAsia="黑体" w:hint="eastAsia"/>
          <w:b w:val="0"/>
        </w:rPr>
        <w:t>般公共预算财政拨款支出决算情况说明</w:t>
      </w:r>
      <w:bookmarkEnd w:id="26"/>
      <w:bookmarkEnd w:id="27"/>
    </w:p>
    <w:p>
      <w:pPr>
        <w:spacing w:line="560" w:lineRule="exact"/>
        <w:ind w:firstLineChars="200" w:firstLine="640"/>
        <w:outlineLvl w:val="2"/>
        <w:rPr>
          <w:rFonts w:ascii="仿宋" w:eastAsia="仿宋"/>
          <w:b/>
          <w:sz w:val="32"/>
          <w:szCs w:val="32"/>
        </w:rPr>
      </w:pPr>
      <w:bookmarkStart w:id="28" w:name="_Toc15377210"/>
      <w:r>
        <w:rPr>
          <w:rFonts w:ascii="仿宋" w:eastAsia="仿宋" w:hint="eastAsia"/>
          <w:b/>
          <w:sz w:val="32"/>
          <w:szCs w:val="32"/>
        </w:rPr>
        <w:t>（一）一般公共预算财政拨款支出决算总体情况</w:t>
      </w:r>
      <w:bookmarkEnd w:id="28"/>
    </w:p>
    <w:p>
      <w:pPr>
        <w:spacing w:line="560" w:lineRule="exact"/>
        <w:ind w:firstLineChars="200" w:firstLine="420"/>
        <w:rPr>
          <w:rFonts w:ascii="仿宋" w:eastAsia="仿宋"/>
          <w:sz w:val="32"/>
          <w:szCs w:val="32"/>
        </w:rPr>
      </w:pPr>
      <w:r>
        <w:drawing>
          <wp:anchor distT="0" distB="0" distL="114300" distR="114300" simplePos="0" relativeHeight="25" behindDoc="0" locked="0" layoutInCell="1" hidden="0" allowOverlap="1">
            <wp:simplePos x="0" y="0"/>
            <wp:positionH relativeFrom="column">
              <wp:posOffset>633094</wp:posOffset>
            </wp:positionH>
            <wp:positionV relativeFrom="paragraph">
              <wp:posOffset>1988820</wp:posOffset>
            </wp:positionV>
            <wp:extent cx="4277359" cy="1991994"/>
            <wp:effectExtent l="0" t="0" r="0" b="0"/>
            <wp:wrapTopAndBottom/>
            <wp:docPr id="5" name="图表 1"/>
            <wp:cNvGraphicFramePr>
              <a:graphicFrameLocks noChangeAspect="0"/>
            </wp:cNvGraphicFramePr>
            <a:graphic>
              <a:graphicData uri="http://schemas.openxmlformats.org/drawingml/2006/chart">
                <c:chart xmlns:c="http://schemas.openxmlformats.org/drawingml/2006/chart" r:id="rId8"/>
              </a:graphicData>
            </a:graphic>
          </wp:anchor>
        </w:drawing>
      </w:r>
      <w:r>
        <w:rPr>
          <w:rFonts w:ascii="仿宋" w:eastAsia="仿宋"/>
          <w:sz w:val="32"/>
          <w:szCs w:val="32"/>
        </w:rPr>
        <w:t>202</w:t>
      </w:r>
      <w:r>
        <w:rPr>
          <w:rFonts w:ascii="仿宋" w:eastAsia="仿宋" w:hint="eastAsia"/>
          <w:sz w:val="32"/>
          <w:szCs w:val="32"/>
        </w:rPr>
        <w:t>5年一般公共预算财政拨款支出36.86万元，占本年支出合计的100</w:t>
      </w:r>
      <w:r>
        <w:rPr>
          <w:rFonts w:ascii="仿宋" w:eastAsia="仿宋"/>
          <w:sz w:val="32"/>
          <w:szCs w:val="32"/>
        </w:rPr>
        <w:t>%</w:t>
      </w:r>
      <w:r>
        <w:rPr>
          <w:rFonts w:ascii="仿宋" w:eastAsia="仿宋" w:hint="eastAsia"/>
          <w:sz w:val="32"/>
          <w:szCs w:val="32"/>
        </w:rPr>
        <w:t>。与</w:t>
      </w:r>
      <w:r>
        <w:rPr>
          <w:rFonts w:ascii="仿宋" w:eastAsia="仿宋"/>
          <w:sz w:val="32"/>
          <w:szCs w:val="32"/>
        </w:rPr>
        <w:t>202</w:t>
      </w:r>
      <w:r>
        <w:rPr>
          <w:rFonts w:ascii="仿宋" w:eastAsia="仿宋" w:hint="eastAsia"/>
          <w:sz w:val="32"/>
          <w:szCs w:val="32"/>
        </w:rPr>
        <w:t>4年相比，一般公共预算财政拨款支出增加4.16万元，增长112.72</w:t>
      </w:r>
      <w:r>
        <w:rPr>
          <w:rFonts w:ascii="仿宋" w:eastAsia="仿宋"/>
          <w:sz w:val="32"/>
          <w:szCs w:val="32"/>
        </w:rPr>
        <w:t>%</w:t>
      </w:r>
      <w:r>
        <w:rPr>
          <w:rFonts w:ascii="仿宋" w:eastAsia="仿宋" w:hint="eastAsia"/>
          <w:sz w:val="32"/>
          <w:szCs w:val="32"/>
        </w:rPr>
        <w:t>。主要变动原因是2025年新增加福利费和在职职工体检费。</w:t>
      </w:r>
    </w:p>
    <w:p>
      <w:pPr>
        <w:spacing w:line="600" w:lineRule="exact"/>
        <w:ind w:firstLineChars="200" w:firstLine="640"/>
        <w:rPr>
          <w:rFonts w:ascii="仿宋" w:eastAsia="仿宋"/>
          <w:sz w:val="32"/>
          <w:szCs w:val="32"/>
        </w:rPr>
      </w:pPr>
    </w:p>
    <w:p>
      <w:pPr>
        <w:spacing w:line="600" w:lineRule="exact"/>
        <w:ind w:firstLineChars="200" w:firstLine="640"/>
        <w:outlineLvl w:val="2"/>
        <w:rPr>
          <w:rFonts w:ascii="仿宋" w:eastAsia="仿宋"/>
          <w:b/>
          <w:sz w:val="32"/>
          <w:szCs w:val="32"/>
        </w:rPr>
      </w:pPr>
      <w:bookmarkStart w:id="29" w:name="_Toc15377211"/>
      <w:r>
        <w:rPr>
          <w:rFonts w:ascii="仿宋" w:eastAsia="仿宋" w:hint="eastAsia"/>
          <w:b/>
          <w:sz w:val="32"/>
          <w:szCs w:val="32"/>
        </w:rPr>
        <w:t>（二）一般公共预算财政拨款支出决算结构情况</w:t>
      </w:r>
      <w:bookmarkEnd w:id="29"/>
    </w:p>
    <w:p>
      <w:pPr>
        <w:spacing w:line="600" w:lineRule="exact"/>
        <w:ind w:firstLine="640"/>
        <w:rPr>
          <w:rFonts w:ascii="仿宋" w:eastAsia="仿宋"/>
          <w:b/>
          <w:sz w:val="32"/>
          <w:szCs w:val="32"/>
        </w:rPr>
      </w:pPr>
      <w:r>
        <w:rPr>
          <w:rFonts w:ascii="仿宋" w:eastAsia="仿宋"/>
          <w:sz w:val="32"/>
          <w:szCs w:val="32"/>
        </w:rPr>
        <w:t>202</w:t>
      </w:r>
      <w:r>
        <w:rPr>
          <w:rFonts w:ascii="仿宋" w:eastAsia="仿宋" w:hint="eastAsia"/>
          <w:sz w:val="32"/>
          <w:szCs w:val="32"/>
        </w:rPr>
        <w:t>5年一般公共预算财政拨款支出36.86万元，主要用于以下方面</w:t>
      </w:r>
      <w:r>
        <w:rPr>
          <w:rFonts w:ascii="仿宋" w:eastAsia="仿宋"/>
          <w:sz w:val="32"/>
          <w:szCs w:val="32"/>
        </w:rPr>
        <w:t>:</w:t>
      </w:r>
      <w:r>
        <w:rPr>
          <w:rFonts w:ascii="仿宋" w:eastAsia="仿宋" w:hint="eastAsia"/>
          <w:b/>
          <w:sz w:val="32"/>
          <w:szCs w:val="32"/>
        </w:rPr>
        <w:t>一般公共服务</w:t>
      </w:r>
      <w:r>
        <w:rPr>
          <w:rFonts w:ascii="仿宋" w:eastAsia="仿宋" w:hint="eastAsia"/>
          <w:b/>
          <w:bCs/>
          <w:sz w:val="32"/>
          <w:szCs w:val="32"/>
        </w:rPr>
        <w:t>支出</w:t>
      </w:r>
      <w:r>
        <w:rPr>
          <w:rFonts w:ascii="仿宋" w:eastAsia="仿宋" w:hint="eastAsia"/>
          <w:sz w:val="32"/>
          <w:szCs w:val="32"/>
        </w:rPr>
        <w:t>27.68万元，占75.09</w:t>
      </w:r>
      <w:r>
        <w:rPr>
          <w:rFonts w:ascii="仿宋" w:eastAsia="仿宋"/>
          <w:sz w:val="32"/>
          <w:szCs w:val="32"/>
        </w:rPr>
        <w:t>%</w:t>
      </w:r>
      <w:r>
        <w:rPr>
          <w:rFonts w:ascii="仿宋" w:eastAsia="仿宋" w:hint="eastAsia"/>
          <w:sz w:val="32"/>
          <w:szCs w:val="32"/>
        </w:rPr>
        <w:t>；</w:t>
      </w:r>
      <w:r>
        <w:rPr>
          <w:rFonts w:ascii="仿宋" w:eastAsia="仿宋" w:hint="eastAsia"/>
          <w:b/>
          <w:sz w:val="32"/>
          <w:szCs w:val="32"/>
        </w:rPr>
        <w:t>教育支出</w:t>
      </w:r>
      <w:r>
        <w:rPr>
          <w:rFonts w:ascii="仿宋" w:eastAsia="仿宋" w:hint="eastAsia"/>
          <w:sz w:val="32"/>
          <w:szCs w:val="32"/>
        </w:rPr>
        <w:t>0万元，占0</w:t>
      </w:r>
      <w:r>
        <w:rPr>
          <w:rFonts w:ascii="仿宋" w:eastAsia="仿宋"/>
          <w:sz w:val="32"/>
          <w:szCs w:val="32"/>
        </w:rPr>
        <w:t>%</w:t>
      </w:r>
      <w:r>
        <w:rPr>
          <w:rFonts w:ascii="仿宋" w:eastAsia="仿宋" w:hint="eastAsia"/>
          <w:sz w:val="32"/>
          <w:szCs w:val="32"/>
        </w:rPr>
        <w:t>；</w:t>
      </w:r>
      <w:r>
        <w:rPr>
          <w:rFonts w:ascii="仿宋" w:eastAsia="仿宋" w:hint="eastAsia"/>
          <w:b/>
          <w:sz w:val="32"/>
          <w:szCs w:val="32"/>
        </w:rPr>
        <w:t>科学技术</w:t>
      </w:r>
      <w:r>
        <w:rPr>
          <w:rFonts w:ascii="仿宋" w:eastAsia="仿宋" w:hint="eastAsia"/>
          <w:b/>
          <w:bCs/>
          <w:sz w:val="32"/>
          <w:szCs w:val="32"/>
        </w:rPr>
        <w:t>支出</w:t>
      </w:r>
      <w:r>
        <w:rPr>
          <w:rFonts w:ascii="仿宋" w:eastAsia="仿宋" w:hint="eastAsia"/>
          <w:sz w:val="32"/>
          <w:szCs w:val="32"/>
        </w:rPr>
        <w:t>0万元，占0</w:t>
      </w:r>
      <w:r>
        <w:rPr>
          <w:rFonts w:ascii="仿宋" w:eastAsia="仿宋"/>
          <w:sz w:val="32"/>
          <w:szCs w:val="32"/>
        </w:rPr>
        <w:t>%</w:t>
      </w:r>
      <w:r>
        <w:rPr>
          <w:rFonts w:ascii="仿宋" w:eastAsia="仿宋" w:hint="eastAsia"/>
          <w:sz w:val="32"/>
          <w:szCs w:val="32"/>
        </w:rPr>
        <w:t>；</w:t>
      </w:r>
      <w:r>
        <w:rPr>
          <w:rFonts w:ascii="仿宋" w:eastAsia="仿宋" w:hint="eastAsia"/>
          <w:b/>
          <w:bCs/>
          <w:sz w:val="32"/>
          <w:szCs w:val="32"/>
        </w:rPr>
        <w:t>文化旅游体育与传媒支出0万元，占0</w:t>
      </w:r>
      <w:r>
        <w:rPr>
          <w:rFonts w:ascii="仿宋" w:eastAsia="仿宋"/>
          <w:b/>
          <w:bCs/>
          <w:sz w:val="32"/>
          <w:szCs w:val="32"/>
        </w:rPr>
        <w:t>%</w:t>
      </w:r>
      <w:r>
        <w:rPr>
          <w:rFonts w:ascii="仿宋" w:eastAsia="仿宋" w:hint="eastAsia"/>
          <w:sz w:val="32"/>
          <w:szCs w:val="32"/>
        </w:rPr>
        <w:t>；</w:t>
      </w:r>
      <w:r>
        <w:rPr>
          <w:rFonts w:ascii="仿宋" w:eastAsia="仿宋" w:hint="eastAsia"/>
          <w:b/>
          <w:sz w:val="32"/>
          <w:szCs w:val="32"/>
        </w:rPr>
        <w:t>社会保障和就业</w:t>
      </w:r>
      <w:r>
        <w:rPr>
          <w:rFonts w:ascii="仿宋" w:eastAsia="仿宋" w:hint="eastAsia"/>
          <w:b/>
          <w:bCs/>
          <w:sz w:val="32"/>
          <w:szCs w:val="32"/>
        </w:rPr>
        <w:t>支出4.62</w:t>
      </w:r>
      <w:r>
        <w:rPr>
          <w:rFonts w:ascii="仿宋" w:eastAsia="仿宋" w:hint="eastAsia"/>
          <w:sz w:val="32"/>
          <w:szCs w:val="32"/>
        </w:rPr>
        <w:t>万元，占12.53</w:t>
      </w:r>
      <w:r>
        <w:rPr>
          <w:rFonts w:ascii="仿宋" w:eastAsia="仿宋"/>
          <w:sz w:val="32"/>
          <w:szCs w:val="32"/>
        </w:rPr>
        <w:t>%</w:t>
      </w:r>
      <w:r>
        <w:rPr>
          <w:rFonts w:ascii="仿宋" w:eastAsia="仿宋" w:hint="eastAsia"/>
          <w:sz w:val="32"/>
          <w:szCs w:val="32"/>
        </w:rPr>
        <w:t>；</w:t>
      </w:r>
      <w:r>
        <w:rPr>
          <w:rFonts w:ascii="仿宋" w:eastAsia="仿宋" w:hint="eastAsia"/>
          <w:b/>
          <w:bCs/>
          <w:sz w:val="32"/>
          <w:szCs w:val="32"/>
        </w:rPr>
        <w:t>卫生健康支出1.86</w:t>
      </w:r>
      <w:r>
        <w:rPr>
          <w:rFonts w:ascii="仿宋" w:eastAsia="仿宋" w:hint="eastAsia"/>
          <w:sz w:val="32"/>
          <w:szCs w:val="32"/>
        </w:rPr>
        <w:t>万元，占5.05</w:t>
      </w:r>
      <w:r>
        <w:rPr>
          <w:rFonts w:ascii="仿宋" w:eastAsia="仿宋"/>
          <w:sz w:val="32"/>
          <w:szCs w:val="32"/>
        </w:rPr>
        <w:t>%</w:t>
      </w:r>
      <w:r>
        <w:rPr>
          <w:rFonts w:ascii="仿宋" w:eastAsia="仿宋" w:hint="eastAsia"/>
          <w:sz w:val="32"/>
          <w:szCs w:val="32"/>
        </w:rPr>
        <w:t>；</w:t>
      </w:r>
      <w:r>
        <w:rPr>
          <w:rFonts w:ascii="仿宋" w:eastAsia="仿宋" w:hint="eastAsia"/>
          <w:b/>
          <w:bCs/>
          <w:sz w:val="32"/>
          <w:szCs w:val="32"/>
        </w:rPr>
        <w:t>住房保障支出2.70</w:t>
      </w:r>
      <w:r>
        <w:rPr>
          <w:rFonts w:ascii="仿宋" w:eastAsia="仿宋" w:hint="eastAsia"/>
          <w:sz w:val="32"/>
          <w:szCs w:val="32"/>
        </w:rPr>
        <w:t>万元，占7.33</w:t>
      </w:r>
      <w:r>
        <w:rPr>
          <w:rFonts w:ascii="仿宋" w:eastAsia="仿宋"/>
          <w:sz w:val="32"/>
          <w:szCs w:val="32"/>
        </w:rPr>
        <w:t>%</w:t>
      </w:r>
      <w:r>
        <w:rPr>
          <w:rFonts w:ascii="仿宋" w:eastAsia="仿宋" w:hint="eastAsia"/>
          <w:sz w:val="32"/>
          <w:szCs w:val="32"/>
        </w:rPr>
        <w:t>。</w:t>
      </w:r>
    </w:p>
    <w:p>
      <w:pPr>
        <w:spacing w:line="600" w:lineRule="exact"/>
        <w:ind w:firstLine="640"/>
        <w:rPr>
          <w:rFonts w:ascii="仿宋" w:eastAsia="仿宋"/>
          <w:b/>
          <w:sz w:val="32"/>
          <w:szCs w:val="32"/>
        </w:rPr>
      </w:pPr>
      <w:r>
        <w:drawing>
          <wp:anchor distT="0" distB="0" distL="114300" distR="114300" simplePos="0" relativeHeight="27" behindDoc="0" locked="0" layoutInCell="1" hidden="0" allowOverlap="1">
            <wp:simplePos x="0" y="0"/>
            <wp:positionH relativeFrom="column">
              <wp:posOffset>99695</wp:posOffset>
            </wp:positionH>
            <wp:positionV relativeFrom="paragraph">
              <wp:posOffset>833119</wp:posOffset>
            </wp:positionV>
            <wp:extent cx="5181600" cy="3181984"/>
            <wp:effectExtent l="0" t="0" r="0" b="0"/>
            <wp:wrapTopAndBottom/>
            <wp:docPr id="6" name="图表 1"/>
            <wp:cNvGraphicFramePr>
              <a:graphicFrameLocks noChangeAspect="0"/>
            </wp:cNvGraphicFramePr>
            <a:graphic>
              <a:graphicData uri="http://schemas.openxmlformats.org/drawingml/2006/chart">
                <c:chart xmlns:c="http://schemas.openxmlformats.org/drawingml/2006/chart" r:id="rId9"/>
              </a:graphicData>
            </a:graphic>
          </wp:anchor>
        </w:drawing>
      </w:r>
      <w:r>
        <w:rPr>
          <w:rFonts w:ascii="仿宋" w:eastAsia="仿宋" w:hint="eastAsia"/>
          <w:b/>
          <w:sz w:val="32"/>
          <w:szCs w:val="32"/>
        </w:rPr>
        <w:t>（注：数据来源于财决01-1表，仅罗列本单位涉及的全部功能分类科目，至类级。）</w:t>
      </w:r>
    </w:p>
    <w:p>
      <w:pPr>
        <w:spacing w:line="600" w:lineRule="exact"/>
        <w:ind w:firstLineChars="200" w:firstLine="640"/>
        <w:outlineLvl w:val="2"/>
        <w:rPr>
          <w:rFonts w:ascii="仿宋" w:eastAsia="仿宋"/>
          <w:b/>
          <w:sz w:val="32"/>
          <w:szCs w:val="32"/>
        </w:rPr>
      </w:pPr>
      <w:bookmarkStart w:id="30" w:name="_Toc15377212"/>
      <w:r>
        <w:rPr>
          <w:rFonts w:ascii="仿宋" w:eastAsia="仿宋" w:hint="eastAsia"/>
          <w:b/>
          <w:sz w:val="32"/>
          <w:szCs w:val="32"/>
        </w:rPr>
        <w:t>（三）一般公共预算财政拨款支出决算具体情况</w:t>
      </w:r>
      <w:bookmarkEnd w:id="30"/>
    </w:p>
    <w:p>
      <w:pPr>
        <w:spacing w:line="600" w:lineRule="exact"/>
        <w:ind w:firstLineChars="200" w:firstLine="640"/>
        <w:outlineLvl w:val="2"/>
        <w:rPr>
          <w:rFonts w:ascii="仿宋" w:eastAsia="仿宋"/>
          <w:sz w:val="32"/>
          <w:szCs w:val="32"/>
        </w:rPr>
      </w:pPr>
      <w:bookmarkStart w:id="31" w:name="_Toc15377213"/>
      <w:bookmarkStart w:id="32" w:name="_Toc15377444"/>
      <w:bookmarkStart w:id="33" w:name="_Toc15378460"/>
      <w:r>
        <w:rPr>
          <w:rFonts w:ascii="仿宋" w:eastAsia="仿宋" w:hint="eastAsia"/>
          <w:b/>
          <w:sz w:val="32"/>
          <w:szCs w:val="32"/>
        </w:rPr>
        <w:t>2025年一般公共预算支出决算数为36.86万元</w:t>
      </w:r>
      <w:r>
        <w:rPr>
          <w:rFonts w:ascii="仿宋" w:eastAsia="仿宋" w:hint="eastAsia"/>
          <w:sz w:val="32"/>
          <w:szCs w:val="32"/>
        </w:rPr>
        <w:t>，</w:t>
      </w:r>
      <w:r>
        <w:rPr>
          <w:rStyle w:val="24"/>
          <w:rFonts w:ascii="仿宋" w:eastAsia="仿宋" w:hint="eastAsia"/>
          <w:bCs/>
          <w:sz w:val="32"/>
          <w:szCs w:val="32"/>
        </w:rPr>
        <w:t>完成预算100</w:t>
      </w:r>
      <w:r>
        <w:rPr>
          <w:rStyle w:val="24"/>
          <w:rFonts w:ascii="仿宋" w:eastAsia="仿宋"/>
          <w:bCs/>
          <w:sz w:val="32"/>
          <w:szCs w:val="32"/>
        </w:rPr>
        <w:t>%</w:t>
      </w:r>
      <w:r>
        <w:rPr>
          <w:rStyle w:val="24"/>
          <w:rFonts w:ascii="仿宋" w:eastAsia="仿宋" w:hint="eastAsia"/>
          <w:bCs/>
          <w:sz w:val="32"/>
          <w:szCs w:val="32"/>
        </w:rPr>
        <w:t>。其中：</w:t>
      </w:r>
      <w:bookmarkEnd w:id="31"/>
      <w:bookmarkEnd w:id="32"/>
      <w:bookmarkEnd w:id="33"/>
    </w:p>
    <w:p>
      <w:pPr>
        <w:spacing w:line="576" w:lineRule="exact"/>
        <w:ind w:firstLineChars="200" w:firstLine="640"/>
        <w:rPr>
          <w:rFonts w:ascii="仿宋_GB2312" w:eastAsia="仿宋_GB2312" w:cs="仿宋_GB2312"/>
          <w:b/>
          <w:sz w:val="32"/>
          <w:szCs w:val="32"/>
        </w:rPr>
      </w:pPr>
      <w:r>
        <w:rPr>
          <w:rStyle w:val="24"/>
          <w:rFonts w:ascii="仿宋_GB2312" w:eastAsia="仿宋_GB2312" w:cs="仿宋_GB2312" w:hint="eastAsia"/>
          <w:bCs/>
          <w:sz w:val="32"/>
          <w:szCs w:val="32"/>
        </w:rPr>
        <w:t>1.一般公共服务（类）</w:t>
      </w:r>
      <w:r>
        <w:rPr>
          <w:rStyle w:val="24"/>
          <w:rFonts w:ascii="仿宋" w:eastAsia="仿宋" w:hint="eastAsia"/>
          <w:bCs/>
          <w:sz w:val="32"/>
          <w:szCs w:val="32"/>
        </w:rPr>
        <w:t>统计信息事务</w:t>
      </w:r>
      <w:r>
        <w:rPr>
          <w:rStyle w:val="24"/>
          <w:rFonts w:ascii="仿宋_GB2312" w:eastAsia="仿宋_GB2312" w:cs="仿宋_GB2312" w:hint="eastAsia"/>
          <w:bCs/>
          <w:sz w:val="32"/>
          <w:szCs w:val="32"/>
        </w:rPr>
        <w:t>（款）事业运行（项）:</w:t>
      </w:r>
      <w:r>
        <w:rPr>
          <w:rStyle w:val="24"/>
          <w:rFonts w:ascii="仿宋_GB2312" w:eastAsia="仿宋_GB2312" w:cs="仿宋_GB2312" w:hint="eastAsia"/>
          <w:b w:val="0"/>
          <w:bCs/>
          <w:sz w:val="32"/>
          <w:szCs w:val="32"/>
        </w:rPr>
        <w:t xml:space="preserve"> 支出决算为27.68万元，完成预算100%，与预算数持平。</w:t>
      </w:r>
    </w:p>
    <w:p>
      <w:pPr>
        <w:spacing w:line="576" w:lineRule="exact"/>
        <w:ind w:firstLineChars="200" w:firstLine="640"/>
        <w:rPr>
          <w:rFonts w:ascii="仿宋_GB2312" w:eastAsia="仿宋_GB2312" w:cs="仿宋_GB2312"/>
          <w:b/>
          <w:sz w:val="32"/>
          <w:szCs w:val="32"/>
        </w:rPr>
      </w:pPr>
      <w:r>
        <w:rPr>
          <w:rStyle w:val="24"/>
          <w:rFonts w:ascii="仿宋_GB2312" w:eastAsia="仿宋_GB2312" w:cs="仿宋_GB2312" w:hint="eastAsia"/>
          <w:bCs/>
          <w:sz w:val="32"/>
          <w:szCs w:val="32"/>
        </w:rPr>
        <w:t>2.社会保障和就业（类）</w:t>
      </w:r>
      <w:r>
        <w:rPr>
          <w:rStyle w:val="24"/>
          <w:rFonts w:ascii="仿宋" w:eastAsia="仿宋" w:hint="eastAsia"/>
          <w:bCs/>
          <w:sz w:val="32"/>
          <w:szCs w:val="32"/>
        </w:rPr>
        <w:t>行政事业单位养老支出</w:t>
      </w:r>
      <w:r>
        <w:rPr>
          <w:rStyle w:val="24"/>
          <w:rFonts w:ascii="仿宋_GB2312" w:eastAsia="仿宋_GB2312" w:cs="仿宋_GB2312" w:hint="eastAsia"/>
          <w:bCs/>
          <w:sz w:val="32"/>
          <w:szCs w:val="32"/>
        </w:rPr>
        <w:t>（款）</w:t>
      </w:r>
      <w:r>
        <w:rPr>
          <w:rStyle w:val="24"/>
          <w:rFonts w:ascii="仿宋" w:eastAsia="仿宋" w:hint="eastAsia"/>
          <w:sz w:val="32"/>
          <w:szCs w:val="32"/>
        </w:rPr>
        <w:t>机关事业单位基本养老保险缴费支出</w:t>
      </w:r>
      <w:r>
        <w:rPr>
          <w:rStyle w:val="24"/>
          <w:rFonts w:ascii="仿宋_GB2312" w:eastAsia="仿宋_GB2312" w:cs="仿宋_GB2312" w:hint="eastAsia"/>
          <w:bCs/>
          <w:sz w:val="32"/>
          <w:szCs w:val="32"/>
        </w:rPr>
        <w:t>（项）:</w:t>
      </w:r>
      <w:r>
        <w:rPr>
          <w:rStyle w:val="24"/>
          <w:rFonts w:ascii="仿宋_GB2312" w:eastAsia="仿宋_GB2312" w:cs="仿宋_GB2312" w:hint="eastAsia"/>
          <w:b w:val="0"/>
          <w:bCs/>
          <w:sz w:val="32"/>
          <w:szCs w:val="32"/>
        </w:rPr>
        <w:t xml:space="preserve"> 支出决算为3.08万元，完成预算100%，与预算数持平。</w:t>
      </w:r>
    </w:p>
    <w:p>
      <w:pPr>
        <w:spacing w:line="576" w:lineRule="exact"/>
        <w:ind w:firstLineChars="200" w:firstLine="640"/>
      </w:pPr>
      <w:r>
        <w:rPr>
          <w:rStyle w:val="24"/>
          <w:rFonts w:ascii="仿宋_GB2312" w:eastAsia="仿宋_GB2312" w:cs="仿宋_GB2312" w:hint="eastAsia"/>
          <w:bCs/>
          <w:sz w:val="32"/>
          <w:szCs w:val="32"/>
        </w:rPr>
        <w:t>3.社会保障和就业（类）</w:t>
      </w:r>
      <w:r>
        <w:rPr>
          <w:rStyle w:val="24"/>
          <w:rFonts w:ascii="仿宋" w:eastAsia="仿宋" w:hint="eastAsia"/>
          <w:bCs/>
          <w:sz w:val="32"/>
          <w:szCs w:val="32"/>
        </w:rPr>
        <w:t>行政事业单位养老支出</w:t>
      </w:r>
      <w:r>
        <w:rPr>
          <w:rStyle w:val="24"/>
          <w:rFonts w:ascii="仿宋_GB2312" w:eastAsia="仿宋_GB2312" w:cs="仿宋_GB2312" w:hint="eastAsia"/>
          <w:bCs/>
          <w:sz w:val="32"/>
          <w:szCs w:val="32"/>
        </w:rPr>
        <w:t>（款）</w:t>
      </w:r>
      <w:r>
        <w:rPr>
          <w:rStyle w:val="24"/>
          <w:rFonts w:ascii="仿宋" w:eastAsia="仿宋" w:hint="eastAsia"/>
          <w:sz w:val="32"/>
          <w:szCs w:val="32"/>
        </w:rPr>
        <w:t>机关事业单位职业年金缴费支出</w:t>
      </w:r>
      <w:r>
        <w:rPr>
          <w:rStyle w:val="24"/>
          <w:rFonts w:ascii="仿宋_GB2312" w:eastAsia="仿宋_GB2312" w:cs="仿宋_GB2312" w:hint="eastAsia"/>
          <w:bCs/>
          <w:sz w:val="32"/>
          <w:szCs w:val="32"/>
        </w:rPr>
        <w:t>（项）:</w:t>
      </w:r>
      <w:r>
        <w:rPr>
          <w:rStyle w:val="24"/>
          <w:rFonts w:ascii="仿宋_GB2312" w:eastAsia="仿宋_GB2312" w:cs="仿宋_GB2312" w:hint="eastAsia"/>
          <w:b w:val="0"/>
          <w:bCs/>
          <w:sz w:val="32"/>
          <w:szCs w:val="32"/>
        </w:rPr>
        <w:t xml:space="preserve"> 支出决算为1.54万元，完成预算100%，与预算数持平。</w:t>
      </w:r>
    </w:p>
    <w:p>
      <w:pPr>
        <w:spacing w:line="576" w:lineRule="exact"/>
        <w:ind w:firstLineChars="200" w:firstLine="640"/>
        <w:rPr>
          <w:rStyle w:val="24"/>
          <w:rFonts w:ascii="仿宋_GB2312" w:eastAsia="仿宋_GB2312" w:cs="仿宋_GB2312"/>
          <w:b w:val="0"/>
          <w:bCs/>
          <w:sz w:val="32"/>
          <w:szCs w:val="32"/>
        </w:rPr>
      </w:pPr>
      <w:r>
        <w:rPr>
          <w:rStyle w:val="24"/>
          <w:rFonts w:ascii="仿宋_GB2312" w:eastAsia="仿宋_GB2312" w:cs="仿宋_GB2312" w:hint="eastAsia"/>
          <w:bCs/>
          <w:sz w:val="32"/>
          <w:szCs w:val="32"/>
        </w:rPr>
        <w:t>4.</w:t>
      </w:r>
      <w:r>
        <w:rPr>
          <w:rFonts w:ascii="仿宋_GB2312" w:eastAsia="仿宋_GB2312" w:cs="仿宋_GB2312" w:hint="eastAsia"/>
          <w:b/>
          <w:bCs/>
          <w:sz w:val="32"/>
          <w:szCs w:val="32"/>
        </w:rPr>
        <w:t>卫生健康</w:t>
      </w:r>
      <w:r>
        <w:rPr>
          <w:rStyle w:val="24"/>
          <w:rFonts w:ascii="仿宋_GB2312" w:eastAsia="仿宋_GB2312" w:cs="仿宋_GB2312" w:hint="eastAsia"/>
          <w:bCs/>
          <w:sz w:val="32"/>
          <w:szCs w:val="32"/>
        </w:rPr>
        <w:t>（类）</w:t>
      </w:r>
      <w:r>
        <w:rPr>
          <w:rStyle w:val="24"/>
          <w:rFonts w:ascii="仿宋" w:eastAsia="仿宋" w:hint="eastAsia"/>
          <w:sz w:val="32"/>
          <w:szCs w:val="32"/>
        </w:rPr>
        <w:t>行政事业单位医疗</w:t>
      </w:r>
      <w:r>
        <w:rPr>
          <w:rStyle w:val="24"/>
          <w:rFonts w:ascii="仿宋_GB2312" w:eastAsia="仿宋_GB2312" w:cs="仿宋_GB2312" w:hint="eastAsia"/>
          <w:bCs/>
          <w:sz w:val="32"/>
          <w:szCs w:val="32"/>
        </w:rPr>
        <w:t>（款）事业单位医疗02（项）:</w:t>
      </w:r>
      <w:r>
        <w:rPr>
          <w:rStyle w:val="24"/>
          <w:rFonts w:ascii="仿宋_GB2312" w:eastAsia="仿宋_GB2312" w:cs="仿宋_GB2312" w:hint="eastAsia"/>
          <w:b w:val="0"/>
          <w:bCs/>
          <w:sz w:val="32"/>
          <w:szCs w:val="32"/>
        </w:rPr>
        <w:t>支出决算为1.49万元，完成预算100%，与预算数持平。</w:t>
      </w:r>
    </w:p>
    <w:p>
      <w:pPr>
        <w:spacing w:line="576" w:lineRule="exact"/>
        <w:ind w:firstLineChars="200" w:firstLine="640"/>
        <w:rPr>
          <w:rFonts w:eastAsia="仿宋_GB2312"/>
        </w:rPr>
      </w:pPr>
      <w:r>
        <w:rPr>
          <w:rFonts w:cs="仿宋_GB2312" w:hint="eastAsia"/>
          <w:b/>
          <w:bCs/>
          <w:sz w:val="32"/>
          <w:szCs w:val="32"/>
        </w:rPr>
        <w:t>5.</w:t>
      </w:r>
      <w:r>
        <w:rPr>
          <w:rFonts w:ascii="仿宋_GB2312" w:eastAsia="仿宋_GB2312" w:cs="仿宋_GB2312" w:hint="eastAsia"/>
          <w:b/>
          <w:bCs/>
          <w:sz w:val="32"/>
          <w:szCs w:val="32"/>
        </w:rPr>
        <w:t>卫生健康</w:t>
      </w:r>
      <w:r>
        <w:rPr>
          <w:rFonts w:ascii="仿宋_GB2312" w:eastAsia="仿宋_GB2312" w:cs="仿宋_GB2312" w:hint="eastAsia"/>
          <w:b/>
          <w:bCs/>
          <w:sz w:val="32"/>
          <w:szCs w:val="32"/>
          <w:lang w:eastAsia="zh-CN"/>
        </w:rPr>
        <w:t>支出</w:t>
      </w:r>
      <w:r>
        <w:rPr>
          <w:rStyle w:val="24"/>
          <w:rFonts w:ascii="仿宋_GB2312" w:eastAsia="仿宋_GB2312" w:cs="仿宋_GB2312" w:hint="eastAsia"/>
          <w:bCs/>
          <w:sz w:val="32"/>
          <w:szCs w:val="32"/>
        </w:rPr>
        <w:t>（类）</w:t>
      </w:r>
      <w:r>
        <w:rPr>
          <w:rStyle w:val="24"/>
          <w:rFonts w:ascii="仿宋" w:eastAsia="仿宋" w:hint="eastAsia"/>
          <w:sz w:val="32"/>
          <w:szCs w:val="32"/>
        </w:rPr>
        <w:t>行政事业单位医疗（款）其他事业单位医疗支出（项）：</w:t>
      </w:r>
      <w:r>
        <w:rPr>
          <w:rStyle w:val="24"/>
          <w:rFonts w:ascii="仿宋_GB2312" w:eastAsia="仿宋_GB2312" w:cs="仿宋_GB2312" w:hint="eastAsia"/>
          <w:b w:val="0"/>
          <w:bCs/>
          <w:sz w:val="32"/>
          <w:szCs w:val="32"/>
        </w:rPr>
        <w:t>支出决算为0.36万元，完成预算100%，与预算数持平。</w:t>
      </w:r>
    </w:p>
    <w:p>
      <w:pPr>
        <w:spacing w:line="576" w:lineRule="exact"/>
        <w:ind w:firstLineChars="200" w:firstLine="640"/>
        <w:rPr>
          <w:rStyle w:val="24"/>
          <w:rFonts w:ascii="仿宋_GB2312" w:eastAsia="仿宋_GB2312" w:cs="仿宋_GB2312"/>
          <w:sz w:val="32"/>
          <w:szCs w:val="32"/>
        </w:rPr>
      </w:pPr>
      <w:r>
        <w:rPr>
          <w:rStyle w:val="24"/>
          <w:rFonts w:ascii="仿宋_GB2312" w:eastAsia="仿宋_GB2312" w:cs="仿宋_GB2312" w:hint="eastAsia"/>
          <w:sz w:val="32"/>
          <w:szCs w:val="32"/>
        </w:rPr>
        <w:t>6.住房保障支出（类）</w:t>
      </w:r>
      <w:r>
        <w:rPr>
          <w:rStyle w:val="24"/>
          <w:rFonts w:ascii="仿宋_GB2312" w:eastAsia="仿宋_GB2312" w:cs="仿宋_GB2312" w:hint="eastAsia"/>
          <w:sz w:val="32"/>
          <w:szCs w:val="32"/>
          <w:lang w:eastAsia="zh-CN"/>
        </w:rPr>
        <w:t>住房改革支出</w:t>
      </w:r>
      <w:r>
        <w:rPr>
          <w:rStyle w:val="24"/>
          <w:rFonts w:ascii="仿宋_GB2312" w:eastAsia="仿宋_GB2312" w:cs="仿宋_GB2312" w:hint="eastAsia"/>
          <w:sz w:val="32"/>
          <w:szCs w:val="32"/>
        </w:rPr>
        <w:t>（款）</w:t>
      </w:r>
      <w:r>
        <w:rPr>
          <w:rStyle w:val="24"/>
          <w:rFonts w:ascii="仿宋_GB2312" w:eastAsia="仿宋_GB2312" w:cs="仿宋_GB2312" w:hint="eastAsia"/>
          <w:sz w:val="32"/>
          <w:szCs w:val="32"/>
          <w:lang w:eastAsia="zh-CN"/>
        </w:rPr>
        <w:t>住房公积金</w:t>
      </w:r>
      <w:r>
        <w:rPr>
          <w:rStyle w:val="24"/>
          <w:rFonts w:ascii="仿宋_GB2312" w:eastAsia="仿宋_GB2312" w:cs="仿宋_GB2312" w:hint="eastAsia"/>
          <w:sz w:val="32"/>
          <w:szCs w:val="32"/>
        </w:rPr>
        <w:t>（项）：</w:t>
      </w:r>
      <w:r>
        <w:rPr>
          <w:rStyle w:val="24"/>
          <w:rFonts w:ascii="仿宋_GB2312" w:eastAsia="仿宋_GB2312" w:cs="仿宋_GB2312" w:hint="eastAsia"/>
          <w:b w:val="0"/>
          <w:bCs/>
          <w:sz w:val="32"/>
          <w:szCs w:val="32"/>
        </w:rPr>
        <w:t>支出决算为2.70万元，完成预算100%，与预算数持平。</w:t>
      </w:r>
    </w:p>
    <w:p>
      <w:pPr>
        <w:spacing w:line="600" w:lineRule="exact"/>
        <w:ind w:firstLineChars="200" w:firstLine="640"/>
        <w:rPr>
          <w:rFonts w:ascii="仿宋" w:eastAsia="仿宋"/>
          <w:b/>
          <w:sz w:val="32"/>
          <w:szCs w:val="32"/>
        </w:rPr>
      </w:pPr>
      <w:r>
        <w:rPr>
          <w:rFonts w:ascii="仿宋" w:eastAsia="仿宋" w:hint="eastAsia"/>
          <w:b/>
          <w:sz w:val="32"/>
          <w:szCs w:val="32"/>
        </w:rPr>
        <w:t>（注：数据来源于财决</w:t>
      </w:r>
      <w:r>
        <w:rPr>
          <w:rFonts w:ascii="仿宋" w:eastAsia="仿宋"/>
          <w:b/>
          <w:sz w:val="32"/>
          <w:szCs w:val="32"/>
        </w:rPr>
        <w:t>0</w:t>
      </w:r>
      <w:r>
        <w:rPr>
          <w:rFonts w:ascii="仿宋" w:eastAsia="仿宋" w:hint="eastAsia"/>
          <w:b/>
          <w:sz w:val="32"/>
          <w:szCs w:val="32"/>
        </w:rPr>
        <w:t>1-1表和财决08表，仅罗列本单位涉及的全部功能分类科目，至项级。上述“预算”口径为全年预算数。增减变动原因为决算数</w:t>
      </w:r>
      <w:r>
        <w:rPr>
          <w:rFonts w:ascii="仿宋" w:eastAsia="仿宋"/>
          <w:b/>
          <w:sz w:val="32"/>
          <w:szCs w:val="32"/>
        </w:rPr>
        <w:t>&lt;</w:t>
      </w:r>
      <w:r>
        <w:rPr>
          <w:rFonts w:ascii="仿宋" w:eastAsia="仿宋" w:hint="eastAsia"/>
          <w:b/>
          <w:sz w:val="32"/>
          <w:szCs w:val="32"/>
        </w:rPr>
        <w:t>项级</w:t>
      </w:r>
      <w:r>
        <w:rPr>
          <w:rFonts w:ascii="仿宋" w:eastAsia="仿宋"/>
          <w:b/>
          <w:sz w:val="32"/>
          <w:szCs w:val="32"/>
        </w:rPr>
        <w:t>&gt;</w:t>
      </w:r>
      <w:r>
        <w:rPr>
          <w:rFonts w:ascii="仿宋" w:eastAsia="仿宋" w:hint="eastAsia"/>
          <w:b/>
          <w:sz w:val="32"/>
          <w:szCs w:val="32"/>
        </w:rPr>
        <w:t>和全年预算数</w:t>
      </w:r>
      <w:r>
        <w:rPr>
          <w:rFonts w:ascii="仿宋" w:eastAsia="仿宋"/>
          <w:b/>
          <w:sz w:val="32"/>
          <w:szCs w:val="32"/>
        </w:rPr>
        <w:t>&lt;</w:t>
      </w:r>
      <w:r>
        <w:rPr>
          <w:rFonts w:ascii="仿宋" w:eastAsia="仿宋" w:hint="eastAsia"/>
          <w:b/>
          <w:sz w:val="32"/>
          <w:szCs w:val="32"/>
        </w:rPr>
        <w:t>项级</w:t>
      </w:r>
      <w:r>
        <w:rPr>
          <w:rFonts w:ascii="仿宋" w:eastAsia="仿宋"/>
          <w:b/>
          <w:sz w:val="32"/>
          <w:szCs w:val="32"/>
        </w:rPr>
        <w:t>&gt;</w:t>
      </w:r>
      <w:r>
        <w:rPr>
          <w:rFonts w:ascii="仿宋" w:eastAsia="仿宋" w:hint="eastAsia"/>
          <w:b/>
          <w:sz w:val="32"/>
          <w:szCs w:val="32"/>
        </w:rPr>
        <w:t>比较，与预算数持平可以不写原因。）</w:t>
      </w:r>
    </w:p>
    <w:p>
      <w:pPr>
        <w:tabs>
          <w:tab w:val="right" w:pos="8306"/>
        </w:tabs>
        <w:spacing w:line="600" w:lineRule="exact"/>
        <w:ind w:firstLine="640"/>
        <w:outlineLvl w:val="1"/>
        <w:rPr>
          <w:rStyle w:val="2Char"/>
        </w:rPr>
      </w:pPr>
      <w:bookmarkStart w:id="34" w:name="_Toc15377214"/>
      <w:bookmarkStart w:id="35" w:name="_Toc15396608"/>
      <w:r>
        <w:rPr>
          <w:rFonts w:ascii="黑体" w:eastAsia="黑体" w:hint="eastAsia"/>
          <w:sz w:val="32"/>
          <w:szCs w:val="32"/>
        </w:rPr>
        <w:t>六</w:t>
      </w:r>
      <w:r>
        <w:rPr>
          <w:rFonts w:ascii="黑体" w:eastAsia="黑体" w:hint="eastAsia"/>
          <w:b/>
          <w:sz w:val="32"/>
          <w:szCs w:val="32"/>
        </w:rPr>
        <w:t>、一</w:t>
      </w:r>
      <w:r>
        <w:rPr>
          <w:rStyle w:val="2Char"/>
          <w:rFonts w:ascii="黑体" w:eastAsia="黑体" w:hint="eastAsia"/>
          <w:b w:val="0"/>
        </w:rPr>
        <w:t>般公共预算财政拨款基本支出决算情况说明</w:t>
      </w:r>
      <w:bookmarkEnd w:id="34"/>
      <w:bookmarkEnd w:id="35"/>
      <w:r>
        <w:rPr>
          <w:rStyle w:val="2Char"/>
          <w:rFonts w:ascii="黑体" w:eastAsia="黑体"/>
          <w:b w:val="0"/>
        </w:rPr>
        <w:tab/>
      </w:r>
    </w:p>
    <w:p>
      <w:pPr>
        <w:spacing w:line="600" w:lineRule="exact"/>
        <w:ind w:firstLine="645"/>
        <w:rPr>
          <w:rFonts w:ascii="仿宋" w:eastAsia="仿宋"/>
          <w:sz w:val="32"/>
          <w:szCs w:val="32"/>
        </w:rPr>
      </w:pPr>
      <w:r>
        <w:rPr>
          <w:rFonts w:ascii="仿宋" w:eastAsia="仿宋"/>
          <w:sz w:val="32"/>
          <w:szCs w:val="32"/>
        </w:rPr>
        <w:t>202</w:t>
      </w:r>
      <w:r>
        <w:rPr>
          <w:rFonts w:ascii="仿宋" w:eastAsia="仿宋" w:hint="eastAsia"/>
          <w:sz w:val="32"/>
          <w:szCs w:val="32"/>
        </w:rPr>
        <w:t>5年一般公共预算财政拨款基本支出36.86万元，其中：</w:t>
      </w:r>
    </w:p>
    <w:p>
      <w:pPr>
        <w:spacing w:line="600" w:lineRule="exact"/>
        <w:ind w:firstLine="645"/>
        <w:rPr>
          <w:rFonts w:ascii="仿宋" w:eastAsia="仿宋"/>
          <w:sz w:val="32"/>
          <w:szCs w:val="32"/>
        </w:rPr>
      </w:pPr>
      <w:r>
        <w:rPr>
          <w:rFonts w:ascii="仿宋" w:eastAsia="仿宋" w:hint="eastAsia"/>
          <w:sz w:val="32"/>
          <w:szCs w:val="32"/>
        </w:rPr>
        <w:t>人员经费33.68万元，主要包括：基本工资、津贴补贴、绩效工资、机关事业单位基本养老保险缴费、职业年金缴费、其他社会保障缴费、住房公积金等。</w:t>
      </w:r>
      <w:r>
        <w:rPr>
          <w:rFonts w:ascii="仿宋" w:eastAsia="仿宋"/>
          <w:sz w:val="32"/>
          <w:szCs w:val="32"/>
        </w:rPr>
        <w:br/>
      </w:r>
      <w:r>
        <w:rPr>
          <w:rFonts w:ascii="仿宋" w:eastAsia="仿宋" w:hint="eastAsia"/>
          <w:sz w:val="32"/>
          <w:szCs w:val="32"/>
        </w:rPr>
        <w:t>　　公用经费2.18万元，主要包括：办公费、印刷费、邮电费、差旅费、公务接待费、劳务费、委托业务费、工会经费等。</w:t>
      </w:r>
    </w:p>
    <w:p>
      <w:pPr>
        <w:spacing w:line="600" w:lineRule="exact"/>
        <w:ind w:firstLine="645"/>
        <w:rPr>
          <w:rFonts w:ascii="仿宋" w:eastAsia="仿宋"/>
          <w:b/>
          <w:sz w:val="32"/>
          <w:szCs w:val="32"/>
        </w:rPr>
      </w:pPr>
      <w:r>
        <w:rPr>
          <w:rFonts w:ascii="仿宋" w:eastAsia="仿宋" w:hint="eastAsia"/>
          <w:b/>
          <w:sz w:val="32"/>
          <w:szCs w:val="32"/>
        </w:rPr>
        <w:t>（注：数据来源于财决</w:t>
      </w:r>
      <w:r>
        <w:rPr>
          <w:rFonts w:ascii="仿宋" w:eastAsia="仿宋"/>
          <w:b/>
          <w:sz w:val="32"/>
          <w:szCs w:val="32"/>
        </w:rPr>
        <w:t>0</w:t>
      </w:r>
      <w:r>
        <w:rPr>
          <w:rFonts w:ascii="仿宋" w:eastAsia="仿宋" w:hint="eastAsia"/>
          <w:b/>
          <w:sz w:val="32"/>
          <w:szCs w:val="32"/>
        </w:rPr>
        <w:t>7表和财决08-1表，仅罗列本单位实际支出涉及的经济分类科目。）</w:t>
      </w:r>
    </w:p>
    <w:p>
      <w:pPr>
        <w:spacing w:line="600" w:lineRule="exact"/>
        <w:ind w:firstLine="640"/>
        <w:rPr>
          <w:rFonts w:ascii="仿宋" w:eastAsia="仿宋"/>
          <w:b/>
          <w:sz w:val="32"/>
          <w:szCs w:val="32"/>
        </w:rPr>
      </w:pPr>
    </w:p>
    <w:p>
      <w:pPr>
        <w:spacing w:line="600" w:lineRule="exact"/>
        <w:ind w:firstLine="640"/>
        <w:outlineLvl w:val="1"/>
        <w:rPr>
          <w:rStyle w:val="2Char"/>
          <w:rFonts w:ascii="黑体" w:eastAsia="黑体"/>
          <w:b w:val="0"/>
        </w:rPr>
      </w:pPr>
      <w:bookmarkStart w:id="36" w:name="_Toc15396609"/>
      <w:bookmarkStart w:id="37" w:name="_Toc15377215"/>
      <w:r>
        <w:rPr>
          <w:rFonts w:ascii="黑体" w:eastAsia="黑体" w:hint="eastAsia"/>
          <w:sz w:val="32"/>
          <w:szCs w:val="32"/>
        </w:rPr>
        <w:t>七、</w:t>
      </w:r>
      <w:r>
        <w:rPr>
          <w:rStyle w:val="2Char"/>
          <w:rFonts w:ascii="黑体" w:eastAsia="黑体" w:hint="eastAsia"/>
          <w:b w:val="0"/>
        </w:rPr>
        <w:t>财政拨款</w:t>
      </w:r>
      <w:r>
        <w:rPr>
          <w:rStyle w:val="2Char"/>
          <w:rFonts w:ascii="黑体" w:eastAsia="黑体" w:hint="eastAsia"/>
        </w:rPr>
        <w:t>“</w:t>
      </w:r>
      <w:r>
        <w:rPr>
          <w:rStyle w:val="2Char"/>
          <w:rFonts w:ascii="黑体" w:eastAsia="黑体" w:hint="eastAsia"/>
          <w:b w:val="0"/>
        </w:rPr>
        <w:t>三公”经费支出决算情况说明</w:t>
      </w:r>
      <w:bookmarkEnd w:id="36"/>
      <w:bookmarkEnd w:id="37"/>
    </w:p>
    <w:p>
      <w:pPr>
        <w:spacing w:line="600" w:lineRule="exact"/>
        <w:ind w:firstLine="640"/>
        <w:outlineLvl w:val="2"/>
        <w:rPr>
          <w:rFonts w:ascii="仿宋" w:eastAsia="仿宋"/>
          <w:b/>
          <w:sz w:val="32"/>
          <w:szCs w:val="32"/>
        </w:rPr>
      </w:pPr>
      <w:bookmarkStart w:id="38" w:name="_Toc15377216"/>
      <w:r>
        <w:rPr>
          <w:rFonts w:ascii="仿宋" w:eastAsia="仿宋" w:hint="eastAsia"/>
          <w:b/>
          <w:sz w:val="32"/>
          <w:szCs w:val="32"/>
        </w:rPr>
        <w:t>（一）“三公”经费财政拨款支出决算总体情况说明</w:t>
      </w:r>
      <w:bookmarkEnd w:id="38"/>
    </w:p>
    <w:p>
      <w:pPr>
        <w:spacing w:line="600" w:lineRule="exact"/>
        <w:ind w:firstLine="640"/>
        <w:rPr>
          <w:rFonts w:ascii="仿宋" w:eastAsia="仿宋"/>
          <w:sz w:val="32"/>
          <w:szCs w:val="32"/>
        </w:rPr>
      </w:pPr>
      <w:r>
        <w:rPr>
          <w:rFonts w:ascii="仿宋" w:eastAsia="仿宋"/>
          <w:sz w:val="32"/>
          <w:szCs w:val="32"/>
        </w:rPr>
        <w:t>202</w:t>
      </w:r>
      <w:r>
        <w:rPr>
          <w:rFonts w:ascii="仿宋" w:eastAsia="仿宋" w:hint="eastAsia"/>
          <w:sz w:val="32"/>
          <w:szCs w:val="32"/>
        </w:rPr>
        <w:t>5年“三公”经费财政拨款支出决算为0.00万元，完成预算100</w:t>
      </w:r>
      <w:r>
        <w:rPr>
          <w:rFonts w:ascii="仿宋" w:eastAsia="仿宋"/>
          <w:sz w:val="32"/>
          <w:szCs w:val="32"/>
        </w:rPr>
        <w:t>%</w:t>
      </w:r>
      <w:r>
        <w:rPr>
          <w:rFonts w:ascii="仿宋" w:eastAsia="仿宋" w:hint="eastAsia"/>
          <w:sz w:val="32"/>
          <w:szCs w:val="32"/>
        </w:rPr>
        <w:t>，较上年减少0.03万元，降低100%。主要原因是2025年无公务接待。</w:t>
      </w:r>
    </w:p>
    <w:p>
      <w:pPr>
        <w:spacing w:line="600" w:lineRule="exact"/>
        <w:ind w:firstLine="640"/>
        <w:rPr>
          <w:rFonts w:ascii="仿宋" w:eastAsia="仿宋"/>
          <w:b/>
          <w:sz w:val="32"/>
          <w:szCs w:val="32"/>
        </w:rPr>
      </w:pPr>
      <w:r>
        <w:rPr>
          <w:rFonts w:ascii="仿宋" w:eastAsia="仿宋" w:hint="eastAsia"/>
          <w:b/>
          <w:sz w:val="32"/>
          <w:szCs w:val="32"/>
        </w:rPr>
        <w:t>（注：上述“预算”口径为全年预算数，包括一般公共预算和政府性基金预算财政拨款支出决算情况。）</w:t>
      </w:r>
    </w:p>
    <w:p>
      <w:pPr>
        <w:spacing w:line="600" w:lineRule="exact"/>
        <w:ind w:firstLine="640"/>
        <w:outlineLvl w:val="2"/>
        <w:rPr>
          <w:rFonts w:ascii="仿宋" w:eastAsia="仿宋"/>
          <w:b/>
          <w:sz w:val="32"/>
          <w:szCs w:val="32"/>
        </w:rPr>
      </w:pPr>
      <w:bookmarkStart w:id="39" w:name="_Toc15377217"/>
      <w:r>
        <w:rPr>
          <w:rFonts w:ascii="仿宋" w:eastAsia="仿宋" w:hint="eastAsia"/>
          <w:b/>
          <w:sz w:val="32"/>
          <w:szCs w:val="32"/>
        </w:rPr>
        <w:t>（二）“三公”经费财政拨款支出决算具体情况说明</w:t>
      </w:r>
      <w:bookmarkEnd w:id="39"/>
    </w:p>
    <w:p>
      <w:pPr>
        <w:spacing w:line="600" w:lineRule="exact"/>
        <w:ind w:firstLine="640"/>
        <w:rPr>
          <w:rFonts w:ascii="仿宋" w:eastAsia="仿宋"/>
          <w:sz w:val="32"/>
          <w:szCs w:val="32"/>
        </w:rPr>
      </w:pPr>
      <w:r>
        <w:rPr>
          <w:rFonts w:ascii="仿宋" w:eastAsia="仿宋"/>
          <w:sz w:val="32"/>
          <w:szCs w:val="32"/>
        </w:rPr>
        <w:t>202</w:t>
      </w:r>
      <w:r>
        <w:rPr>
          <w:rFonts w:ascii="仿宋" w:eastAsia="仿宋" w:hint="eastAsia"/>
          <w:sz w:val="32"/>
          <w:szCs w:val="32"/>
        </w:rPr>
        <w:t>5年“三公”经费财政拨款支出决算中，因公出国（境）费支出决算0万元，占0</w:t>
      </w:r>
      <w:r>
        <w:rPr>
          <w:rFonts w:ascii="仿宋" w:eastAsia="仿宋"/>
          <w:sz w:val="32"/>
          <w:szCs w:val="32"/>
        </w:rPr>
        <w:t>%</w:t>
      </w:r>
      <w:r>
        <w:rPr>
          <w:rFonts w:ascii="仿宋" w:eastAsia="仿宋" w:hint="eastAsia"/>
          <w:sz w:val="32"/>
          <w:szCs w:val="32"/>
        </w:rPr>
        <w:t>；公务用车购置及运行维护费支出决算0万元，占0</w:t>
      </w:r>
      <w:r>
        <w:rPr>
          <w:rFonts w:ascii="仿宋" w:eastAsia="仿宋"/>
          <w:sz w:val="32"/>
          <w:szCs w:val="32"/>
        </w:rPr>
        <w:t>%</w:t>
      </w:r>
      <w:r>
        <w:rPr>
          <w:rFonts w:ascii="仿宋" w:eastAsia="仿宋" w:hint="eastAsia"/>
          <w:sz w:val="32"/>
          <w:szCs w:val="32"/>
        </w:rPr>
        <w:t>；公务接待费支出决算0.00万元，占100</w:t>
      </w:r>
      <w:r>
        <w:rPr>
          <w:rFonts w:ascii="仿宋" w:eastAsia="仿宋"/>
          <w:sz w:val="32"/>
          <w:szCs w:val="32"/>
        </w:rPr>
        <w:t>%</w:t>
      </w:r>
      <w:r>
        <w:rPr>
          <w:rFonts w:ascii="仿宋" w:eastAsia="仿宋" w:hint="eastAsia"/>
          <w:sz w:val="32"/>
          <w:szCs w:val="32"/>
        </w:rPr>
        <w:t>。具体情况如下：</w:t>
      </w:r>
    </w:p>
    <w:p>
      <w:pPr>
        <w:spacing w:line="600" w:lineRule="exact"/>
        <w:ind w:firstLine="640"/>
        <w:rPr>
          <w:rFonts w:ascii="仿宋" w:eastAsia="仿宋"/>
          <w:sz w:val="32"/>
          <w:szCs w:val="32"/>
        </w:rPr>
      </w:pPr>
    </w:p>
    <w:p>
      <w:pPr>
        <w:spacing w:line="600" w:lineRule="exact"/>
        <w:ind w:firstLine="640"/>
        <w:rPr>
          <w:rFonts w:ascii="仿宋" w:eastAsia="仿宋"/>
          <w:sz w:val="32"/>
          <w:szCs w:val="32"/>
        </w:rPr>
      </w:pPr>
    </w:p>
    <w:p>
      <w:pPr>
        <w:spacing w:line="600" w:lineRule="exact"/>
        <w:ind w:firstLine="640"/>
        <w:rPr>
          <w:rFonts w:ascii="仿宋" w:eastAsia="仿宋"/>
          <w:sz w:val="32"/>
          <w:szCs w:val="32"/>
        </w:rPr>
      </w:pPr>
    </w:p>
    <w:p>
      <w:pPr>
        <w:spacing w:line="600" w:lineRule="exact"/>
        <w:ind w:firstLine="640"/>
        <w:rPr>
          <w:rFonts w:ascii="仿宋_GB2312" w:eastAsia="仿宋_GB2312"/>
          <w:b/>
          <w:sz w:val="32"/>
          <w:szCs w:val="32"/>
        </w:rPr>
      </w:pPr>
      <w:r>
        <w:rPr>
          <w:rFonts w:ascii="仿宋_GB2312" w:eastAsia="仿宋_GB2312"/>
          <w:b/>
          <w:sz w:val="32"/>
          <w:szCs w:val="32"/>
        </w:rPr>
        <w:t>1.</w:t>
      </w:r>
      <w:r>
        <w:rPr>
          <w:rFonts w:ascii="仿宋_GB2312" w:eastAsia="仿宋_GB2312" w:hint="eastAsia"/>
          <w:b/>
          <w:sz w:val="32"/>
          <w:szCs w:val="32"/>
        </w:rPr>
        <w:t>因公出国（境）经费支出</w:t>
      </w:r>
      <w:r>
        <w:rPr>
          <w:rFonts w:ascii="仿宋_GB2312" w:eastAsia="仿宋_GB2312" w:hint="eastAsia"/>
          <w:sz w:val="32"/>
          <w:szCs w:val="32"/>
        </w:rPr>
        <w:t>0万元，</w:t>
      </w:r>
      <w:r>
        <w:rPr>
          <w:rStyle w:val="24"/>
          <w:rFonts w:ascii="仿宋" w:eastAsia="仿宋" w:hint="eastAsia"/>
          <w:b w:val="0"/>
          <w:bCs/>
          <w:sz w:val="32"/>
          <w:szCs w:val="32"/>
        </w:rPr>
        <w:t>完成预算0</w:t>
      </w:r>
      <w:r>
        <w:rPr>
          <w:rStyle w:val="24"/>
          <w:rFonts w:ascii="仿宋" w:eastAsia="仿宋"/>
          <w:b w:val="0"/>
          <w:bCs/>
          <w:sz w:val="32"/>
          <w:szCs w:val="32"/>
        </w:rPr>
        <w:t>%</w:t>
      </w:r>
      <w:r>
        <w:rPr>
          <w:rStyle w:val="24"/>
          <w:rFonts w:ascii="仿宋" w:eastAsia="仿宋" w:hint="eastAsia"/>
          <w:b w:val="0"/>
          <w:bCs/>
          <w:sz w:val="32"/>
          <w:szCs w:val="32"/>
        </w:rPr>
        <w:t>。</w:t>
      </w:r>
      <w:r>
        <w:rPr>
          <w:rFonts w:ascii="仿宋_GB2312" w:eastAsia="仿宋_GB2312" w:hint="eastAsia"/>
          <w:sz w:val="32"/>
          <w:szCs w:val="32"/>
        </w:rPr>
        <w:t>全年安排因公出国（境）团组0次，出国（境）0人。因公出国（境）支出决算比</w:t>
      </w:r>
      <w:r>
        <w:rPr>
          <w:rFonts w:ascii="仿宋_GB2312" w:eastAsia="仿宋_GB2312"/>
          <w:sz w:val="32"/>
          <w:szCs w:val="32"/>
        </w:rPr>
        <w:t>202</w:t>
      </w:r>
      <w:r>
        <w:rPr>
          <w:rFonts w:ascii="仿宋_GB2312" w:eastAsia="仿宋_GB2312" w:hint="eastAsia"/>
          <w:sz w:val="32"/>
          <w:szCs w:val="32"/>
        </w:rPr>
        <w:t>4年增加0万元，增长0</w:t>
      </w:r>
      <w:r>
        <w:rPr>
          <w:rFonts w:ascii="仿宋_GB2312" w:eastAsia="仿宋_GB2312"/>
          <w:sz w:val="32"/>
          <w:szCs w:val="32"/>
        </w:rPr>
        <w:t>%</w:t>
      </w:r>
      <w:r>
        <w:rPr>
          <w:rFonts w:ascii="仿宋_GB2312" w:eastAsia="仿宋_GB2312" w:hint="eastAsia"/>
          <w:sz w:val="32"/>
          <w:szCs w:val="32"/>
        </w:rPr>
        <w:t>。支出决算与2024年持平。</w:t>
      </w:r>
    </w:p>
    <w:p>
      <w:pPr>
        <w:spacing w:line="600" w:lineRule="exact"/>
        <w:ind w:firstLine="640"/>
        <w:rPr>
          <w:rFonts w:ascii="仿宋_GB2312" w:eastAsia="仿宋_GB2312"/>
          <w:b/>
          <w:sz w:val="32"/>
          <w:szCs w:val="32"/>
        </w:rPr>
      </w:pPr>
      <w:r>
        <w:rPr>
          <w:rFonts w:ascii="仿宋_GB2312" w:eastAsia="仿宋_GB2312"/>
          <w:b/>
          <w:sz w:val="32"/>
          <w:szCs w:val="32"/>
        </w:rPr>
        <w:t>2.</w:t>
      </w:r>
      <w:r>
        <w:rPr>
          <w:rFonts w:ascii="仿宋_GB2312" w:eastAsia="仿宋_GB2312" w:hint="eastAsia"/>
          <w:b/>
          <w:sz w:val="32"/>
          <w:szCs w:val="32"/>
        </w:rPr>
        <w:t>公务用车购置及运行维护费支出</w:t>
      </w:r>
      <w:r>
        <w:rPr>
          <w:rFonts w:ascii="仿宋_GB2312" w:eastAsia="仿宋_GB2312" w:hint="eastAsia"/>
          <w:sz w:val="32"/>
          <w:szCs w:val="32"/>
        </w:rPr>
        <w:t>0万元,</w:t>
      </w:r>
      <w:r>
        <w:rPr>
          <w:rStyle w:val="24"/>
          <w:rFonts w:ascii="仿宋" w:eastAsia="仿宋" w:hint="eastAsia"/>
          <w:b w:val="0"/>
          <w:bCs/>
          <w:sz w:val="32"/>
          <w:szCs w:val="32"/>
        </w:rPr>
        <w:t>完成预算0</w:t>
      </w:r>
      <w:r>
        <w:rPr>
          <w:rStyle w:val="24"/>
          <w:rFonts w:ascii="仿宋" w:eastAsia="仿宋"/>
          <w:b w:val="0"/>
          <w:bCs/>
          <w:sz w:val="32"/>
          <w:szCs w:val="32"/>
        </w:rPr>
        <w:t>%</w:t>
      </w:r>
      <w:r>
        <w:rPr>
          <w:rStyle w:val="24"/>
          <w:rFonts w:ascii="仿宋" w:eastAsia="仿宋" w:hint="eastAsia"/>
          <w:b w:val="0"/>
          <w:bCs/>
          <w:sz w:val="32"/>
          <w:szCs w:val="32"/>
        </w:rPr>
        <w:t>。</w:t>
      </w:r>
      <w:r>
        <w:rPr>
          <w:rFonts w:ascii="仿宋_GB2312" w:eastAsia="仿宋_GB2312" w:cs="仿宋_GB2312" w:hint="eastAsia"/>
          <w:sz w:val="32"/>
          <w:szCs w:val="32"/>
        </w:rPr>
        <w:t>公务用车购置及运行维护费支出决算比2024年。主要原因是公务用车运行维护费无预算。</w:t>
      </w:r>
    </w:p>
    <w:p>
      <w:pPr>
        <w:spacing w:line="600" w:lineRule="exact"/>
        <w:ind w:firstLineChars="200" w:firstLine="640"/>
        <w:rPr>
          <w:rFonts w:ascii="仿宋_GB2312" w:eastAsia="仿宋_GB2312"/>
          <w:b/>
          <w:sz w:val="32"/>
          <w:szCs w:val="32"/>
        </w:rPr>
      </w:pPr>
      <w:r>
        <w:rPr>
          <w:rFonts w:ascii="仿宋_GB2312" w:eastAsia="仿宋_GB2312" w:hint="eastAsia"/>
          <w:sz w:val="32"/>
          <w:szCs w:val="32"/>
        </w:rPr>
        <w:t>其中：</w:t>
      </w:r>
      <w:r>
        <w:rPr>
          <w:rFonts w:ascii="仿宋_GB2312" w:eastAsia="仿宋_GB2312" w:hint="eastAsia"/>
          <w:b/>
          <w:sz w:val="32"/>
          <w:szCs w:val="32"/>
        </w:rPr>
        <w:t>公务用车购置支出</w:t>
      </w:r>
      <w:r>
        <w:rPr>
          <w:rFonts w:ascii="仿宋_GB2312" w:eastAsia="仿宋_GB2312" w:hint="eastAsia"/>
          <w:sz w:val="32"/>
          <w:szCs w:val="32"/>
        </w:rPr>
        <w:t>0万元。全年按规定更新购置公务用车0辆，其中：轿车0辆、金额0万元，越野车0辆、金额0万元，载客汽车0辆、金额0万元。截至</w:t>
      </w:r>
      <w:r>
        <w:rPr>
          <w:rFonts w:ascii="仿宋_GB2312" w:eastAsia="仿宋_GB2312"/>
          <w:sz w:val="32"/>
          <w:szCs w:val="32"/>
        </w:rPr>
        <w:t>202</w:t>
      </w:r>
      <w:r>
        <w:rPr>
          <w:rFonts w:ascii="仿宋_GB2312" w:eastAsia="仿宋_GB2312" w:hint="eastAsia"/>
          <w:sz w:val="32"/>
          <w:szCs w:val="32"/>
        </w:rPr>
        <w:t>5年</w:t>
      </w:r>
      <w:r>
        <w:rPr>
          <w:rFonts w:ascii="仿宋_GB2312" w:eastAsia="仿宋_GB2312"/>
          <w:sz w:val="32"/>
          <w:szCs w:val="32"/>
        </w:rPr>
        <w:t>12</w:t>
      </w:r>
      <w:r>
        <w:rPr>
          <w:rFonts w:ascii="仿宋_GB2312" w:eastAsia="仿宋_GB2312" w:hint="eastAsia"/>
          <w:sz w:val="32"/>
          <w:szCs w:val="32"/>
        </w:rPr>
        <w:t>月底，单位共有公务用车0辆，其中：轿车0辆、越野车0辆、载客汽车0辆。</w:t>
      </w:r>
    </w:p>
    <w:p>
      <w:pPr>
        <w:spacing w:line="600" w:lineRule="exact"/>
        <w:ind w:firstLine="640"/>
        <w:rPr>
          <w:rFonts w:ascii="仿宋_GB2312" w:eastAsia="仿宋_GB2312"/>
          <w:sz w:val="32"/>
          <w:szCs w:val="32"/>
        </w:rPr>
      </w:pPr>
      <w:r>
        <w:rPr>
          <w:rFonts w:ascii="仿宋_GB2312" w:eastAsia="仿宋_GB2312" w:hint="eastAsia"/>
          <w:b/>
          <w:sz w:val="32"/>
          <w:szCs w:val="32"/>
        </w:rPr>
        <w:t>公务用车运行维护费支出</w:t>
      </w:r>
      <w:r>
        <w:rPr>
          <w:rFonts w:ascii="仿宋_GB2312" w:eastAsia="仿宋_GB2312" w:hint="eastAsia"/>
          <w:sz w:val="32"/>
          <w:szCs w:val="32"/>
        </w:rPr>
        <w:t>0万元。主要社情民意调查中心无公务用车。</w:t>
      </w:r>
    </w:p>
    <w:p>
      <w:pPr>
        <w:spacing w:line="600" w:lineRule="exact"/>
        <w:ind w:firstLine="640"/>
        <w:rPr>
          <w:rFonts w:ascii="仿宋_GB2312" w:eastAsia="仿宋_GB2312"/>
          <w:sz w:val="32"/>
          <w:szCs w:val="32"/>
        </w:rPr>
      </w:pPr>
      <w:r>
        <w:rPr>
          <w:rFonts w:ascii="仿宋_GB2312" w:eastAsia="仿宋_GB2312"/>
          <w:b/>
          <w:sz w:val="32"/>
          <w:szCs w:val="32"/>
        </w:rPr>
        <w:t>3.</w:t>
      </w:r>
      <w:r>
        <w:rPr>
          <w:rFonts w:ascii="仿宋_GB2312" w:eastAsia="仿宋_GB2312" w:hint="eastAsia"/>
          <w:b/>
          <w:sz w:val="32"/>
          <w:szCs w:val="32"/>
        </w:rPr>
        <w:t>公务接待费支出</w:t>
      </w:r>
      <w:r>
        <w:rPr>
          <w:rFonts w:ascii="仿宋_GB2312" w:eastAsia="仿宋_GB2312" w:hint="eastAsia"/>
          <w:sz w:val="32"/>
          <w:szCs w:val="32"/>
        </w:rPr>
        <w:t>0.00万元，</w:t>
      </w:r>
      <w:r>
        <w:rPr>
          <w:rStyle w:val="24"/>
          <w:rFonts w:ascii="仿宋" w:eastAsia="仿宋" w:hint="eastAsia"/>
          <w:b w:val="0"/>
          <w:bCs/>
          <w:sz w:val="32"/>
          <w:szCs w:val="32"/>
        </w:rPr>
        <w:t>完成预算100</w:t>
      </w:r>
      <w:r>
        <w:rPr>
          <w:rStyle w:val="24"/>
          <w:rFonts w:ascii="仿宋" w:eastAsia="仿宋"/>
          <w:b w:val="0"/>
          <w:bCs/>
          <w:sz w:val="32"/>
          <w:szCs w:val="32"/>
        </w:rPr>
        <w:t>%</w:t>
      </w:r>
      <w:r>
        <w:rPr>
          <w:rStyle w:val="24"/>
          <w:rFonts w:ascii="仿宋" w:eastAsia="仿宋" w:hint="eastAsia"/>
          <w:b w:val="0"/>
          <w:bCs/>
          <w:sz w:val="32"/>
          <w:szCs w:val="32"/>
        </w:rPr>
        <w:t>。</w:t>
      </w:r>
      <w:r>
        <w:rPr>
          <w:rFonts w:ascii="仿宋_GB2312" w:eastAsia="仿宋_GB2312" w:hint="eastAsia"/>
          <w:sz w:val="32"/>
          <w:szCs w:val="32"/>
        </w:rPr>
        <w:t>公务接待费支出决算比</w:t>
      </w:r>
      <w:r>
        <w:rPr>
          <w:rFonts w:ascii="仿宋_GB2312" w:eastAsia="仿宋_GB2312"/>
          <w:sz w:val="32"/>
          <w:szCs w:val="32"/>
        </w:rPr>
        <w:t>202</w:t>
      </w:r>
      <w:r>
        <w:rPr>
          <w:rFonts w:ascii="仿宋_GB2312" w:eastAsia="仿宋_GB2312" w:hint="eastAsia"/>
          <w:sz w:val="32"/>
          <w:szCs w:val="32"/>
        </w:rPr>
        <w:t>4年减少0.03万元，降低100</w:t>
      </w:r>
      <w:r>
        <w:rPr>
          <w:rFonts w:ascii="仿宋_GB2312" w:eastAsia="仿宋_GB2312"/>
          <w:sz w:val="32"/>
          <w:szCs w:val="32"/>
        </w:rPr>
        <w:t>%</w:t>
      </w:r>
      <w:r>
        <w:rPr>
          <w:rFonts w:ascii="仿宋_GB2312" w:eastAsia="仿宋_GB2312" w:hint="eastAsia"/>
          <w:sz w:val="32"/>
          <w:szCs w:val="32"/>
        </w:rPr>
        <w:t>。主要原因是</w:t>
      </w:r>
      <w:r>
        <w:rPr>
          <w:rFonts w:ascii="仿宋" w:eastAsia="仿宋" w:hint="eastAsia"/>
          <w:sz w:val="32"/>
          <w:szCs w:val="32"/>
        </w:rPr>
        <w:t>2025年无公务接待</w:t>
      </w:r>
      <w:r>
        <w:rPr>
          <w:rFonts w:ascii="仿宋_GB2312" w:eastAsia="仿宋_GB2312" w:hint="eastAsia"/>
          <w:sz w:val="32"/>
          <w:szCs w:val="32"/>
        </w:rPr>
        <w:t>。其中：</w:t>
      </w:r>
    </w:p>
    <w:p>
      <w:pPr>
        <w:spacing w:line="600" w:lineRule="exact"/>
        <w:ind w:firstLine="640"/>
        <w:rPr>
          <w:rFonts w:ascii="仿宋_GB2312" w:eastAsia="仿宋_GB2312"/>
          <w:sz w:val="32"/>
          <w:szCs w:val="32"/>
        </w:rPr>
      </w:pPr>
      <w:r>
        <w:rPr>
          <w:rFonts w:ascii="仿宋" w:eastAsia="仿宋" w:hint="eastAsia"/>
          <w:b/>
          <w:sz w:val="32"/>
          <w:szCs w:val="32"/>
        </w:rPr>
        <w:t>国内公务接待支出</w:t>
      </w:r>
      <w:r>
        <w:rPr>
          <w:rFonts w:ascii="仿宋" w:eastAsia="仿宋" w:hint="eastAsia"/>
          <w:sz w:val="32"/>
          <w:szCs w:val="32"/>
        </w:rPr>
        <w:t>0.00</w:t>
      </w:r>
      <w:r>
        <w:rPr>
          <w:rFonts w:ascii="仿宋_GB2312" w:eastAsia="仿宋_GB2312" w:hint="eastAsia"/>
          <w:sz w:val="32"/>
          <w:szCs w:val="32"/>
        </w:rPr>
        <w:t>万元，主要用于执行公务、开展业务活动开支的用餐费。国内公务接待0批次，0人次（不包括陪同人员），共计支出0.00万元。</w:t>
      </w:r>
    </w:p>
    <w:p>
      <w:pPr>
        <w:spacing w:line="600" w:lineRule="exact"/>
        <w:ind w:firstLineChars="200" w:firstLine="640"/>
        <w:rPr>
          <w:rFonts w:ascii="仿宋_GB2312" w:eastAsia="仿宋_GB2312"/>
          <w:sz w:val="32"/>
          <w:szCs w:val="32"/>
        </w:rPr>
      </w:pPr>
      <w:r>
        <w:rPr>
          <w:rFonts w:ascii="仿宋" w:eastAsia="仿宋" w:hint="eastAsia"/>
          <w:b/>
          <w:sz w:val="32"/>
          <w:szCs w:val="32"/>
        </w:rPr>
        <w:t>外事接待支出</w:t>
      </w:r>
      <w:r>
        <w:rPr>
          <w:rFonts w:ascii="仿宋" w:eastAsia="仿宋" w:hint="eastAsia"/>
          <w:sz w:val="32"/>
          <w:szCs w:val="32"/>
        </w:rPr>
        <w:t>0</w:t>
      </w:r>
      <w:r>
        <w:rPr>
          <w:rFonts w:ascii="仿宋_GB2312" w:eastAsia="仿宋_GB2312" w:hint="eastAsia"/>
          <w:sz w:val="32"/>
          <w:szCs w:val="32"/>
        </w:rPr>
        <w:t>万元。外事接待0批次，0人次（不包括陪同人员），共计支出0万元。</w:t>
      </w:r>
    </w:p>
    <w:p>
      <w:pPr>
        <w:spacing w:line="600" w:lineRule="exact"/>
        <w:ind w:firstLine="640"/>
        <w:outlineLvl w:val="1"/>
        <w:rPr>
          <w:rStyle w:val="2Char"/>
          <w:rFonts w:ascii="黑体" w:eastAsia="黑体"/>
        </w:rPr>
      </w:pPr>
      <w:bookmarkStart w:id="40" w:name="_Toc15377218"/>
      <w:bookmarkStart w:id="41" w:name="_Toc15396610"/>
      <w:r>
        <w:rPr>
          <w:rFonts w:ascii="黑体" w:eastAsia="黑体" w:hint="eastAsia"/>
          <w:sz w:val="32"/>
          <w:szCs w:val="32"/>
        </w:rPr>
        <w:t>八、</w:t>
      </w:r>
      <w:r>
        <w:rPr>
          <w:rStyle w:val="2Char"/>
          <w:rFonts w:ascii="黑体" w:eastAsia="黑体" w:hint="eastAsia"/>
          <w:b w:val="0"/>
        </w:rPr>
        <w:t>政府性基金预算支出决算情况说明</w:t>
      </w:r>
      <w:bookmarkEnd w:id="40"/>
      <w:bookmarkEnd w:id="41"/>
    </w:p>
    <w:p>
      <w:pPr>
        <w:spacing w:line="600" w:lineRule="exact"/>
        <w:ind w:firstLine="640"/>
        <w:rPr>
          <w:rFonts w:ascii="仿宋_GB2312" w:eastAsia="仿宋_GB2312"/>
          <w:sz w:val="32"/>
          <w:szCs w:val="32"/>
        </w:rPr>
      </w:pPr>
      <w:r>
        <w:rPr>
          <w:rFonts w:ascii="仿宋_GB2312" w:eastAsia="仿宋_GB2312"/>
          <w:sz w:val="32"/>
          <w:szCs w:val="32"/>
        </w:rPr>
        <w:t>202</w:t>
      </w:r>
      <w:r>
        <w:rPr>
          <w:rFonts w:ascii="仿宋_GB2312" w:eastAsia="仿宋_GB2312" w:hint="eastAsia"/>
          <w:sz w:val="32"/>
          <w:szCs w:val="32"/>
        </w:rPr>
        <w:t>5年政府性基金预算财政拨款支出0万元。</w:t>
      </w:r>
    </w:p>
    <w:p>
      <w:pPr>
        <w:numPr>
          <w:ilvl w:val="0"/>
          <w:numId w:val="2"/>
        </w:numPr>
        <w:spacing w:line="600" w:lineRule="exact"/>
        <w:ind w:left="0" w:firstLine="640"/>
        <w:outlineLvl w:val="1"/>
        <w:rPr>
          <w:rStyle w:val="2Char"/>
          <w:rFonts w:ascii="黑体" w:eastAsia="黑体"/>
          <w:b w:val="0"/>
        </w:rPr>
      </w:pPr>
      <w:bookmarkStart w:id="42" w:name="_Toc15396611"/>
      <w:bookmarkStart w:id="43" w:name="_Toc15377219"/>
      <w:r>
        <w:rPr>
          <w:rStyle w:val="2Char"/>
          <w:rFonts w:ascii="黑体" w:eastAsia="黑体" w:hint="eastAsia"/>
          <w:b w:val="0"/>
        </w:rPr>
        <w:t>国有资本经营预算支出决算情况说明</w:t>
      </w:r>
      <w:bookmarkEnd w:id="42"/>
      <w:bookmarkEnd w:id="43"/>
    </w:p>
    <w:p>
      <w:pPr>
        <w:spacing w:line="600" w:lineRule="exact"/>
        <w:ind w:firstLine="640"/>
        <w:rPr>
          <w:rFonts w:ascii="方正小标宋简体" w:eastAsia="方正小标宋简体" w:cs="方正小标宋简体"/>
          <w:sz w:val="44"/>
          <w:szCs w:val="44"/>
        </w:rPr>
      </w:pPr>
      <w:r>
        <w:rPr>
          <w:rFonts w:ascii="仿宋_GB2312" w:eastAsia="仿宋_GB2312"/>
          <w:sz w:val="32"/>
          <w:szCs w:val="32"/>
        </w:rPr>
        <w:t>202</w:t>
      </w:r>
      <w:r>
        <w:rPr>
          <w:rFonts w:ascii="仿宋_GB2312" w:eastAsia="仿宋_GB2312" w:hint="eastAsia"/>
          <w:sz w:val="32"/>
          <w:szCs w:val="32"/>
        </w:rPr>
        <w:t>5年国有资本经营预算财政拨款支出0万元。</w:t>
      </w:r>
    </w:p>
    <w:p>
      <w:pPr>
        <w:numPr>
          <w:ilvl w:val="0"/>
          <w:numId w:val="2"/>
        </w:numPr>
        <w:spacing w:line="600" w:lineRule="exact"/>
        <w:ind w:left="0" w:firstLine="640"/>
        <w:outlineLvl w:val="1"/>
        <w:rPr>
          <w:rStyle w:val="2Char"/>
          <w:rFonts w:ascii="黑体" w:eastAsia="黑体"/>
          <w:b w:val="0"/>
        </w:rPr>
      </w:pPr>
      <w:bookmarkStart w:id="44" w:name="_Toc15377221"/>
      <w:bookmarkStart w:id="45" w:name="_Toc15396612"/>
      <w:r>
        <w:rPr>
          <w:rStyle w:val="2Char"/>
          <w:rFonts w:ascii="黑体" w:eastAsia="黑体" w:hint="eastAsia"/>
          <w:b w:val="0"/>
        </w:rPr>
        <w:t>其他重要事项的情况说明</w:t>
      </w:r>
      <w:bookmarkEnd w:id="44"/>
      <w:bookmarkEnd w:id="45"/>
    </w:p>
    <w:p>
      <w:pPr>
        <w:spacing w:line="600" w:lineRule="exact"/>
        <w:ind w:firstLineChars="200" w:firstLine="640"/>
        <w:outlineLvl w:val="2"/>
        <w:rPr>
          <w:rFonts w:ascii="仿宋" w:eastAsia="仿宋"/>
          <w:sz w:val="32"/>
          <w:szCs w:val="32"/>
        </w:rPr>
      </w:pPr>
      <w:bookmarkStart w:id="46" w:name="_Toc15377222"/>
      <w:r>
        <w:rPr>
          <w:rFonts w:ascii="仿宋" w:eastAsia="仿宋" w:hint="eastAsia"/>
          <w:b/>
          <w:sz w:val="32"/>
          <w:szCs w:val="32"/>
        </w:rPr>
        <w:t>（一）机关运行经费支出情况</w:t>
      </w:r>
      <w:bookmarkEnd w:id="46"/>
    </w:p>
    <w:p>
      <w:pPr>
        <w:spacing w:line="600" w:lineRule="exact"/>
        <w:ind w:firstLineChars="200" w:firstLine="640"/>
        <w:rPr>
          <w:rFonts w:ascii="仿宋_GB2312" w:eastAsia="仿宋_GB2312"/>
          <w:sz w:val="32"/>
          <w:szCs w:val="32"/>
        </w:rPr>
      </w:pPr>
      <w:r>
        <w:rPr>
          <w:rFonts w:ascii="仿宋_GB2312" w:eastAsia="仿宋_GB2312"/>
          <w:sz w:val="32"/>
          <w:szCs w:val="32"/>
        </w:rPr>
        <w:t>202</w:t>
      </w:r>
      <w:r>
        <w:rPr>
          <w:rFonts w:ascii="仿宋_GB2312" w:eastAsia="仿宋_GB2312" w:hint="eastAsia"/>
          <w:sz w:val="32"/>
          <w:szCs w:val="32"/>
        </w:rPr>
        <w:t>5年，</w:t>
      </w:r>
      <w:r>
        <w:rPr>
          <w:rFonts w:ascii="仿宋_GB2312" w:eastAsia="仿宋_GB2312" w:cs="仿宋_GB2312" w:hint="eastAsia"/>
          <w:sz w:val="32"/>
          <w:szCs w:val="32"/>
        </w:rPr>
        <w:t>汶川县社情民意调查中心机关运行经费支出0万元，与2024年持平。主要原因是本单位为事业单位，未使用机关运行经费相关科目，机关运行经费安排为零。</w:t>
      </w:r>
    </w:p>
    <w:p>
      <w:pPr>
        <w:spacing w:line="600" w:lineRule="exact"/>
        <w:ind w:firstLineChars="200" w:firstLine="640"/>
        <w:rPr>
          <w:rFonts w:ascii="仿宋" w:eastAsia="仿宋"/>
          <w:b/>
          <w:sz w:val="32"/>
          <w:szCs w:val="32"/>
        </w:rPr>
      </w:pPr>
      <w:r>
        <w:rPr>
          <w:rFonts w:ascii="仿宋" w:eastAsia="仿宋" w:hint="eastAsia"/>
          <w:b/>
          <w:sz w:val="32"/>
          <w:szCs w:val="32"/>
        </w:rPr>
        <w:t>（注：数据来源于财决附</w:t>
      </w:r>
      <w:r>
        <w:rPr>
          <w:rFonts w:ascii="仿宋" w:eastAsia="仿宋"/>
          <w:b/>
          <w:sz w:val="32"/>
          <w:szCs w:val="32"/>
        </w:rPr>
        <w:t>03</w:t>
      </w:r>
      <w:r>
        <w:rPr>
          <w:rFonts w:ascii="仿宋" w:eastAsia="仿宋" w:hint="eastAsia"/>
          <w:b/>
          <w:sz w:val="32"/>
          <w:szCs w:val="32"/>
        </w:rPr>
        <w:t>表）</w:t>
      </w:r>
    </w:p>
    <w:p>
      <w:pPr>
        <w:autoSpaceDE w:val="0"/>
        <w:autoSpaceDN w:val="0"/>
        <w:adjustRightInd w:val="0"/>
        <w:spacing w:line="600" w:lineRule="exact"/>
        <w:ind w:firstLineChars="200" w:firstLine="640"/>
        <w:jc w:val="left"/>
        <w:outlineLvl w:val="2"/>
        <w:rPr>
          <w:rFonts w:ascii="仿宋" w:eastAsia="仿宋"/>
          <w:b/>
          <w:sz w:val="32"/>
          <w:szCs w:val="32"/>
        </w:rPr>
      </w:pPr>
      <w:bookmarkStart w:id="47" w:name="_Toc15377223"/>
      <w:r>
        <w:rPr>
          <w:rFonts w:ascii="仿宋" w:eastAsia="仿宋" w:hint="eastAsia"/>
          <w:b/>
          <w:sz w:val="32"/>
          <w:szCs w:val="32"/>
        </w:rPr>
        <w:t>（二）政府采购支出情况</w:t>
      </w:r>
      <w:bookmarkEnd w:id="47"/>
    </w:p>
    <w:p>
      <w:pPr>
        <w:spacing w:line="600" w:lineRule="exact"/>
        <w:ind w:firstLineChars="200" w:firstLine="640"/>
        <w:rPr>
          <w:rFonts w:ascii="仿宋_GB2312" w:eastAsia="仿宋_GB2312"/>
          <w:sz w:val="32"/>
          <w:szCs w:val="32"/>
        </w:rPr>
      </w:pPr>
      <w:r>
        <w:rPr>
          <w:rFonts w:ascii="仿宋_GB2312" w:eastAsia="仿宋_GB2312"/>
          <w:sz w:val="32"/>
          <w:szCs w:val="32"/>
        </w:rPr>
        <w:t>202</w:t>
      </w:r>
      <w:r>
        <w:rPr>
          <w:rFonts w:ascii="仿宋_GB2312" w:eastAsia="仿宋_GB2312" w:hint="eastAsia"/>
          <w:sz w:val="32"/>
          <w:szCs w:val="32"/>
        </w:rPr>
        <w:t>5年，0政府采购支出总额0万元，其中：政府采购货物支出0万元、政府采购工程支出0万元、政府采购服务支出0万元。授予中小企业合同金额0万元，占政府采购支出总额的0</w:t>
      </w:r>
      <w:r>
        <w:rPr>
          <w:rFonts w:ascii="仿宋_GB2312" w:eastAsia="仿宋_GB2312"/>
          <w:sz w:val="32"/>
          <w:szCs w:val="32"/>
        </w:rPr>
        <w:t>%</w:t>
      </w:r>
      <w:r>
        <w:rPr>
          <w:rFonts w:ascii="仿宋_GB2312" w:eastAsia="仿宋_GB2312" w:hint="eastAsia"/>
          <w:sz w:val="32"/>
          <w:szCs w:val="32"/>
        </w:rPr>
        <w:t>，其中：授予小微企业合同金额0万元，占政府采购支出总额的0</w:t>
      </w:r>
      <w:r>
        <w:rPr>
          <w:rFonts w:ascii="仿宋_GB2312" w:eastAsia="仿宋_GB2312"/>
          <w:sz w:val="32"/>
          <w:szCs w:val="32"/>
        </w:rPr>
        <w:t>%</w:t>
      </w:r>
      <w:r>
        <w:rPr>
          <w:rFonts w:ascii="仿宋_GB2312" w:eastAsia="仿宋_GB2312" w:hint="eastAsia"/>
          <w:sz w:val="32"/>
          <w:szCs w:val="32"/>
        </w:rPr>
        <w:t>。</w:t>
      </w:r>
    </w:p>
    <w:p>
      <w:pPr>
        <w:spacing w:line="600" w:lineRule="exact"/>
        <w:ind w:firstLineChars="200" w:firstLine="640"/>
        <w:rPr>
          <w:rFonts w:ascii="仿宋" w:eastAsia="仿宋"/>
          <w:b/>
          <w:sz w:val="32"/>
          <w:szCs w:val="32"/>
        </w:rPr>
      </w:pPr>
      <w:r>
        <w:rPr>
          <w:rFonts w:ascii="仿宋" w:eastAsia="仿宋" w:hint="eastAsia"/>
          <w:b/>
          <w:sz w:val="32"/>
          <w:szCs w:val="32"/>
        </w:rPr>
        <w:t>（注：数据来源于财决附</w:t>
      </w:r>
      <w:r>
        <w:rPr>
          <w:rFonts w:ascii="仿宋" w:eastAsia="仿宋"/>
          <w:b/>
          <w:sz w:val="32"/>
          <w:szCs w:val="32"/>
        </w:rPr>
        <w:t>03</w:t>
      </w:r>
      <w:r>
        <w:rPr>
          <w:rFonts w:ascii="仿宋" w:eastAsia="仿宋" w:hint="eastAsia"/>
          <w:b/>
          <w:sz w:val="32"/>
          <w:szCs w:val="32"/>
        </w:rPr>
        <w:t>表）</w:t>
      </w:r>
    </w:p>
    <w:p>
      <w:pPr>
        <w:autoSpaceDE w:val="0"/>
        <w:autoSpaceDN w:val="0"/>
        <w:adjustRightInd w:val="0"/>
        <w:spacing w:line="600" w:lineRule="exact"/>
        <w:ind w:firstLineChars="200" w:firstLine="640"/>
        <w:jc w:val="left"/>
        <w:outlineLvl w:val="2"/>
        <w:rPr>
          <w:rFonts w:ascii="仿宋" w:eastAsia="仿宋"/>
          <w:b/>
          <w:sz w:val="32"/>
          <w:szCs w:val="32"/>
        </w:rPr>
      </w:pPr>
      <w:bookmarkStart w:id="48" w:name="_Toc15377224"/>
      <w:r>
        <w:rPr>
          <w:rFonts w:ascii="仿宋" w:eastAsia="仿宋" w:hint="eastAsia"/>
          <w:b/>
          <w:sz w:val="32"/>
          <w:szCs w:val="32"/>
        </w:rPr>
        <w:t>（三）国有资产占有使用情况</w:t>
      </w:r>
      <w:bookmarkEnd w:id="48"/>
    </w:p>
    <w:p>
      <w:pPr>
        <w:autoSpaceDE w:val="0"/>
        <w:autoSpaceDN w:val="0"/>
        <w:adjustRightInd w:val="0"/>
        <w:spacing w:line="600" w:lineRule="exact"/>
        <w:ind w:firstLineChars="200" w:firstLine="640"/>
        <w:jc w:val="left"/>
        <w:rPr>
          <w:rFonts w:ascii="仿宋_GB2312" w:eastAsia="仿宋_GB2312"/>
          <w:sz w:val="32"/>
          <w:szCs w:val="32"/>
        </w:rPr>
      </w:pPr>
      <w:r>
        <w:rPr>
          <w:rFonts w:ascii="仿宋_GB2312" w:eastAsia="仿宋_GB2312" w:hint="eastAsia"/>
          <w:sz w:val="32"/>
          <w:szCs w:val="32"/>
        </w:rPr>
        <w:t>截至</w:t>
      </w:r>
      <w:r>
        <w:rPr>
          <w:rFonts w:ascii="仿宋_GB2312" w:eastAsia="仿宋_GB2312"/>
          <w:sz w:val="32"/>
          <w:szCs w:val="32"/>
        </w:rPr>
        <w:t>202</w:t>
      </w:r>
      <w:r>
        <w:rPr>
          <w:rFonts w:ascii="仿宋_GB2312" w:eastAsia="仿宋_GB2312" w:hint="eastAsia"/>
          <w:sz w:val="32"/>
          <w:szCs w:val="32"/>
        </w:rPr>
        <w:t>5年</w:t>
      </w:r>
      <w:r>
        <w:rPr>
          <w:rFonts w:ascii="仿宋_GB2312" w:eastAsia="仿宋_GB2312"/>
          <w:sz w:val="32"/>
          <w:szCs w:val="32"/>
        </w:rPr>
        <w:t>12</w:t>
      </w:r>
      <w:r>
        <w:rPr>
          <w:rFonts w:ascii="仿宋_GB2312" w:eastAsia="仿宋_GB2312" w:hint="eastAsia"/>
          <w:sz w:val="32"/>
          <w:szCs w:val="32"/>
        </w:rPr>
        <w:t>月</w:t>
      </w:r>
      <w:r>
        <w:rPr>
          <w:rFonts w:ascii="仿宋_GB2312" w:eastAsia="仿宋_GB2312"/>
          <w:sz w:val="32"/>
          <w:szCs w:val="32"/>
        </w:rPr>
        <w:t>31</w:t>
      </w:r>
      <w:r>
        <w:rPr>
          <w:rFonts w:ascii="仿宋_GB2312" w:eastAsia="仿宋_GB2312" w:hint="eastAsia"/>
          <w:sz w:val="32"/>
          <w:szCs w:val="32"/>
        </w:rPr>
        <w:t>日，</w:t>
      </w:r>
      <w:r>
        <w:rPr>
          <w:rFonts w:ascii="仿宋_GB2312" w:eastAsia="仿宋_GB2312" w:cs="仿宋_GB2312" w:hint="eastAsia"/>
          <w:sz w:val="32"/>
          <w:szCs w:val="32"/>
        </w:rPr>
        <w:t>汶川县社情民意调查中心</w:t>
      </w:r>
      <w:r>
        <w:rPr>
          <w:rFonts w:ascii="仿宋_GB2312" w:eastAsia="仿宋_GB2312" w:hint="eastAsia"/>
          <w:sz w:val="32"/>
          <w:szCs w:val="32"/>
        </w:rPr>
        <w:t>共有车辆0辆，其中：主要领导干部用车0辆、机要通信用车0辆、应急保障用车0辆、其他用车0辆。单价</w:t>
      </w:r>
      <w:r>
        <w:rPr>
          <w:rFonts w:ascii="仿宋_GB2312" w:eastAsia="仿宋_GB2312"/>
          <w:sz w:val="32"/>
          <w:szCs w:val="32"/>
        </w:rPr>
        <w:t>100</w:t>
      </w:r>
      <w:r>
        <w:rPr>
          <w:rFonts w:ascii="仿宋_GB2312" w:eastAsia="仿宋_GB2312" w:hint="eastAsia"/>
          <w:sz w:val="32"/>
          <w:szCs w:val="32"/>
        </w:rPr>
        <w:t>万元以上专用设备0台（套）。</w:t>
      </w:r>
    </w:p>
    <w:p>
      <w:pPr>
        <w:autoSpaceDE w:val="0"/>
        <w:autoSpaceDN w:val="0"/>
        <w:adjustRightInd w:val="0"/>
        <w:spacing w:line="600" w:lineRule="exact"/>
        <w:ind w:firstLineChars="200" w:firstLine="640"/>
        <w:jc w:val="left"/>
        <w:rPr>
          <w:rFonts w:ascii="仿宋" w:eastAsia="仿宋"/>
          <w:b/>
          <w:sz w:val="32"/>
          <w:szCs w:val="32"/>
        </w:rPr>
      </w:pPr>
      <w:r>
        <w:rPr>
          <w:rFonts w:ascii="仿宋" w:eastAsia="仿宋" w:hint="eastAsia"/>
          <w:b/>
          <w:sz w:val="32"/>
          <w:szCs w:val="32"/>
        </w:rPr>
        <w:t>（注：数据来源于财决附</w:t>
      </w:r>
      <w:r>
        <w:rPr>
          <w:rFonts w:ascii="仿宋" w:eastAsia="仿宋"/>
          <w:b/>
          <w:sz w:val="32"/>
          <w:szCs w:val="32"/>
        </w:rPr>
        <w:t>03</w:t>
      </w:r>
      <w:r>
        <w:rPr>
          <w:rFonts w:ascii="仿宋" w:eastAsia="仿宋" w:hint="eastAsia"/>
          <w:b/>
          <w:sz w:val="32"/>
          <w:szCs w:val="32"/>
        </w:rPr>
        <w:t>表，按单位决算报表填报数据罗列车辆情况。）</w:t>
      </w:r>
    </w:p>
    <w:p>
      <w:pPr>
        <w:autoSpaceDE w:val="0"/>
        <w:autoSpaceDN w:val="0"/>
        <w:adjustRightInd w:val="0"/>
        <w:spacing w:line="600" w:lineRule="exact"/>
        <w:ind w:firstLineChars="200" w:firstLine="640"/>
        <w:jc w:val="left"/>
        <w:outlineLvl w:val="2"/>
        <w:rPr>
          <w:rFonts w:ascii="仿宋" w:eastAsia="仿宋"/>
          <w:b/>
          <w:sz w:val="32"/>
          <w:szCs w:val="32"/>
        </w:rPr>
      </w:pPr>
      <w:r>
        <w:rPr>
          <w:rFonts w:ascii="仿宋" w:eastAsia="仿宋" w:hint="eastAsia"/>
          <w:b/>
          <w:sz w:val="32"/>
          <w:szCs w:val="32"/>
        </w:rPr>
        <w:t>（四）预算绩效管理情况</w:t>
      </w:r>
    </w:p>
    <w:p>
      <w:pPr>
        <w:pStyle w:val="23"/>
        <w:shd w:val="clear" w:color="auto" w:fill="FFFFFF"/>
        <w:spacing w:before="0" w:beforeAutospacing="0" w:after="0" w:afterAutospacing="0" w:line="576" w:lineRule="exact"/>
        <w:ind w:firstLineChars="200" w:firstLine="640"/>
        <w:jc w:val="both"/>
        <w:rPr>
          <w:rFonts w:ascii="仿宋" w:eastAsia="仿宋"/>
          <w:kern w:val="2"/>
          <w:sz w:val="32"/>
          <w:szCs w:val="32"/>
        </w:rPr>
      </w:pPr>
      <w:bookmarkStart w:id="49" w:name="_Toc15396613"/>
      <w:bookmarkStart w:id="50" w:name="_Toc15377225"/>
      <w:r>
        <w:rPr>
          <w:rFonts w:ascii="仿宋" w:eastAsia="仿宋" w:hint="eastAsia"/>
          <w:kern w:val="2"/>
          <w:sz w:val="32"/>
          <w:szCs w:val="32"/>
        </w:rPr>
        <w:t>2025年我部门整体支出</w:t>
      </w:r>
      <w:r>
        <w:rPr>
          <w:rFonts w:ascii="仿宋" w:eastAsia="仿宋" w:hint="eastAsia"/>
          <w:bCs/>
          <w:sz w:val="32"/>
          <w:szCs w:val="32"/>
        </w:rPr>
        <w:t>415.21</w:t>
      </w:r>
      <w:r>
        <w:rPr>
          <w:rFonts w:ascii="仿宋" w:eastAsia="仿宋" w:hint="eastAsia"/>
          <w:kern w:val="2"/>
          <w:sz w:val="32"/>
          <w:szCs w:val="32"/>
        </w:rPr>
        <w:t>万元，其中事业支出36.86万元，支出与目标申报一致。根据预算绩效管理要求，我单位对2025年部门整体支出进行了自评及评分。经自评</w:t>
      </w:r>
      <w:r>
        <w:rPr>
          <w:rFonts w:ascii="仿宋_GB2312" w:eastAsia="仿宋_GB2312" w:hint="eastAsia"/>
          <w:bCs/>
          <w:sz w:val="32"/>
          <w:szCs w:val="32"/>
        </w:rPr>
        <w:t>得分为95.5分。</w:t>
      </w:r>
      <w:r>
        <w:rPr>
          <w:rFonts w:ascii="仿宋" w:eastAsia="仿宋" w:hint="eastAsia"/>
          <w:bCs/>
          <w:sz w:val="32"/>
          <w:szCs w:val="32"/>
        </w:rPr>
        <w:t>绩效自评综述：2025年度预算资金能够保障单位各项工作正常运转，确保人员工资全额发放、人员社会保障费、住房公积金全额缴纳、人员工作经费到位，各项抽样调查有效实施，全年各项工作得到州统计局有效肯定，各项工作在全州排名靠前，在县级年度目标考核中主为一等奖。整体支出绩效评价报告及完成情况自评</w:t>
      </w:r>
      <w:r>
        <w:rPr>
          <w:rFonts w:ascii="仿宋" w:eastAsia="仿宋" w:hint="eastAsia"/>
          <w:kern w:val="2"/>
          <w:sz w:val="32"/>
          <w:szCs w:val="32"/>
        </w:rPr>
        <w:t>表详见第四部分附件。</w:t>
      </w:r>
    </w:p>
    <w:p>
      <w:pPr>
        <w:pStyle w:val="16"/>
        <w:spacing w:beforeLines="0" w:before="93"/>
        <w:ind w:firstLineChars="200" w:firstLine="640"/>
        <w:rPr>
          <w:rFonts w:ascii="仿宋" w:eastAsia="仿宋"/>
          <w:kern w:val="2"/>
          <w:sz w:val="32"/>
          <w:szCs w:val="32"/>
        </w:rPr>
      </w:pPr>
      <w:r>
        <w:rPr>
          <w:rFonts w:ascii="仿宋" w:eastAsia="仿宋" w:hint="eastAsia"/>
          <w:kern w:val="2"/>
          <w:sz w:val="32"/>
          <w:szCs w:val="32"/>
        </w:rPr>
        <w:t>2025年汶川社情民意调查中心无项目，未开展项目事前绩效评估，预算执行过程中，选取</w:t>
      </w:r>
      <w:r>
        <w:rPr>
          <w:rFonts w:ascii="仿宋" w:eastAsia="仿宋" w:hint="eastAsia"/>
          <w:bCs/>
          <w:sz w:val="32"/>
          <w:szCs w:val="32"/>
        </w:rPr>
        <w:t>3</w:t>
      </w:r>
      <w:r>
        <w:rPr>
          <w:rFonts w:ascii="仿宋" w:eastAsia="仿宋" w:hint="eastAsia"/>
          <w:kern w:val="2"/>
          <w:sz w:val="32"/>
          <w:szCs w:val="32"/>
        </w:rPr>
        <w:t>个项目开展了绩效监控；整体绩效评价报告及自评表详见第四部分附件。</w:t>
      </w:r>
    </w:p>
    <w:p>
      <w:pPr>
        <w:pStyle w:val="16"/>
        <w:spacing w:beforeLines="0" w:before="93"/>
        <w:ind w:firstLineChars="200" w:firstLine="640"/>
        <w:rPr>
          <w:rFonts w:ascii="仿宋" w:eastAsia="仿宋"/>
          <w:kern w:val="2"/>
          <w:sz w:val="32"/>
          <w:szCs w:val="32"/>
        </w:rPr>
      </w:pPr>
    </w:p>
    <w:p>
      <w:pPr>
        <w:pStyle w:val="16"/>
        <w:spacing w:beforeLines="0" w:before="93"/>
        <w:ind w:firstLineChars="200" w:firstLine="640"/>
        <w:rPr>
          <w:rFonts w:ascii="仿宋" w:eastAsia="仿宋"/>
          <w:kern w:val="2"/>
          <w:sz w:val="32"/>
          <w:szCs w:val="32"/>
        </w:rPr>
      </w:pPr>
    </w:p>
    <w:p>
      <w:pPr>
        <w:pStyle w:val="16"/>
        <w:spacing w:beforeLines="0" w:before="93"/>
        <w:ind w:firstLineChars="200" w:firstLine="640"/>
        <w:rPr>
          <w:rFonts w:ascii="仿宋" w:eastAsia="仿宋"/>
          <w:kern w:val="2"/>
          <w:sz w:val="32"/>
          <w:szCs w:val="32"/>
        </w:rPr>
      </w:pPr>
    </w:p>
    <w:p>
      <w:pPr>
        <w:pStyle w:val="16"/>
        <w:spacing w:beforeLines="0" w:before="93"/>
        <w:ind w:firstLineChars="200" w:firstLine="640"/>
        <w:rPr>
          <w:rFonts w:ascii="仿宋" w:eastAsia="仿宋"/>
          <w:kern w:val="2"/>
          <w:sz w:val="32"/>
          <w:szCs w:val="32"/>
        </w:rPr>
      </w:pPr>
    </w:p>
    <w:p>
      <w:pPr>
        <w:pStyle w:val="16"/>
        <w:spacing w:beforeLines="0" w:before="93"/>
        <w:ind w:firstLineChars="200" w:firstLine="640"/>
        <w:rPr>
          <w:rFonts w:ascii="仿宋" w:eastAsia="仿宋"/>
          <w:kern w:val="2"/>
          <w:sz w:val="32"/>
          <w:szCs w:val="32"/>
        </w:rPr>
      </w:pPr>
    </w:p>
    <w:p>
      <w:pPr>
        <w:pStyle w:val="16"/>
        <w:spacing w:beforeLines="0" w:before="93"/>
        <w:ind w:firstLineChars="200" w:firstLine="640"/>
        <w:rPr>
          <w:rFonts w:ascii="仿宋" w:eastAsia="仿宋"/>
          <w:kern w:val="2"/>
          <w:sz w:val="32"/>
          <w:szCs w:val="32"/>
        </w:rPr>
      </w:pPr>
    </w:p>
    <w:p>
      <w:pPr>
        <w:pStyle w:val="16"/>
        <w:spacing w:beforeLines="0" w:before="93"/>
        <w:ind w:firstLineChars="200" w:firstLine="640"/>
        <w:rPr>
          <w:rFonts w:ascii="仿宋" w:eastAsia="仿宋"/>
          <w:kern w:val="2"/>
          <w:sz w:val="32"/>
          <w:szCs w:val="32"/>
        </w:rPr>
      </w:pPr>
    </w:p>
    <w:p>
      <w:pPr>
        <w:pStyle w:val="16"/>
        <w:spacing w:beforeLines="0" w:before="30"/>
        <w:ind w:firstLine="0"/>
        <w:rPr>
          <w:rFonts w:ascii="仿宋" w:eastAsia="仿宋"/>
          <w:kern w:val="2"/>
          <w:sz w:val="32"/>
          <w:szCs w:val="32"/>
        </w:rPr>
      </w:pPr>
    </w:p>
    <w:p>
      <w:pPr>
        <w:numPr>
          <w:ilvl w:val="0"/>
          <w:numId w:val="3"/>
        </w:numPr>
        <w:spacing w:line="600" w:lineRule="exact"/>
        <w:ind w:left="0" w:firstLineChars="150" w:firstLine="660"/>
        <w:jc w:val="center"/>
        <w:outlineLvl w:val="0"/>
        <w:rPr>
          <w:rFonts w:ascii="宋体"/>
          <w:b/>
          <w:sz w:val="44"/>
          <w:szCs w:val="44"/>
        </w:rPr>
      </w:pPr>
      <w:r>
        <w:rPr>
          <w:rFonts w:ascii="黑体" w:eastAsia="黑体" w:hint="eastAsia"/>
          <w:sz w:val="44"/>
          <w:szCs w:val="44"/>
        </w:rPr>
        <w:t>名</w:t>
      </w:r>
      <w:r>
        <w:rPr>
          <w:rStyle w:val="1Char"/>
          <w:rFonts w:ascii="黑体" w:eastAsia="黑体" w:hint="eastAsia"/>
          <w:b w:val="0"/>
        </w:rPr>
        <w:t>词解释</w:t>
      </w:r>
      <w:bookmarkEnd w:id="49"/>
      <w:bookmarkEnd w:id="50"/>
    </w:p>
    <w:p>
      <w:pPr>
        <w:pStyle w:val="29"/>
        <w:adjustRightInd w:val="0"/>
        <w:snapToGrid w:val="0"/>
        <w:spacing w:line="540" w:lineRule="exact"/>
        <w:ind w:firstLineChars="200" w:firstLine="640"/>
        <w:rPr>
          <w:rFonts w:ascii="仿宋_GB2312" w:eastAsia="仿宋_GB2312"/>
          <w:color w:val="auto"/>
          <w:sz w:val="32"/>
          <w:szCs w:val="32"/>
        </w:rPr>
      </w:pPr>
      <w:r>
        <w:rPr>
          <w:rFonts w:ascii="仿宋_GB2312" w:eastAsia="仿宋_GB2312"/>
          <w:color w:val="auto"/>
          <w:sz w:val="32"/>
          <w:szCs w:val="32"/>
        </w:rPr>
        <w:t>1.</w:t>
      </w:r>
      <w:r>
        <w:rPr>
          <w:rFonts w:ascii="仿宋_GB2312" w:eastAsia="仿宋_GB2312" w:hint="eastAsia"/>
          <w:color w:val="auto"/>
          <w:sz w:val="32"/>
          <w:szCs w:val="32"/>
        </w:rPr>
        <w:t>财政拨款收入：指单位从同级财政部门取得的财政预算资金。</w:t>
      </w:r>
    </w:p>
    <w:p>
      <w:pPr>
        <w:pStyle w:val="29"/>
        <w:adjustRightInd w:val="0"/>
        <w:snapToGrid w:val="0"/>
        <w:spacing w:line="540" w:lineRule="exact"/>
        <w:ind w:firstLineChars="200" w:firstLine="640"/>
        <w:rPr>
          <w:rFonts w:ascii="仿宋_GB2312" w:eastAsia="仿宋_GB2312"/>
          <w:color w:val="auto"/>
          <w:sz w:val="32"/>
          <w:szCs w:val="32"/>
        </w:rPr>
      </w:pPr>
      <w:r>
        <w:rPr>
          <w:rFonts w:ascii="仿宋_GB2312" w:eastAsia="仿宋_GB2312"/>
          <w:color w:val="auto"/>
          <w:sz w:val="32"/>
          <w:szCs w:val="32"/>
        </w:rPr>
        <w:t>2.</w:t>
      </w:r>
      <w:r>
        <w:rPr>
          <w:rFonts w:ascii="仿宋_GB2312" w:eastAsia="仿宋_GB2312" w:hint="eastAsia"/>
          <w:color w:val="auto"/>
          <w:sz w:val="32"/>
          <w:szCs w:val="32"/>
        </w:rPr>
        <w:t>事业收入：指事业单位开展专业业务活动及辅助活动取得的收入。如（二级预算单位事业收入情况）等。</w:t>
      </w:r>
    </w:p>
    <w:p>
      <w:pPr>
        <w:pStyle w:val="29"/>
        <w:adjustRightInd w:val="0"/>
        <w:snapToGrid w:val="0"/>
        <w:spacing w:line="540" w:lineRule="exact"/>
        <w:ind w:firstLineChars="200" w:firstLine="640"/>
        <w:rPr>
          <w:rFonts w:ascii="仿宋_GB2312" w:eastAsia="仿宋_GB2312"/>
          <w:color w:val="auto"/>
          <w:sz w:val="32"/>
          <w:szCs w:val="32"/>
        </w:rPr>
      </w:pPr>
      <w:r>
        <w:rPr>
          <w:rFonts w:ascii="仿宋_GB2312" w:eastAsia="仿宋_GB2312"/>
          <w:color w:val="auto"/>
          <w:sz w:val="32"/>
          <w:szCs w:val="32"/>
        </w:rPr>
        <w:t>3.</w:t>
      </w:r>
      <w:r>
        <w:rPr>
          <w:rFonts w:ascii="仿宋_GB2312" w:eastAsia="仿宋_GB2312" w:hint="eastAsia"/>
          <w:color w:val="auto"/>
          <w:sz w:val="32"/>
          <w:szCs w:val="32"/>
        </w:rPr>
        <w:t>经营收入：指事业单位在专业业务活动及其辅助活动之外开展非独立核算经营活动取得的收入。如…（二级预算单位经营收入情况）等。</w:t>
      </w:r>
    </w:p>
    <w:p>
      <w:pPr>
        <w:pStyle w:val="29"/>
        <w:adjustRightInd w:val="0"/>
        <w:snapToGrid w:val="0"/>
        <w:spacing w:line="540" w:lineRule="exact"/>
        <w:ind w:firstLineChars="200" w:firstLine="640"/>
        <w:rPr>
          <w:rFonts w:ascii="仿宋_GB2312" w:eastAsia="仿宋_GB2312"/>
          <w:color w:val="auto"/>
          <w:sz w:val="32"/>
          <w:szCs w:val="32"/>
        </w:rPr>
      </w:pPr>
      <w:r>
        <w:rPr>
          <w:rFonts w:ascii="仿宋_GB2312" w:eastAsia="仿宋_GB2312"/>
          <w:color w:val="auto"/>
          <w:sz w:val="32"/>
          <w:szCs w:val="32"/>
        </w:rPr>
        <w:t>4.</w:t>
      </w:r>
      <w:r>
        <w:rPr>
          <w:rFonts w:ascii="仿宋_GB2312" w:eastAsia="仿宋_GB2312" w:hint="eastAsia"/>
          <w:color w:val="auto"/>
          <w:sz w:val="32"/>
          <w:szCs w:val="32"/>
        </w:rPr>
        <w:t>其他收入：指单位取得的除上述收入以外的各项收入。主要是…（收入类型）等。</w:t>
      </w:r>
      <w:r>
        <w:rPr>
          <w:rFonts w:ascii="仿宋_GB2312" w:eastAsia="仿宋_GB2312"/>
          <w:color w:val="auto"/>
          <w:sz w:val="32"/>
          <w:szCs w:val="32"/>
        </w:rPr>
        <w:t xml:space="preserve"> </w:t>
      </w:r>
    </w:p>
    <w:p>
      <w:pPr>
        <w:pStyle w:val="29"/>
        <w:adjustRightInd w:val="0"/>
        <w:snapToGrid w:val="0"/>
        <w:spacing w:line="540" w:lineRule="exact"/>
        <w:ind w:firstLineChars="200" w:firstLine="640"/>
        <w:rPr>
          <w:rFonts w:ascii="仿宋_GB2312" w:eastAsia="仿宋_GB2312"/>
          <w:color w:val="auto"/>
          <w:sz w:val="32"/>
          <w:szCs w:val="32"/>
        </w:rPr>
      </w:pPr>
      <w:r>
        <w:rPr>
          <w:rFonts w:ascii="仿宋_GB2312" w:eastAsia="仿宋_GB2312"/>
          <w:color w:val="auto"/>
          <w:sz w:val="32"/>
          <w:szCs w:val="32"/>
        </w:rPr>
        <w:t>5.</w:t>
      </w:r>
      <w:r>
        <w:rPr>
          <w:rFonts w:ascii="仿宋_GB2312" w:eastAsia="仿宋_GB2312" w:hint="eastAsia"/>
          <w:color w:val="auto"/>
          <w:sz w:val="32"/>
          <w:szCs w:val="32"/>
        </w:rPr>
        <w:t>使用非财政拨款结余：指事业单位使用以前年度积累的非财政拨款结余弥补当年收支差额的金额。</w:t>
      </w:r>
      <w:r>
        <w:rPr>
          <w:rFonts w:ascii="仿宋_GB2312" w:eastAsia="仿宋_GB2312"/>
          <w:color w:val="auto"/>
          <w:sz w:val="32"/>
          <w:szCs w:val="32"/>
        </w:rPr>
        <w:t xml:space="preserve"> </w:t>
      </w:r>
    </w:p>
    <w:p>
      <w:pPr>
        <w:pStyle w:val="29"/>
        <w:adjustRightInd w:val="0"/>
        <w:snapToGrid w:val="0"/>
        <w:spacing w:line="540" w:lineRule="exact"/>
        <w:ind w:firstLineChars="200" w:firstLine="640"/>
        <w:rPr>
          <w:rFonts w:ascii="仿宋_GB2312" w:eastAsia="仿宋_GB2312"/>
          <w:color w:val="auto"/>
          <w:sz w:val="32"/>
          <w:szCs w:val="32"/>
        </w:rPr>
      </w:pPr>
      <w:r>
        <w:rPr>
          <w:rFonts w:ascii="仿宋_GB2312" w:eastAsia="仿宋_GB2312"/>
          <w:color w:val="auto"/>
          <w:sz w:val="32"/>
          <w:szCs w:val="32"/>
        </w:rPr>
        <w:t>6.</w:t>
      </w:r>
      <w:r>
        <w:rPr>
          <w:rFonts w:ascii="仿宋_GB2312" w:eastAsia="仿宋_GB2312" w:hint="eastAsia"/>
          <w:color w:val="auto"/>
          <w:sz w:val="32"/>
          <w:szCs w:val="32"/>
        </w:rPr>
        <w:t>年初结转和结余：指以前年度尚未完成、结转到本年按有关规定继续使用的资金。</w:t>
      </w:r>
      <w:r>
        <w:rPr>
          <w:rFonts w:ascii="仿宋_GB2312" w:eastAsia="仿宋_GB2312"/>
          <w:color w:val="auto"/>
          <w:sz w:val="32"/>
          <w:szCs w:val="32"/>
        </w:rPr>
        <w:t xml:space="preserve"> </w:t>
      </w:r>
    </w:p>
    <w:p>
      <w:pPr>
        <w:pStyle w:val="29"/>
        <w:adjustRightInd w:val="0"/>
        <w:snapToGrid w:val="0"/>
        <w:spacing w:line="540" w:lineRule="exact"/>
        <w:ind w:firstLineChars="200" w:firstLine="640"/>
        <w:rPr>
          <w:rFonts w:ascii="仿宋_GB2312" w:eastAsia="仿宋_GB2312"/>
          <w:color w:val="auto"/>
          <w:sz w:val="32"/>
          <w:szCs w:val="32"/>
        </w:rPr>
      </w:pPr>
      <w:r>
        <w:rPr>
          <w:rFonts w:ascii="仿宋_GB2312" w:eastAsia="仿宋_GB2312"/>
          <w:color w:val="auto"/>
          <w:sz w:val="32"/>
          <w:szCs w:val="32"/>
        </w:rPr>
        <w:t>7.</w:t>
      </w:r>
      <w:r>
        <w:rPr>
          <w:rFonts w:ascii="仿宋_GB2312" w:eastAsia="仿宋_GB2312" w:hint="eastAsia"/>
          <w:color w:val="auto"/>
          <w:sz w:val="32"/>
          <w:szCs w:val="32"/>
        </w:rPr>
        <w:t>结余分配：指事业单位按照会计制度规定缴纳的所得税、提取的专用结余以及转入非财政拨款结余的金额等。</w:t>
      </w:r>
    </w:p>
    <w:p>
      <w:pPr>
        <w:pStyle w:val="29"/>
        <w:adjustRightInd w:val="0"/>
        <w:snapToGrid w:val="0"/>
        <w:spacing w:line="540" w:lineRule="exact"/>
        <w:ind w:firstLineChars="200" w:firstLine="640"/>
        <w:rPr>
          <w:rFonts w:ascii="仿宋_GB2312" w:eastAsia="仿宋_GB2312"/>
          <w:color w:val="auto"/>
          <w:sz w:val="32"/>
          <w:szCs w:val="32"/>
        </w:rPr>
      </w:pPr>
      <w:r>
        <w:rPr>
          <w:rFonts w:ascii="仿宋_GB2312" w:eastAsia="仿宋_GB2312"/>
          <w:color w:val="auto"/>
          <w:sz w:val="32"/>
          <w:szCs w:val="32"/>
        </w:rPr>
        <w:t>8</w:t>
      </w:r>
      <w:r>
        <w:rPr>
          <w:rFonts w:ascii="仿宋_GB2312" w:eastAsia="仿宋_GB2312" w:hint="eastAsia"/>
          <w:color w:val="auto"/>
          <w:sz w:val="32"/>
          <w:szCs w:val="32"/>
        </w:rPr>
        <w:t>.年末结转和结余：指单位按有关规定结转到下年或以后年度继续使用的资金。</w:t>
      </w:r>
    </w:p>
    <w:p>
      <w:pPr>
        <w:adjustRightInd w:val="0"/>
        <w:snapToGrid w:val="0"/>
        <w:spacing w:line="54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9.一般公共服务</w:t>
      </w:r>
      <w:r>
        <w:rPr>
          <w:rFonts w:ascii="仿宋_GB2312" w:eastAsia="仿宋_GB2312" w:cs="仿宋_GB2312" w:hint="eastAsia"/>
          <w:sz w:val="32"/>
          <w:szCs w:val="32"/>
          <w:lang w:eastAsia="zh-CN"/>
        </w:rPr>
        <w:t>支出</w:t>
      </w:r>
      <w:r>
        <w:rPr>
          <w:rFonts w:ascii="仿宋_GB2312" w:eastAsia="仿宋_GB2312" w:cs="仿宋_GB2312" w:hint="eastAsia"/>
          <w:sz w:val="32"/>
          <w:szCs w:val="32"/>
        </w:rPr>
        <w:t>（类）</w:t>
      </w:r>
      <w:r>
        <w:rPr>
          <w:rFonts w:ascii="仿宋_GB2312" w:eastAsia="仿宋_GB2312" w:cs="仿宋_GB2312" w:hint="eastAsia"/>
          <w:sz w:val="32"/>
          <w:szCs w:val="32"/>
          <w:lang w:eastAsia="zh-CN"/>
        </w:rPr>
        <w:t>统计信息事务</w:t>
      </w:r>
      <w:r>
        <w:rPr>
          <w:rFonts w:ascii="仿宋_GB2312" w:eastAsia="仿宋_GB2312" w:cs="仿宋_GB2312" w:hint="eastAsia"/>
          <w:sz w:val="32"/>
          <w:szCs w:val="32"/>
        </w:rPr>
        <w:t>（款）</w:t>
      </w:r>
      <w:r>
        <w:rPr>
          <w:rFonts w:ascii="仿宋_GB2312" w:eastAsia="仿宋_GB2312" w:cs="仿宋_GB2312" w:hint="eastAsia"/>
          <w:sz w:val="32"/>
          <w:szCs w:val="32"/>
          <w:lang w:eastAsia="zh-CN"/>
        </w:rPr>
        <w:t>事业运行</w:t>
      </w:r>
      <w:r>
        <w:rPr>
          <w:rFonts w:ascii="仿宋_GB2312" w:eastAsia="仿宋_GB2312" w:cs="仿宋_GB2312" w:hint="eastAsia"/>
          <w:sz w:val="32"/>
          <w:szCs w:val="32"/>
        </w:rPr>
        <w:t>（项）：指事业</w:t>
      </w:r>
      <w:r>
        <w:rPr>
          <w:rFonts w:ascii="仿宋_GB2312" w:eastAsia="仿宋_GB2312" w:hint="eastAsia"/>
          <w:sz w:val="32"/>
          <w:szCs w:val="32"/>
        </w:rPr>
        <w:t>运行单位基本支出。</w:t>
      </w:r>
    </w:p>
    <w:p>
      <w:pPr>
        <w:pStyle w:val="23"/>
        <w:widowControl w:val="0"/>
        <w:shd w:val="clear" w:color="auto" w:fill="FFFFFF"/>
        <w:adjustRightInd w:val="0"/>
        <w:snapToGrid w:val="0"/>
        <w:spacing w:before="0" w:beforeAutospacing="0" w:after="0" w:afterAutospacing="0" w:line="540" w:lineRule="exact"/>
        <w:ind w:firstLineChars="200" w:firstLine="640"/>
        <w:jc w:val="both"/>
        <w:rPr>
          <w:rFonts w:ascii="仿宋_GB2312" w:eastAsia="仿宋_GB2312" w:cs="仿宋_GB2312"/>
          <w:sz w:val="32"/>
          <w:szCs w:val="32"/>
        </w:rPr>
      </w:pPr>
      <w:r>
        <w:rPr>
          <w:rFonts w:ascii="仿宋_GB2312" w:eastAsia="仿宋_GB2312" w:cs="仿宋_GB2312" w:hint="eastAsia"/>
          <w:sz w:val="32"/>
          <w:szCs w:val="32"/>
        </w:rPr>
        <w:t>10.社会保障和就业</w:t>
      </w:r>
      <w:r>
        <w:rPr>
          <w:rFonts w:ascii="仿宋_GB2312" w:eastAsia="仿宋_GB2312" w:cs="仿宋_GB2312" w:hint="eastAsia"/>
          <w:sz w:val="32"/>
          <w:szCs w:val="32"/>
          <w:lang w:eastAsia="zh-CN"/>
        </w:rPr>
        <w:t>支出</w:t>
      </w:r>
      <w:r>
        <w:rPr>
          <w:rFonts w:ascii="仿宋_GB2312" w:eastAsia="仿宋_GB2312" w:cs="仿宋_GB2312" w:hint="eastAsia"/>
          <w:sz w:val="32"/>
          <w:szCs w:val="32"/>
        </w:rPr>
        <w:t>（类）</w:t>
      </w:r>
      <w:r>
        <w:rPr>
          <w:rFonts w:ascii="仿宋_GB2312" w:eastAsia="仿宋_GB2312" w:cs="仿宋_GB2312" w:hint="eastAsia"/>
          <w:sz w:val="32"/>
          <w:szCs w:val="32"/>
          <w:lang w:eastAsia="zh-CN"/>
        </w:rPr>
        <w:t>行政事业单位养老支出</w:t>
      </w:r>
      <w:r>
        <w:rPr>
          <w:rFonts w:ascii="仿宋_GB2312" w:eastAsia="仿宋_GB2312" w:cs="仿宋_GB2312" w:hint="eastAsia"/>
          <w:sz w:val="32"/>
          <w:szCs w:val="32"/>
        </w:rPr>
        <w:t>（款）</w:t>
      </w:r>
      <w:r>
        <w:rPr>
          <w:rFonts w:ascii="仿宋_GB2312" w:eastAsia="仿宋_GB2312" w:cs="仿宋_GB2312" w:hint="eastAsia"/>
          <w:sz w:val="32"/>
          <w:szCs w:val="32"/>
          <w:lang w:eastAsia="zh-CN"/>
        </w:rPr>
        <w:t>机关事业单位基本养老保险缴费支出</w:t>
      </w:r>
      <w:r>
        <w:rPr>
          <w:rFonts w:ascii="仿宋_GB2312" w:eastAsia="仿宋_GB2312" w:cs="仿宋_GB2312" w:hint="eastAsia"/>
          <w:sz w:val="32"/>
          <w:szCs w:val="32"/>
        </w:rPr>
        <w:t>（项）：指</w:t>
      </w:r>
      <w:r>
        <w:rPr>
          <w:rFonts w:ascii="仿宋_GB2312" w:eastAsia="仿宋_GB2312" w:hint="eastAsia"/>
          <w:sz w:val="32"/>
          <w:szCs w:val="32"/>
        </w:rPr>
        <w:t>机关事业单位由单位缴纳的养老保险费支出。</w:t>
      </w:r>
    </w:p>
    <w:p>
      <w:pPr>
        <w:pStyle w:val="23"/>
        <w:widowControl w:val="0"/>
        <w:shd w:val="clear" w:color="auto" w:fill="FFFFFF"/>
        <w:adjustRightInd w:val="0"/>
        <w:snapToGrid w:val="0"/>
        <w:spacing w:before="0" w:beforeAutospacing="0" w:after="0" w:afterAutospacing="0" w:line="540" w:lineRule="exact"/>
        <w:ind w:firstLineChars="200" w:firstLine="640"/>
        <w:jc w:val="both"/>
        <w:rPr>
          <w:rFonts w:ascii="仿宋_GB2312" w:eastAsia="仿宋_GB2312"/>
          <w:sz w:val="32"/>
          <w:szCs w:val="32"/>
        </w:rPr>
      </w:pPr>
      <w:r>
        <w:rPr>
          <w:rFonts w:cs="仿宋_GB2312" w:hint="eastAsia"/>
          <w:sz w:val="32"/>
          <w:szCs w:val="32"/>
        </w:rPr>
        <w:t>11.</w:t>
      </w:r>
      <w:r>
        <w:rPr>
          <w:rFonts w:ascii="仿宋_GB2312" w:eastAsia="仿宋_GB2312" w:cs="仿宋_GB2312" w:hint="eastAsia"/>
          <w:sz w:val="32"/>
          <w:szCs w:val="32"/>
        </w:rPr>
        <w:t>社会保障和就业（类）</w:t>
      </w:r>
      <w:r>
        <w:rPr>
          <w:rFonts w:ascii="仿宋_GB2312" w:eastAsia="仿宋_GB2312" w:cs="仿宋_GB2312" w:hint="eastAsia"/>
          <w:sz w:val="32"/>
          <w:szCs w:val="32"/>
          <w:lang w:eastAsia="zh-CN"/>
        </w:rPr>
        <w:t>行政事业单位支出</w:t>
      </w:r>
      <w:r>
        <w:rPr>
          <w:rFonts w:ascii="仿宋_GB2312" w:eastAsia="仿宋_GB2312" w:cs="仿宋_GB2312" w:hint="eastAsia"/>
          <w:sz w:val="32"/>
          <w:szCs w:val="32"/>
        </w:rPr>
        <w:t>（款）</w:t>
      </w:r>
      <w:r>
        <w:rPr>
          <w:rFonts w:ascii="仿宋_GB2312" w:eastAsia="仿宋_GB2312" w:cs="仿宋_GB2312" w:hint="eastAsia"/>
          <w:sz w:val="32"/>
          <w:szCs w:val="32"/>
          <w:lang w:eastAsia="zh-CN"/>
        </w:rPr>
        <w:t>机关事业单位职业年金缴费支出</w:t>
      </w:r>
      <w:r>
        <w:rPr>
          <w:rFonts w:ascii="仿宋_GB2312" w:eastAsia="仿宋_GB2312" w:cs="仿宋_GB2312" w:hint="eastAsia"/>
          <w:sz w:val="32"/>
          <w:szCs w:val="32"/>
        </w:rPr>
        <w:t>（项）：</w:t>
      </w:r>
      <w:r>
        <w:rPr>
          <w:rFonts w:ascii="仿宋_GB2312" w:eastAsia="仿宋_GB2312" w:hint="eastAsia"/>
          <w:sz w:val="32"/>
          <w:szCs w:val="32"/>
        </w:rPr>
        <w:t>指机关事业单位由单位缴纳的职业年金支出。</w:t>
      </w:r>
    </w:p>
    <w:p>
      <w:pPr>
        <w:pStyle w:val="23"/>
        <w:widowControl w:val="0"/>
        <w:shd w:val="clear" w:color="auto" w:fill="FFFFFF"/>
        <w:adjustRightInd w:val="0"/>
        <w:snapToGrid w:val="0"/>
        <w:spacing w:before="0" w:beforeAutospacing="0" w:after="0" w:afterAutospacing="0" w:line="540" w:lineRule="exact"/>
        <w:ind w:firstLineChars="200" w:firstLine="640"/>
        <w:jc w:val="both"/>
        <w:rPr>
          <w:rFonts w:ascii="仿宋_GB2312" w:eastAsia="仿宋_GB2312"/>
          <w:sz w:val="32"/>
          <w:szCs w:val="32"/>
        </w:rPr>
      </w:pPr>
      <w:r>
        <w:rPr>
          <w:rFonts w:ascii="仿宋_GB2312" w:eastAsia="仿宋_GB2312" w:cs="仿宋_GB2312" w:hint="eastAsia"/>
          <w:sz w:val="32"/>
          <w:szCs w:val="32"/>
        </w:rPr>
        <w:t>12.卫生健康（类）</w:t>
      </w:r>
      <w:r>
        <w:rPr>
          <w:rFonts w:ascii="仿宋_GB2312" w:eastAsia="仿宋_GB2312" w:cs="仿宋_GB2312" w:hint="eastAsia"/>
          <w:sz w:val="32"/>
          <w:szCs w:val="32"/>
          <w:lang w:eastAsia="zh-CN"/>
        </w:rPr>
        <w:t>行政事业医疗</w:t>
      </w:r>
      <w:r>
        <w:rPr>
          <w:rFonts w:ascii="仿宋_GB2312" w:eastAsia="仿宋_GB2312" w:cs="仿宋_GB2312" w:hint="eastAsia"/>
          <w:sz w:val="32"/>
          <w:szCs w:val="32"/>
        </w:rPr>
        <w:t>（款）</w:t>
      </w:r>
      <w:r>
        <w:rPr>
          <w:rFonts w:ascii="仿宋_GB2312" w:eastAsia="仿宋_GB2312" w:cs="仿宋_GB2312" w:hint="eastAsia"/>
          <w:sz w:val="32"/>
          <w:szCs w:val="32"/>
          <w:lang w:eastAsia="zh-CN"/>
        </w:rPr>
        <w:t>事业单位医疗</w:t>
      </w:r>
      <w:r>
        <w:rPr>
          <w:rFonts w:ascii="仿宋_GB2312" w:eastAsia="仿宋_GB2312" w:cs="仿宋_GB2312" w:hint="eastAsia"/>
          <w:sz w:val="32"/>
          <w:szCs w:val="32"/>
        </w:rPr>
        <w:t>（项）：</w:t>
      </w:r>
      <w:r>
        <w:rPr>
          <w:rFonts w:ascii="仿宋_GB2312" w:eastAsia="仿宋_GB2312" w:hint="eastAsia"/>
          <w:sz w:val="32"/>
          <w:szCs w:val="32"/>
        </w:rPr>
        <w:t>指财政部门安排的事业单位基本医疗保险缴费经费。</w:t>
      </w:r>
    </w:p>
    <w:p>
      <w:pPr>
        <w:pStyle w:val="23"/>
        <w:widowControl w:val="0"/>
        <w:shd w:val="clear" w:color="auto" w:fill="FFFFFF"/>
        <w:adjustRightInd w:val="0"/>
        <w:snapToGrid w:val="0"/>
        <w:spacing w:before="0" w:beforeAutospacing="0" w:after="0" w:afterAutospacing="0" w:line="540" w:lineRule="exact"/>
        <w:ind w:firstLineChars="200" w:firstLine="640"/>
        <w:jc w:val="both"/>
        <w:rPr>
          <w:rFonts w:ascii="仿宋_GB2312" w:eastAsia="仿宋_GB2312"/>
          <w:sz w:val="32"/>
          <w:szCs w:val="32"/>
        </w:rPr>
      </w:pPr>
      <w:r>
        <w:rPr>
          <w:rFonts w:ascii="仿宋_GB2312" w:eastAsia="仿宋_GB2312" w:cs="仿宋_GB2312" w:hint="eastAsia"/>
          <w:sz w:val="32"/>
          <w:szCs w:val="32"/>
        </w:rPr>
        <w:t>13.卫生健康（类）</w:t>
      </w:r>
      <w:r>
        <w:rPr>
          <w:rFonts w:ascii="仿宋_GB2312" w:eastAsia="仿宋_GB2312" w:cs="仿宋_GB2312" w:hint="eastAsia"/>
          <w:sz w:val="32"/>
          <w:szCs w:val="32"/>
          <w:lang w:eastAsia="zh-CN"/>
        </w:rPr>
        <w:t>行政事业医疗</w:t>
      </w:r>
      <w:r>
        <w:rPr>
          <w:rFonts w:ascii="仿宋_GB2312" w:eastAsia="仿宋_GB2312" w:cs="仿宋_GB2312" w:hint="eastAsia"/>
          <w:sz w:val="32"/>
          <w:szCs w:val="32"/>
        </w:rPr>
        <w:t>（款）</w:t>
      </w:r>
      <w:r>
        <w:rPr>
          <w:rFonts w:ascii="仿宋_GB2312" w:eastAsia="仿宋_GB2312" w:cs="仿宋_GB2312" w:hint="eastAsia"/>
          <w:sz w:val="32"/>
          <w:szCs w:val="32"/>
          <w:lang w:eastAsia="zh-CN"/>
        </w:rPr>
        <w:t>其他行政事业单位医疗支出</w:t>
      </w:r>
      <w:r>
        <w:rPr>
          <w:rFonts w:ascii="仿宋_GB2312" w:eastAsia="仿宋_GB2312" w:cs="仿宋_GB2312" w:hint="eastAsia"/>
          <w:sz w:val="32"/>
          <w:szCs w:val="32"/>
        </w:rPr>
        <w:t>（项）：</w:t>
      </w:r>
      <w:r>
        <w:rPr>
          <w:rFonts w:ascii="仿宋_GB2312" w:eastAsia="仿宋_GB2312" w:hint="eastAsia"/>
          <w:sz w:val="32"/>
          <w:szCs w:val="32"/>
        </w:rPr>
        <w:t>指财政部门安排用于行政事业单位医疗方面的支出，本单位主要用于事业人员医疗补助。</w:t>
      </w:r>
    </w:p>
    <w:p>
      <w:pPr>
        <w:pStyle w:val="23"/>
        <w:widowControl w:val="0"/>
        <w:shd w:val="clear" w:color="auto" w:fill="FFFFFF"/>
        <w:adjustRightInd w:val="0"/>
        <w:snapToGrid w:val="0"/>
        <w:spacing w:before="0" w:beforeAutospacing="0" w:after="0" w:afterAutospacing="0" w:line="540" w:lineRule="exact"/>
        <w:ind w:firstLineChars="200" w:firstLine="640"/>
        <w:jc w:val="both"/>
        <w:rPr>
          <w:rFonts w:ascii="仿宋_GB2312" w:eastAsia="仿宋_GB2312" w:cs="仿宋_GB2312"/>
          <w:sz w:val="32"/>
          <w:szCs w:val="32"/>
        </w:rPr>
      </w:pPr>
      <w:r>
        <w:rPr>
          <w:rFonts w:ascii="仿宋_GB2312" w:eastAsia="仿宋_GB2312" w:cs="仿宋_GB2312" w:hint="eastAsia"/>
          <w:sz w:val="32"/>
          <w:szCs w:val="32"/>
        </w:rPr>
        <w:t>14.住房保障（类）</w:t>
      </w:r>
      <w:r>
        <w:rPr>
          <w:rFonts w:ascii="仿宋_GB2312" w:eastAsia="仿宋_GB2312" w:cs="仿宋_GB2312" w:hint="eastAsia"/>
          <w:sz w:val="32"/>
          <w:szCs w:val="32"/>
          <w:lang w:eastAsia="zh-CN"/>
        </w:rPr>
        <w:t>住房改革支出</w:t>
      </w:r>
      <w:r>
        <w:rPr>
          <w:rFonts w:ascii="仿宋_GB2312" w:eastAsia="仿宋_GB2312" w:cs="仿宋_GB2312" w:hint="eastAsia"/>
          <w:sz w:val="32"/>
          <w:szCs w:val="32"/>
        </w:rPr>
        <w:t>（款）</w:t>
      </w:r>
      <w:r>
        <w:rPr>
          <w:rFonts w:ascii="仿宋_GB2312" w:eastAsia="仿宋_GB2312" w:cs="仿宋_GB2312" w:hint="eastAsia"/>
          <w:sz w:val="32"/>
          <w:szCs w:val="32"/>
          <w:lang w:eastAsia="zh-CN"/>
        </w:rPr>
        <w:t>住房公积金</w:t>
      </w:r>
      <w:r>
        <w:rPr>
          <w:rFonts w:ascii="仿宋_GB2312" w:eastAsia="仿宋_GB2312" w:cs="仿宋_GB2312" w:hint="eastAsia"/>
          <w:sz w:val="32"/>
          <w:szCs w:val="32"/>
        </w:rPr>
        <w:t>（项）：</w:t>
      </w:r>
      <w:r>
        <w:rPr>
          <w:rFonts w:ascii="仿宋_GB2312" w:eastAsia="仿宋_GB2312" w:hint="eastAsia"/>
          <w:sz w:val="32"/>
          <w:szCs w:val="32"/>
        </w:rPr>
        <w:t>指行政事业单位按人力资源和社</w:t>
      </w:r>
      <w:r>
        <w:rPr>
          <w:rFonts w:ascii="仿宋_GB2312" w:eastAsia="仿宋_GB2312"/>
          <w:sz w:val="32"/>
          <w:szCs w:val="32"/>
        </w:rPr>
        <w:t>会</w:t>
      </w:r>
      <w:r>
        <w:rPr>
          <w:rFonts w:ascii="仿宋_GB2312" w:eastAsia="仿宋_GB2312" w:hint="eastAsia"/>
          <w:sz w:val="32"/>
          <w:szCs w:val="32"/>
        </w:rPr>
        <w:t>保障部、财政部规定的基本工资和津贴补贴以及规定比例为职业缴纳的住房公积金。</w:t>
      </w:r>
    </w:p>
    <w:p>
      <w:pPr>
        <w:adjustRightInd w:val="0"/>
        <w:snapToGrid w:val="0"/>
        <w:spacing w:line="540" w:lineRule="exact"/>
        <w:ind w:firstLine="640"/>
        <w:rPr>
          <w:rFonts w:ascii="仿宋" w:eastAsia="仿宋"/>
          <w:b/>
          <w:sz w:val="32"/>
          <w:szCs w:val="32"/>
        </w:rPr>
      </w:pPr>
      <w:r>
        <w:rPr>
          <w:rFonts w:ascii="仿宋" w:eastAsia="仿宋" w:hint="eastAsia"/>
          <w:b/>
          <w:sz w:val="32"/>
          <w:szCs w:val="32"/>
        </w:rPr>
        <w:t>（解释本单位决算报表中涉及的全部功能分类科目至项级，不涉及的科目请自行删除。请参照《</w:t>
      </w:r>
      <w:r>
        <w:rPr>
          <w:rFonts w:ascii="仿宋" w:eastAsia="仿宋"/>
          <w:b/>
          <w:sz w:val="32"/>
          <w:szCs w:val="32"/>
        </w:rPr>
        <w:t>2024</w:t>
      </w:r>
      <w:r>
        <w:rPr>
          <w:rFonts w:ascii="仿宋" w:eastAsia="仿宋" w:hint="eastAsia"/>
          <w:b/>
          <w:sz w:val="32"/>
          <w:szCs w:val="32"/>
        </w:rPr>
        <w:t>年政府收支分类科目》增减内容。）</w:t>
      </w:r>
    </w:p>
    <w:p>
      <w:pPr>
        <w:adjustRightInd w:val="0"/>
        <w:snapToGrid w:val="0"/>
        <w:spacing w:line="54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15.基本支出：指为保障机构正常运转、完成日常工作任务而发生的人员支出和公用支出。</w:t>
      </w:r>
    </w:p>
    <w:p>
      <w:pPr>
        <w:pStyle w:val="29"/>
        <w:adjustRightInd w:val="0"/>
        <w:snapToGrid w:val="0"/>
        <w:spacing w:line="540" w:lineRule="exact"/>
        <w:ind w:firstLineChars="200" w:firstLine="640"/>
        <w:jc w:val="both"/>
        <w:rPr>
          <w:rFonts w:ascii="仿宋_GB2312" w:eastAsia="仿宋_GB2312" w:cs="黑体"/>
          <w:color w:val="auto"/>
          <w:sz w:val="32"/>
          <w:szCs w:val="32"/>
        </w:rPr>
      </w:pPr>
      <w:r>
        <w:rPr>
          <w:rFonts w:ascii="仿宋_GB2312" w:eastAsia="仿宋_GB2312" w:cs="仿宋_GB2312" w:hint="eastAsia"/>
          <w:color w:val="auto"/>
          <w:sz w:val="32"/>
          <w:szCs w:val="32"/>
        </w:rPr>
        <w:t>16.“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adjustRightInd w:val="0"/>
        <w:snapToGrid w:val="0"/>
        <w:spacing w:line="540" w:lineRule="exact"/>
        <w:ind w:firstLineChars="200" w:firstLine="640"/>
        <w:rPr>
          <w:rFonts w:ascii="仿宋" w:eastAsia="仿宋"/>
          <w:b/>
          <w:sz w:val="32"/>
          <w:szCs w:val="32"/>
        </w:rPr>
      </w:pPr>
      <w:r>
        <w:rPr>
          <w:rFonts w:ascii="仿宋" w:eastAsia="仿宋" w:hint="eastAsia"/>
          <w:b/>
          <w:sz w:val="32"/>
          <w:szCs w:val="32"/>
        </w:rPr>
        <w:t>（名词解释部分请根据各单位实际列支情况罗列，并根据本单位职责职能增减名词解释内容。）</w:t>
      </w:r>
    </w:p>
    <w:p>
      <w:pPr>
        <w:adjustRightInd w:val="0"/>
        <w:snapToGrid w:val="0"/>
        <w:spacing w:line="540" w:lineRule="exact"/>
        <w:jc w:val="center"/>
        <w:outlineLvl w:val="0"/>
        <w:rPr>
          <w:rStyle w:val="1Char"/>
          <w:rFonts w:ascii="黑体" w:eastAsia="黑体"/>
          <w:b w:val="0"/>
        </w:rPr>
      </w:pPr>
      <w:bookmarkStart w:id="51" w:name="_Toc15377226"/>
      <w:r>
        <w:rPr>
          <w:rFonts w:ascii="宋体"/>
          <w:b/>
          <w:sz w:val="44"/>
          <w:szCs w:val="44"/>
        </w:rPr>
        <w:br w:type="page"/>
      </w:r>
      <w:bookmarkStart w:id="52" w:name="_Toc15396614"/>
      <w:r>
        <w:rPr>
          <w:rFonts w:ascii="黑体" w:eastAsia="黑体" w:hint="eastAsia"/>
          <w:sz w:val="44"/>
          <w:szCs w:val="44"/>
        </w:rPr>
        <w:t>第</w:t>
      </w:r>
      <w:r>
        <w:rPr>
          <w:rStyle w:val="1Char"/>
          <w:rFonts w:ascii="黑体" w:eastAsia="黑体" w:hint="eastAsia"/>
          <w:b w:val="0"/>
        </w:rPr>
        <w:t>四部分 附件</w:t>
      </w:r>
      <w:bookmarkEnd w:id="52"/>
    </w:p>
    <w:p>
      <w:pPr>
        <w:spacing w:line="572" w:lineRule="exact"/>
        <w:jc w:val="left"/>
        <w:outlineLvl w:val="0"/>
        <w:rPr>
          <w:rFonts w:ascii="仿宋_GB2312" w:eastAsia="仿宋_GB2312" w:cs="仿宋_GB2312"/>
          <w:sz w:val="32"/>
          <w:szCs w:val="32"/>
        </w:rPr>
      </w:pPr>
    </w:p>
    <w:p>
      <w:pPr>
        <w:widowControl/>
        <w:spacing w:line="578" w:lineRule="exact"/>
        <w:contextualSpacing/>
        <w:jc w:val="center"/>
        <w:outlineLvl w:val="0"/>
        <w:rPr>
          <w:rFonts w:ascii="宋体" w:cs="宋体"/>
          <w:b/>
          <w:spacing w:val="-20"/>
          <w:szCs w:val="32"/>
          <w:shd w:val="clear" w:color="auto" w:fill="FFFFFF"/>
        </w:rPr>
      </w:pPr>
      <w:bookmarkStart w:id="53" w:name="_Toc15396618"/>
      <w:r>
        <w:rPr>
          <w:rFonts w:ascii="宋体" w:cs="宋体" w:hint="eastAsia"/>
          <w:b/>
          <w:spacing w:val="-20"/>
          <w:sz w:val="44"/>
          <w:szCs w:val="44"/>
          <w:shd w:val="clear" w:color="auto" w:fill="FFFFFF"/>
        </w:rPr>
        <w:t>汶川县统计局2025年部门整体绩效评价报告</w:t>
      </w:r>
    </w:p>
    <w:p>
      <w:pPr>
        <w:widowControl/>
        <w:adjustRightInd w:val="0"/>
        <w:snapToGrid w:val="0"/>
        <w:spacing w:line="578" w:lineRule="exact"/>
        <w:ind w:firstLineChars="200" w:firstLine="480"/>
        <w:contextualSpacing/>
        <w:jc w:val="left"/>
        <w:rPr>
          <w:rFonts w:eastAsia="黑体"/>
          <w:color w:val="000000"/>
          <w:kern w:val="0"/>
          <w:sz w:val="24"/>
          <w:szCs w:val="32"/>
          <w:shd w:val="clear" w:color="auto" w:fill="FFFFFF"/>
        </w:rPr>
      </w:pPr>
    </w:p>
    <w:p>
      <w:pPr>
        <w:widowControl/>
        <w:adjustRightInd w:val="0"/>
        <w:snapToGrid w:val="0"/>
        <w:spacing w:line="540" w:lineRule="exact"/>
        <w:ind w:firstLineChars="200" w:firstLine="640"/>
        <w:contextualSpacing/>
        <w:jc w:val="left"/>
        <w:outlineLvl w:val="0"/>
        <w:rPr>
          <w:rFonts w:eastAsia="黑体"/>
          <w:sz w:val="32"/>
          <w:szCs w:val="32"/>
        </w:rPr>
      </w:pPr>
      <w:r>
        <w:rPr>
          <w:rFonts w:eastAsia="黑体" w:hint="eastAsia"/>
          <w:color w:val="000000"/>
          <w:kern w:val="0"/>
          <w:sz w:val="32"/>
          <w:szCs w:val="32"/>
          <w:shd w:val="clear" w:color="auto" w:fill="FFFFFF"/>
          <w:lang w:val="zh-CN"/>
        </w:rPr>
        <w:t>一、</w:t>
      </w:r>
      <w:r>
        <w:rPr>
          <w:rFonts w:eastAsia="黑体"/>
          <w:color w:val="000000"/>
          <w:kern w:val="0"/>
          <w:sz w:val="32"/>
          <w:szCs w:val="32"/>
          <w:shd w:val="clear" w:color="auto" w:fill="FFFFFF"/>
          <w:lang w:val="zh-CN"/>
        </w:rPr>
        <w:t>部门（单位）基本情况</w:t>
      </w:r>
      <w:r>
        <w:rPr>
          <w:rFonts w:eastAsia="黑体" w:hint="eastAsia"/>
          <w:color w:val="000000"/>
          <w:kern w:val="0"/>
          <w:sz w:val="32"/>
          <w:szCs w:val="32"/>
          <w:shd w:val="clear" w:color="auto" w:fill="FFFFFF"/>
        </w:rPr>
        <w:t xml:space="preserve"> </w:t>
      </w:r>
    </w:p>
    <w:p>
      <w:pPr>
        <w:pStyle w:val="16"/>
        <w:adjustRightInd w:val="0"/>
        <w:snapToGrid w:val="0"/>
        <w:spacing w:beforeLines="0" w:before="93" w:line="540" w:lineRule="exact"/>
        <w:ind w:firstLineChars="200" w:firstLine="600"/>
        <w:rPr>
          <w:sz w:val="32"/>
          <w:szCs w:val="32"/>
        </w:rPr>
      </w:pPr>
      <w:r>
        <w:rPr>
          <w:rFonts w:eastAsia="楷体_GB2312" w:hint="eastAsia"/>
          <w:b/>
          <w:bCs/>
          <w:color w:val="000000"/>
          <w:szCs w:val="32"/>
          <w:shd w:val="clear" w:color="auto" w:fill="FFFFFF"/>
          <w:lang w:val="zh-CN"/>
        </w:rPr>
        <w:t>（一）</w:t>
      </w:r>
      <w:r>
        <w:rPr>
          <w:rFonts w:ascii="Times New Roman" w:eastAsia="楷体_GB2312" w:hAnsi="Times New Roman"/>
          <w:b/>
          <w:bCs/>
          <w:color w:val="000000"/>
          <w:szCs w:val="32"/>
          <w:shd w:val="clear" w:color="auto" w:fill="FFFFFF"/>
          <w:lang w:val="zh-CN"/>
        </w:rPr>
        <w:t>机构组成。</w:t>
      </w:r>
      <w:r>
        <w:rPr>
          <w:rFonts w:hint="eastAsia"/>
          <w:sz w:val="32"/>
          <w:szCs w:val="32"/>
        </w:rPr>
        <w:t>汶川县统计局机关设办公室、国民经济核算综合统计股、农业工业能源统计股、投资和法规股。</w:t>
      </w:r>
    </w:p>
    <w:p>
      <w:pPr>
        <w:pStyle w:val="16"/>
        <w:adjustRightInd w:val="0"/>
        <w:snapToGrid w:val="0"/>
        <w:spacing w:beforeLines="0" w:before="93" w:line="540" w:lineRule="exact"/>
        <w:ind w:firstLineChars="200" w:firstLine="640"/>
        <w:rPr>
          <w:sz w:val="32"/>
          <w:szCs w:val="32"/>
        </w:rPr>
      </w:pPr>
      <w:r>
        <w:rPr>
          <w:rFonts w:hint="eastAsia"/>
          <w:sz w:val="32"/>
          <w:szCs w:val="32"/>
        </w:rPr>
        <w:t>一个参照公务员管理的股级事业单位：汶川县统计普查中心。一个股级事业单位：汶川县社情民意调查中心。</w:t>
      </w:r>
    </w:p>
    <w:p>
      <w:pPr>
        <w:widowControl/>
        <w:adjustRightInd w:val="0"/>
        <w:snapToGrid w:val="0"/>
        <w:spacing w:line="540" w:lineRule="exact"/>
        <w:ind w:firstLineChars="200" w:firstLine="640"/>
        <w:contextualSpacing/>
        <w:jc w:val="left"/>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（二）机构职能</w:t>
      </w:r>
      <w:r>
        <w:rPr>
          <w:rFonts w:eastAsia="楷体_GB2312" w:hint="eastAsia"/>
          <w:b/>
          <w:bCs/>
          <w:color w:val="000000"/>
          <w:kern w:val="0"/>
          <w:sz w:val="32"/>
          <w:szCs w:val="32"/>
          <w:shd w:val="clear" w:color="auto" w:fill="FFFFFF"/>
          <w:lang w:val="zh-CN"/>
        </w:rPr>
        <w:t>。</w:t>
      </w:r>
    </w:p>
    <w:p>
      <w:pPr>
        <w:pStyle w:val="23"/>
        <w:shd w:val="clear" w:color="auto" w:fill="FFFFFF"/>
        <w:adjustRightInd w:val="0"/>
        <w:snapToGrid w:val="0"/>
        <w:spacing w:before="0" w:beforeAutospacing="0" w:after="0" w:afterAutospacing="0" w:line="540" w:lineRule="exact"/>
        <w:ind w:firstLineChars="200" w:firstLine="640"/>
        <w:rPr>
          <w:rFonts w:ascii="仿宋_GB2312" w:eastAsia="仿宋_GB2312" w:cs="Times New Roman"/>
          <w:kern w:val="2"/>
          <w:sz w:val="32"/>
          <w:szCs w:val="32"/>
        </w:rPr>
      </w:pPr>
      <w:r>
        <w:rPr>
          <w:rFonts w:ascii="仿宋_GB2312" w:eastAsia="仿宋_GB2312" w:cs="Times New Roman" w:hint="eastAsia"/>
          <w:kern w:val="2"/>
          <w:sz w:val="32"/>
          <w:szCs w:val="32"/>
        </w:rPr>
        <w:t>1</w:t>
      </w:r>
      <w:r>
        <w:rPr>
          <w:rFonts w:ascii="仿宋_GB2312" w:cs="Times New Roman" w:hAnsi="仿宋_GB2312" w:hint="eastAsia"/>
          <w:kern w:val="2"/>
          <w:sz w:val="32"/>
          <w:szCs w:val="32"/>
        </w:rPr>
        <w:t>.</w:t>
      </w:r>
      <w:r>
        <w:rPr>
          <w:rFonts w:ascii="仿宋_GB2312" w:eastAsia="仿宋_GB2312" w:cs="Times New Roman" w:hint="eastAsia"/>
          <w:kern w:val="2"/>
          <w:sz w:val="32"/>
          <w:szCs w:val="32"/>
        </w:rPr>
        <w:t>贯彻执行国家统计工作方针、政策和统计法律、法规，完成国家规定的统计调查任务，检查监督统计法律法规执行情况，查处各类统计违法违规行为。</w:t>
      </w:r>
    </w:p>
    <w:p>
      <w:pPr>
        <w:pStyle w:val="23"/>
        <w:shd w:val="clear" w:color="auto" w:fill="FFFFFF"/>
        <w:adjustRightInd w:val="0"/>
        <w:snapToGrid w:val="0"/>
        <w:spacing w:before="0" w:beforeAutospacing="0" w:after="0" w:afterAutospacing="0" w:line="540" w:lineRule="exact"/>
        <w:ind w:firstLineChars="200" w:firstLine="640"/>
        <w:rPr>
          <w:rFonts w:ascii="仿宋_GB2312" w:eastAsia="仿宋_GB2312" w:cs="Times New Roman"/>
          <w:kern w:val="2"/>
          <w:sz w:val="32"/>
          <w:szCs w:val="32"/>
        </w:rPr>
      </w:pPr>
      <w:r>
        <w:rPr>
          <w:rFonts w:ascii="仿宋_GB2312" w:eastAsia="仿宋_GB2312" w:cs="Times New Roman" w:hint="eastAsia"/>
          <w:kern w:val="2"/>
          <w:sz w:val="32"/>
          <w:szCs w:val="32"/>
        </w:rPr>
        <w:t>2</w:t>
      </w:r>
      <w:r>
        <w:rPr>
          <w:rFonts w:ascii="仿宋_GB2312" w:cs="Times New Roman" w:hAnsi="仿宋_GB2312" w:hint="eastAsia"/>
          <w:kern w:val="2"/>
          <w:sz w:val="32"/>
          <w:szCs w:val="32"/>
        </w:rPr>
        <w:t>.</w:t>
      </w:r>
      <w:r>
        <w:rPr>
          <w:rFonts w:ascii="仿宋_GB2312" w:eastAsia="仿宋_GB2312" w:cs="Times New Roman" w:hint="eastAsia"/>
          <w:kern w:val="2"/>
          <w:sz w:val="32"/>
          <w:szCs w:val="32"/>
        </w:rPr>
        <w:t>组织实施周期性的人口、农业、经济和基本调查单位等重大国情国力普查，组织协调全县性的社会经济专项调查；组织领导和综合协调各部门的统计和国民经济核算工作。 </w:t>
      </w:r>
    </w:p>
    <w:p>
      <w:pPr>
        <w:pStyle w:val="23"/>
        <w:shd w:val="clear" w:color="auto" w:fill="FFFFFF"/>
        <w:adjustRightInd w:val="0"/>
        <w:snapToGrid w:val="0"/>
        <w:spacing w:before="0" w:beforeAutospacing="0" w:after="0" w:afterAutospacing="0" w:line="540" w:lineRule="exact"/>
        <w:ind w:firstLineChars="200" w:firstLine="640"/>
        <w:rPr>
          <w:rFonts w:ascii="仿宋_GB2312" w:eastAsia="仿宋_GB2312" w:cs="Times New Roman"/>
          <w:kern w:val="2"/>
          <w:sz w:val="32"/>
          <w:szCs w:val="32"/>
        </w:rPr>
      </w:pPr>
      <w:r>
        <w:rPr>
          <w:rFonts w:ascii="仿宋_GB2312" w:eastAsia="仿宋_GB2312" w:cs="Times New Roman" w:hint="eastAsia"/>
          <w:kern w:val="2"/>
          <w:sz w:val="32"/>
          <w:szCs w:val="32"/>
        </w:rPr>
        <w:t>3</w:t>
      </w:r>
      <w:r>
        <w:rPr>
          <w:rFonts w:ascii="仿宋_GB2312" w:cs="Times New Roman" w:hAnsi="仿宋_GB2312" w:hint="eastAsia"/>
          <w:kern w:val="2"/>
          <w:sz w:val="32"/>
          <w:szCs w:val="32"/>
        </w:rPr>
        <w:t>.</w:t>
      </w:r>
      <w:r>
        <w:rPr>
          <w:rFonts w:ascii="仿宋_GB2312" w:eastAsia="仿宋_GB2312" w:cs="Times New Roman" w:hint="eastAsia"/>
          <w:kern w:val="2"/>
          <w:sz w:val="32"/>
          <w:szCs w:val="32"/>
        </w:rPr>
        <w:t>搜集、整理、提供全县性的基本统计资料，并对全县国民经济、社会发展和科技进步情况进行统计分析、统计预测和统计监督，向县委、县政府及有关部门提供咨询建议。    4</w:t>
      </w:r>
      <w:r>
        <w:rPr>
          <w:rFonts w:ascii="仿宋_GB2312" w:cs="Times New Roman" w:hAnsi="仿宋_GB2312" w:hint="eastAsia"/>
          <w:kern w:val="2"/>
          <w:sz w:val="32"/>
          <w:szCs w:val="32"/>
        </w:rPr>
        <w:t>.</w:t>
      </w:r>
      <w:r>
        <w:rPr>
          <w:rFonts w:ascii="仿宋_GB2312" w:eastAsia="仿宋_GB2312" w:cs="Times New Roman" w:hint="eastAsia"/>
          <w:kern w:val="2"/>
          <w:sz w:val="32"/>
          <w:szCs w:val="32"/>
        </w:rPr>
        <w:t>统一审定、管理、公布、出版全县性的基本统计资料、定期发布全县国民经济和社会发展情况的统计公报。</w:t>
      </w:r>
    </w:p>
    <w:p>
      <w:pPr>
        <w:pStyle w:val="23"/>
        <w:shd w:val="clear" w:color="auto" w:fill="FFFFFF"/>
        <w:adjustRightInd w:val="0"/>
        <w:snapToGrid w:val="0"/>
        <w:spacing w:before="0" w:beforeAutospacing="0" w:after="0" w:afterAutospacing="0" w:line="540" w:lineRule="exact"/>
        <w:ind w:firstLineChars="200" w:firstLine="640"/>
        <w:rPr>
          <w:rFonts w:ascii="仿宋_GB2312" w:eastAsia="仿宋_GB2312" w:cs="Times New Roman"/>
          <w:kern w:val="2"/>
          <w:sz w:val="32"/>
          <w:szCs w:val="32"/>
        </w:rPr>
      </w:pPr>
      <w:r>
        <w:rPr>
          <w:rFonts w:ascii="仿宋_GB2312" w:eastAsia="仿宋_GB2312" w:cs="Times New Roman" w:hint="eastAsia"/>
          <w:kern w:val="2"/>
          <w:sz w:val="32"/>
          <w:szCs w:val="32"/>
        </w:rPr>
        <w:t>5</w:t>
      </w:r>
      <w:r>
        <w:rPr>
          <w:rFonts w:ascii="仿宋_GB2312" w:cs="Times New Roman" w:hAnsi="仿宋_GB2312" w:hint="eastAsia"/>
          <w:kern w:val="2"/>
          <w:sz w:val="32"/>
          <w:szCs w:val="32"/>
        </w:rPr>
        <w:t>.</w:t>
      </w:r>
      <w:r>
        <w:rPr>
          <w:rFonts w:ascii="仿宋_GB2312" w:eastAsia="仿宋_GB2312" w:cs="Times New Roman" w:hint="eastAsia"/>
          <w:kern w:val="2"/>
          <w:sz w:val="32"/>
          <w:szCs w:val="32"/>
        </w:rPr>
        <w:t>建立健全和管理全县统计信息自动化系统和统计数据库体系；指导基层单位加强统计基础建设。 </w:t>
      </w:r>
    </w:p>
    <w:p>
      <w:pPr>
        <w:pStyle w:val="23"/>
        <w:shd w:val="clear" w:color="auto" w:fill="FFFFFF"/>
        <w:adjustRightInd w:val="0"/>
        <w:snapToGrid w:val="0"/>
        <w:spacing w:before="0" w:beforeAutospacing="0" w:after="0" w:afterAutospacing="0" w:line="540" w:lineRule="exact"/>
        <w:ind w:firstLineChars="200" w:firstLine="640"/>
        <w:rPr>
          <w:rFonts w:ascii="仿宋_GB2312" w:eastAsia="仿宋_GB2312" w:cs="Times New Roman"/>
          <w:kern w:val="2"/>
          <w:sz w:val="32"/>
          <w:szCs w:val="32"/>
        </w:rPr>
      </w:pPr>
      <w:r>
        <w:rPr>
          <w:rFonts w:ascii="仿宋_GB2312" w:eastAsia="仿宋_GB2312" w:cs="Times New Roman" w:hint="eastAsia"/>
          <w:kern w:val="2"/>
          <w:sz w:val="32"/>
          <w:szCs w:val="32"/>
        </w:rPr>
        <w:t>6</w:t>
      </w:r>
      <w:r>
        <w:rPr>
          <w:rFonts w:ascii="仿宋_GB2312" w:cs="Times New Roman" w:hAnsi="仿宋_GB2312" w:hint="eastAsia"/>
          <w:kern w:val="2"/>
          <w:sz w:val="32"/>
          <w:szCs w:val="32"/>
        </w:rPr>
        <w:t>.</w:t>
      </w:r>
      <w:r>
        <w:rPr>
          <w:rFonts w:ascii="仿宋_GB2312" w:eastAsia="仿宋_GB2312" w:cs="Times New Roman" w:hint="eastAsia"/>
          <w:kern w:val="2"/>
          <w:sz w:val="32"/>
          <w:szCs w:val="32"/>
        </w:rPr>
        <w:t>完成县委、县政府交办的其他或临时性工作任务。</w:t>
      </w:r>
    </w:p>
    <w:p>
      <w:pPr>
        <w:spacing w:line="540" w:lineRule="exact"/>
        <w:ind w:firstLineChars="200" w:firstLine="640"/>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w:t>
      </w:r>
      <w:r>
        <w:rPr>
          <w:rFonts w:eastAsia="楷体_GB2312" w:hint="eastAsia"/>
          <w:b/>
          <w:bCs/>
          <w:color w:val="000000"/>
          <w:kern w:val="0"/>
          <w:sz w:val="32"/>
          <w:szCs w:val="32"/>
          <w:shd w:val="clear" w:color="auto" w:fill="FFFFFF"/>
          <w:lang w:val="zh-CN"/>
        </w:rPr>
        <w:t>三</w:t>
      </w:r>
      <w:r>
        <w:rPr>
          <w:rFonts w:eastAsia="楷体_GB2312"/>
          <w:b/>
          <w:bCs/>
          <w:color w:val="000000"/>
          <w:kern w:val="0"/>
          <w:sz w:val="32"/>
          <w:szCs w:val="32"/>
          <w:shd w:val="clear" w:color="auto" w:fill="FFFFFF"/>
          <w:lang w:val="zh-CN"/>
        </w:rPr>
        <w:t>）人员概况</w:t>
      </w:r>
      <w:r>
        <w:rPr>
          <w:rFonts w:eastAsia="楷体_GB2312" w:hint="eastAsia"/>
          <w:b/>
          <w:bCs/>
          <w:color w:val="000000"/>
          <w:kern w:val="0"/>
          <w:sz w:val="32"/>
          <w:szCs w:val="32"/>
          <w:shd w:val="clear" w:color="auto" w:fill="FFFFFF"/>
          <w:lang w:val="zh-CN"/>
        </w:rPr>
        <w:t>。</w:t>
      </w:r>
    </w:p>
    <w:p>
      <w:pPr>
        <w:widowControl/>
        <w:adjustRightInd w:val="0"/>
        <w:snapToGrid w:val="0"/>
        <w:spacing w:line="540" w:lineRule="exact"/>
        <w:ind w:firstLineChars="200" w:firstLine="640"/>
        <w:jc w:val="left"/>
        <w:rPr>
          <w:sz w:val="32"/>
          <w:szCs w:val="32"/>
        </w:rPr>
      </w:pPr>
      <w:r>
        <w:rPr>
          <w:rFonts w:ascii="仿宋_GB2312" w:eastAsia="仿宋_GB2312" w:cs="宋体" w:hint="eastAsia"/>
          <w:kern w:val="0"/>
          <w:sz w:val="32"/>
          <w:szCs w:val="32"/>
        </w:rPr>
        <w:t>总编制1</w:t>
      </w:r>
      <w:r>
        <w:rPr>
          <w:rFonts w:ascii="仿宋_GB2312" w:cs="宋体" w:hAnsi="仿宋_GB2312" w:hint="eastAsia"/>
          <w:kern w:val="0"/>
          <w:sz w:val="32"/>
          <w:szCs w:val="32"/>
        </w:rPr>
        <w:t>6</w:t>
      </w:r>
      <w:r>
        <w:rPr>
          <w:rFonts w:ascii="仿宋_GB2312" w:eastAsia="仿宋_GB2312" w:cs="宋体" w:hint="eastAsia"/>
          <w:kern w:val="0"/>
          <w:sz w:val="32"/>
          <w:szCs w:val="32"/>
        </w:rPr>
        <w:t>名,其中:行政编制7名,参照公务员法管理的事业编制5名，行政工勤1名，参公工勤1名，其他事业编制2名。在职人员总数</w:t>
      </w:r>
      <w:r>
        <w:rPr>
          <w:rFonts w:ascii="仿宋_GB2312" w:cs="宋体" w:hAnsi="仿宋_GB2312" w:hint="eastAsia"/>
          <w:kern w:val="0"/>
          <w:sz w:val="32"/>
          <w:szCs w:val="32"/>
        </w:rPr>
        <w:t>16</w:t>
      </w:r>
      <w:r>
        <w:rPr>
          <w:rFonts w:ascii="仿宋_GB2312" w:eastAsia="仿宋_GB2312" w:cs="宋体" w:hint="eastAsia"/>
          <w:kern w:val="0"/>
          <w:sz w:val="32"/>
          <w:szCs w:val="32"/>
        </w:rPr>
        <w:t>名，其中：行政人员</w:t>
      </w:r>
      <w:r>
        <w:rPr>
          <w:rFonts w:ascii="仿宋_GB2312" w:cs="宋体" w:hAnsi="仿宋_GB2312" w:hint="eastAsia"/>
          <w:kern w:val="0"/>
          <w:sz w:val="32"/>
          <w:szCs w:val="32"/>
        </w:rPr>
        <w:t>7</w:t>
      </w:r>
      <w:r>
        <w:rPr>
          <w:rFonts w:ascii="仿宋_GB2312" w:eastAsia="仿宋_GB2312" w:cs="宋体" w:hint="eastAsia"/>
          <w:kern w:val="0"/>
          <w:sz w:val="32"/>
          <w:szCs w:val="32"/>
        </w:rPr>
        <w:t>名，参照公务员法管理的事业人员</w:t>
      </w:r>
      <w:r>
        <w:rPr>
          <w:rFonts w:ascii="仿宋_GB2312" w:cs="宋体" w:hAnsi="仿宋_GB2312" w:hint="eastAsia"/>
          <w:kern w:val="0"/>
          <w:sz w:val="32"/>
          <w:szCs w:val="32"/>
        </w:rPr>
        <w:t>5</w:t>
      </w:r>
      <w:r>
        <w:rPr>
          <w:rFonts w:ascii="仿宋_GB2312" w:eastAsia="仿宋_GB2312" w:cs="宋体" w:hint="eastAsia"/>
          <w:kern w:val="0"/>
          <w:sz w:val="32"/>
          <w:szCs w:val="32"/>
        </w:rPr>
        <w:t>名，行政工勤</w:t>
      </w:r>
      <w:r>
        <w:rPr>
          <w:rFonts w:ascii="仿宋_GB2312" w:cs="宋体" w:hAnsi="仿宋_GB2312" w:hint="eastAsia"/>
          <w:kern w:val="0"/>
          <w:sz w:val="32"/>
          <w:szCs w:val="32"/>
        </w:rPr>
        <w:t>1</w:t>
      </w:r>
      <w:r>
        <w:rPr>
          <w:rFonts w:ascii="仿宋_GB2312" w:eastAsia="仿宋_GB2312" w:cs="宋体" w:hint="eastAsia"/>
          <w:kern w:val="0"/>
          <w:sz w:val="32"/>
          <w:szCs w:val="32"/>
        </w:rPr>
        <w:t>名，参公工勤1名，其他事业人员2名；离休人员0人，退休人员10人；编外长期聘用人员0名。</w:t>
      </w:r>
    </w:p>
    <w:p>
      <w:pPr>
        <w:widowControl/>
        <w:adjustRightInd w:val="0"/>
        <w:snapToGrid w:val="0"/>
        <w:spacing w:line="540" w:lineRule="exact"/>
        <w:ind w:firstLineChars="200" w:firstLine="640"/>
        <w:contextualSpacing/>
        <w:jc w:val="left"/>
        <w:outlineLvl w:val="0"/>
        <w:rPr>
          <w:rFonts w:eastAsia="黑体"/>
          <w:color w:val="000000"/>
          <w:kern w:val="0"/>
          <w:sz w:val="32"/>
          <w:szCs w:val="32"/>
          <w:shd w:val="clear" w:color="auto" w:fill="FFFFFF"/>
        </w:rPr>
      </w:pPr>
      <w:r>
        <w:rPr>
          <w:rFonts w:eastAsia="黑体"/>
          <w:color w:val="000000"/>
          <w:kern w:val="0"/>
          <w:sz w:val="32"/>
          <w:szCs w:val="32"/>
          <w:shd w:val="clear" w:color="auto" w:fill="FFFFFF"/>
        </w:rPr>
        <w:t>二、部门资金收支情况</w:t>
      </w:r>
    </w:p>
    <w:p>
      <w:pPr>
        <w:widowControl/>
        <w:adjustRightInd w:val="0"/>
        <w:snapToGrid w:val="0"/>
        <w:spacing w:line="540" w:lineRule="exact"/>
        <w:ind w:firstLineChars="200" w:firstLine="640"/>
        <w:contextualSpacing/>
        <w:jc w:val="left"/>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（一）</w:t>
      </w:r>
      <w:r>
        <w:rPr>
          <w:rFonts w:eastAsia="楷体_GB2312" w:hint="eastAsia"/>
          <w:b/>
          <w:bCs/>
          <w:color w:val="000000"/>
          <w:kern w:val="0"/>
          <w:sz w:val="32"/>
          <w:szCs w:val="32"/>
          <w:shd w:val="clear" w:color="auto" w:fill="FFFFFF"/>
          <w:lang w:val="zh-CN"/>
        </w:rPr>
        <w:t>收入情况</w:t>
      </w:r>
      <w:r>
        <w:rPr>
          <w:rFonts w:eastAsia="楷体_GB2312"/>
          <w:b/>
          <w:bCs/>
          <w:color w:val="000000"/>
          <w:kern w:val="0"/>
          <w:sz w:val="32"/>
          <w:szCs w:val="32"/>
          <w:shd w:val="clear" w:color="auto" w:fill="FFFFFF"/>
          <w:lang w:val="zh-CN"/>
        </w:rPr>
        <w:t>。</w:t>
      </w:r>
    </w:p>
    <w:p>
      <w:pPr>
        <w:adjustRightInd w:val="0"/>
        <w:snapToGrid w:val="0"/>
        <w:spacing w:line="540" w:lineRule="exact"/>
        <w:ind w:firstLineChars="200" w:firstLine="640"/>
        <w:rPr>
          <w:rFonts w:ascii="仿宋" w:eastAsia="仿宋" w:cs="仿宋"/>
          <w:color w:val="000000"/>
          <w:kern w:val="0"/>
          <w:szCs w:val="32"/>
          <w:shd w:val="clear" w:color="auto" w:fill="FFFFFF"/>
          <w:lang w:val="zh-CN"/>
        </w:rPr>
      </w:pPr>
      <w:r>
        <w:rPr>
          <w:rFonts w:ascii="仿宋" w:eastAsia="仿宋" w:cs="仿宋" w:hint="eastAsia"/>
          <w:sz w:val="32"/>
          <w:szCs w:val="32"/>
        </w:rPr>
        <w:t>2025年汶川县统计局收入合计为418.21万元，其中，财政拨款收入为415.21万元，非财政拨款3.00万元，年初结余0.00万元。</w:t>
      </w:r>
    </w:p>
    <w:p>
      <w:pPr>
        <w:widowControl/>
        <w:adjustRightInd w:val="0"/>
        <w:snapToGrid w:val="0"/>
        <w:spacing w:line="540" w:lineRule="exact"/>
        <w:ind w:firstLineChars="200" w:firstLine="640"/>
        <w:contextualSpacing/>
        <w:jc w:val="left"/>
        <w:rPr>
          <w:rFonts w:eastAsia="楷体_GB2312"/>
          <w:b/>
          <w:bCs/>
          <w:color w:val="000000"/>
          <w:kern w:val="0"/>
          <w:szCs w:val="32"/>
          <w:shd w:val="clear" w:color="auto" w:fill="FFFFFF"/>
          <w:lang w:val="zh-CN"/>
        </w:rPr>
      </w:pPr>
      <w:r>
        <w:rPr>
          <w:rFonts w:eastAsia="楷体_GB2312"/>
          <w:b/>
          <w:bCs/>
          <w:color w:val="000000"/>
          <w:kern w:val="0"/>
          <w:sz w:val="32"/>
          <w:szCs w:val="32"/>
          <w:shd w:val="clear" w:color="auto" w:fill="FFFFFF"/>
          <w:lang w:val="zh-CN"/>
        </w:rPr>
        <w:t>（</w:t>
      </w:r>
      <w:r>
        <w:rPr>
          <w:rFonts w:eastAsia="楷体_GB2312" w:hint="eastAsia"/>
          <w:b/>
          <w:bCs/>
          <w:color w:val="000000"/>
          <w:kern w:val="0"/>
          <w:sz w:val="32"/>
          <w:szCs w:val="32"/>
          <w:shd w:val="clear" w:color="auto" w:fill="FFFFFF"/>
          <w:lang w:val="zh-CN"/>
        </w:rPr>
        <w:t>二</w:t>
      </w:r>
      <w:r>
        <w:rPr>
          <w:rFonts w:eastAsia="楷体_GB2312"/>
          <w:b/>
          <w:bCs/>
          <w:color w:val="000000"/>
          <w:kern w:val="0"/>
          <w:sz w:val="32"/>
          <w:szCs w:val="32"/>
          <w:shd w:val="clear" w:color="auto" w:fill="FFFFFF"/>
          <w:lang w:val="zh-CN"/>
        </w:rPr>
        <w:t>）</w:t>
      </w:r>
      <w:r>
        <w:rPr>
          <w:rFonts w:eastAsia="楷体_GB2312" w:hint="eastAsia"/>
          <w:b/>
          <w:bCs/>
          <w:color w:val="000000"/>
          <w:kern w:val="0"/>
          <w:sz w:val="32"/>
          <w:szCs w:val="32"/>
          <w:shd w:val="clear" w:color="auto" w:fill="FFFFFF"/>
          <w:lang w:val="zh-CN"/>
        </w:rPr>
        <w:t>支出情况</w:t>
      </w:r>
      <w:r>
        <w:rPr>
          <w:rFonts w:eastAsia="楷体_GB2312"/>
          <w:b/>
          <w:bCs/>
          <w:color w:val="000000"/>
          <w:kern w:val="0"/>
          <w:sz w:val="32"/>
          <w:szCs w:val="32"/>
          <w:shd w:val="clear" w:color="auto" w:fill="FFFFFF"/>
          <w:lang w:val="zh-CN"/>
        </w:rPr>
        <w:t>。</w:t>
      </w:r>
    </w:p>
    <w:p>
      <w:pPr>
        <w:widowControl/>
        <w:adjustRightInd w:val="0"/>
        <w:snapToGrid w:val="0"/>
        <w:spacing w:line="540" w:lineRule="exact"/>
        <w:ind w:firstLineChars="200" w:firstLine="640"/>
        <w:jc w:val="left"/>
        <w:rPr>
          <w:rFonts w:ascii="仿宋_GB2312" w:eastAsia="仿宋_GB2312" w:cs="仿宋_GB2312"/>
          <w:sz w:val="32"/>
          <w:szCs w:val="32"/>
        </w:rPr>
      </w:pPr>
      <w:r>
        <w:rPr>
          <w:rFonts w:ascii="仿宋_GB2312" w:eastAsia="仿宋_GB2312" w:cs="仿宋_GB2312" w:hint="eastAsia"/>
          <w:sz w:val="32"/>
          <w:szCs w:val="32"/>
        </w:rPr>
        <w:t>统计局20</w:t>
      </w:r>
      <w:r>
        <w:rPr>
          <w:rFonts w:ascii="仿宋_GB2312" w:cs="仿宋_GB2312" w:hAnsi="仿宋_GB2312" w:hint="eastAsia"/>
          <w:sz w:val="32"/>
          <w:szCs w:val="32"/>
        </w:rPr>
        <w:t>25</w:t>
      </w:r>
      <w:r>
        <w:rPr>
          <w:rFonts w:ascii="仿宋_GB2312" w:eastAsia="仿宋_GB2312" w:cs="仿宋_GB2312" w:hint="eastAsia"/>
          <w:sz w:val="32"/>
          <w:szCs w:val="32"/>
        </w:rPr>
        <w:t>年财政支出</w:t>
      </w:r>
      <w:r>
        <w:rPr>
          <w:rFonts w:ascii="仿宋_GB2312" w:cs="仿宋_GB2312" w:hAnsi="仿宋_GB2312" w:hint="eastAsia"/>
          <w:sz w:val="32"/>
          <w:szCs w:val="32"/>
        </w:rPr>
        <w:t>418.21</w:t>
      </w:r>
      <w:r>
        <w:rPr>
          <w:rFonts w:ascii="仿宋_GB2312" w:eastAsia="仿宋_GB2312" w:cs="仿宋_GB2312" w:hint="eastAsia"/>
          <w:sz w:val="32"/>
          <w:szCs w:val="32"/>
        </w:rPr>
        <w:t>万元</w:t>
      </w:r>
      <w:r>
        <w:rPr>
          <w:rFonts w:ascii="仿宋_GB2312" w:eastAsia="仿宋_GB2312" w:cs="仿宋_GB2312" w:hint="eastAsia"/>
          <w:sz w:val="32"/>
          <w:szCs w:val="32"/>
          <w:shd w:val="clear" w:color="auto" w:fill="FFFFFF"/>
        </w:rPr>
        <w:t>。</w:t>
      </w:r>
      <w:r>
        <w:rPr>
          <w:rFonts w:ascii="仿宋_GB2312" w:eastAsia="仿宋_GB2312" w:cs="仿宋_GB2312" w:hint="eastAsia"/>
          <w:sz w:val="32"/>
          <w:szCs w:val="32"/>
        </w:rPr>
        <w:t>汶川县统计局预算安排支出主要用于保障该部门机构</w:t>
      </w:r>
      <w:r>
        <w:rPr>
          <w:rFonts w:ascii="仿宋_GB2312" w:eastAsia="仿宋_GB2312" w:cs="仿宋_GB2312" w:hint="eastAsia"/>
          <w:spacing w:val="-2"/>
          <w:sz w:val="32"/>
          <w:szCs w:val="32"/>
        </w:rPr>
        <w:t>正常运转、完成日常工作任务及承担统计事业发展相关工</w:t>
      </w:r>
      <w:r>
        <w:rPr>
          <w:rFonts w:ascii="仿宋_GB2312" w:eastAsia="仿宋_GB2312" w:cs="仿宋_GB2312" w:hint="eastAsia"/>
          <w:sz w:val="32"/>
          <w:szCs w:val="32"/>
        </w:rPr>
        <w:t>作。</w:t>
      </w:r>
    </w:p>
    <w:p>
      <w:pPr>
        <w:adjustRightInd w:val="0"/>
        <w:snapToGrid w:val="0"/>
        <w:spacing w:line="540" w:lineRule="exact"/>
        <w:ind w:firstLineChars="200" w:firstLine="640"/>
        <w:rPr>
          <w:rFonts w:ascii="仿宋_GB2312" w:eastAsia="仿宋_GB2312" w:cs="仿宋_GB2312"/>
          <w:sz w:val="32"/>
          <w:szCs w:val="32"/>
        </w:rPr>
      </w:pPr>
      <w:r>
        <w:rPr>
          <w:rFonts w:ascii="仿宋_GB2312" w:eastAsia="仿宋_GB2312" w:cs="仿宋_GB2312" w:hint="eastAsia"/>
          <w:b/>
          <w:bCs/>
          <w:sz w:val="32"/>
          <w:szCs w:val="32"/>
        </w:rPr>
        <w:t>1</w:t>
      </w:r>
      <w:r>
        <w:rPr>
          <w:rFonts w:ascii="仿宋_GB2312" w:cs="仿宋_GB2312" w:hAnsi="仿宋_GB2312" w:hint="eastAsia"/>
          <w:b/>
          <w:bCs/>
          <w:sz w:val="32"/>
          <w:szCs w:val="32"/>
        </w:rPr>
        <w:t>.</w:t>
      </w:r>
      <w:r>
        <w:rPr>
          <w:rFonts w:ascii="仿宋_GB2312" w:eastAsia="仿宋_GB2312" w:cs="仿宋_GB2312" w:hint="eastAsia"/>
          <w:b/>
          <w:bCs/>
          <w:sz w:val="32"/>
          <w:szCs w:val="32"/>
        </w:rPr>
        <w:t>基本支出：</w:t>
      </w:r>
      <w:r>
        <w:rPr>
          <w:rFonts w:ascii="仿宋_GB2312" w:cs="仿宋_GB2312" w:hAnsi="仿宋_GB2312" w:hint="eastAsia"/>
          <w:sz w:val="32"/>
          <w:szCs w:val="32"/>
        </w:rPr>
        <w:t>2025年</w:t>
      </w:r>
      <w:r>
        <w:rPr>
          <w:rFonts w:ascii="仿宋_GB2312" w:eastAsia="仿宋_GB2312" w:cs="仿宋_GB2312" w:hint="eastAsia"/>
          <w:sz w:val="32"/>
          <w:szCs w:val="32"/>
        </w:rPr>
        <w:t>用于保障统计局机关正常运转的日常支出共计</w:t>
      </w:r>
      <w:r>
        <w:rPr>
          <w:rFonts w:ascii="仿宋_GB2312" w:cs="仿宋_GB2312" w:hAnsi="仿宋_GB2312" w:hint="eastAsia"/>
          <w:sz w:val="32"/>
          <w:szCs w:val="32"/>
        </w:rPr>
        <w:t>334.40</w:t>
      </w:r>
      <w:r>
        <w:rPr>
          <w:rFonts w:ascii="仿宋_GB2312" w:eastAsia="仿宋_GB2312" w:cs="仿宋_GB2312" w:hint="eastAsia"/>
          <w:sz w:val="32"/>
          <w:szCs w:val="32"/>
        </w:rPr>
        <w:t>万元，包括基本工资、津贴补贴</w:t>
      </w:r>
      <w:r>
        <w:rPr>
          <w:rFonts w:ascii="仿宋_GB2312" w:cs="仿宋_GB2312" w:hAnsi="仿宋_GB2312" w:hint="eastAsia"/>
          <w:sz w:val="32"/>
          <w:szCs w:val="32"/>
        </w:rPr>
        <w:t>、奖金</w:t>
      </w:r>
      <w:r>
        <w:rPr>
          <w:rFonts w:ascii="仿宋_GB2312" w:eastAsia="仿宋_GB2312" w:cs="仿宋_GB2312" w:hint="eastAsia"/>
          <w:sz w:val="32"/>
          <w:szCs w:val="32"/>
        </w:rPr>
        <w:t>等人员经费以及办公费、印刷费、</w:t>
      </w:r>
      <w:r>
        <w:rPr>
          <w:rFonts w:ascii="仿宋_GB2312" w:cs="仿宋_GB2312" w:hAnsi="仿宋_GB2312" w:hint="eastAsia"/>
          <w:sz w:val="32"/>
          <w:szCs w:val="32"/>
        </w:rPr>
        <w:t>差旅费、邮电费</w:t>
      </w:r>
      <w:r>
        <w:rPr>
          <w:rFonts w:ascii="仿宋_GB2312" w:eastAsia="仿宋_GB2312" w:cs="仿宋_GB2312" w:hint="eastAsia"/>
          <w:sz w:val="32"/>
          <w:szCs w:val="32"/>
        </w:rPr>
        <w:t>等日常公用经费。</w:t>
      </w:r>
    </w:p>
    <w:p>
      <w:pPr>
        <w:widowControl/>
        <w:adjustRightInd w:val="0"/>
        <w:snapToGrid w:val="0"/>
        <w:spacing w:line="540" w:lineRule="exact"/>
        <w:ind w:firstLineChars="200" w:firstLine="640"/>
        <w:contextualSpacing/>
        <w:jc w:val="left"/>
        <w:rPr>
          <w:rFonts w:eastAsia="楷体_GB2312"/>
          <w:b/>
          <w:bCs/>
          <w:color w:val="000000"/>
          <w:kern w:val="0"/>
          <w:szCs w:val="32"/>
          <w:shd w:val="clear" w:color="auto" w:fill="FFFFFF"/>
          <w:lang w:val="zh-CN"/>
        </w:rPr>
      </w:pPr>
      <w:r>
        <w:rPr>
          <w:rFonts w:ascii="仿宋_GB2312" w:eastAsia="仿宋_GB2312" w:cs="仿宋_GB2312" w:hint="eastAsia"/>
          <w:b/>
          <w:bCs/>
          <w:sz w:val="32"/>
          <w:szCs w:val="32"/>
        </w:rPr>
        <w:t>2</w:t>
      </w:r>
      <w:r>
        <w:rPr>
          <w:rFonts w:ascii="仿宋_GB2312" w:cs="仿宋_GB2312" w:hAnsi="仿宋_GB2312" w:hint="eastAsia"/>
          <w:b/>
          <w:bCs/>
          <w:sz w:val="32"/>
          <w:szCs w:val="32"/>
        </w:rPr>
        <w:t>.</w:t>
      </w:r>
      <w:r>
        <w:rPr>
          <w:rFonts w:ascii="仿宋_GB2312" w:eastAsia="仿宋_GB2312" w:cs="仿宋_GB2312" w:hint="eastAsia"/>
          <w:b/>
          <w:bCs/>
          <w:sz w:val="32"/>
          <w:szCs w:val="32"/>
        </w:rPr>
        <w:t>项目支出：</w:t>
      </w:r>
      <w:r>
        <w:rPr>
          <w:rFonts w:ascii="仿宋_GB2312" w:cs="仿宋_GB2312" w:hAnsi="仿宋_GB2312" w:hint="eastAsia"/>
          <w:sz w:val="32"/>
          <w:szCs w:val="32"/>
        </w:rPr>
        <w:t>2025年</w:t>
      </w:r>
      <w:r>
        <w:rPr>
          <w:rFonts w:ascii="仿宋_GB2312" w:eastAsia="仿宋_GB2312" w:cs="仿宋_GB2312" w:hint="eastAsia"/>
          <w:sz w:val="32"/>
          <w:szCs w:val="32"/>
        </w:rPr>
        <w:t>用于</w:t>
      </w:r>
      <w:r>
        <w:rPr>
          <w:rFonts w:ascii="仿宋_GB2312" w:cs="仿宋_GB2312" w:hAnsi="仿宋_GB2312" w:hint="eastAsia"/>
          <w:sz w:val="32"/>
          <w:szCs w:val="32"/>
        </w:rPr>
        <w:t>行政事业类项目</w:t>
      </w:r>
      <w:r>
        <w:rPr>
          <w:rFonts w:ascii="仿宋_GB2312" w:eastAsia="仿宋_GB2312" w:cs="仿宋_GB2312" w:hint="eastAsia"/>
          <w:sz w:val="32"/>
          <w:szCs w:val="32"/>
        </w:rPr>
        <w:t>支出共计</w:t>
      </w:r>
      <w:r>
        <w:rPr>
          <w:rFonts w:ascii="仿宋_GB2312" w:cs="仿宋_GB2312" w:hAnsi="仿宋_GB2312" w:hint="eastAsia"/>
          <w:sz w:val="32"/>
          <w:szCs w:val="32"/>
        </w:rPr>
        <w:t>83.81</w:t>
      </w:r>
      <w:r>
        <w:rPr>
          <w:rFonts w:ascii="仿宋_GB2312" w:eastAsia="仿宋_GB2312" w:cs="仿宋_GB2312" w:hint="eastAsia"/>
          <w:sz w:val="32"/>
          <w:szCs w:val="32"/>
        </w:rPr>
        <w:t>万元</w:t>
      </w:r>
      <w:r>
        <w:rPr>
          <w:rFonts w:ascii="仿宋_GB2312" w:cs="仿宋_GB2312" w:hAnsi="仿宋_GB2312" w:hint="eastAsia"/>
          <w:sz w:val="32"/>
          <w:szCs w:val="32"/>
        </w:rPr>
        <w:t>，其中，财政拨款83.81万元</w:t>
      </w:r>
      <w:r>
        <w:rPr>
          <w:rFonts w:ascii="仿宋_GB2312" w:eastAsia="仿宋_GB2312" w:cs="仿宋_GB2312" w:hint="eastAsia"/>
          <w:sz w:val="32"/>
          <w:szCs w:val="32"/>
        </w:rPr>
        <w:t>。</w:t>
      </w:r>
    </w:p>
    <w:p>
      <w:pPr>
        <w:widowControl/>
        <w:adjustRightInd w:val="0"/>
        <w:snapToGrid w:val="0"/>
        <w:spacing w:line="540" w:lineRule="exact"/>
        <w:ind w:firstLineChars="200" w:firstLine="640"/>
        <w:contextualSpacing/>
        <w:jc w:val="left"/>
        <w:rPr>
          <w:rFonts w:ascii="仿宋" w:eastAsia="仿宋" w:cs="仿宋"/>
          <w:color w:val="000000"/>
          <w:kern w:val="0"/>
          <w:sz w:val="32"/>
          <w:szCs w:val="32"/>
          <w:shd w:val="clear" w:color="auto" w:fill="FFFFFF"/>
          <w:lang w:val="zh-CN"/>
        </w:rPr>
      </w:pPr>
      <w:r>
        <w:rPr>
          <w:rFonts w:eastAsia="楷体_GB2312"/>
          <w:b/>
          <w:bCs/>
          <w:color w:val="000000"/>
          <w:kern w:val="0"/>
          <w:sz w:val="32"/>
          <w:szCs w:val="32"/>
          <w:shd w:val="clear" w:color="auto" w:fill="FFFFFF"/>
          <w:lang w:val="zh-CN"/>
        </w:rPr>
        <w:t>（</w:t>
      </w:r>
      <w:r>
        <w:rPr>
          <w:rFonts w:eastAsia="楷体_GB2312" w:hint="eastAsia"/>
          <w:b/>
          <w:bCs/>
          <w:color w:val="000000"/>
          <w:kern w:val="0"/>
          <w:sz w:val="32"/>
          <w:szCs w:val="32"/>
          <w:shd w:val="clear" w:color="auto" w:fill="FFFFFF"/>
          <w:lang w:val="zh-CN"/>
        </w:rPr>
        <w:t>三</w:t>
      </w:r>
      <w:r>
        <w:rPr>
          <w:rFonts w:eastAsia="楷体_GB2312"/>
          <w:b/>
          <w:bCs/>
          <w:color w:val="000000"/>
          <w:kern w:val="0"/>
          <w:sz w:val="32"/>
          <w:szCs w:val="32"/>
          <w:shd w:val="clear" w:color="auto" w:fill="FFFFFF"/>
          <w:lang w:val="zh-CN"/>
        </w:rPr>
        <w:t>）</w:t>
      </w:r>
      <w:r>
        <w:rPr>
          <w:rFonts w:eastAsia="楷体_GB2312"/>
          <w:b/>
          <w:sz w:val="32"/>
          <w:szCs w:val="32"/>
        </w:rPr>
        <w:t>结余分配和结转结余情况</w:t>
      </w:r>
      <w:r>
        <w:rPr>
          <w:rFonts w:eastAsia="楷体_GB2312" w:hint="eastAsia"/>
          <w:b/>
          <w:sz w:val="32"/>
          <w:szCs w:val="32"/>
        </w:rPr>
        <w:t>。</w:t>
      </w:r>
      <w:r>
        <w:rPr>
          <w:rFonts w:ascii="仿宋" w:eastAsia="仿宋" w:cs="仿宋" w:hint="eastAsia"/>
          <w:bCs/>
          <w:sz w:val="32"/>
          <w:szCs w:val="32"/>
        </w:rPr>
        <w:t>我单位</w:t>
      </w:r>
      <w:r>
        <w:rPr>
          <w:rFonts w:ascii="仿宋" w:eastAsia="仿宋" w:cs="仿宋" w:hint="eastAsia"/>
          <w:sz w:val="32"/>
          <w:szCs w:val="32"/>
        </w:rPr>
        <w:t>2025年决算报表无</w:t>
      </w:r>
      <w:r>
        <w:rPr>
          <w:rFonts w:ascii="仿宋" w:eastAsia="仿宋" w:cs="仿宋" w:hint="eastAsia"/>
          <w:color w:val="000000"/>
          <w:kern w:val="0"/>
          <w:sz w:val="32"/>
          <w:szCs w:val="32"/>
          <w:shd w:val="clear" w:color="auto" w:fill="FFFFFF"/>
        </w:rPr>
        <w:t>结转结余。</w:t>
      </w:r>
    </w:p>
    <w:p>
      <w:pPr>
        <w:widowControl/>
        <w:adjustRightInd w:val="0"/>
        <w:snapToGrid w:val="0"/>
        <w:spacing w:line="540" w:lineRule="exact"/>
        <w:ind w:firstLineChars="200" w:firstLine="640"/>
        <w:contextualSpacing/>
        <w:jc w:val="left"/>
        <w:outlineLvl w:val="0"/>
        <w:rPr>
          <w:rFonts w:eastAsia="黑体"/>
          <w:color w:val="000000"/>
          <w:kern w:val="0"/>
          <w:sz w:val="32"/>
          <w:szCs w:val="32"/>
          <w:shd w:val="clear" w:color="auto" w:fill="FFFFFF"/>
        </w:rPr>
      </w:pPr>
      <w:r>
        <w:rPr>
          <w:rFonts w:eastAsia="黑体"/>
          <w:color w:val="000000"/>
          <w:kern w:val="0"/>
          <w:sz w:val="32"/>
          <w:szCs w:val="32"/>
          <w:shd w:val="clear" w:color="auto" w:fill="FFFFFF"/>
        </w:rPr>
        <w:t>三、部门预算绩效分析</w:t>
      </w:r>
    </w:p>
    <w:p>
      <w:pPr>
        <w:adjustRightInd w:val="0"/>
        <w:snapToGrid w:val="0"/>
        <w:spacing w:line="540" w:lineRule="exact"/>
        <w:ind w:firstLineChars="200" w:firstLine="640"/>
        <w:contextualSpacing/>
        <w:jc w:val="left"/>
        <w:outlineLvl w:val="1"/>
        <w:rPr>
          <w:rFonts w:ascii="仿宋" w:eastAsia="仿宋" w:cs="仿宋"/>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（一）</w:t>
      </w:r>
      <w:r>
        <w:rPr>
          <w:rFonts w:eastAsia="楷体_GB2312" w:hint="eastAsia"/>
          <w:b/>
          <w:bCs/>
          <w:color w:val="000000"/>
          <w:kern w:val="0"/>
          <w:sz w:val="32"/>
          <w:szCs w:val="32"/>
          <w:shd w:val="clear" w:color="auto" w:fill="FFFFFF"/>
          <w:lang w:val="zh-CN"/>
        </w:rPr>
        <w:t>部门预算</w:t>
      </w:r>
      <w:r>
        <w:rPr>
          <w:rFonts w:eastAsia="楷体_GB2312"/>
          <w:b/>
          <w:bCs/>
          <w:color w:val="000000"/>
          <w:kern w:val="0"/>
          <w:sz w:val="32"/>
          <w:szCs w:val="32"/>
          <w:shd w:val="clear" w:color="auto" w:fill="FFFFFF"/>
          <w:lang w:val="zh-CN"/>
        </w:rPr>
        <w:t>总体绩效分析。</w:t>
      </w:r>
      <w:r>
        <w:rPr>
          <w:rFonts w:ascii="仿宋" w:eastAsia="仿宋" w:cs="仿宋" w:hint="eastAsia"/>
          <w:color w:val="000000"/>
          <w:kern w:val="0"/>
          <w:sz w:val="32"/>
          <w:szCs w:val="32"/>
          <w:shd w:val="clear" w:color="auto" w:fill="FFFFFF"/>
          <w:lang w:val="zh-CN"/>
        </w:rPr>
        <w:t>根据部门预算绩效评价指标体系“总体绩效”涉及二、三级指标进行逐项绩效分析并评分，依次包括履职效能、预算管理、财务管理、资产管理、采购管理等情况。</w:t>
      </w:r>
    </w:p>
    <w:p>
      <w:pPr>
        <w:adjustRightInd w:val="0"/>
        <w:snapToGrid w:val="0"/>
        <w:spacing w:line="540" w:lineRule="exact"/>
        <w:ind w:firstLineChars="200" w:firstLine="640"/>
        <w:contextualSpacing/>
        <w:jc w:val="left"/>
        <w:outlineLvl w:val="2"/>
        <w:rPr>
          <w:color w:val="000000"/>
          <w:kern w:val="0"/>
          <w:sz w:val="32"/>
          <w:szCs w:val="32"/>
          <w:shd w:val="clear" w:color="auto" w:fill="FFFFFF"/>
          <w:lang w:val="zh-CN"/>
        </w:rPr>
      </w:pPr>
      <w:r>
        <w:rPr>
          <w:rFonts w:ascii="楷体_GB2312" w:eastAsia="楷体_GB2312" w:cs="楷体_GB2312" w:hint="eastAsia"/>
          <w:color w:val="000000"/>
          <w:kern w:val="0"/>
          <w:sz w:val="32"/>
          <w:szCs w:val="32"/>
          <w:shd w:val="clear" w:color="auto" w:fill="FFFFFF"/>
        </w:rPr>
        <w:t>1.</w:t>
      </w:r>
      <w:r>
        <w:rPr>
          <w:rFonts w:ascii="楷体_GB2312" w:eastAsia="楷体_GB2312" w:cs="楷体_GB2312" w:hint="eastAsia"/>
          <w:color w:val="000000"/>
          <w:kern w:val="0"/>
          <w:sz w:val="32"/>
          <w:szCs w:val="32"/>
          <w:shd w:val="clear" w:color="auto" w:fill="FFFFFF"/>
          <w:lang w:val="zh-CN"/>
        </w:rPr>
        <w:t>履职效能。（</w:t>
      </w:r>
      <w:r>
        <w:rPr>
          <w:rFonts w:ascii="楷体_GB2312" w:eastAsia="楷体_GB2312" w:cs="楷体_GB2312" w:hint="eastAsia"/>
          <w:color w:val="000000"/>
          <w:kern w:val="0"/>
          <w:sz w:val="32"/>
          <w:szCs w:val="32"/>
          <w:shd w:val="clear" w:color="auto" w:fill="FFFFFF"/>
        </w:rPr>
        <w:t>15分）</w:t>
      </w:r>
      <w:r>
        <w:rPr>
          <w:rFonts w:ascii="仿宋" w:eastAsia="仿宋" w:cs="仿宋" w:hint="eastAsia"/>
          <w:color w:val="000000"/>
          <w:kern w:val="0"/>
          <w:sz w:val="32"/>
          <w:szCs w:val="32"/>
          <w:shd w:val="clear" w:color="auto" w:fill="FFFFFF"/>
          <w:lang w:val="zh-CN"/>
        </w:rPr>
        <w:t>部门整体绩效目标中选定3-5个核心职能目标，对职能目标完成效果情况绩效分析。</w:t>
      </w:r>
    </w:p>
    <w:p>
      <w:pPr>
        <w:pStyle w:val="16"/>
        <w:adjustRightInd w:val="0"/>
        <w:snapToGrid w:val="0"/>
        <w:spacing w:beforeLines="0" w:before="30" w:line="540" w:lineRule="exact"/>
        <w:ind w:firstLineChars="200" w:firstLine="640"/>
        <w:rPr>
          <w:rFonts w:cs="仿宋_GB2312"/>
          <w:sz w:val="32"/>
          <w:szCs w:val="32"/>
        </w:rPr>
      </w:pPr>
      <w:r>
        <w:rPr>
          <w:rFonts w:cs="仿宋_GB2312" w:hint="eastAsia"/>
          <w:sz w:val="32"/>
          <w:szCs w:val="32"/>
        </w:rPr>
        <w:t>一是切实加强统计工作的组织领导，不断提高统计数据质量，对全县的经济和社会发展情况进行统计调查，搜集、整理并提供统计基础资料，对国民经济社会发展情况进行统计分析、统计预测和统计监督。加强经济运行的预判以及对潜在风险的预警，促进了部门间的协作配合和信息共享。二是按照县人民政府号文件要求，全面完成汶川县全国第五次经普查资料开发，印制《汶川县全国第五次经普查资料汇编》120册</w:t>
      </w:r>
      <w:r>
        <w:rPr>
          <w:rFonts w:hint="eastAsia"/>
          <w:sz w:val="32"/>
          <w:szCs w:val="32"/>
        </w:rPr>
        <w:t>。三是完成《汶川统计年鉴（2025）》编纂印刷出版，该书共印刷出版220册，免费发放到全县机关事业单位、各镇。四是</w:t>
      </w:r>
      <w:r>
        <w:rPr>
          <w:rFonts w:cs="仿宋_GB2312" w:hint="eastAsia"/>
          <w:sz w:val="32"/>
          <w:szCs w:val="32"/>
        </w:rPr>
        <w:t>更新视频会议系统，视频会议和网络办公替代传统会议形式，减少碳排放，保障生态环境安全；加强网络安全建设，有效保障统计数据报送质量，企业网络直报得到加强。</w:t>
      </w:r>
    </w:p>
    <w:p>
      <w:pPr>
        <w:pStyle w:val="16"/>
        <w:adjustRightInd w:val="0"/>
        <w:snapToGrid w:val="0"/>
        <w:spacing w:beforeLines="0" w:before="30" w:line="540" w:lineRule="exact"/>
        <w:ind w:firstLineChars="200" w:firstLine="600"/>
        <w:rPr>
          <w:color w:val="000000"/>
          <w:szCs w:val="32"/>
          <w:shd w:val="clear" w:color="auto" w:fill="FFFFFF"/>
        </w:rPr>
      </w:pPr>
      <w:r>
        <w:rPr>
          <w:rFonts w:hint="eastAsia"/>
          <w:color w:val="000000"/>
          <w:szCs w:val="32"/>
          <w:shd w:val="clear" w:color="auto" w:fill="FFFFFF"/>
          <w:lang w:val="zh-CN"/>
        </w:rPr>
        <w:t>综上，根据评分标准，该项指标，得</w:t>
      </w:r>
      <w:r>
        <w:rPr>
          <w:rFonts w:hint="eastAsia"/>
          <w:color w:val="000000"/>
          <w:szCs w:val="32"/>
          <w:shd w:val="clear" w:color="auto" w:fill="FFFFFF"/>
        </w:rPr>
        <w:t>15</w:t>
      </w:r>
      <w:r>
        <w:rPr>
          <w:rFonts w:hint="eastAsia"/>
          <w:color w:val="000000"/>
          <w:szCs w:val="32"/>
          <w:shd w:val="clear" w:color="auto" w:fill="FFFFFF"/>
          <w:lang w:val="zh-CN"/>
        </w:rPr>
        <w:t>分。</w:t>
      </w:r>
    </w:p>
    <w:p>
      <w:pPr>
        <w:adjustRightInd w:val="0"/>
        <w:snapToGrid w:val="0"/>
        <w:spacing w:line="540" w:lineRule="exact"/>
        <w:ind w:firstLineChars="200" w:firstLine="640"/>
        <w:contextualSpacing/>
        <w:jc w:val="left"/>
        <w:outlineLvl w:val="2"/>
        <w:rPr>
          <w:rFonts w:ascii="楷体_GB2312" w:eastAsia="楷体_GB2312" w:cs="楷体_GB2312"/>
          <w:color w:val="000000"/>
          <w:kern w:val="0"/>
          <w:sz w:val="32"/>
          <w:szCs w:val="32"/>
          <w:shd w:val="clear" w:color="auto" w:fill="FFFFFF"/>
          <w:lang w:val="zh-CN"/>
        </w:rPr>
      </w:pPr>
      <w:r>
        <w:rPr>
          <w:rFonts w:ascii="楷体_GB2312" w:eastAsia="楷体_GB2312" w:cs="楷体_GB2312" w:hint="eastAsia"/>
          <w:color w:val="000000"/>
          <w:kern w:val="0"/>
          <w:sz w:val="32"/>
          <w:szCs w:val="32"/>
          <w:shd w:val="clear" w:color="auto" w:fill="FFFFFF"/>
          <w:lang w:val="zh-CN"/>
        </w:rPr>
        <w:t>2.</w:t>
      </w:r>
      <w:r>
        <w:rPr>
          <w:rFonts w:ascii="楷体_GB2312" w:eastAsia="楷体_GB2312" w:cs="楷体_GB2312"/>
          <w:color w:val="000000"/>
          <w:kern w:val="0"/>
          <w:sz w:val="32"/>
          <w:szCs w:val="32"/>
          <w:shd w:val="clear" w:color="auto" w:fill="FFFFFF"/>
          <w:lang w:val="zh-CN"/>
        </w:rPr>
        <w:t>预算管理</w:t>
      </w:r>
      <w:r>
        <w:rPr>
          <w:rFonts w:ascii="楷体_GB2312" w:eastAsia="楷体_GB2312" w:cs="楷体_GB2312" w:hint="eastAsia"/>
          <w:color w:val="000000"/>
          <w:kern w:val="0"/>
          <w:sz w:val="32"/>
          <w:szCs w:val="32"/>
          <w:shd w:val="clear" w:color="auto" w:fill="FFFFFF"/>
          <w:lang w:val="zh-CN"/>
        </w:rPr>
        <w:t>。（</w:t>
      </w:r>
      <w:r>
        <w:rPr>
          <w:rFonts w:ascii="楷体_GB2312" w:eastAsia="楷体_GB2312" w:cs="楷体_GB2312" w:hint="eastAsia"/>
          <w:color w:val="000000"/>
          <w:kern w:val="0"/>
          <w:sz w:val="32"/>
          <w:szCs w:val="32"/>
          <w:shd w:val="clear" w:color="auto" w:fill="FFFFFF"/>
        </w:rPr>
        <w:t>25分）</w:t>
      </w:r>
      <w:r>
        <w:rPr>
          <w:rFonts w:hint="eastAsia"/>
          <w:color w:val="000000"/>
          <w:kern w:val="0"/>
          <w:sz w:val="32"/>
          <w:szCs w:val="32"/>
          <w:shd w:val="clear" w:color="auto" w:fill="FFFFFF"/>
          <w:lang w:val="zh-CN"/>
        </w:rPr>
        <w:t>围绕预算编制质量、单位收入统筹、支出执行进度、预算年终结余、严控一般性支出</w:t>
      </w:r>
      <w:r>
        <w:rPr>
          <w:color w:val="000000"/>
          <w:kern w:val="0"/>
          <w:sz w:val="32"/>
          <w:szCs w:val="32"/>
          <w:shd w:val="clear" w:color="auto" w:fill="FFFFFF"/>
          <w:lang w:val="zh-CN"/>
        </w:rPr>
        <w:t>进行绩效分析</w:t>
      </w:r>
      <w:r>
        <w:rPr>
          <w:rFonts w:hint="eastAsia"/>
          <w:color w:val="000000"/>
          <w:kern w:val="0"/>
          <w:sz w:val="32"/>
          <w:szCs w:val="32"/>
          <w:shd w:val="clear" w:color="auto" w:fill="FFFFFF"/>
          <w:lang w:val="zh-CN"/>
        </w:rPr>
        <w:t>。</w:t>
      </w:r>
    </w:p>
    <w:p>
      <w:pPr>
        <w:pStyle w:val="16"/>
        <w:adjustRightInd w:val="0"/>
        <w:snapToGrid w:val="0"/>
        <w:spacing w:beforeLines="0" w:before="30" w:line="540" w:lineRule="exact"/>
        <w:ind w:firstLineChars="200" w:firstLine="640"/>
        <w:rPr>
          <w:rFonts w:cs="仿宋_GB2312"/>
          <w:sz w:val="32"/>
          <w:szCs w:val="32"/>
        </w:rPr>
      </w:pPr>
      <w:r>
        <w:rPr>
          <w:rFonts w:cs="仿宋_GB2312" w:hint="eastAsia"/>
          <w:sz w:val="32"/>
          <w:szCs w:val="32"/>
        </w:rPr>
        <w:t>在资金的使用和管理方面，能够按照规定程序，实行逐级审批后支付；加强制度适用性的分析和检查，确保制度与实际情况相符；“三公”经费支出在合理范围，符合管理制度的规定；严格按照预决算信息公开要求，通过汶川县政府信息公开网站及时将部门预算、决算信息予以公布，信息真实、完整；项目组织管理方面，针对各项目实际情况，建立项目管理规定和资金管理要求。</w:t>
      </w:r>
    </w:p>
    <w:p>
      <w:pPr>
        <w:pStyle w:val="23"/>
        <w:shd w:val="clear" w:color="auto" w:fill="FFFFFF"/>
        <w:adjustRightInd w:val="0"/>
        <w:snapToGrid w:val="0"/>
        <w:spacing w:before="0" w:beforeAutospacing="0" w:after="0" w:afterAutospacing="0" w:line="540" w:lineRule="exact"/>
        <w:ind w:firstLineChars="200" w:firstLine="640"/>
        <w:rPr>
          <w:rFonts w:ascii="仿宋_GB2312" w:hAnsi="仿宋_GB2312"/>
          <w:color w:val="000000"/>
          <w:szCs w:val="32"/>
          <w:shd w:val="clear" w:color="auto" w:fill="FFFFFF"/>
          <w:lang w:val="zh-CN"/>
        </w:rPr>
      </w:pPr>
      <w:r>
        <w:rPr>
          <w:rFonts w:ascii="仿宋_GB2312" w:cs="Times New Roman" w:hAnsi="仿宋_GB2312" w:hint="eastAsia"/>
          <w:b/>
          <w:bCs/>
          <w:kern w:val="2"/>
          <w:sz w:val="32"/>
          <w:szCs w:val="32"/>
        </w:rPr>
        <w:t>（1）</w:t>
      </w:r>
      <w:r>
        <w:rPr>
          <w:rFonts w:ascii="仿宋_GB2312" w:eastAsia="仿宋_GB2312" w:cs="Times New Roman" w:hint="eastAsia"/>
          <w:b/>
          <w:bCs/>
          <w:kern w:val="2"/>
          <w:sz w:val="32"/>
          <w:szCs w:val="32"/>
          <w:lang w:val="zh-CN"/>
        </w:rPr>
        <w:t>预算编制及调整。</w:t>
      </w:r>
      <w:r>
        <w:rPr>
          <w:rFonts w:ascii="仿宋" w:eastAsia="仿宋" w:cs="仿宋" w:hint="eastAsia"/>
          <w:kern w:val="2"/>
          <w:sz w:val="32"/>
          <w:szCs w:val="32"/>
        </w:rPr>
        <w:t>2025年初预算安排315.21万元，实际收入415.21万元，预算动态调整增加110.00万元，主要是增加2010507-专项普查活动（五经普经费）、“四上”企业（个体）及抽样调查企业（个体）统计人员奖补经费、2130506-社会发展（对统计人员的奖补资金、对口支援学习交流培训费）、2010501-行政运行和2010550事业运行目标奖、人员工资、退休人员生活补助；2080505-养老保险、2080506-职业年金、2101101医疗保险等原因。</w:t>
      </w:r>
    </w:p>
    <w:p>
      <w:pPr>
        <w:pStyle w:val="16"/>
        <w:adjustRightInd w:val="0"/>
        <w:snapToGrid w:val="0"/>
        <w:spacing w:beforeLines="0" w:before="30" w:line="540" w:lineRule="exact"/>
        <w:ind w:firstLineChars="200" w:firstLine="640"/>
        <w:rPr>
          <w:rFonts w:cs="宋体"/>
          <w:color w:val="000000"/>
          <w:szCs w:val="32"/>
          <w:shd w:val="clear" w:color="auto" w:fill="FFFFFF"/>
        </w:rPr>
      </w:pPr>
      <w:r>
        <w:rPr>
          <w:rFonts w:cs="宋体" w:hint="eastAsia"/>
          <w:b/>
          <w:bCs/>
          <w:color w:val="000000"/>
          <w:sz w:val="32"/>
          <w:szCs w:val="32"/>
          <w:shd w:val="clear" w:color="auto" w:fill="FFFFFF"/>
        </w:rPr>
        <w:t>（2）支出进度及控制情况。</w:t>
      </w:r>
      <w:r>
        <w:rPr>
          <w:rFonts w:cs="宋体" w:hint="eastAsia"/>
          <w:color w:val="000000"/>
          <w:szCs w:val="32"/>
          <w:shd w:val="clear" w:color="auto" w:fill="FFFFFF"/>
        </w:rPr>
        <w:t>2025年1-6月支出进度为51.95%，未完成时间过半支出过半的要求；1-9月支出进度为83.04%，支付进度达到要求；1-11月支出进度为93.76%，支付进度达到要求。严格控制“三公”经费使用，</w:t>
      </w:r>
      <w:r>
        <w:rPr>
          <w:rFonts w:cs="仿宋_GB2312" w:hint="eastAsia"/>
          <w:sz w:val="32"/>
          <w:szCs w:val="32"/>
        </w:rPr>
        <w:t>2025年度本单位“三公”经费支出8.66万元，相比上年度增加4.46万元，主要是2025年重点工作保障经费增加公务用车经费4.25万元。</w:t>
      </w:r>
    </w:p>
    <w:p>
      <w:pPr>
        <w:pStyle w:val="23"/>
        <w:shd w:val="clear" w:color="auto" w:fill="FFFFFF"/>
        <w:adjustRightInd w:val="0"/>
        <w:snapToGrid w:val="0"/>
        <w:spacing w:before="0" w:beforeAutospacing="0" w:after="0" w:afterAutospacing="0" w:line="540" w:lineRule="exact"/>
        <w:ind w:firstLineChars="200" w:firstLine="640"/>
        <w:rPr>
          <w:rFonts w:ascii="仿宋_GB2312" w:eastAsia="仿宋_GB2312"/>
          <w:color w:val="000000"/>
          <w:sz w:val="32"/>
          <w:szCs w:val="32"/>
          <w:shd w:val="clear" w:color="auto" w:fill="FFFFFF"/>
        </w:rPr>
      </w:pPr>
      <w:r>
        <w:rPr>
          <w:rFonts w:ascii="仿宋_GB2312" w:hAnsi="仿宋_GB2312" w:hint="eastAsia"/>
          <w:b/>
          <w:bCs/>
          <w:color w:val="000000"/>
          <w:sz w:val="32"/>
          <w:szCs w:val="32"/>
          <w:shd w:val="clear" w:color="auto" w:fill="FFFFFF"/>
        </w:rPr>
        <w:t>（3）</w:t>
      </w:r>
      <w:r>
        <w:rPr>
          <w:rFonts w:ascii="仿宋_GB2312" w:eastAsia="仿宋_GB2312" w:hint="eastAsia"/>
          <w:b/>
          <w:bCs/>
          <w:color w:val="000000"/>
          <w:sz w:val="32"/>
          <w:szCs w:val="32"/>
          <w:shd w:val="clear" w:color="auto" w:fill="FFFFFF"/>
        </w:rPr>
        <w:t>预算完成情况。</w:t>
      </w:r>
      <w:r>
        <w:rPr>
          <w:rFonts w:ascii="仿宋_GB2312" w:hAnsi="仿宋_GB2312" w:hint="eastAsia"/>
          <w:color w:val="000000"/>
          <w:sz w:val="32"/>
          <w:szCs w:val="32"/>
          <w:shd w:val="clear" w:color="auto" w:fill="FFFFFF"/>
        </w:rPr>
        <w:t>2025年</w:t>
      </w:r>
      <w:r>
        <w:rPr>
          <w:rFonts w:ascii="仿宋_GB2312" w:eastAsia="仿宋_GB2312" w:hint="eastAsia"/>
          <w:color w:val="000000"/>
          <w:sz w:val="32"/>
          <w:szCs w:val="32"/>
          <w:shd w:val="clear" w:color="auto" w:fill="FFFFFF"/>
        </w:rPr>
        <w:t>本单位财政拨款收入为</w:t>
      </w:r>
      <w:r>
        <w:rPr>
          <w:rFonts w:ascii="仿宋_GB2312" w:hAnsi="仿宋_GB2312" w:hint="eastAsia"/>
          <w:color w:val="000000"/>
          <w:sz w:val="32"/>
          <w:szCs w:val="32"/>
          <w:shd w:val="clear" w:color="auto" w:fill="FFFFFF"/>
        </w:rPr>
        <w:t>415.21</w:t>
      </w:r>
      <w:r>
        <w:rPr>
          <w:rFonts w:ascii="仿宋_GB2312" w:eastAsia="仿宋_GB2312" w:hint="eastAsia"/>
          <w:color w:val="000000"/>
          <w:sz w:val="32"/>
          <w:szCs w:val="32"/>
          <w:shd w:val="clear" w:color="auto" w:fill="FFFFFF"/>
        </w:rPr>
        <w:t>万元，财政拨款支出为</w:t>
      </w:r>
      <w:r>
        <w:rPr>
          <w:rFonts w:ascii="仿宋_GB2312" w:hAnsi="仿宋_GB2312" w:hint="eastAsia"/>
          <w:color w:val="000000"/>
          <w:sz w:val="32"/>
          <w:szCs w:val="32"/>
          <w:shd w:val="clear" w:color="auto" w:fill="FFFFFF"/>
        </w:rPr>
        <w:t>415.21</w:t>
      </w:r>
      <w:r>
        <w:rPr>
          <w:rFonts w:ascii="仿宋_GB2312" w:eastAsia="仿宋_GB2312" w:hint="eastAsia"/>
          <w:color w:val="000000"/>
          <w:sz w:val="32"/>
          <w:szCs w:val="32"/>
          <w:shd w:val="clear" w:color="auto" w:fill="FFFFFF"/>
        </w:rPr>
        <w:t>万元，</w:t>
      </w:r>
      <w:r>
        <w:rPr>
          <w:rFonts w:ascii="仿宋_GB2312" w:hAnsi="仿宋_GB2312" w:hint="eastAsia"/>
          <w:color w:val="000000"/>
          <w:sz w:val="32"/>
          <w:szCs w:val="32"/>
          <w:shd w:val="clear" w:color="auto" w:fill="FFFFFF"/>
        </w:rPr>
        <w:t>完成全年预算数的100%，年末无结转结余。</w:t>
      </w:r>
      <w:r>
        <w:rPr>
          <w:rFonts w:ascii="仿宋_GB2312" w:eastAsia="仿宋_GB2312" w:hint="eastAsia"/>
          <w:color w:val="000000"/>
          <w:sz w:val="32"/>
          <w:szCs w:val="32"/>
          <w:shd w:val="clear" w:color="auto" w:fill="FFFFFF"/>
        </w:rPr>
        <w:t>基本支出中人员经费支出为</w:t>
      </w:r>
      <w:r>
        <w:rPr>
          <w:rFonts w:ascii="仿宋_GB2312" w:hAnsi="仿宋_GB2312" w:hint="eastAsia"/>
          <w:color w:val="000000"/>
          <w:sz w:val="32"/>
          <w:szCs w:val="32"/>
          <w:shd w:val="clear" w:color="auto" w:fill="FFFFFF"/>
        </w:rPr>
        <w:t>296.45</w:t>
      </w:r>
      <w:r>
        <w:rPr>
          <w:rFonts w:ascii="仿宋_GB2312" w:eastAsia="仿宋_GB2312" w:hint="eastAsia"/>
          <w:color w:val="000000"/>
          <w:sz w:val="32"/>
          <w:szCs w:val="32"/>
          <w:shd w:val="clear" w:color="auto" w:fill="FFFFFF"/>
        </w:rPr>
        <w:t>万元，公用经费支出为</w:t>
      </w:r>
      <w:r>
        <w:rPr>
          <w:rFonts w:ascii="仿宋_GB2312" w:hAnsi="仿宋_GB2312" w:hint="eastAsia"/>
          <w:color w:val="000000"/>
          <w:sz w:val="32"/>
          <w:szCs w:val="32"/>
          <w:shd w:val="clear" w:color="auto" w:fill="FFFFFF"/>
        </w:rPr>
        <w:t>37.96</w:t>
      </w:r>
      <w:r>
        <w:rPr>
          <w:rFonts w:ascii="仿宋_GB2312" w:eastAsia="仿宋_GB2312" w:hint="eastAsia"/>
          <w:color w:val="000000"/>
          <w:sz w:val="32"/>
          <w:szCs w:val="32"/>
          <w:shd w:val="clear" w:color="auto" w:fill="FFFFFF"/>
        </w:rPr>
        <w:t>万元。基本支出</w:t>
      </w:r>
      <w:r>
        <w:rPr>
          <w:rFonts w:ascii="仿宋_GB2312" w:hAnsi="仿宋_GB2312" w:hint="eastAsia"/>
          <w:color w:val="000000"/>
          <w:sz w:val="32"/>
          <w:szCs w:val="32"/>
          <w:shd w:val="clear" w:color="auto" w:fill="FFFFFF"/>
        </w:rPr>
        <w:t>334.41万元</w:t>
      </w:r>
      <w:r>
        <w:rPr>
          <w:rFonts w:ascii="仿宋_GB2312" w:eastAsia="仿宋_GB2312" w:hint="eastAsia"/>
          <w:color w:val="000000"/>
          <w:sz w:val="32"/>
          <w:szCs w:val="32"/>
          <w:shd w:val="clear" w:color="auto" w:fill="FFFFFF"/>
        </w:rPr>
        <w:t>，项目支出</w:t>
      </w:r>
      <w:r>
        <w:rPr>
          <w:rFonts w:ascii="仿宋_GB2312" w:hAnsi="仿宋_GB2312" w:hint="eastAsia"/>
          <w:color w:val="000000"/>
          <w:sz w:val="32"/>
          <w:szCs w:val="32"/>
          <w:shd w:val="clear" w:color="auto" w:fill="FFFFFF"/>
        </w:rPr>
        <w:t>83.81万元，</w:t>
      </w:r>
      <w:r>
        <w:rPr>
          <w:rFonts w:ascii="仿宋_GB2312" w:eastAsia="仿宋_GB2312" w:hint="eastAsia"/>
          <w:color w:val="000000"/>
          <w:sz w:val="32"/>
          <w:szCs w:val="32"/>
          <w:shd w:val="clear" w:color="auto" w:fill="FFFFFF"/>
        </w:rPr>
        <w:t>项目支出中基本建设类项目支出为0.00万元。</w:t>
      </w:r>
    </w:p>
    <w:p>
      <w:pPr>
        <w:pStyle w:val="23"/>
        <w:shd w:val="clear" w:color="auto" w:fill="FFFFFF"/>
        <w:adjustRightInd w:val="0"/>
        <w:snapToGrid w:val="0"/>
        <w:spacing w:before="0" w:beforeAutospacing="0" w:after="0" w:afterAutospacing="0" w:line="540" w:lineRule="exact"/>
        <w:ind w:firstLineChars="200" w:firstLine="640"/>
        <w:rPr>
          <w:rFonts w:ascii="仿宋" w:eastAsia="仿宋" w:cs="仿宋"/>
          <w:color w:val="000000"/>
          <w:sz w:val="32"/>
          <w:szCs w:val="32"/>
          <w:shd w:val="clear" w:color="auto" w:fill="FFFFFF"/>
        </w:rPr>
      </w:pPr>
      <w:r>
        <w:rPr>
          <w:rFonts w:ascii="仿宋" w:eastAsia="仿宋" w:cs="仿宋" w:hint="eastAsia"/>
          <w:color w:val="000000"/>
          <w:sz w:val="32"/>
          <w:szCs w:val="32"/>
          <w:shd w:val="clear" w:color="auto" w:fill="FFFFFF"/>
          <w:lang w:val="zh-CN"/>
        </w:rPr>
        <w:t>综上，根据评分标准，该项指标，得</w:t>
      </w:r>
      <w:r>
        <w:rPr>
          <w:rFonts w:ascii="仿宋" w:eastAsia="仿宋" w:cs="仿宋" w:hint="eastAsia"/>
          <w:color w:val="000000"/>
          <w:sz w:val="32"/>
          <w:szCs w:val="32"/>
          <w:shd w:val="clear" w:color="auto" w:fill="FFFFFF"/>
        </w:rPr>
        <w:t>23</w:t>
      </w:r>
      <w:r>
        <w:rPr>
          <w:rFonts w:ascii="仿宋" w:eastAsia="仿宋" w:cs="仿宋" w:hint="eastAsia"/>
          <w:color w:val="000000"/>
          <w:sz w:val="32"/>
          <w:szCs w:val="32"/>
          <w:shd w:val="clear" w:color="auto" w:fill="FFFFFF"/>
          <w:lang w:val="zh-CN"/>
        </w:rPr>
        <w:t>分。</w:t>
      </w:r>
    </w:p>
    <w:p>
      <w:pPr>
        <w:adjustRightInd w:val="0"/>
        <w:snapToGrid w:val="0"/>
        <w:spacing w:line="540" w:lineRule="exact"/>
        <w:ind w:firstLineChars="200" w:firstLine="640"/>
        <w:contextualSpacing/>
        <w:jc w:val="left"/>
        <w:outlineLvl w:val="2"/>
        <w:rPr>
          <w:rFonts w:ascii="仿宋" w:eastAsia="仿宋" w:cs="仿宋"/>
          <w:color w:val="000000"/>
          <w:kern w:val="0"/>
          <w:sz w:val="32"/>
          <w:szCs w:val="32"/>
          <w:shd w:val="clear" w:color="auto" w:fill="FFFFFF"/>
          <w:lang w:val="zh-CN"/>
        </w:rPr>
      </w:pPr>
      <w:r>
        <w:rPr>
          <w:rFonts w:ascii="楷体_GB2312" w:eastAsia="楷体_GB2312" w:cs="楷体_GB2312" w:hint="eastAsia"/>
          <w:color w:val="000000"/>
          <w:kern w:val="0"/>
          <w:sz w:val="32"/>
          <w:szCs w:val="32"/>
          <w:shd w:val="clear" w:color="auto" w:fill="FFFFFF"/>
        </w:rPr>
        <w:t>3.</w:t>
      </w:r>
      <w:r>
        <w:rPr>
          <w:rFonts w:ascii="楷体_GB2312" w:eastAsia="楷体_GB2312" w:cs="楷体_GB2312"/>
          <w:color w:val="000000"/>
          <w:kern w:val="0"/>
          <w:sz w:val="32"/>
          <w:szCs w:val="32"/>
          <w:shd w:val="clear" w:color="auto" w:fill="FFFFFF"/>
          <w:lang w:val="zh-CN"/>
        </w:rPr>
        <w:t>财务管理</w:t>
      </w:r>
      <w:r>
        <w:rPr>
          <w:rFonts w:ascii="楷体_GB2312" w:eastAsia="楷体_GB2312" w:cs="楷体_GB2312" w:hint="eastAsia"/>
          <w:color w:val="000000"/>
          <w:kern w:val="0"/>
          <w:sz w:val="32"/>
          <w:szCs w:val="32"/>
          <w:shd w:val="clear" w:color="auto" w:fill="FFFFFF"/>
          <w:lang w:val="zh-CN"/>
        </w:rPr>
        <w:t>。（</w:t>
      </w:r>
      <w:r>
        <w:rPr>
          <w:rFonts w:ascii="楷体_GB2312" w:eastAsia="楷体_GB2312" w:cs="楷体_GB2312" w:hint="eastAsia"/>
          <w:color w:val="000000"/>
          <w:kern w:val="0"/>
          <w:sz w:val="32"/>
          <w:szCs w:val="32"/>
          <w:shd w:val="clear" w:color="auto" w:fill="FFFFFF"/>
        </w:rPr>
        <w:t>10分）</w:t>
      </w:r>
      <w:r>
        <w:rPr>
          <w:rFonts w:ascii="仿宋" w:eastAsia="仿宋" w:cs="仿宋" w:hint="eastAsia"/>
          <w:color w:val="000000"/>
          <w:kern w:val="0"/>
          <w:sz w:val="32"/>
          <w:szCs w:val="32"/>
          <w:shd w:val="clear" w:color="auto" w:fill="FFFFFF"/>
          <w:lang w:val="zh-CN"/>
        </w:rPr>
        <w:t>围绕财务管理制度、财务岗位设置、资金使用规范进行绩效分析。</w:t>
      </w:r>
    </w:p>
    <w:p>
      <w:pPr>
        <w:adjustRightInd w:val="0"/>
        <w:snapToGrid w:val="0"/>
        <w:spacing w:line="540" w:lineRule="exact"/>
        <w:ind w:firstLineChars="200" w:firstLine="640"/>
        <w:contextualSpacing/>
        <w:jc w:val="left"/>
        <w:outlineLvl w:val="2"/>
        <w:rPr>
          <w:rFonts w:ascii="仿宋" w:eastAsia="仿宋" w:cs="仿宋"/>
          <w:color w:val="000000"/>
          <w:kern w:val="0"/>
          <w:sz w:val="32"/>
          <w:szCs w:val="32"/>
          <w:shd w:val="clear" w:color="auto" w:fill="FFFFFF"/>
          <w:lang w:val="zh-CN"/>
        </w:rPr>
      </w:pPr>
      <w:r>
        <w:rPr>
          <w:rFonts w:ascii="仿宋" w:eastAsia="仿宋" w:cs="仿宋" w:hint="eastAsia"/>
          <w:color w:val="000000"/>
          <w:kern w:val="0"/>
          <w:sz w:val="32"/>
          <w:szCs w:val="32"/>
          <w:shd w:val="clear" w:color="auto" w:fill="FFFFFF"/>
          <w:lang w:val="zh-CN"/>
        </w:rPr>
        <w:t>我单位严格按照财务管理制度，设置财务分管领导、会计和出纳岗位，严格执行单位一把手“三个不直接分管“的要求，所有支出先由出纳审核原始票据的合法性合理性和完整性，再由会计进行复审，单位财务分管领导审核签字，主要领导阅知签字后给予报销，凡是资料不齐、不规范、不完整等不符合财务要求的一律不给予报销。严格实行收支一条线、专款专用，单位除财政预算安排的资金，其他收入资金都按财政要求，进入财政代管资金专户进行收支管理，不得在单位基本户中进行支付。</w:t>
      </w:r>
    </w:p>
    <w:p>
      <w:pPr>
        <w:adjustRightInd w:val="0"/>
        <w:snapToGrid w:val="0"/>
        <w:spacing w:line="540" w:lineRule="exact"/>
        <w:ind w:firstLineChars="200" w:firstLine="640"/>
        <w:contextualSpacing/>
        <w:jc w:val="left"/>
        <w:outlineLvl w:val="2"/>
        <w:rPr>
          <w:rFonts w:ascii="仿宋" w:eastAsia="仿宋" w:cs="仿宋"/>
          <w:color w:val="000000"/>
          <w:kern w:val="0"/>
          <w:sz w:val="32"/>
          <w:szCs w:val="32"/>
          <w:shd w:val="clear" w:color="auto" w:fill="FFFFFF"/>
        </w:rPr>
      </w:pPr>
      <w:r>
        <w:rPr>
          <w:rFonts w:ascii="仿宋" w:eastAsia="仿宋" w:cs="仿宋" w:hint="eastAsia"/>
          <w:color w:val="000000"/>
          <w:kern w:val="0"/>
          <w:sz w:val="32"/>
          <w:szCs w:val="32"/>
          <w:shd w:val="clear" w:color="auto" w:fill="FFFFFF"/>
          <w:lang w:val="zh-CN"/>
        </w:rPr>
        <w:t>综上，根据评分标准，该项指标，得</w:t>
      </w:r>
      <w:r>
        <w:rPr>
          <w:rFonts w:ascii="仿宋" w:eastAsia="仿宋" w:cs="仿宋" w:hint="eastAsia"/>
          <w:color w:val="000000"/>
          <w:kern w:val="0"/>
          <w:sz w:val="32"/>
          <w:szCs w:val="32"/>
          <w:shd w:val="clear" w:color="auto" w:fill="FFFFFF"/>
        </w:rPr>
        <w:t>10</w:t>
      </w:r>
      <w:r>
        <w:rPr>
          <w:rFonts w:ascii="仿宋" w:eastAsia="仿宋" w:cs="仿宋" w:hint="eastAsia"/>
          <w:color w:val="000000"/>
          <w:kern w:val="0"/>
          <w:sz w:val="32"/>
          <w:szCs w:val="32"/>
          <w:shd w:val="clear" w:color="auto" w:fill="FFFFFF"/>
          <w:lang w:val="zh-CN"/>
        </w:rPr>
        <w:t>分。</w:t>
      </w:r>
    </w:p>
    <w:p>
      <w:pPr>
        <w:adjustRightInd w:val="0"/>
        <w:snapToGrid w:val="0"/>
        <w:spacing w:line="540" w:lineRule="exact"/>
        <w:ind w:firstLineChars="200" w:firstLine="640"/>
        <w:contextualSpacing/>
        <w:jc w:val="left"/>
        <w:outlineLvl w:val="2"/>
        <w:rPr>
          <w:rFonts w:ascii="仿宋" w:eastAsia="仿宋" w:cs="仿宋"/>
          <w:color w:val="000000"/>
          <w:kern w:val="0"/>
          <w:sz w:val="32"/>
          <w:szCs w:val="32"/>
          <w:shd w:val="clear" w:color="auto" w:fill="FFFFFF"/>
          <w:lang w:val="zh-CN"/>
        </w:rPr>
      </w:pPr>
      <w:r>
        <w:rPr>
          <w:rFonts w:ascii="楷体_GB2312" w:eastAsia="楷体_GB2312" w:cs="楷体_GB2312" w:hint="eastAsia"/>
          <w:color w:val="000000"/>
          <w:kern w:val="0"/>
          <w:sz w:val="32"/>
          <w:szCs w:val="32"/>
          <w:shd w:val="clear" w:color="auto" w:fill="FFFFFF"/>
        </w:rPr>
        <w:t>4.</w:t>
      </w:r>
      <w:r>
        <w:rPr>
          <w:rFonts w:ascii="楷体_GB2312" w:eastAsia="楷体_GB2312" w:cs="楷体_GB2312"/>
          <w:color w:val="000000"/>
          <w:kern w:val="0"/>
          <w:sz w:val="32"/>
          <w:szCs w:val="32"/>
          <w:shd w:val="clear" w:color="auto" w:fill="FFFFFF"/>
          <w:lang w:val="zh-CN"/>
        </w:rPr>
        <w:t>资产管理</w:t>
      </w:r>
      <w:r>
        <w:rPr>
          <w:rFonts w:ascii="楷体_GB2312" w:eastAsia="楷体_GB2312" w:cs="楷体_GB2312" w:hint="eastAsia"/>
          <w:color w:val="000000"/>
          <w:kern w:val="0"/>
          <w:sz w:val="32"/>
          <w:szCs w:val="32"/>
          <w:shd w:val="clear" w:color="auto" w:fill="FFFFFF"/>
          <w:lang w:val="zh-CN"/>
        </w:rPr>
        <w:t>。（</w:t>
      </w:r>
      <w:r>
        <w:rPr>
          <w:rFonts w:ascii="楷体_GB2312" w:eastAsia="楷体_GB2312" w:cs="楷体_GB2312" w:hint="eastAsia"/>
          <w:color w:val="000000"/>
          <w:kern w:val="0"/>
          <w:sz w:val="32"/>
          <w:szCs w:val="32"/>
          <w:shd w:val="clear" w:color="auto" w:fill="FFFFFF"/>
        </w:rPr>
        <w:t>9分）</w:t>
      </w:r>
      <w:r>
        <w:rPr>
          <w:rFonts w:ascii="仿宋" w:eastAsia="仿宋" w:cs="仿宋" w:hint="eastAsia"/>
          <w:color w:val="000000"/>
          <w:kern w:val="0"/>
          <w:sz w:val="32"/>
          <w:szCs w:val="32"/>
          <w:shd w:val="clear" w:color="auto" w:fill="FFFFFF"/>
          <w:lang w:val="zh-CN"/>
        </w:rPr>
        <w:t>围绕人均资产变化率、资产利用率、资产盘活率进行绩效分析。</w:t>
      </w:r>
    </w:p>
    <w:p>
      <w:pPr>
        <w:adjustRightInd w:val="0"/>
        <w:snapToGrid w:val="0"/>
        <w:spacing w:line="540" w:lineRule="exact"/>
        <w:ind w:firstLineChars="200" w:firstLine="640"/>
        <w:contextualSpacing/>
        <w:jc w:val="left"/>
        <w:outlineLvl w:val="2"/>
        <w:rPr>
          <w:rFonts w:ascii="仿宋" w:eastAsia="仿宋" w:cs="仿宋"/>
          <w:kern w:val="0"/>
          <w:sz w:val="32"/>
          <w:szCs w:val="32"/>
          <w:shd w:val="clear" w:color="auto" w:fill="FFFFFF"/>
        </w:rPr>
      </w:pPr>
      <w:r>
        <w:rPr>
          <w:rFonts w:ascii="仿宋" w:eastAsia="仿宋" w:cs="仿宋" w:hint="eastAsia"/>
          <w:color w:val="000000"/>
          <w:kern w:val="0"/>
          <w:sz w:val="32"/>
          <w:szCs w:val="32"/>
          <w:shd w:val="clear" w:color="auto" w:fill="FFFFFF"/>
          <w:lang w:val="zh-CN"/>
        </w:rPr>
        <w:t>我单位专人进行资产管理，新购置资产由室提出购置要求，经局党组会研究通过实施采购；资产报废处理，每年由资产专管员进行资产清查，对达到报废处置且无法正常使用的资产进行清理，报请局党组研究处置意见，最后报请机关事务管理局审批处置批复。</w:t>
      </w:r>
      <w:r>
        <w:rPr>
          <w:rFonts w:ascii="仿宋" w:eastAsia="仿宋" w:cs="仿宋" w:hint="eastAsia"/>
          <w:kern w:val="0"/>
          <w:sz w:val="32"/>
          <w:szCs w:val="32"/>
          <w:shd w:val="clear" w:color="auto" w:fill="FFFFFF"/>
        </w:rPr>
        <w:t>2024年末我单位有资产原值128.37万元，资产净值40.82万元，人均占有资产2.92万元；2025年末资产原值103.42万元，资产净值28.35万元，人均占有资产1.77万元；资产原值总额与上年相比减少24.95，主要是2025年有报废资产处置24.95万元。</w:t>
      </w:r>
    </w:p>
    <w:p>
      <w:pPr>
        <w:adjustRightInd w:val="0"/>
        <w:snapToGrid w:val="0"/>
        <w:spacing w:line="540" w:lineRule="exact"/>
        <w:ind w:firstLineChars="200" w:firstLine="640"/>
        <w:contextualSpacing/>
        <w:jc w:val="left"/>
        <w:outlineLvl w:val="2"/>
        <w:rPr>
          <w:rFonts w:ascii="仿宋" w:eastAsia="仿宋" w:cs="仿宋"/>
          <w:color w:val="000000"/>
          <w:kern w:val="0"/>
          <w:sz w:val="32"/>
          <w:szCs w:val="32"/>
          <w:shd w:val="clear" w:color="auto" w:fill="FFFFFF"/>
        </w:rPr>
      </w:pPr>
      <w:r>
        <w:rPr>
          <w:rFonts w:ascii="仿宋" w:eastAsia="仿宋" w:cs="仿宋" w:hint="eastAsia"/>
          <w:color w:val="000000"/>
          <w:kern w:val="0"/>
          <w:sz w:val="32"/>
          <w:szCs w:val="32"/>
          <w:shd w:val="clear" w:color="auto" w:fill="FFFFFF"/>
          <w:lang w:val="zh-CN"/>
        </w:rPr>
        <w:t>综上，根据评分标准，该项指标，得</w:t>
      </w:r>
      <w:r>
        <w:rPr>
          <w:rFonts w:ascii="仿宋" w:eastAsia="仿宋" w:cs="仿宋" w:hint="eastAsia"/>
          <w:color w:val="000000"/>
          <w:kern w:val="0"/>
          <w:sz w:val="32"/>
          <w:szCs w:val="32"/>
          <w:shd w:val="clear" w:color="auto" w:fill="FFFFFF"/>
        </w:rPr>
        <w:t>6</w:t>
      </w:r>
      <w:r>
        <w:rPr>
          <w:rFonts w:ascii="仿宋" w:eastAsia="仿宋" w:cs="仿宋" w:hint="eastAsia"/>
          <w:color w:val="000000"/>
          <w:kern w:val="0"/>
          <w:sz w:val="32"/>
          <w:szCs w:val="32"/>
          <w:shd w:val="clear" w:color="auto" w:fill="FFFFFF"/>
          <w:lang w:val="zh-CN"/>
        </w:rPr>
        <w:t>分。</w:t>
      </w:r>
    </w:p>
    <w:p>
      <w:pPr>
        <w:adjustRightInd w:val="0"/>
        <w:snapToGrid w:val="0"/>
        <w:spacing w:line="540" w:lineRule="exact"/>
        <w:ind w:firstLineChars="200" w:firstLine="640"/>
        <w:contextualSpacing/>
        <w:jc w:val="left"/>
        <w:outlineLvl w:val="2"/>
        <w:rPr>
          <w:rFonts w:ascii="仿宋" w:eastAsia="仿宋" w:cs="仿宋"/>
          <w:color w:val="000000"/>
          <w:kern w:val="0"/>
          <w:sz w:val="32"/>
          <w:szCs w:val="32"/>
          <w:shd w:val="clear" w:color="auto" w:fill="FFFFFF"/>
          <w:lang w:val="zh-CN"/>
        </w:rPr>
      </w:pPr>
      <w:r>
        <w:rPr>
          <w:rFonts w:ascii="楷体_GB2312" w:eastAsia="楷体_GB2312" w:cs="楷体_GB2312" w:hint="eastAsia"/>
          <w:color w:val="000000"/>
          <w:kern w:val="0"/>
          <w:sz w:val="32"/>
          <w:szCs w:val="32"/>
          <w:shd w:val="clear" w:color="auto" w:fill="FFFFFF"/>
        </w:rPr>
        <w:t>5.</w:t>
      </w:r>
      <w:r>
        <w:rPr>
          <w:rFonts w:ascii="楷体_GB2312" w:eastAsia="楷体_GB2312" w:cs="楷体_GB2312"/>
          <w:color w:val="000000"/>
          <w:kern w:val="0"/>
          <w:sz w:val="32"/>
          <w:szCs w:val="32"/>
          <w:shd w:val="clear" w:color="auto" w:fill="FFFFFF"/>
          <w:lang w:val="zh-CN"/>
        </w:rPr>
        <w:t>采购管理</w:t>
      </w:r>
      <w:r>
        <w:rPr>
          <w:rFonts w:ascii="楷体_GB2312" w:eastAsia="楷体_GB2312" w:cs="楷体_GB2312" w:hint="eastAsia"/>
          <w:color w:val="000000"/>
          <w:kern w:val="0"/>
          <w:sz w:val="32"/>
          <w:szCs w:val="32"/>
          <w:shd w:val="clear" w:color="auto" w:fill="FFFFFF"/>
          <w:lang w:val="zh-CN"/>
        </w:rPr>
        <w:t>。（</w:t>
      </w:r>
      <w:r>
        <w:rPr>
          <w:rFonts w:ascii="楷体_GB2312" w:eastAsia="楷体_GB2312" w:cs="楷体_GB2312" w:hint="eastAsia"/>
          <w:color w:val="000000"/>
          <w:kern w:val="0"/>
          <w:sz w:val="32"/>
          <w:szCs w:val="32"/>
          <w:shd w:val="clear" w:color="auto" w:fill="FFFFFF"/>
        </w:rPr>
        <w:t>6分）</w:t>
      </w:r>
      <w:r>
        <w:rPr>
          <w:rFonts w:ascii="仿宋" w:eastAsia="仿宋" w:cs="仿宋" w:hint="eastAsia"/>
          <w:color w:val="000000"/>
          <w:kern w:val="0"/>
          <w:sz w:val="32"/>
          <w:szCs w:val="32"/>
          <w:shd w:val="clear" w:color="auto" w:fill="FFFFFF"/>
          <w:lang w:val="zh-CN"/>
        </w:rPr>
        <w:t>围绕支持中小企业发展、采购执行率进行绩效分析。</w:t>
      </w:r>
    </w:p>
    <w:p>
      <w:pPr>
        <w:adjustRightInd w:val="0"/>
        <w:snapToGrid w:val="0"/>
        <w:spacing w:line="540" w:lineRule="exact"/>
        <w:ind w:firstLine="640"/>
        <w:jc w:val="left"/>
        <w:rPr>
          <w:rFonts w:ascii="仿宋" w:eastAsia="仿宋" w:cs="仿宋"/>
          <w:sz w:val="32"/>
          <w:szCs w:val="32"/>
        </w:rPr>
      </w:pPr>
      <w:r>
        <w:rPr>
          <w:rFonts w:ascii="仿宋" w:eastAsia="仿宋" w:cs="仿宋" w:hint="eastAsia"/>
          <w:sz w:val="32"/>
          <w:szCs w:val="32"/>
        </w:rPr>
        <w:t>2025年度我单位无政府采购项目。</w:t>
      </w:r>
    </w:p>
    <w:p>
      <w:pPr>
        <w:adjustRightInd w:val="0"/>
        <w:snapToGrid w:val="0"/>
        <w:spacing w:line="540" w:lineRule="exact"/>
        <w:ind w:firstLine="640"/>
        <w:jc w:val="left"/>
        <w:rPr>
          <w:rFonts w:ascii="仿宋" w:eastAsia="仿宋" w:cs="仿宋"/>
          <w:sz w:val="32"/>
          <w:szCs w:val="32"/>
        </w:rPr>
      </w:pPr>
      <w:r>
        <w:rPr>
          <w:rFonts w:ascii="仿宋" w:eastAsia="仿宋" w:cs="仿宋" w:hint="eastAsia"/>
          <w:color w:val="000000"/>
          <w:kern w:val="0"/>
          <w:sz w:val="32"/>
          <w:szCs w:val="32"/>
          <w:shd w:val="clear" w:color="auto" w:fill="FFFFFF"/>
          <w:lang w:val="zh-CN"/>
        </w:rPr>
        <w:t>综上，根据评分标准，该项指标，得</w:t>
      </w:r>
      <w:r>
        <w:rPr>
          <w:rFonts w:ascii="仿宋" w:eastAsia="仿宋" w:cs="仿宋" w:hint="eastAsia"/>
          <w:color w:val="000000"/>
          <w:kern w:val="0"/>
          <w:sz w:val="32"/>
          <w:szCs w:val="32"/>
          <w:shd w:val="clear" w:color="auto" w:fill="FFFFFF"/>
        </w:rPr>
        <w:t>6</w:t>
      </w:r>
      <w:r>
        <w:rPr>
          <w:rFonts w:ascii="仿宋" w:eastAsia="仿宋" w:cs="仿宋" w:hint="eastAsia"/>
          <w:color w:val="000000"/>
          <w:kern w:val="0"/>
          <w:sz w:val="32"/>
          <w:szCs w:val="32"/>
          <w:shd w:val="clear" w:color="auto" w:fill="FFFFFF"/>
          <w:lang w:val="zh-CN"/>
        </w:rPr>
        <w:t>分。</w:t>
      </w:r>
    </w:p>
    <w:p>
      <w:pPr>
        <w:widowControl/>
        <w:adjustRightInd w:val="0"/>
        <w:snapToGrid w:val="0"/>
        <w:spacing w:line="540" w:lineRule="exact"/>
        <w:ind w:firstLineChars="200" w:firstLine="640"/>
        <w:contextualSpacing/>
        <w:jc w:val="left"/>
        <w:outlineLvl w:val="1"/>
        <w:rPr>
          <w:rFonts w:ascii="仿宋" w:eastAsia="仿宋" w:cs="仿宋"/>
          <w:color w:val="000000"/>
          <w:kern w:val="0"/>
          <w:sz w:val="32"/>
          <w:szCs w:val="32"/>
          <w:shd w:val="clear" w:color="auto" w:fill="FFFFFF"/>
        </w:rPr>
      </w:pPr>
      <w:r>
        <w:rPr>
          <w:rFonts w:eastAsia="楷体_GB2312"/>
          <w:b/>
          <w:bCs/>
          <w:color w:val="000000"/>
          <w:kern w:val="0"/>
          <w:sz w:val="32"/>
          <w:szCs w:val="32"/>
          <w:shd w:val="clear" w:color="auto" w:fill="FFFFFF"/>
          <w:lang w:val="zh-CN"/>
        </w:rPr>
        <w:t>（二）部门预算项目绩效分析。</w:t>
      </w:r>
      <w:r>
        <w:rPr>
          <w:rFonts w:ascii="仿宋" w:eastAsia="仿宋" w:cs="仿宋" w:hint="eastAsia"/>
          <w:color w:val="000000"/>
          <w:kern w:val="0"/>
          <w:sz w:val="32"/>
          <w:szCs w:val="32"/>
          <w:shd w:val="clear" w:color="auto" w:fill="FFFFFF"/>
          <w:lang w:val="zh-CN"/>
        </w:rPr>
        <w:t>填报以下数据，并根据部门预算绩效评价指标体系“项目绩效”涉及二、三级指标进行逐项绩效分析并评分，依次包括项目</w:t>
      </w:r>
      <w:r>
        <w:rPr>
          <w:rFonts w:ascii="仿宋" w:eastAsia="仿宋" w:cs="仿宋" w:hint="eastAsia"/>
          <w:color w:val="000000"/>
          <w:kern w:val="0"/>
          <w:sz w:val="32"/>
          <w:szCs w:val="32"/>
          <w:shd w:val="clear" w:color="auto" w:fill="FFFFFF"/>
        </w:rPr>
        <w:t>决策、项目执行、目标实现等情况。</w:t>
      </w:r>
    </w:p>
    <w:p>
      <w:pPr>
        <w:adjustRightInd w:val="0"/>
        <w:snapToGrid w:val="0"/>
        <w:spacing w:line="540" w:lineRule="exact"/>
        <w:ind w:firstLineChars="200" w:firstLine="640"/>
        <w:contextualSpacing/>
        <w:jc w:val="left"/>
        <w:rPr>
          <w:rFonts w:ascii="仿宋" w:eastAsia="仿宋" w:cs="仿宋"/>
          <w:color w:val="000000"/>
          <w:kern w:val="0"/>
          <w:sz w:val="32"/>
          <w:szCs w:val="32"/>
          <w:shd w:val="clear" w:color="auto" w:fill="FFFFFF"/>
          <w:lang w:val="zh-CN"/>
        </w:rPr>
      </w:pPr>
      <w:r>
        <w:rPr>
          <w:rFonts w:ascii="仿宋" w:eastAsia="仿宋" w:cs="仿宋" w:hint="eastAsia"/>
          <w:color w:val="000000"/>
          <w:kern w:val="0"/>
          <w:sz w:val="32"/>
          <w:szCs w:val="32"/>
          <w:shd w:val="clear" w:color="auto" w:fill="FFFFFF"/>
        </w:rPr>
        <w:t>常年项目绩效分析。</w:t>
      </w:r>
      <w:r>
        <w:rPr>
          <w:rFonts w:ascii="仿宋" w:eastAsia="仿宋" w:cs="仿宋" w:hint="eastAsia"/>
          <w:color w:val="000000"/>
          <w:kern w:val="0"/>
          <w:sz w:val="32"/>
          <w:szCs w:val="32"/>
          <w:shd w:val="clear" w:color="auto" w:fill="FFFFFF"/>
          <w:lang w:val="zh-CN"/>
        </w:rPr>
        <w:t>该类项目总数</w:t>
      </w:r>
      <w:r>
        <w:rPr>
          <w:rFonts w:ascii="仿宋" w:eastAsia="仿宋" w:cs="仿宋" w:hint="eastAsia"/>
          <w:color w:val="000000"/>
          <w:kern w:val="0"/>
          <w:sz w:val="32"/>
          <w:szCs w:val="32"/>
          <w:shd w:val="clear" w:color="auto" w:fill="FFFFFF"/>
        </w:rPr>
        <w:t>5</w:t>
      </w:r>
      <w:r>
        <w:rPr>
          <w:rFonts w:ascii="仿宋" w:eastAsia="仿宋" w:cs="仿宋" w:hint="eastAsia"/>
          <w:color w:val="000000"/>
          <w:kern w:val="0"/>
          <w:sz w:val="32"/>
          <w:szCs w:val="32"/>
          <w:shd w:val="clear" w:color="auto" w:fill="FFFFFF"/>
          <w:lang w:val="zh-CN"/>
        </w:rPr>
        <w:t>个，涉及预算总金额</w:t>
      </w:r>
      <w:r>
        <w:rPr>
          <w:rFonts w:ascii="仿宋" w:eastAsia="仿宋" w:cs="仿宋" w:hint="eastAsia"/>
          <w:color w:val="000000"/>
          <w:kern w:val="0"/>
          <w:sz w:val="32"/>
          <w:szCs w:val="32"/>
          <w:shd w:val="clear" w:color="auto" w:fill="FFFFFF"/>
        </w:rPr>
        <w:t xml:space="preserve">   47.50</w:t>
      </w:r>
      <w:r>
        <w:rPr>
          <w:rFonts w:ascii="仿宋" w:eastAsia="仿宋" w:cs="仿宋" w:hint="eastAsia"/>
          <w:color w:val="000000"/>
          <w:kern w:val="0"/>
          <w:sz w:val="32"/>
          <w:szCs w:val="32"/>
          <w:shd w:val="clear" w:color="auto" w:fill="FFFFFF"/>
          <w:lang w:val="zh-CN"/>
        </w:rPr>
        <w:t>万元，1—1</w:t>
      </w:r>
      <w:r>
        <w:rPr>
          <w:rFonts w:ascii="仿宋" w:eastAsia="仿宋" w:cs="仿宋" w:hint="eastAsia"/>
          <w:color w:val="000000"/>
          <w:kern w:val="0"/>
          <w:sz w:val="32"/>
          <w:szCs w:val="32"/>
          <w:shd w:val="clear" w:color="auto" w:fill="FFFFFF"/>
        </w:rPr>
        <w:t>2</w:t>
      </w:r>
      <w:r>
        <w:rPr>
          <w:rFonts w:ascii="仿宋" w:eastAsia="仿宋" w:cs="仿宋" w:hint="eastAsia"/>
          <w:color w:val="000000"/>
          <w:kern w:val="0"/>
          <w:sz w:val="32"/>
          <w:szCs w:val="32"/>
          <w:shd w:val="clear" w:color="auto" w:fill="FFFFFF"/>
          <w:lang w:val="zh-CN"/>
        </w:rPr>
        <w:t>月预算执行总体进度为</w:t>
      </w:r>
      <w:r>
        <w:rPr>
          <w:rFonts w:ascii="仿宋" w:eastAsia="仿宋" w:cs="仿宋" w:hint="eastAsia"/>
          <w:color w:val="000000"/>
          <w:kern w:val="0"/>
          <w:sz w:val="32"/>
          <w:szCs w:val="32"/>
          <w:shd w:val="clear" w:color="auto" w:fill="FFFFFF"/>
        </w:rPr>
        <w:t>100</w:t>
      </w:r>
      <w:r>
        <w:rPr>
          <w:rFonts w:ascii="仿宋" w:eastAsia="仿宋" w:cs="仿宋" w:hint="eastAsia"/>
          <w:color w:val="000000"/>
          <w:kern w:val="0"/>
          <w:sz w:val="32"/>
          <w:szCs w:val="32"/>
          <w:shd w:val="clear" w:color="auto" w:fill="FFFFFF"/>
          <w:lang w:val="zh-CN"/>
        </w:rPr>
        <w:t>%，其中：预算结余率大于</w:t>
      </w:r>
      <w:r>
        <w:rPr>
          <w:rFonts w:ascii="仿宋" w:eastAsia="仿宋" w:cs="仿宋" w:hint="eastAsia"/>
          <w:color w:val="000000"/>
          <w:kern w:val="0"/>
          <w:sz w:val="32"/>
          <w:szCs w:val="32"/>
          <w:shd w:val="clear" w:color="auto" w:fill="FFFFFF"/>
        </w:rPr>
        <w:t>10%</w:t>
      </w:r>
      <w:r>
        <w:rPr>
          <w:rFonts w:ascii="仿宋" w:eastAsia="仿宋" w:cs="仿宋" w:hint="eastAsia"/>
          <w:color w:val="000000"/>
          <w:kern w:val="0"/>
          <w:sz w:val="32"/>
          <w:szCs w:val="32"/>
          <w:shd w:val="clear" w:color="auto" w:fill="FFFFFF"/>
          <w:lang w:val="zh-CN"/>
        </w:rPr>
        <w:t>的项目共计</w:t>
      </w:r>
      <w:r>
        <w:rPr>
          <w:rFonts w:ascii="仿宋" w:eastAsia="仿宋" w:cs="仿宋" w:hint="eastAsia"/>
          <w:color w:val="000000"/>
          <w:kern w:val="0"/>
          <w:sz w:val="32"/>
          <w:szCs w:val="32"/>
          <w:shd w:val="clear" w:color="auto" w:fill="FFFFFF"/>
        </w:rPr>
        <w:t>0</w:t>
      </w:r>
      <w:r>
        <w:rPr>
          <w:rFonts w:ascii="仿宋" w:eastAsia="仿宋" w:cs="仿宋" w:hint="eastAsia"/>
          <w:color w:val="000000"/>
          <w:kern w:val="0"/>
          <w:sz w:val="32"/>
          <w:szCs w:val="32"/>
          <w:shd w:val="clear" w:color="auto" w:fill="FFFFFF"/>
          <w:lang w:val="zh-CN"/>
        </w:rPr>
        <w:t>个。</w:t>
      </w:r>
    </w:p>
    <w:p>
      <w:pPr>
        <w:adjustRightInd w:val="0"/>
        <w:snapToGrid w:val="0"/>
        <w:spacing w:line="540" w:lineRule="exact"/>
        <w:ind w:firstLineChars="200" w:firstLine="640"/>
        <w:contextualSpacing/>
        <w:jc w:val="left"/>
        <w:rPr>
          <w:color w:val="000000"/>
          <w:kern w:val="0"/>
          <w:sz w:val="32"/>
          <w:szCs w:val="32"/>
          <w:shd w:val="clear" w:color="auto" w:fill="FFFFFF"/>
          <w:lang w:val="zh-CN"/>
        </w:rPr>
      </w:pPr>
      <w:r>
        <w:rPr>
          <w:rFonts w:ascii="仿宋" w:eastAsia="仿宋" w:cs="仿宋" w:hint="eastAsia"/>
          <w:color w:val="000000"/>
          <w:kern w:val="0"/>
          <w:sz w:val="32"/>
          <w:szCs w:val="32"/>
          <w:shd w:val="clear" w:color="auto" w:fill="FFFFFF"/>
        </w:rPr>
        <w:t>阶段（一次性）项目绩效分析。</w:t>
      </w:r>
      <w:r>
        <w:rPr>
          <w:rFonts w:ascii="仿宋" w:eastAsia="仿宋" w:cs="仿宋" w:hint="eastAsia"/>
          <w:color w:val="000000"/>
          <w:kern w:val="0"/>
          <w:sz w:val="32"/>
          <w:szCs w:val="32"/>
          <w:shd w:val="clear" w:color="auto" w:fill="FFFFFF"/>
          <w:lang w:val="zh-CN"/>
        </w:rPr>
        <w:t>该类项目总数</w:t>
      </w:r>
      <w:r>
        <w:rPr>
          <w:rFonts w:ascii="仿宋" w:eastAsia="仿宋" w:cs="仿宋" w:hint="eastAsia"/>
          <w:color w:val="000000"/>
          <w:kern w:val="0"/>
          <w:sz w:val="32"/>
          <w:szCs w:val="32"/>
          <w:shd w:val="clear" w:color="auto" w:fill="FFFFFF"/>
        </w:rPr>
        <w:t>4</w:t>
      </w:r>
      <w:r>
        <w:rPr>
          <w:rFonts w:ascii="仿宋" w:eastAsia="仿宋" w:cs="仿宋" w:hint="eastAsia"/>
          <w:color w:val="000000"/>
          <w:kern w:val="0"/>
          <w:sz w:val="32"/>
          <w:szCs w:val="32"/>
          <w:shd w:val="clear" w:color="auto" w:fill="FFFFFF"/>
          <w:lang w:val="zh-CN"/>
        </w:rPr>
        <w:t>个，涉及预算总金额</w:t>
      </w:r>
      <w:r>
        <w:rPr>
          <w:rFonts w:ascii="仿宋" w:eastAsia="仿宋" w:cs="仿宋" w:hint="eastAsia"/>
          <w:kern w:val="0"/>
          <w:sz w:val="32"/>
          <w:szCs w:val="32"/>
          <w:shd w:val="clear" w:color="auto" w:fill="FFFFFF"/>
        </w:rPr>
        <w:t>43.76</w:t>
      </w:r>
      <w:r>
        <w:rPr>
          <w:rFonts w:ascii="仿宋" w:eastAsia="仿宋" w:cs="仿宋" w:hint="eastAsia"/>
          <w:color w:val="000000"/>
          <w:kern w:val="0"/>
          <w:sz w:val="32"/>
          <w:szCs w:val="32"/>
          <w:shd w:val="clear" w:color="auto" w:fill="FFFFFF"/>
          <w:lang w:val="zh-CN"/>
        </w:rPr>
        <w:t>万元，1—1</w:t>
      </w:r>
      <w:r>
        <w:rPr>
          <w:rFonts w:ascii="仿宋" w:eastAsia="仿宋" w:cs="仿宋" w:hint="eastAsia"/>
          <w:color w:val="000000"/>
          <w:kern w:val="0"/>
          <w:sz w:val="32"/>
          <w:szCs w:val="32"/>
          <w:shd w:val="clear" w:color="auto" w:fill="FFFFFF"/>
        </w:rPr>
        <w:t>2</w:t>
      </w:r>
      <w:r>
        <w:rPr>
          <w:rFonts w:ascii="仿宋" w:eastAsia="仿宋" w:cs="仿宋" w:hint="eastAsia"/>
          <w:color w:val="000000"/>
          <w:kern w:val="0"/>
          <w:sz w:val="32"/>
          <w:szCs w:val="32"/>
          <w:shd w:val="clear" w:color="auto" w:fill="FFFFFF"/>
          <w:lang w:val="zh-CN"/>
        </w:rPr>
        <w:t>月预算执行总体进度为</w:t>
      </w:r>
      <w:r>
        <w:rPr>
          <w:rFonts w:ascii="仿宋" w:eastAsia="仿宋" w:cs="仿宋" w:hint="eastAsia"/>
          <w:color w:val="000000"/>
          <w:kern w:val="0"/>
          <w:sz w:val="32"/>
          <w:szCs w:val="32"/>
          <w:shd w:val="clear" w:color="auto" w:fill="FFFFFF"/>
        </w:rPr>
        <w:t>100</w:t>
      </w:r>
      <w:r>
        <w:rPr>
          <w:rFonts w:ascii="仿宋" w:eastAsia="仿宋" w:cs="仿宋" w:hint="eastAsia"/>
          <w:color w:val="000000"/>
          <w:kern w:val="0"/>
          <w:sz w:val="32"/>
          <w:szCs w:val="32"/>
          <w:shd w:val="clear" w:color="auto" w:fill="FFFFFF"/>
          <w:lang w:val="zh-CN"/>
        </w:rPr>
        <w:t>%，其中：预算结余率大于</w:t>
      </w:r>
      <w:r>
        <w:rPr>
          <w:rFonts w:ascii="仿宋" w:eastAsia="仿宋" w:cs="仿宋" w:hint="eastAsia"/>
          <w:color w:val="000000"/>
          <w:kern w:val="0"/>
          <w:sz w:val="32"/>
          <w:szCs w:val="32"/>
          <w:shd w:val="clear" w:color="auto" w:fill="FFFFFF"/>
        </w:rPr>
        <w:t>10%</w:t>
      </w:r>
      <w:r>
        <w:rPr>
          <w:rFonts w:ascii="仿宋" w:eastAsia="仿宋" w:cs="仿宋" w:hint="eastAsia"/>
          <w:color w:val="000000"/>
          <w:kern w:val="0"/>
          <w:sz w:val="32"/>
          <w:szCs w:val="32"/>
          <w:shd w:val="clear" w:color="auto" w:fill="FFFFFF"/>
          <w:lang w:val="zh-CN"/>
        </w:rPr>
        <w:t>的项目共计</w:t>
      </w:r>
      <w:r>
        <w:rPr>
          <w:rFonts w:ascii="仿宋" w:eastAsia="仿宋" w:cs="仿宋" w:hint="eastAsia"/>
          <w:color w:val="000000"/>
          <w:kern w:val="0"/>
          <w:sz w:val="32"/>
          <w:szCs w:val="32"/>
          <w:shd w:val="clear" w:color="auto" w:fill="FFFFFF"/>
        </w:rPr>
        <w:t>0</w:t>
      </w:r>
      <w:r>
        <w:rPr>
          <w:rFonts w:ascii="仿宋" w:eastAsia="仿宋" w:cs="仿宋" w:hint="eastAsia"/>
          <w:color w:val="000000"/>
          <w:kern w:val="0"/>
          <w:sz w:val="32"/>
          <w:szCs w:val="32"/>
          <w:shd w:val="clear" w:color="auto" w:fill="FFFFFF"/>
          <w:lang w:val="zh-CN"/>
        </w:rPr>
        <w:t>个。</w:t>
      </w:r>
    </w:p>
    <w:p>
      <w:pPr>
        <w:adjustRightInd w:val="0"/>
        <w:snapToGrid w:val="0"/>
        <w:spacing w:line="540" w:lineRule="exact"/>
        <w:ind w:firstLineChars="200" w:firstLine="640"/>
        <w:contextualSpacing/>
        <w:jc w:val="left"/>
        <w:outlineLvl w:val="2"/>
        <w:rPr>
          <w:rFonts w:ascii="楷体_GB2312" w:eastAsia="楷体_GB2312" w:cs="楷体_GB2312"/>
          <w:color w:val="000000"/>
          <w:kern w:val="0"/>
          <w:sz w:val="32"/>
          <w:szCs w:val="32"/>
          <w:shd w:val="clear" w:color="auto" w:fill="FFFFFF"/>
          <w:lang w:val="zh-CN"/>
        </w:rPr>
      </w:pPr>
      <w:r>
        <w:rPr>
          <w:rFonts w:ascii="楷体_GB2312" w:eastAsia="楷体_GB2312" w:cs="楷体_GB2312" w:hint="eastAsia"/>
          <w:color w:val="000000"/>
          <w:kern w:val="0"/>
          <w:sz w:val="32"/>
          <w:szCs w:val="32"/>
          <w:shd w:val="clear" w:color="auto" w:fill="FFFFFF"/>
        </w:rPr>
        <w:t>1.</w:t>
      </w:r>
      <w:r>
        <w:rPr>
          <w:rFonts w:ascii="楷体_GB2312" w:eastAsia="楷体_GB2312" w:cs="楷体_GB2312" w:hint="eastAsia"/>
          <w:color w:val="000000"/>
          <w:kern w:val="0"/>
          <w:sz w:val="32"/>
          <w:szCs w:val="32"/>
          <w:shd w:val="clear" w:color="auto" w:fill="FFFFFF"/>
          <w:lang w:val="zh-CN"/>
        </w:rPr>
        <w:t>项目决策。（</w:t>
      </w:r>
      <w:r>
        <w:rPr>
          <w:rFonts w:ascii="楷体_GB2312" w:eastAsia="楷体_GB2312" w:cs="楷体_GB2312" w:hint="eastAsia"/>
          <w:color w:val="000000"/>
          <w:kern w:val="0"/>
          <w:sz w:val="32"/>
          <w:szCs w:val="32"/>
          <w:shd w:val="clear" w:color="auto" w:fill="FFFFFF"/>
        </w:rPr>
        <w:t>12分</w:t>
      </w:r>
      <w:r>
        <w:rPr>
          <w:rFonts w:ascii="楷体_GB2312" w:eastAsia="楷体_GB2312" w:cs="楷体_GB2312" w:hint="eastAsia"/>
          <w:color w:val="000000"/>
          <w:kern w:val="0"/>
          <w:sz w:val="32"/>
          <w:szCs w:val="32"/>
          <w:shd w:val="clear" w:color="auto" w:fill="FFFFFF"/>
          <w:lang w:val="zh-CN"/>
        </w:rPr>
        <w:t>）</w:t>
      </w:r>
    </w:p>
    <w:p>
      <w:pPr>
        <w:adjustRightInd w:val="0"/>
        <w:snapToGrid w:val="0"/>
        <w:spacing w:line="540" w:lineRule="exact"/>
        <w:ind w:firstLineChars="200" w:firstLine="640"/>
        <w:contextualSpacing/>
        <w:jc w:val="left"/>
        <w:rPr>
          <w:rFonts w:ascii="仿宋" w:eastAsia="仿宋" w:cs="仿宋"/>
          <w:color w:val="000000"/>
          <w:kern w:val="0"/>
          <w:sz w:val="32"/>
          <w:szCs w:val="32"/>
          <w:shd w:val="clear" w:color="auto" w:fill="FFFFFF"/>
          <w:lang w:val="zh-CN"/>
        </w:rPr>
      </w:pPr>
      <w:r>
        <w:rPr>
          <w:rFonts w:ascii="仿宋" w:eastAsia="仿宋" w:cs="仿宋" w:hint="eastAsia"/>
          <w:color w:val="000000"/>
          <w:kern w:val="0"/>
          <w:sz w:val="32"/>
          <w:szCs w:val="32"/>
          <w:shd w:val="clear" w:color="auto" w:fill="FFFFFF"/>
          <w:lang w:val="zh-CN"/>
        </w:rPr>
        <w:t>围绕决策程序、目标设置、项目入库进行绩效分析。</w:t>
      </w:r>
    </w:p>
    <w:p>
      <w:pPr>
        <w:adjustRightInd w:val="0"/>
        <w:snapToGrid w:val="0"/>
        <w:spacing w:line="540" w:lineRule="exact"/>
        <w:ind w:firstLineChars="200" w:firstLine="640"/>
        <w:contextualSpacing/>
        <w:jc w:val="left"/>
        <w:rPr>
          <w:rFonts w:ascii="仿宋" w:eastAsia="仿宋" w:cs="仿宋"/>
          <w:color w:val="000000"/>
          <w:kern w:val="0"/>
          <w:sz w:val="32"/>
          <w:szCs w:val="32"/>
          <w:shd w:val="clear" w:color="auto" w:fill="FFFFFF"/>
        </w:rPr>
      </w:pPr>
      <w:r>
        <w:rPr>
          <w:rFonts w:ascii="仿宋" w:eastAsia="仿宋" w:cs="仿宋" w:hint="eastAsia"/>
          <w:color w:val="000000"/>
          <w:kern w:val="0"/>
          <w:sz w:val="32"/>
          <w:szCs w:val="32"/>
          <w:shd w:val="clear" w:color="auto" w:fill="FFFFFF"/>
        </w:rPr>
        <w:t>2025年纳入年度预算的项目5个，本级新增预算项目4个。本级预算项目资金是根据上级统计专业要求和单位实际进行预算编制，所有项目都经过领导班子集体研究决定，请示县人民政府同意后纳入财政预算。根据各项目年度要完成的工作任务设置绩效目标和项目事前绩效评估，单位进行项目登记、项目入库申请，财政对口股室审核、财政预算股审核确定项目入库。</w:t>
      </w:r>
    </w:p>
    <w:p>
      <w:pPr>
        <w:adjustRightInd w:val="0"/>
        <w:snapToGrid w:val="0"/>
        <w:spacing w:line="540" w:lineRule="exact"/>
        <w:ind w:firstLineChars="200" w:firstLine="640"/>
        <w:contextualSpacing/>
        <w:jc w:val="left"/>
        <w:rPr>
          <w:rFonts w:ascii="仿宋" w:eastAsia="仿宋" w:cs="仿宋"/>
          <w:color w:val="000000"/>
          <w:kern w:val="0"/>
          <w:sz w:val="32"/>
          <w:szCs w:val="32"/>
          <w:shd w:val="clear" w:color="auto" w:fill="FFFFFF"/>
          <w:lang w:val="zh-CN"/>
        </w:rPr>
      </w:pPr>
      <w:r>
        <w:rPr>
          <w:rFonts w:ascii="仿宋" w:eastAsia="仿宋" w:cs="仿宋" w:hint="eastAsia"/>
          <w:color w:val="000000"/>
          <w:kern w:val="0"/>
          <w:sz w:val="32"/>
          <w:szCs w:val="32"/>
          <w:shd w:val="clear" w:color="auto" w:fill="FFFFFF"/>
          <w:lang w:val="zh-CN"/>
        </w:rPr>
        <w:t>综上，根据评分标准，该项指标，得</w:t>
      </w:r>
      <w:r>
        <w:rPr>
          <w:rFonts w:ascii="仿宋" w:eastAsia="仿宋" w:cs="仿宋" w:hint="eastAsia"/>
          <w:color w:val="000000"/>
          <w:kern w:val="0"/>
          <w:sz w:val="32"/>
          <w:szCs w:val="32"/>
          <w:shd w:val="clear" w:color="auto" w:fill="FFFFFF"/>
        </w:rPr>
        <w:t>12</w:t>
      </w:r>
      <w:r>
        <w:rPr>
          <w:rFonts w:ascii="仿宋" w:eastAsia="仿宋" w:cs="仿宋" w:hint="eastAsia"/>
          <w:color w:val="000000"/>
          <w:kern w:val="0"/>
          <w:sz w:val="32"/>
          <w:szCs w:val="32"/>
          <w:shd w:val="clear" w:color="auto" w:fill="FFFFFF"/>
          <w:lang w:val="zh-CN"/>
        </w:rPr>
        <w:t>分。</w:t>
      </w:r>
    </w:p>
    <w:p>
      <w:pPr>
        <w:adjustRightInd w:val="0"/>
        <w:snapToGrid w:val="0"/>
        <w:spacing w:line="540" w:lineRule="exact"/>
        <w:ind w:firstLineChars="200" w:firstLine="640"/>
        <w:contextualSpacing/>
        <w:jc w:val="left"/>
        <w:outlineLvl w:val="2"/>
        <w:rPr>
          <w:rFonts w:ascii="仿宋" w:eastAsia="仿宋" w:cs="仿宋"/>
          <w:color w:val="000000"/>
          <w:kern w:val="0"/>
          <w:sz w:val="32"/>
          <w:szCs w:val="32"/>
          <w:shd w:val="clear" w:color="auto" w:fill="FFFFFF"/>
          <w:lang w:val="zh-CN"/>
        </w:rPr>
      </w:pPr>
      <w:r>
        <w:rPr>
          <w:rFonts w:ascii="楷体_GB2312" w:eastAsia="楷体_GB2312" w:cs="楷体_GB2312" w:hint="eastAsia"/>
          <w:color w:val="000000"/>
          <w:kern w:val="0"/>
          <w:sz w:val="32"/>
          <w:szCs w:val="32"/>
          <w:shd w:val="clear" w:color="auto" w:fill="FFFFFF"/>
        </w:rPr>
        <w:t>2.项目执行</w:t>
      </w:r>
      <w:r>
        <w:rPr>
          <w:rFonts w:ascii="楷体_GB2312" w:eastAsia="楷体_GB2312" w:cs="楷体_GB2312" w:hint="eastAsia"/>
          <w:color w:val="000000"/>
          <w:kern w:val="0"/>
          <w:sz w:val="32"/>
          <w:szCs w:val="32"/>
          <w:shd w:val="clear" w:color="auto" w:fill="FFFFFF"/>
          <w:lang w:val="zh-CN"/>
        </w:rPr>
        <w:t>。（</w:t>
      </w:r>
      <w:r>
        <w:rPr>
          <w:rFonts w:ascii="楷体_GB2312" w:eastAsia="楷体_GB2312" w:cs="楷体_GB2312" w:hint="eastAsia"/>
          <w:color w:val="000000"/>
          <w:kern w:val="0"/>
          <w:sz w:val="32"/>
          <w:szCs w:val="32"/>
          <w:shd w:val="clear" w:color="auto" w:fill="FFFFFF"/>
        </w:rPr>
        <w:t>12分</w:t>
      </w:r>
      <w:r>
        <w:rPr>
          <w:rFonts w:ascii="楷体_GB2312" w:eastAsia="楷体_GB2312" w:cs="楷体_GB2312" w:hint="eastAsia"/>
          <w:color w:val="000000"/>
          <w:kern w:val="0"/>
          <w:sz w:val="32"/>
          <w:szCs w:val="32"/>
          <w:shd w:val="clear" w:color="auto" w:fill="FFFFFF"/>
          <w:lang w:val="zh-CN"/>
        </w:rPr>
        <w:t>）</w:t>
      </w:r>
      <w:r>
        <w:rPr>
          <w:rFonts w:ascii="仿宋" w:eastAsia="仿宋" w:cs="仿宋" w:hint="eastAsia"/>
          <w:color w:val="000000"/>
          <w:kern w:val="0"/>
          <w:sz w:val="32"/>
          <w:szCs w:val="32"/>
          <w:shd w:val="clear" w:color="auto" w:fill="FFFFFF"/>
          <w:lang w:val="zh-CN"/>
        </w:rPr>
        <w:t>围绕资金执行同向、项目调整、执行结果进行绩效分析。</w:t>
      </w:r>
    </w:p>
    <w:p>
      <w:pPr>
        <w:adjustRightInd w:val="0"/>
        <w:snapToGrid w:val="0"/>
        <w:spacing w:line="540" w:lineRule="exact"/>
        <w:ind w:firstLineChars="200" w:firstLine="640"/>
        <w:contextualSpacing/>
        <w:jc w:val="left"/>
        <w:outlineLvl w:val="2"/>
        <w:rPr>
          <w:rFonts w:ascii="仿宋" w:eastAsia="仿宋" w:cs="仿宋"/>
          <w:color w:val="000000"/>
          <w:kern w:val="0"/>
          <w:sz w:val="32"/>
          <w:szCs w:val="32"/>
          <w:shd w:val="clear" w:color="auto" w:fill="FFFFFF"/>
        </w:rPr>
      </w:pPr>
      <w:r>
        <w:rPr>
          <w:rFonts w:ascii="仿宋" w:eastAsia="仿宋" w:cs="仿宋" w:hint="eastAsia"/>
          <w:color w:val="000000"/>
          <w:kern w:val="0"/>
          <w:sz w:val="32"/>
          <w:szCs w:val="32"/>
          <w:shd w:val="clear" w:color="auto" w:fill="FFFFFF"/>
          <w:lang w:val="zh-CN"/>
        </w:rPr>
        <w:t>常年预算项目</w:t>
      </w:r>
      <w:r>
        <w:rPr>
          <w:rFonts w:ascii="仿宋" w:eastAsia="仿宋" w:cs="仿宋" w:hint="eastAsia"/>
          <w:color w:val="000000"/>
          <w:kern w:val="0"/>
          <w:sz w:val="32"/>
          <w:szCs w:val="32"/>
          <w:shd w:val="clear" w:color="auto" w:fill="FFFFFF"/>
        </w:rPr>
        <w:t>5个。一是《重点工作保障经费》预算项目40万元，该项目资金主要用于保障统计报表联网直报系统正常运行，开展统计业务工作所需的差旅费、办公费、印刷费、交通费等，截至年底，该项目经费全部使用完毕。二是《手册印刷》项目预算1.50万元，该项目经费主要用于每年《汶川统计年鉴》印刷出版，截至年末，该项目经费全部使用完毕；三是《文化产业统计工作》项目预算1万元，该项目经费主要用于开展文化产业的相关统计业务工作产生的差旅费、办公费等，截至年底，该项目经费全部使用完毕；四是《名录库建设》项目预算1万元，该项目经费主要用于名录库新增单位信息收集核实录入、已有单位信息变更核实录入等工作，截至年底，该项目经费全部使用完毕；五是《乡镇工作经费》项目预算4万元，该项目经费主要用于各镇开展统计工作产生的差旅费、办公费等，截至年底，该项目经费全部使用完毕。</w:t>
      </w:r>
    </w:p>
    <w:p>
      <w:pPr>
        <w:adjustRightInd w:val="0"/>
        <w:snapToGrid w:val="0"/>
        <w:spacing w:line="540" w:lineRule="exact"/>
        <w:ind w:firstLineChars="200" w:firstLine="640"/>
        <w:contextualSpacing/>
        <w:jc w:val="left"/>
        <w:outlineLvl w:val="2"/>
        <w:rPr>
          <w:rFonts w:ascii="仿宋" w:eastAsia="仿宋" w:cs="仿宋"/>
          <w:color w:val="000000"/>
          <w:kern w:val="0"/>
          <w:sz w:val="32"/>
          <w:szCs w:val="32"/>
          <w:shd w:val="clear" w:color="auto" w:fill="FFFFFF"/>
        </w:rPr>
      </w:pPr>
      <w:r>
        <w:rPr>
          <w:rFonts w:ascii="仿宋" w:eastAsia="仿宋" w:cs="仿宋" w:hint="eastAsia"/>
          <w:color w:val="000000"/>
          <w:kern w:val="0"/>
          <w:sz w:val="32"/>
          <w:szCs w:val="32"/>
          <w:shd w:val="clear" w:color="auto" w:fill="FFFFFF"/>
        </w:rPr>
        <w:t>阶段（一次性）项目4个。一是</w:t>
      </w:r>
      <w:bookmarkStart w:id="54" w:name="OLE_LINK1"/>
      <w:r>
        <w:rPr>
          <w:rFonts w:ascii="仿宋" w:eastAsia="仿宋" w:cs="仿宋" w:hint="eastAsia"/>
          <w:color w:val="000000"/>
          <w:kern w:val="0"/>
          <w:sz w:val="32"/>
          <w:szCs w:val="32"/>
          <w:shd w:val="clear" w:color="auto" w:fill="FFFFFF"/>
        </w:rPr>
        <w:t>《汶川县第五次全国</w:t>
      </w:r>
      <w:r>
        <w:rPr>
          <w:rFonts w:ascii="仿宋" w:eastAsia="仿宋" w:cs="仿宋"/>
          <w:color w:val="000000"/>
          <w:kern w:val="0"/>
          <w:sz w:val="32"/>
          <w:szCs w:val="32"/>
          <w:shd w:val="clear" w:color="auto" w:fill="FFFFFF"/>
        </w:rPr>
        <w:t>经</w:t>
      </w:r>
      <w:r>
        <w:rPr>
          <w:rFonts w:ascii="仿宋" w:eastAsia="仿宋" w:cs="仿宋" w:hint="eastAsia"/>
          <w:color w:val="000000"/>
          <w:kern w:val="0"/>
          <w:sz w:val="32"/>
          <w:szCs w:val="32"/>
          <w:shd w:val="clear" w:color="auto" w:fill="FFFFFF"/>
        </w:rPr>
        <w:t>济普查工作经费(2025)》项目经费4.20万元，</w:t>
      </w:r>
      <w:bookmarkEnd w:id="54"/>
      <w:r>
        <w:rPr>
          <w:rFonts w:ascii="仿宋" w:eastAsia="仿宋" w:cs="仿宋" w:hint="eastAsia"/>
          <w:color w:val="000000"/>
          <w:kern w:val="0"/>
          <w:sz w:val="32"/>
          <w:szCs w:val="32"/>
          <w:shd w:val="clear" w:color="auto" w:fill="FFFFFF"/>
        </w:rPr>
        <w:t>该项目经费主要用于开展“五经普”资料开发相关的培训费、会议费、印出费、差旅费和交通费等；二是《“四上”企业（个体）及抽样调查企业（个体）统计人员奖补经费》项目经费23.56万元，该项目经费主要用于对“四上”企业（个体）及抽样调查企业（个体）统计人员奖补，于上半年全部发放给相关统计人员；三是《汶川县交流交往项目-党政干部交流学习（2025年浙江对口支援）》项目经费6万元，</w:t>
      </w:r>
      <w:bookmarkStart w:id="55" w:name="OLE_LINK2"/>
      <w:r>
        <w:rPr>
          <w:rFonts w:ascii="仿宋" w:eastAsia="仿宋" w:cs="仿宋" w:hint="eastAsia"/>
          <w:color w:val="000000"/>
          <w:kern w:val="0"/>
          <w:sz w:val="32"/>
          <w:szCs w:val="32"/>
          <w:shd w:val="clear" w:color="auto" w:fill="FFFFFF"/>
        </w:rPr>
        <w:t>该项目经费主要用于开展统计业务人员到浙江等沿海地区交流学习产生的费用，截至年末，该项目经费已全部使用完毕</w:t>
      </w:r>
      <w:bookmarkEnd w:id="55"/>
      <w:r>
        <w:rPr>
          <w:rFonts w:ascii="仿宋" w:eastAsia="仿宋" w:cs="仿宋" w:hint="eastAsia"/>
          <w:color w:val="000000"/>
          <w:kern w:val="0"/>
          <w:sz w:val="32"/>
          <w:szCs w:val="32"/>
          <w:shd w:val="clear" w:color="auto" w:fill="FFFFFF"/>
        </w:rPr>
        <w:t>。四是目标考核一等奖激励工作经费10万元，该项目经费主要用于开展统计业务日常工作，完成年初下达的目标任务，截至年末，该项目经费已全部使用完毕。</w:t>
      </w:r>
    </w:p>
    <w:p>
      <w:pPr>
        <w:adjustRightInd w:val="0"/>
        <w:snapToGrid w:val="0"/>
        <w:spacing w:line="540" w:lineRule="exact"/>
        <w:ind w:firstLineChars="200" w:firstLine="640"/>
        <w:contextualSpacing/>
        <w:jc w:val="left"/>
        <w:outlineLvl w:val="2"/>
        <w:rPr>
          <w:rFonts w:ascii="仿宋" w:eastAsia="仿宋" w:cs="仿宋"/>
          <w:color w:val="000000"/>
          <w:kern w:val="0"/>
          <w:sz w:val="32"/>
          <w:szCs w:val="32"/>
          <w:shd w:val="clear" w:color="auto" w:fill="FFFFFF"/>
          <w:lang w:val="zh-CN"/>
        </w:rPr>
      </w:pPr>
      <w:r>
        <w:rPr>
          <w:rFonts w:ascii="仿宋" w:eastAsia="仿宋" w:cs="仿宋" w:hint="eastAsia"/>
          <w:color w:val="000000"/>
          <w:kern w:val="0"/>
          <w:sz w:val="32"/>
          <w:szCs w:val="32"/>
          <w:shd w:val="clear" w:color="auto" w:fill="FFFFFF"/>
          <w:lang w:val="zh-CN"/>
        </w:rPr>
        <w:t>综上，根据评分标准，该项指标，得</w:t>
      </w:r>
      <w:r>
        <w:rPr>
          <w:rFonts w:ascii="仿宋" w:eastAsia="仿宋" w:cs="仿宋" w:hint="eastAsia"/>
          <w:color w:val="000000"/>
          <w:kern w:val="0"/>
          <w:sz w:val="32"/>
          <w:szCs w:val="32"/>
          <w:shd w:val="clear" w:color="auto" w:fill="FFFFFF"/>
        </w:rPr>
        <w:t>12</w:t>
      </w:r>
      <w:r>
        <w:rPr>
          <w:rFonts w:ascii="仿宋" w:eastAsia="仿宋" w:cs="仿宋" w:hint="eastAsia"/>
          <w:color w:val="000000"/>
          <w:kern w:val="0"/>
          <w:sz w:val="32"/>
          <w:szCs w:val="32"/>
          <w:shd w:val="clear" w:color="auto" w:fill="FFFFFF"/>
          <w:lang w:val="zh-CN"/>
        </w:rPr>
        <w:t>分。</w:t>
      </w:r>
    </w:p>
    <w:p>
      <w:pPr>
        <w:adjustRightInd w:val="0"/>
        <w:snapToGrid w:val="0"/>
        <w:spacing w:line="540" w:lineRule="exact"/>
        <w:ind w:firstLineChars="200" w:firstLine="640"/>
        <w:contextualSpacing/>
        <w:jc w:val="left"/>
        <w:outlineLvl w:val="2"/>
        <w:rPr>
          <w:rFonts w:ascii="仿宋" w:eastAsia="仿宋" w:cs="仿宋"/>
          <w:color w:val="000000"/>
          <w:kern w:val="0"/>
          <w:sz w:val="32"/>
          <w:szCs w:val="32"/>
          <w:shd w:val="clear" w:color="auto" w:fill="FFFFFF"/>
        </w:rPr>
      </w:pPr>
      <w:r>
        <w:rPr>
          <w:rFonts w:ascii="楷体_GB2312" w:eastAsia="楷体_GB2312" w:cs="楷体_GB2312" w:hint="eastAsia"/>
          <w:color w:val="000000"/>
          <w:kern w:val="0"/>
          <w:sz w:val="32"/>
          <w:szCs w:val="32"/>
          <w:shd w:val="clear" w:color="auto" w:fill="FFFFFF"/>
        </w:rPr>
        <w:t>3.</w:t>
      </w:r>
      <w:r>
        <w:rPr>
          <w:rFonts w:ascii="楷体_GB2312" w:eastAsia="楷体_GB2312" w:cs="楷体_GB2312" w:hint="eastAsia"/>
          <w:color w:val="000000"/>
          <w:kern w:val="0"/>
          <w:sz w:val="32"/>
          <w:szCs w:val="32"/>
          <w:shd w:val="clear" w:color="auto" w:fill="FFFFFF"/>
          <w:lang w:val="zh-CN"/>
        </w:rPr>
        <w:t>目标实现。（</w:t>
      </w:r>
      <w:r>
        <w:rPr>
          <w:rFonts w:ascii="楷体_GB2312" w:eastAsia="楷体_GB2312" w:cs="楷体_GB2312" w:hint="eastAsia"/>
          <w:color w:val="000000"/>
          <w:kern w:val="0"/>
          <w:sz w:val="32"/>
          <w:szCs w:val="32"/>
          <w:shd w:val="clear" w:color="auto" w:fill="FFFFFF"/>
        </w:rPr>
        <w:t>11分</w:t>
      </w:r>
      <w:r>
        <w:rPr>
          <w:rFonts w:ascii="楷体_GB2312" w:eastAsia="楷体_GB2312" w:cs="楷体_GB2312" w:hint="eastAsia"/>
          <w:color w:val="000000"/>
          <w:kern w:val="0"/>
          <w:sz w:val="32"/>
          <w:szCs w:val="32"/>
          <w:shd w:val="clear" w:color="auto" w:fill="FFFFFF"/>
          <w:lang w:val="zh-CN"/>
        </w:rPr>
        <w:t>）</w:t>
      </w:r>
      <w:r>
        <w:rPr>
          <w:rFonts w:ascii="仿宋" w:eastAsia="仿宋" w:cs="仿宋" w:hint="eastAsia"/>
          <w:color w:val="000000"/>
          <w:kern w:val="0"/>
          <w:sz w:val="32"/>
          <w:szCs w:val="32"/>
          <w:shd w:val="clear" w:color="auto" w:fill="FFFFFF"/>
          <w:lang w:val="zh-CN"/>
        </w:rPr>
        <w:t>围绕目标完成、目标偏离、实现效果进行绩效分析。</w:t>
      </w:r>
    </w:p>
    <w:p>
      <w:pPr>
        <w:spacing w:line="540" w:lineRule="exact"/>
        <w:ind w:firstLineChars="200" w:firstLine="640"/>
        <w:rPr>
          <w:color w:val="000000"/>
          <w:kern w:val="0"/>
          <w:szCs w:val="32"/>
          <w:shd w:val="clear" w:color="auto" w:fill="FFFFFF"/>
          <w:lang w:val="zh-CN"/>
        </w:rPr>
      </w:pPr>
      <w:r>
        <w:rPr>
          <w:rFonts w:hint="eastAsia"/>
          <w:sz w:val="32"/>
          <w:szCs w:val="32"/>
        </w:rPr>
        <w:t>州</w:t>
      </w:r>
      <w:r>
        <w:rPr>
          <w:rFonts w:eastAsia="仿宋_GB2312"/>
          <w:sz w:val="32"/>
          <w:szCs w:val="32"/>
        </w:rPr>
        <w:t>级部门</w:t>
      </w:r>
      <w:r>
        <w:rPr>
          <w:rFonts w:eastAsia="仿宋_GB2312" w:hint="eastAsia"/>
          <w:sz w:val="32"/>
          <w:szCs w:val="32"/>
        </w:rPr>
        <w:t>202</w:t>
      </w:r>
      <w:r>
        <w:rPr>
          <w:rFonts w:hint="eastAsia"/>
          <w:sz w:val="32"/>
          <w:szCs w:val="32"/>
        </w:rPr>
        <w:t>5</w:t>
      </w:r>
      <w:r>
        <w:rPr>
          <w:rFonts w:eastAsia="仿宋_GB2312" w:hint="eastAsia"/>
          <w:sz w:val="32"/>
          <w:szCs w:val="32"/>
        </w:rPr>
        <w:t>年度</w:t>
      </w:r>
      <w:r>
        <w:rPr>
          <w:rFonts w:eastAsia="仿宋_GB2312"/>
          <w:sz w:val="32"/>
          <w:szCs w:val="32"/>
        </w:rPr>
        <w:t>若涉及国有资本经营预算、社会保险基金预算的，应在部门预算绩效自评报告中对完成情况进行梳理阐述。国有资本经营预算绩效自评</w:t>
      </w:r>
      <w:r>
        <w:rPr>
          <w:rFonts w:hint="eastAsia"/>
          <w:sz w:val="32"/>
          <w:szCs w:val="32"/>
        </w:rPr>
        <w:t>重点</w:t>
      </w:r>
      <w:r>
        <w:rPr>
          <w:rFonts w:eastAsia="仿宋_GB2312"/>
          <w:sz w:val="32"/>
          <w:szCs w:val="32"/>
        </w:rPr>
        <w:t>关注企业的运营质量、行业水平等情况；社会保险基金预算绩效自评重点关注基金可持续性、区域安全性等情况。</w:t>
      </w:r>
    </w:p>
    <w:p>
      <w:pPr>
        <w:widowControl/>
        <w:autoSpaceDE w:val="0"/>
        <w:adjustRightInd w:val="0"/>
        <w:snapToGrid w:val="0"/>
        <w:spacing w:line="540" w:lineRule="exact"/>
        <w:ind w:firstLineChars="200" w:firstLine="640"/>
        <w:jc w:val="left"/>
        <w:rPr>
          <w:rFonts w:ascii="仿宋" w:eastAsia="仿宋" w:cs="仿宋"/>
          <w:kern w:val="0"/>
          <w:sz w:val="32"/>
          <w:szCs w:val="32"/>
        </w:rPr>
      </w:pPr>
      <w:r>
        <w:rPr>
          <w:rFonts w:ascii="仿宋" w:eastAsia="仿宋" w:cs="仿宋" w:hint="eastAsia"/>
          <w:kern w:val="0"/>
          <w:sz w:val="32"/>
          <w:szCs w:val="32"/>
        </w:rPr>
        <w:t>（1）全面完成各类统计报表任务。2025年我局全面完成了2024年年报和2025年各类定期统计报表任务。各专业考核评比在全州统计系统名列前茅。</w:t>
        <w:br/>
        <w:t xml:space="preserve">    （2）完成《汶川统计年鉴（2025）》印刷出版220册，并发放到全县行政事业单位及各镇，受到了各单位的一致好评。</w:t>
      </w:r>
    </w:p>
    <w:p>
      <w:pPr>
        <w:widowControl/>
        <w:autoSpaceDE w:val="0"/>
        <w:adjustRightInd w:val="0"/>
        <w:snapToGrid w:val="0"/>
        <w:spacing w:line="540" w:lineRule="exact"/>
        <w:ind w:firstLineChars="200" w:firstLine="640"/>
        <w:jc w:val="left"/>
        <w:rPr>
          <w:rFonts w:ascii="仿宋" w:eastAsia="仿宋" w:cs="仿宋"/>
          <w:kern w:val="0"/>
          <w:sz w:val="32"/>
          <w:szCs w:val="32"/>
        </w:rPr>
      </w:pPr>
      <w:r>
        <w:rPr>
          <w:rFonts w:ascii="仿宋" w:eastAsia="仿宋" w:cs="仿宋" w:hint="eastAsia"/>
          <w:kern w:val="0"/>
          <w:sz w:val="32"/>
          <w:szCs w:val="32"/>
        </w:rPr>
        <w:t>（3）全面完成汶川县第五次全国经济普查正资料开发工作。该项工作受到省、州局高度评价，各镇“五经普”指导员和普查员对发放的”两员“补助非常满意。</w:t>
      </w:r>
    </w:p>
    <w:p>
      <w:pPr>
        <w:widowControl/>
        <w:autoSpaceDE w:val="0"/>
        <w:adjustRightInd w:val="0"/>
        <w:snapToGrid w:val="0"/>
        <w:spacing w:line="540" w:lineRule="exact"/>
        <w:ind w:firstLineChars="200" w:firstLine="640"/>
        <w:jc w:val="left"/>
        <w:rPr>
          <w:rFonts w:ascii="仿宋" w:eastAsia="仿宋" w:cs="仿宋"/>
          <w:kern w:val="0"/>
          <w:sz w:val="32"/>
          <w:szCs w:val="32"/>
        </w:rPr>
      </w:pPr>
      <w:r>
        <w:rPr>
          <w:rFonts w:ascii="仿宋" w:eastAsia="仿宋" w:cs="仿宋" w:hint="eastAsia"/>
          <w:kern w:val="0"/>
          <w:sz w:val="32"/>
          <w:szCs w:val="32"/>
        </w:rPr>
        <w:t>（4）扎实开展统计执法和统计造假专项整治工作。全年开展统计执法1次，统计造假专项检查10余次，通过执法检查提高了企事业及个体单位统计人员业务素质和统计数据的质量。</w:t>
      </w:r>
    </w:p>
    <w:p>
      <w:pPr>
        <w:widowControl/>
        <w:autoSpaceDE w:val="0"/>
        <w:adjustRightInd w:val="0"/>
        <w:snapToGrid w:val="0"/>
        <w:spacing w:line="540" w:lineRule="exact"/>
        <w:ind w:firstLineChars="200" w:firstLine="640"/>
        <w:jc w:val="left"/>
        <w:rPr>
          <w:rFonts w:ascii="仿宋" w:eastAsia="仿宋" w:cs="仿宋"/>
          <w:kern w:val="0"/>
          <w:sz w:val="32"/>
          <w:szCs w:val="32"/>
        </w:rPr>
      </w:pPr>
      <w:r>
        <w:rPr>
          <w:rFonts w:ascii="仿宋" w:eastAsia="仿宋" w:cs="仿宋" w:hint="eastAsia"/>
          <w:kern w:val="0"/>
          <w:sz w:val="32"/>
          <w:szCs w:val="32"/>
        </w:rPr>
        <w:t>（5）及时完成名录库新增单位信息录入和相关单位（个体）信息资料更新，为下一步“五经普”正式普查奠定了坚实的基础。</w:t>
      </w:r>
    </w:p>
    <w:p>
      <w:pPr>
        <w:adjustRightInd w:val="0"/>
        <w:snapToGrid w:val="0"/>
        <w:spacing w:line="540" w:lineRule="exact"/>
        <w:ind w:firstLineChars="200" w:firstLine="640"/>
        <w:contextualSpacing/>
        <w:jc w:val="left"/>
        <w:outlineLvl w:val="2"/>
        <w:rPr>
          <w:rFonts w:ascii="仿宋" w:eastAsia="仿宋" w:cs="仿宋"/>
          <w:color w:val="000000"/>
          <w:kern w:val="0"/>
          <w:sz w:val="32"/>
          <w:szCs w:val="32"/>
          <w:shd w:val="clear" w:color="auto" w:fill="FFFFFF"/>
          <w:lang w:val="zh-CN"/>
        </w:rPr>
      </w:pPr>
      <w:r>
        <w:rPr>
          <w:rFonts w:ascii="仿宋" w:eastAsia="仿宋" w:cs="仿宋" w:hint="eastAsia"/>
          <w:color w:val="000000"/>
          <w:kern w:val="0"/>
          <w:sz w:val="32"/>
          <w:szCs w:val="32"/>
          <w:shd w:val="clear" w:color="auto" w:fill="FFFFFF"/>
          <w:lang w:val="zh-CN"/>
        </w:rPr>
        <w:t>综上，根据评分标准，该项指标，得</w:t>
      </w:r>
      <w:r>
        <w:rPr>
          <w:rFonts w:ascii="仿宋" w:eastAsia="仿宋" w:cs="仿宋" w:hint="eastAsia"/>
          <w:color w:val="000000"/>
          <w:kern w:val="0"/>
          <w:sz w:val="32"/>
          <w:szCs w:val="32"/>
          <w:shd w:val="clear" w:color="auto" w:fill="FFFFFF"/>
        </w:rPr>
        <w:t>11</w:t>
      </w:r>
      <w:r>
        <w:rPr>
          <w:rFonts w:ascii="仿宋" w:eastAsia="仿宋" w:cs="仿宋" w:hint="eastAsia"/>
          <w:color w:val="000000"/>
          <w:kern w:val="0"/>
          <w:sz w:val="32"/>
          <w:szCs w:val="32"/>
          <w:shd w:val="clear" w:color="auto" w:fill="FFFFFF"/>
          <w:lang w:val="zh-CN"/>
        </w:rPr>
        <w:t>分。</w:t>
      </w:r>
    </w:p>
    <w:p>
      <w:pPr>
        <w:widowControl/>
        <w:adjustRightInd w:val="0"/>
        <w:snapToGrid w:val="0"/>
        <w:spacing w:line="540" w:lineRule="exact"/>
        <w:ind w:firstLineChars="200" w:firstLine="640"/>
        <w:contextualSpacing/>
        <w:jc w:val="left"/>
        <w:rPr>
          <w:sz w:val="32"/>
          <w:szCs w:val="32"/>
        </w:rPr>
      </w:pPr>
      <w:r>
        <w:rPr>
          <w:rFonts w:eastAsia="楷体_GB2312"/>
          <w:b/>
          <w:bCs/>
          <w:color w:val="000000"/>
          <w:kern w:val="0"/>
          <w:sz w:val="32"/>
          <w:szCs w:val="32"/>
          <w:shd w:val="clear" w:color="auto" w:fill="FFFFFF"/>
          <w:lang w:val="zh-CN"/>
        </w:rPr>
        <w:t>（</w:t>
      </w:r>
      <w:r>
        <w:rPr>
          <w:rFonts w:eastAsia="楷体_GB2312" w:hint="eastAsia"/>
          <w:b/>
          <w:bCs/>
          <w:color w:val="000000"/>
          <w:kern w:val="0"/>
          <w:sz w:val="32"/>
          <w:szCs w:val="32"/>
          <w:shd w:val="clear" w:color="auto" w:fill="FFFFFF"/>
          <w:lang w:val="zh-CN"/>
        </w:rPr>
        <w:t>三</w:t>
      </w:r>
      <w:r>
        <w:rPr>
          <w:rFonts w:eastAsia="楷体_GB2312"/>
          <w:b/>
          <w:bCs/>
          <w:color w:val="000000"/>
          <w:kern w:val="0"/>
          <w:sz w:val="32"/>
          <w:szCs w:val="32"/>
          <w:shd w:val="clear" w:color="auto" w:fill="FFFFFF"/>
          <w:lang w:val="zh-CN"/>
        </w:rPr>
        <w:t>）重点领域绩效分析。</w:t>
      </w:r>
      <w:r>
        <w:rPr>
          <w:rFonts w:hint="eastAsia"/>
          <w:sz w:val="32"/>
          <w:szCs w:val="32"/>
        </w:rPr>
        <w:t>州</w:t>
      </w:r>
      <w:r>
        <w:rPr>
          <w:rFonts w:eastAsia="仿宋_GB2312"/>
          <w:sz w:val="32"/>
          <w:szCs w:val="32"/>
        </w:rPr>
        <w:t>级部门</w:t>
      </w:r>
      <w:r>
        <w:rPr>
          <w:rFonts w:eastAsia="仿宋_GB2312" w:hint="eastAsia"/>
          <w:sz w:val="32"/>
          <w:szCs w:val="32"/>
        </w:rPr>
        <w:t>202</w:t>
      </w:r>
      <w:r>
        <w:rPr>
          <w:rFonts w:hint="eastAsia"/>
          <w:sz w:val="32"/>
          <w:szCs w:val="32"/>
        </w:rPr>
        <w:t>5</w:t>
      </w:r>
      <w:r>
        <w:rPr>
          <w:rFonts w:eastAsia="仿宋_GB2312" w:hint="eastAsia"/>
          <w:sz w:val="32"/>
          <w:szCs w:val="32"/>
        </w:rPr>
        <w:t>年度</w:t>
      </w:r>
      <w:r>
        <w:rPr>
          <w:rFonts w:eastAsia="仿宋_GB2312"/>
          <w:sz w:val="32"/>
          <w:szCs w:val="32"/>
        </w:rPr>
        <w:t>若涉及国有资本、行政事业性国有资产、债券资金、政府采购和政府购买服务等重点领域的，应在部门预算绩效自评报告中对完成情况进行梳理阐述</w:t>
      </w:r>
      <w:r>
        <w:rPr>
          <w:rFonts w:hint="eastAsia"/>
          <w:sz w:val="32"/>
          <w:szCs w:val="32"/>
        </w:rPr>
        <w:t>。</w:t>
      </w:r>
    </w:p>
    <w:p>
      <w:pPr>
        <w:widowControl/>
        <w:adjustRightInd w:val="0"/>
        <w:snapToGrid w:val="0"/>
        <w:spacing w:line="540" w:lineRule="exact"/>
        <w:ind w:firstLineChars="200" w:firstLine="640"/>
        <w:jc w:val="left"/>
        <w:rPr>
          <w:rFonts w:ascii="仿宋" w:eastAsia="仿宋" w:cs="仿宋"/>
          <w:sz w:val="32"/>
          <w:szCs w:val="32"/>
        </w:rPr>
      </w:pPr>
      <w:r>
        <w:rPr>
          <w:rFonts w:ascii="仿宋" w:eastAsia="仿宋" w:cs="仿宋" w:hint="eastAsia"/>
          <w:sz w:val="32"/>
          <w:szCs w:val="32"/>
        </w:rPr>
        <w:t>无</w:t>
      </w:r>
    </w:p>
    <w:p>
      <w:pPr>
        <w:widowControl/>
        <w:adjustRightInd w:val="0"/>
        <w:snapToGrid w:val="0"/>
        <w:spacing w:line="540" w:lineRule="exact"/>
        <w:ind w:firstLineChars="200" w:firstLine="640"/>
        <w:jc w:val="left"/>
        <w:rPr>
          <w:rFonts w:eastAsia="楷体_GB2312"/>
          <w:b/>
          <w:bCs/>
          <w:sz w:val="32"/>
          <w:szCs w:val="32"/>
          <w:lang w:val="zh-CN"/>
        </w:rPr>
      </w:pPr>
      <w:r>
        <w:rPr>
          <w:rFonts w:eastAsia="楷体_GB2312"/>
          <w:b/>
          <w:bCs/>
          <w:sz w:val="32"/>
          <w:szCs w:val="32"/>
          <w:lang w:val="zh-CN"/>
        </w:rPr>
        <w:t>（四）绩效结果应用情况</w:t>
      </w:r>
    </w:p>
    <w:p>
      <w:pPr>
        <w:widowControl/>
        <w:adjustRightInd w:val="0"/>
        <w:snapToGrid w:val="0"/>
        <w:spacing w:line="540" w:lineRule="exact"/>
        <w:ind w:firstLineChars="200" w:firstLine="640"/>
        <w:jc w:val="left"/>
        <w:rPr>
          <w:rFonts w:ascii="楷体" w:eastAsia="楷体" w:cs="宋体"/>
          <w:kern w:val="0"/>
          <w:lang w:val="zh-CN"/>
        </w:rPr>
      </w:pPr>
      <w:r>
        <w:rPr>
          <w:rFonts w:ascii="仿宋" w:eastAsia="仿宋" w:cs="仿宋" w:hint="eastAsia"/>
          <w:bCs/>
          <w:kern w:val="0"/>
          <w:sz w:val="32"/>
          <w:szCs w:val="32"/>
        </w:rPr>
        <w:t>按照《</w:t>
      </w:r>
      <w:r>
        <w:rPr>
          <w:rFonts w:ascii="仿宋" w:eastAsia="仿宋" w:cs="仿宋"/>
          <w:bCs/>
          <w:kern w:val="0"/>
          <w:sz w:val="32"/>
          <w:szCs w:val="32"/>
        </w:rPr>
        <w:t>中</w:t>
      </w:r>
      <w:bookmarkStart w:id="56" w:name="_GoBack"/>
      <w:bookmarkEnd w:id="56"/>
      <w:r>
        <w:rPr>
          <w:rFonts w:ascii="仿宋" w:eastAsia="仿宋" w:cs="仿宋" w:hint="eastAsia"/>
          <w:bCs/>
          <w:kern w:val="0"/>
          <w:sz w:val="32"/>
          <w:szCs w:val="32"/>
        </w:rPr>
        <w:t>华人民共和国预算法》按</w:t>
      </w:r>
      <w:r>
        <w:rPr>
          <w:rFonts w:ascii="仿宋_GB2312" w:eastAsia="仿宋_GB2312" w:cs="仿宋_GB2312" w:hint="eastAsia"/>
          <w:bCs/>
          <w:kern w:val="0"/>
          <w:sz w:val="32"/>
          <w:szCs w:val="32"/>
        </w:rPr>
        <w:t>时完成预决算编制，在执行过程中有计划进行资金申报、使用，完善资金管理及内部控制制度，确保资金安全，做到账款、账账、账实相符，为全局事业发展提供有效资金保障</w:t>
      </w:r>
      <w:r>
        <w:rPr>
          <w:rFonts w:ascii="仿宋_GB2312" w:cs="仿宋_GB2312" w:hAnsi="仿宋_GB2312" w:hint="eastAsia"/>
          <w:bCs/>
          <w:kern w:val="0"/>
          <w:sz w:val="32"/>
          <w:szCs w:val="32"/>
        </w:rPr>
        <w:t>；</w:t>
      </w:r>
      <w:r>
        <w:rPr>
          <w:rFonts w:ascii="仿宋_GB2312" w:eastAsia="仿宋_GB2312" w:cs="仿宋_GB2312" w:hint="eastAsia"/>
          <w:bCs/>
          <w:kern w:val="0"/>
          <w:sz w:val="32"/>
          <w:szCs w:val="32"/>
        </w:rPr>
        <w:t>我们对财政资金整体支出绩效进行了认真自评，总体自我评价是：财政资金预算配置合理合规，预算执行严格有序，预算管理规范可控，资金效益合乎预期。</w:t>
      </w:r>
    </w:p>
    <w:p>
      <w:pPr>
        <w:widowControl/>
        <w:adjustRightInd w:val="0"/>
        <w:snapToGrid w:val="0"/>
        <w:spacing w:line="540" w:lineRule="exact"/>
        <w:ind w:firstLineChars="200" w:firstLine="640"/>
        <w:contextualSpacing/>
        <w:jc w:val="left"/>
        <w:rPr>
          <w:rFonts w:ascii="仿宋" w:eastAsia="仿宋" w:cs="仿宋"/>
          <w:b/>
          <w:szCs w:val="32"/>
        </w:rPr>
      </w:pPr>
      <w:r>
        <w:rPr>
          <w:rFonts w:ascii="仿宋" w:eastAsia="仿宋" w:cs="仿宋" w:hint="eastAsia"/>
          <w:bCs/>
          <w:kern w:val="0"/>
          <w:sz w:val="32"/>
          <w:szCs w:val="32"/>
        </w:rPr>
        <w:t>汶川县统计局本次绩效自评的结果及时在单位公开栏进行公开，自评结果应用于全过程指标的预算执行方面，预算支出管理有待提升将进行改进及落实，主要是上级划拨的代管资金和部分项目资金支付进度较慢。</w:t>
      </w:r>
    </w:p>
    <w:p>
      <w:pPr>
        <w:widowControl/>
        <w:adjustRightInd w:val="0"/>
        <w:snapToGrid w:val="0"/>
        <w:spacing w:line="540" w:lineRule="exact"/>
        <w:ind w:firstLineChars="200" w:firstLine="640"/>
        <w:contextualSpacing/>
        <w:jc w:val="left"/>
        <w:outlineLvl w:val="0"/>
        <w:rPr>
          <w:rFonts w:eastAsia="黑体"/>
          <w:color w:val="000000"/>
          <w:kern w:val="0"/>
          <w:sz w:val="32"/>
          <w:szCs w:val="32"/>
          <w:shd w:val="clear" w:color="auto" w:fill="FFFFFF"/>
        </w:rPr>
      </w:pPr>
      <w:r>
        <w:rPr>
          <w:rFonts w:eastAsia="黑体"/>
          <w:color w:val="000000"/>
          <w:kern w:val="0"/>
          <w:sz w:val="32"/>
          <w:szCs w:val="32"/>
          <w:shd w:val="clear" w:color="auto" w:fill="FFFFFF"/>
        </w:rPr>
        <w:t>四、评价结论及建议</w:t>
      </w:r>
    </w:p>
    <w:p>
      <w:pPr>
        <w:widowControl/>
        <w:adjustRightInd w:val="0"/>
        <w:snapToGrid w:val="0"/>
        <w:spacing w:line="540" w:lineRule="exact"/>
        <w:ind w:firstLineChars="200" w:firstLine="640"/>
        <w:contextualSpacing/>
        <w:jc w:val="left"/>
        <w:rPr>
          <w:rFonts w:ascii="仿宋_GB2312" w:cs="宋体" w:hAnsi="仿宋_GB2312"/>
          <w:color w:val="000000"/>
          <w:kern w:val="0"/>
          <w:szCs w:val="32"/>
          <w:shd w:val="clear" w:color="auto" w:fill="FFFFFF"/>
          <w:lang w:val="zh-CN"/>
        </w:rPr>
      </w:pPr>
      <w:r>
        <w:rPr>
          <w:rFonts w:ascii="楷体" w:eastAsia="楷体" w:cs="楷体" w:hint="eastAsia"/>
          <w:b/>
          <w:bCs/>
          <w:color w:val="000000"/>
          <w:kern w:val="0"/>
          <w:sz w:val="32"/>
          <w:szCs w:val="32"/>
          <w:shd w:val="clear" w:color="auto" w:fill="FFFFFF"/>
          <w:lang w:val="zh-CN"/>
        </w:rPr>
        <w:t>（一）评价结论。</w:t>
      </w:r>
      <w:r>
        <w:rPr>
          <w:rFonts w:ascii="仿宋_GB2312" w:eastAsia="仿宋_GB2312" w:cs="仿宋_GB2312" w:hint="eastAsia"/>
          <w:sz w:val="32"/>
          <w:szCs w:val="32"/>
          <w:shd w:val="clear" w:color="auto" w:fill="FFFFFF"/>
        </w:rPr>
        <w:t>汶川县统计局</w:t>
      </w:r>
      <w:r>
        <w:rPr>
          <w:rFonts w:ascii="仿宋_GB2312" w:eastAsia="仿宋_GB2312" w:cs="仿宋_GB2312" w:hint="eastAsia"/>
          <w:bCs/>
          <w:kern w:val="0"/>
          <w:sz w:val="32"/>
          <w:szCs w:val="32"/>
        </w:rPr>
        <w:t>绩效管理严格按照上级部门要求，开展自评工作，对评价结果及时总结上报，</w:t>
      </w:r>
      <w:r>
        <w:rPr>
          <w:rFonts w:ascii="仿宋_GB2312" w:eastAsia="仿宋_GB2312" w:cs="仿宋_GB2312" w:hint="eastAsia"/>
          <w:sz w:val="32"/>
          <w:szCs w:val="32"/>
          <w:shd w:val="clear" w:color="auto" w:fill="FFFFFF"/>
        </w:rPr>
        <w:t>部门预算执行情况良好，无违规违纪行为，</w:t>
      </w:r>
      <w:r>
        <w:rPr>
          <w:rFonts w:ascii="仿宋" w:eastAsia="仿宋" w:cs="仿宋" w:hint="eastAsia"/>
          <w:sz w:val="32"/>
          <w:szCs w:val="32"/>
          <w:shd w:val="clear" w:color="auto" w:fill="FFFFFF"/>
        </w:rPr>
        <w:t>预算支出和决算支出情况相符，自评得分95分，评价结果为优秀。</w:t>
      </w:r>
    </w:p>
    <w:p>
      <w:pPr>
        <w:widowControl/>
        <w:adjustRightInd w:val="0"/>
        <w:snapToGrid w:val="0"/>
        <w:spacing w:line="540" w:lineRule="exact"/>
        <w:ind w:firstLineChars="200" w:firstLine="640"/>
        <w:contextualSpacing/>
        <w:jc w:val="left"/>
        <w:rPr>
          <w:rFonts w:ascii="仿宋" w:eastAsia="仿宋" w:cs="仿宋"/>
          <w:color w:val="000000"/>
          <w:kern w:val="0"/>
          <w:sz w:val="32"/>
          <w:szCs w:val="32"/>
          <w:shd w:val="clear" w:color="auto" w:fill="FFFFFF"/>
          <w:lang w:val="zh-CN"/>
        </w:rPr>
      </w:pPr>
      <w:r>
        <w:rPr>
          <w:rFonts w:ascii="楷体" w:eastAsia="楷体" w:cs="楷体" w:hint="eastAsia"/>
          <w:b/>
          <w:bCs/>
          <w:color w:val="000000"/>
          <w:kern w:val="0"/>
          <w:sz w:val="32"/>
          <w:szCs w:val="32"/>
          <w:shd w:val="clear" w:color="auto" w:fill="FFFFFF"/>
          <w:lang w:val="zh-CN"/>
        </w:rPr>
        <w:t>（二）存在问题。</w:t>
      </w:r>
      <w:r>
        <w:rPr>
          <w:rFonts w:ascii="仿宋" w:eastAsia="仿宋" w:cs="仿宋" w:hint="eastAsia"/>
          <w:b/>
          <w:bCs/>
          <w:color w:val="000000"/>
          <w:kern w:val="0"/>
          <w:sz w:val="32"/>
          <w:szCs w:val="32"/>
          <w:shd w:val="clear" w:color="auto" w:fill="FFFFFF"/>
          <w:lang w:val="zh-CN"/>
        </w:rPr>
        <w:t>一</w:t>
      </w:r>
      <w:r>
        <w:rPr>
          <w:rFonts w:ascii="仿宋" w:eastAsia="仿宋" w:cs="仿宋" w:hint="eastAsia"/>
          <w:b/>
          <w:bCs/>
          <w:color w:val="000000"/>
          <w:kern w:val="0"/>
          <w:sz w:val="32"/>
          <w:szCs w:val="32"/>
          <w:shd w:val="clear" w:color="auto" w:fill="FFFFFF"/>
        </w:rPr>
        <w:t>是</w:t>
      </w:r>
      <w:r>
        <w:rPr>
          <w:rFonts w:ascii="仿宋" w:eastAsia="仿宋" w:cs="仿宋" w:hint="eastAsia"/>
          <w:color w:val="000000"/>
          <w:kern w:val="0"/>
          <w:sz w:val="32"/>
          <w:szCs w:val="32"/>
          <w:shd w:val="clear" w:color="auto" w:fill="FFFFFF"/>
          <w:lang w:val="zh-CN"/>
        </w:rPr>
        <w:t>上级划拨的资金（代管资金），上年底未完成支付，只能结转本年使用，在上级专项检查时提出了资金使用进度较慢。</w:t>
      </w:r>
      <w:r>
        <w:rPr>
          <w:rFonts w:ascii="仿宋" w:eastAsia="仿宋" w:cs="仿宋" w:hint="eastAsia"/>
          <w:b/>
          <w:bCs/>
          <w:color w:val="000000"/>
          <w:kern w:val="0"/>
          <w:sz w:val="32"/>
          <w:szCs w:val="32"/>
          <w:shd w:val="clear" w:color="auto" w:fill="FFFFFF"/>
          <w:lang w:val="zh-CN"/>
        </w:rPr>
        <w:t>二是</w:t>
      </w:r>
      <w:r>
        <w:rPr>
          <w:rFonts w:ascii="仿宋" w:eastAsia="仿宋" w:cs="仿宋" w:hint="eastAsia"/>
          <w:color w:val="000000"/>
          <w:kern w:val="0"/>
          <w:sz w:val="32"/>
          <w:szCs w:val="32"/>
          <w:shd w:val="clear" w:color="auto" w:fill="FFFFFF"/>
          <w:lang w:val="zh-CN"/>
        </w:rPr>
        <w:t>部分项目资金支付进度较慢，存在年末集中支付情况。</w:t>
      </w:r>
    </w:p>
    <w:p>
      <w:pPr>
        <w:widowControl/>
        <w:adjustRightInd w:val="0"/>
        <w:snapToGrid w:val="0"/>
        <w:spacing w:line="540" w:lineRule="exact"/>
        <w:ind w:firstLineChars="200" w:firstLine="640"/>
        <w:contextualSpacing/>
        <w:jc w:val="left"/>
        <w:rPr>
          <w:rFonts w:ascii="仿宋" w:eastAsia="仿宋" w:cs="仿宋"/>
          <w:szCs w:val="32"/>
        </w:rPr>
      </w:pPr>
      <w:r>
        <w:rPr>
          <w:rFonts w:ascii="楷体" w:eastAsia="楷体" w:cs="楷体" w:hint="eastAsia"/>
          <w:b/>
          <w:bCs/>
          <w:color w:val="000000"/>
          <w:kern w:val="0"/>
          <w:sz w:val="32"/>
          <w:szCs w:val="32"/>
          <w:shd w:val="clear" w:color="auto" w:fill="FFFFFF"/>
          <w:lang w:val="zh-CN"/>
        </w:rPr>
        <w:t>（三）改进建议。</w:t>
      </w:r>
      <w:r>
        <w:rPr>
          <w:rFonts w:ascii="仿宋" w:eastAsia="仿宋" w:cs="仿宋" w:hint="eastAsia"/>
          <w:bCs/>
          <w:kern w:val="0"/>
          <w:sz w:val="32"/>
          <w:szCs w:val="32"/>
        </w:rPr>
        <w:t>一是科学合理编制预算，严格执行预算。要按照《中华人民共和国预算法》及其实施条例的相关规定，参考年度的收支预测科学编制预算，避免年中大幅追加以及超预算。同时严格预算执行，提高资金使用效率，制定合理的年度工作计划和年度经费支出预算，确保全年经费支出均衡，做好事前绩效评估，保证资金的可控性、安全性；二是加强单位内控制度建设，完善相关内部管理制度，形成系统的内部财务管理制度，切实发挥资金效益。三是进一步完善各项资金管理制度，加强财政资金管理，切实提高资金使用效率。</w:t>
      </w:r>
    </w:p>
    <w:p>
      <w:pPr>
        <w:spacing w:line="578" w:lineRule="exact"/>
        <w:ind w:firstLineChars="200" w:firstLine="420"/>
        <w:rPr>
          <w:color w:val="000000"/>
          <w:kern w:val="0"/>
          <w:szCs w:val="32"/>
          <w:shd w:val="clear" w:color="auto" w:fill="FFFFFF"/>
        </w:rPr>
      </w:pPr>
    </w:p>
    <w:p>
      <w:pPr>
        <w:pStyle w:val="15"/>
        <w:rPr>
          <w:rFonts w:ascii="Times New Roman" w:hAnsi="Times New Roman"/>
          <w:color w:val="000000"/>
          <w:kern w:val="0"/>
          <w:szCs w:val="32"/>
          <w:shd w:val="clear" w:color="auto" w:fill="FFFFFF"/>
        </w:rPr>
      </w:pPr>
    </w:p>
    <w:p>
      <w:pPr>
        <w:rPr>
          <w:color w:val="000000"/>
          <w:kern w:val="0"/>
          <w:szCs w:val="32"/>
          <w:shd w:val="clear" w:color="auto" w:fill="FFFFFF"/>
        </w:rPr>
      </w:pPr>
    </w:p>
    <w:p>
      <w:pPr>
        <w:pStyle w:val="15"/>
        <w:rPr>
          <w:rFonts w:ascii="Times New Roman" w:hAnsi="Times New Roman"/>
          <w:color w:val="000000"/>
          <w:kern w:val="0"/>
          <w:szCs w:val="32"/>
          <w:shd w:val="clear" w:color="auto" w:fill="FFFFFF"/>
        </w:rPr>
      </w:pPr>
    </w:p>
    <w:p>
      <w:pPr>
        <w:rPr>
          <w:color w:val="000000"/>
          <w:kern w:val="0"/>
          <w:szCs w:val="32"/>
          <w:shd w:val="clear" w:color="auto" w:fill="FFFFFF"/>
        </w:rPr>
      </w:pPr>
    </w:p>
    <w:p>
      <w:pPr>
        <w:pStyle w:val="15"/>
        <w:rPr>
          <w:rFonts w:ascii="Times New Roman" w:hAnsi="Times New Roman"/>
          <w:color w:val="000000"/>
          <w:kern w:val="0"/>
          <w:szCs w:val="32"/>
          <w:shd w:val="clear" w:color="auto" w:fill="FFFFFF"/>
        </w:rPr>
      </w:pPr>
    </w:p>
    <w:p>
      <w:pPr>
        <w:rPr>
          <w:color w:val="000000"/>
          <w:kern w:val="0"/>
          <w:szCs w:val="32"/>
          <w:shd w:val="clear" w:color="auto" w:fill="FFFFFF"/>
        </w:rPr>
      </w:pPr>
    </w:p>
    <w:p>
      <w:pPr>
        <w:pStyle w:val="15"/>
        <w:rPr>
          <w:rFonts w:ascii="Times New Roman" w:hAnsi="Times New Roman"/>
          <w:color w:val="000000"/>
          <w:kern w:val="0"/>
          <w:szCs w:val="32"/>
          <w:shd w:val="clear" w:color="auto" w:fill="FFFFFF"/>
        </w:rPr>
      </w:pPr>
    </w:p>
    <w:p>
      <w:pPr>
        <w:rPr>
          <w:color w:val="000000"/>
          <w:kern w:val="0"/>
          <w:szCs w:val="32"/>
          <w:shd w:val="clear" w:color="auto" w:fill="FFFFFF"/>
        </w:rPr>
      </w:pPr>
    </w:p>
    <w:p>
      <w:pPr>
        <w:pStyle w:val="15"/>
        <w:rPr>
          <w:rFonts w:ascii="Times New Roman" w:hAnsi="Times New Roman"/>
          <w:color w:val="000000"/>
          <w:kern w:val="0"/>
          <w:szCs w:val="32"/>
          <w:shd w:val="clear" w:color="auto" w:fill="FFFFFF"/>
        </w:rPr>
      </w:pPr>
    </w:p>
    <w:p>
      <w:pPr>
        <w:rPr>
          <w:color w:val="000000"/>
          <w:kern w:val="0"/>
          <w:szCs w:val="32"/>
          <w:shd w:val="clear" w:color="auto" w:fill="FFFFFF"/>
        </w:rPr>
      </w:pPr>
    </w:p>
    <w:p>
      <w:pPr>
        <w:pStyle w:val="15"/>
        <w:rPr>
          <w:rFonts w:ascii="Times New Roman" w:hAnsi="Times New Roman"/>
          <w:color w:val="000000"/>
          <w:kern w:val="0"/>
          <w:szCs w:val="32"/>
          <w:shd w:val="clear" w:color="auto" w:fill="FFFFFF"/>
        </w:rPr>
      </w:pPr>
    </w:p>
    <w:p/>
    <w:tbl>
      <w:tblPr>
        <w:jc w:val="left"/>
        <w:tblInd w:w="-816" w:type="dxa"/>
        <w:tblW w:w="10498"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080"/>
        <w:gridCol w:w="1125"/>
        <w:gridCol w:w="1335"/>
        <w:gridCol w:w="2565"/>
        <w:gridCol w:w="855"/>
        <w:gridCol w:w="810"/>
        <w:gridCol w:w="855"/>
        <w:gridCol w:w="855"/>
        <w:gridCol w:w="1018"/>
      </w:tblGrid>
      <w:tr>
        <w:trPr>
          <w:trHeight w:val="540"/>
        </w:trPr>
        <w:tc>
          <w:tcPr>
            <w:tcW w:w="9480" w:type="dxa"/>
            <w:gridSpan w:val="8"/>
            <w:tcBorders>
              <w:top w:val="nil"/>
              <w:left w:val="nil"/>
              <w:bottom w:val="nil"/>
              <w:right w:val="nil"/>
            </w:tcBorders>
            <w:shd w:val="clear" w:color="auto" w:fill="auto"/>
            <w:noWrap/>
            <w:vAlign w:val="center"/>
          </w:tcPr>
          <w:p>
            <w:pPr>
              <w:widowControl/>
              <w:jc w:val="center"/>
              <w:textAlignment w:val="center"/>
              <w:rPr>
                <w:rFonts w:ascii="黑体" w:eastAsia="黑体" w:cs="黑体"/>
                <w:color w:val="000000"/>
                <w:sz w:val="30"/>
                <w:szCs w:val="30"/>
              </w:rPr>
            </w:pPr>
            <w:r>
              <w:rPr>
                <w:rFonts w:ascii="黑体" w:eastAsia="黑体" w:cs="黑体" w:hint="eastAsia"/>
                <w:color w:val="000000"/>
                <w:kern w:val="0"/>
                <w:sz w:val="30"/>
                <w:szCs w:val="30"/>
              </w:rPr>
              <w:t>部门整体支出绩效目标完成情况自评表</w:t>
            </w:r>
          </w:p>
        </w:tc>
        <w:tc>
          <w:tcPr>
            <w:tcW w:w="1018" w:type="dxa"/>
            <w:tcBorders>
              <w:top w:val="nil"/>
              <w:left w:val="nil"/>
              <w:bottom w:val="nil"/>
              <w:right w:val="nil"/>
            </w:tcBorders>
            <w:shd w:val="clear" w:color="auto" w:fill="auto"/>
            <w:noWrap/>
            <w:vAlign w:val="center"/>
          </w:tcPr>
          <w:p>
            <w:pPr>
              <w:rPr>
                <w:rFonts w:ascii="宋体" w:cs="宋体"/>
                <w:color w:val="000000"/>
                <w:sz w:val="22"/>
                <w:szCs w:val="22"/>
              </w:rPr>
            </w:pPr>
          </w:p>
        </w:tc>
      </w:tr>
      <w:tr>
        <w:trPr>
          <w:trHeight w:val="285"/>
        </w:trPr>
        <w:tc>
          <w:tcPr>
            <w:tcW w:w="9480" w:type="dxa"/>
            <w:gridSpan w:val="8"/>
            <w:tcBorders>
              <w:top w:val="nil"/>
              <w:left w:val="nil"/>
              <w:bottom w:val="nil"/>
              <w:right w:val="nil"/>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（202</w:t>
            </w:r>
            <w:r>
              <w:rPr>
                <w:rFonts w:ascii="宋体" w:cs="宋体" w:hint="eastAsia"/>
                <w:color w:val="000000"/>
                <w:kern w:val="0"/>
                <w:sz w:val="18"/>
                <w:szCs w:val="18"/>
              </w:rPr>
              <w:t>5</w:t>
            </w:r>
            <w:r>
              <w:rPr>
                <w:rFonts w:ascii="宋体" w:cs="宋体"/>
                <w:color w:val="000000"/>
                <w:kern w:val="0"/>
                <w:sz w:val="18"/>
                <w:szCs w:val="18"/>
              </w:rPr>
              <w:t>年度）</w:t>
            </w:r>
          </w:p>
        </w:tc>
        <w:tc>
          <w:tcPr>
            <w:tcW w:w="1018" w:type="dxa"/>
            <w:tcBorders>
              <w:top w:val="nil"/>
              <w:left w:val="nil"/>
              <w:bottom w:val="nil"/>
              <w:right w:val="nil"/>
            </w:tcBorders>
            <w:shd w:val="clear" w:color="auto" w:fill="auto"/>
            <w:noWrap/>
            <w:vAlign w:val="center"/>
          </w:tcPr>
          <w:p>
            <w:pPr>
              <w:rPr>
                <w:rFonts w:ascii="宋体" w:cs="宋体"/>
                <w:color w:val="000000"/>
                <w:sz w:val="22"/>
                <w:szCs w:val="22"/>
              </w:rPr>
            </w:pPr>
          </w:p>
        </w:tc>
      </w:tr>
      <w:tr>
        <w:trPr>
          <w:trHeight w:val="285"/>
        </w:trPr>
        <w:tc>
          <w:tcPr>
            <w:tcW w:w="9480" w:type="dxa"/>
            <w:gridSpan w:val="8"/>
            <w:tcBorders>
              <w:top w:val="nil"/>
              <w:left w:val="nil"/>
              <w:bottom w:val="single" w:sz="4" w:space="0" w:color="000000"/>
              <w:right w:val="nil"/>
            </w:tcBorders>
            <w:shd w:val="clear" w:color="auto" w:fill="auto"/>
            <w:noWrap/>
            <w:vAlign w:val="center"/>
          </w:tcPr>
          <w:p>
            <w:pPr>
              <w:widowControl/>
              <w:jc w:val="right"/>
              <w:textAlignment w:val="center"/>
              <w:rPr>
                <w:rFonts w:ascii="宋体" w:cs="宋体"/>
                <w:color w:val="000000"/>
                <w:sz w:val="18"/>
                <w:szCs w:val="18"/>
              </w:rPr>
            </w:pPr>
            <w:r>
              <w:rPr>
                <w:rFonts w:ascii="宋体" w:cs="宋体"/>
                <w:color w:val="000000"/>
                <w:kern w:val="0"/>
                <w:sz w:val="18"/>
                <w:szCs w:val="18"/>
              </w:rPr>
              <w:t>单位：万元</w:t>
            </w:r>
          </w:p>
        </w:tc>
        <w:tc>
          <w:tcPr>
            <w:tcW w:w="1018" w:type="dxa"/>
            <w:tcBorders>
              <w:top w:val="nil"/>
              <w:left w:val="nil"/>
              <w:bottom w:val="nil"/>
              <w:right w:val="nil"/>
            </w:tcBorders>
            <w:shd w:val="clear" w:color="auto" w:fill="auto"/>
            <w:noWrap/>
            <w:vAlign w:val="center"/>
          </w:tcPr>
          <w:p>
            <w:pPr>
              <w:rPr>
                <w:rFonts w:ascii="宋体" w:cs="宋体"/>
                <w:color w:val="000000"/>
                <w:sz w:val="22"/>
                <w:szCs w:val="22"/>
              </w:rPr>
            </w:pPr>
          </w:p>
        </w:tc>
      </w:tr>
      <w:tr>
        <w:trPr>
          <w:trHeight w:val="480"/>
        </w:trPr>
        <w:tc>
          <w:tcPr>
            <w:tcW w:w="3540"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部门名称</w:t>
            </w:r>
          </w:p>
        </w:tc>
        <w:tc>
          <w:tcPr>
            <w:tcW w:w="6958"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汶川县统计局本级</w:t>
            </w:r>
          </w:p>
        </w:tc>
      </w:tr>
      <w:tr>
        <w:trPr>
          <w:trHeight w:val="440"/>
        </w:trPr>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年度部门整体支出预算</w:t>
            </w:r>
          </w:p>
        </w:tc>
        <w:tc>
          <w:tcPr>
            <w:tcW w:w="246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资金总额</w:t>
            </w:r>
          </w:p>
        </w:tc>
        <w:tc>
          <w:tcPr>
            <w:tcW w:w="342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财政拨款</w:t>
            </w:r>
          </w:p>
        </w:tc>
        <w:tc>
          <w:tcPr>
            <w:tcW w:w="3538"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其他资金</w:t>
            </w:r>
          </w:p>
        </w:tc>
      </w:tr>
      <w:tr>
        <w:trPr>
          <w:trHeight w:val="440"/>
        </w:trPr>
        <w:tc>
          <w:tcPr>
            <w:tcW w:w="108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460" w:type="dxa"/>
            <w:gridSpan w:val="2"/>
            <w:tcBorders>
              <w:top w:val="single" w:sz="4" w:space="0" w:color="000000"/>
              <w:left w:val="single" w:sz="4" w:space="0" w:color="000000"/>
              <w:bottom w:val="nil"/>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hint="eastAsia"/>
                <w:color w:val="000000"/>
                <w:kern w:val="0"/>
                <w:sz w:val="18"/>
                <w:szCs w:val="18"/>
                <w:lang w:val="en-US" w:eastAsia="zh-CN"/>
              </w:rPr>
              <w:t>4</w:t>
            </w:r>
            <w:r>
              <w:rPr>
                <w:rFonts w:ascii="宋体" w:cs="宋体" w:hint="eastAsia"/>
                <w:color w:val="000000"/>
                <w:kern w:val="0"/>
                <w:sz w:val="18"/>
                <w:szCs w:val="18"/>
              </w:rPr>
              <w:t>15.21</w:t>
            </w:r>
          </w:p>
        </w:tc>
        <w:tc>
          <w:tcPr>
            <w:tcW w:w="3420" w:type="dxa"/>
            <w:gridSpan w:val="2"/>
            <w:tcBorders>
              <w:top w:val="single" w:sz="4" w:space="0" w:color="000000"/>
              <w:left w:val="single" w:sz="4" w:space="0" w:color="000000"/>
              <w:bottom w:val="nil"/>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hint="eastAsia"/>
                <w:color w:val="000000"/>
                <w:kern w:val="0"/>
                <w:sz w:val="18"/>
                <w:szCs w:val="18"/>
                <w:lang w:val="en-US" w:eastAsia="zh-CN"/>
              </w:rPr>
              <w:t>4</w:t>
            </w:r>
            <w:r>
              <w:rPr>
                <w:rFonts w:ascii="宋体" w:cs="宋体" w:hint="eastAsia"/>
                <w:color w:val="000000"/>
                <w:kern w:val="0"/>
                <w:sz w:val="18"/>
                <w:szCs w:val="18"/>
              </w:rPr>
              <w:t>15.21</w:t>
            </w:r>
          </w:p>
        </w:tc>
        <w:tc>
          <w:tcPr>
            <w:tcW w:w="3538" w:type="dxa"/>
            <w:gridSpan w:val="4"/>
            <w:tcBorders>
              <w:top w:val="single" w:sz="4" w:space="0" w:color="000000"/>
              <w:left w:val="single" w:sz="4" w:space="0" w:color="000000"/>
              <w:bottom w:val="nil"/>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hint="eastAsia"/>
                <w:color w:val="000000"/>
                <w:kern w:val="0"/>
                <w:sz w:val="18"/>
                <w:szCs w:val="18"/>
              </w:rPr>
              <w:t>0.00</w:t>
            </w:r>
          </w:p>
        </w:tc>
      </w:tr>
      <w:tr>
        <w:trPr>
          <w:trHeight w:val="3540"/>
        </w:trPr>
        <w:tc>
          <w:tcPr>
            <w:tcW w:w="1080" w:type="dxa"/>
            <w:tcBorders>
              <w:top w:val="single" w:sz="4" w:space="0" w:color="000000"/>
              <w:left w:val="single" w:sz="4" w:space="0" w:color="000000"/>
              <w:bottom w:val="single" w:sz="4" w:space="0" w:color="000000"/>
              <w:right w:val="nil"/>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年度总体目标</w:t>
            </w:r>
          </w:p>
        </w:tc>
        <w:tc>
          <w:tcPr>
            <w:tcW w:w="9418" w:type="dxa"/>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宋体" w:cs="宋体"/>
                <w:color w:val="000000"/>
                <w:sz w:val="18"/>
                <w:szCs w:val="18"/>
              </w:rPr>
            </w:pPr>
            <w:r>
              <w:rPr>
                <w:rFonts w:ascii="宋体" w:cs="宋体"/>
                <w:color w:val="000000"/>
                <w:kern w:val="0"/>
                <w:sz w:val="18"/>
                <w:szCs w:val="18"/>
              </w:rPr>
              <w:t>贯彻执行党和国家有关统计工作的方针政策、法律法规规章、规划以及全国基本统计制度和国家统计标准；依法拟定并组织实施本县统计工作的政策、制度以及发展规划、计划,指导全县统计工作。建立健全全县国民经济核算体系，根据国民经济核算制度，组织实施全县国民经济核算制度和全县投入产出调查，核算全县地区生产总值，汇编提供国民经济核算资料，监督管理全县国民经济核算工作。拟定重大县情县力普查计划、方案，组织实施全县人口、经济、农业等重大县情县力普查，汇总、整理和提供县情县力方面的统计数据。依法组织实施各有关行业的统计调查，收集、汇总、整理和提供有关调查的统计数据，综合整理和提供地质勘察、旅游、交通运输、邮政、电信、教育、卫生、社会保障、公用事业等全县性基本统计数据。;建立健全全县国民经济核算体系，根据国民经济核算制度，组织实施全县国民经济核算制度和全县投入产出调查，核算全县地区生产总值，汇编提供国民经济核算资料，监督管理全县国民经济核算工作。依法组织实施各有关行业的统计调查，收集、汇总、整理和提供有关调查的统计数据，综合整理和提供地质勘察、旅游、交通运输、邮政、电信、教育、卫生、社会保障、公用事业等全县性基本统计数据。组织实施能源、投资、消费、劳动工资、科技、人口、劳动力、社会发展基本情况、环境基本状况等统计调查，收集、汇总、整理和提供有关调查的统计数据，综合整理和提供价格、资源、房屋、对外贸易、对外经济、企业景气等全县性基本统计数据。</w:t>
            </w:r>
          </w:p>
        </w:tc>
      </w:tr>
      <w:tr>
        <w:trPr>
          <w:trHeight w:val="360"/>
        </w:trPr>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年度主要任务</w:t>
            </w:r>
          </w:p>
        </w:tc>
        <w:tc>
          <w:tcPr>
            <w:tcW w:w="2460" w:type="dxa"/>
            <w:gridSpan w:val="2"/>
            <w:tcBorders>
              <w:top w:val="nil"/>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任务名称</w:t>
            </w:r>
          </w:p>
        </w:tc>
        <w:tc>
          <w:tcPr>
            <w:tcW w:w="6958"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主要内容</w:t>
            </w:r>
          </w:p>
        </w:tc>
      </w:tr>
      <w:tr>
        <w:trPr>
          <w:trHeight w:val="540"/>
        </w:trPr>
        <w:tc>
          <w:tcPr>
            <w:tcW w:w="108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46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宋体" w:cs="宋体"/>
                <w:color w:val="000000"/>
                <w:sz w:val="18"/>
                <w:szCs w:val="18"/>
              </w:rPr>
            </w:pPr>
            <w:r>
              <w:rPr>
                <w:rFonts w:ascii="宋体" w:cs="宋体"/>
                <w:color w:val="000000"/>
                <w:kern w:val="0"/>
                <w:sz w:val="18"/>
                <w:szCs w:val="18"/>
              </w:rPr>
              <w:t>全国第五次经济普查</w:t>
            </w:r>
          </w:p>
        </w:tc>
        <w:tc>
          <w:tcPr>
            <w:tcW w:w="6958"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宋体" w:cs="宋体"/>
                <w:color w:val="000000"/>
                <w:sz w:val="18"/>
                <w:szCs w:val="18"/>
              </w:rPr>
            </w:pPr>
            <w:r>
              <w:rPr>
                <w:rFonts w:ascii="宋体" w:cs="宋体"/>
                <w:color w:val="000000"/>
                <w:kern w:val="0"/>
                <w:sz w:val="18"/>
                <w:szCs w:val="18"/>
              </w:rPr>
              <w:t>开展经济普查前期筹备工作，拟定实施方案、成立领导和工作小组、人员培训、物资采购等</w:t>
            </w:r>
          </w:p>
        </w:tc>
      </w:tr>
      <w:tr>
        <w:trPr>
          <w:trHeight w:val="245"/>
        </w:trPr>
        <w:tc>
          <w:tcPr>
            <w:tcW w:w="108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46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宋体" w:cs="宋体"/>
                <w:color w:val="000000"/>
                <w:sz w:val="18"/>
                <w:szCs w:val="18"/>
              </w:rPr>
            </w:pPr>
            <w:r>
              <w:rPr>
                <w:rFonts w:ascii="宋体" w:cs="宋体"/>
                <w:color w:val="000000"/>
                <w:kern w:val="0"/>
                <w:sz w:val="18"/>
                <w:szCs w:val="18"/>
              </w:rPr>
              <w:t>文化产业统计</w:t>
            </w:r>
          </w:p>
        </w:tc>
        <w:tc>
          <w:tcPr>
            <w:tcW w:w="6958"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宋体" w:cs="宋体"/>
                <w:color w:val="000000"/>
                <w:sz w:val="18"/>
                <w:szCs w:val="18"/>
              </w:rPr>
            </w:pPr>
            <w:r>
              <w:rPr>
                <w:rFonts w:ascii="宋体" w:cs="宋体"/>
                <w:color w:val="000000"/>
                <w:kern w:val="0"/>
                <w:sz w:val="18"/>
                <w:szCs w:val="18"/>
              </w:rPr>
              <w:t>开展全县文化产业统计工作</w:t>
            </w:r>
          </w:p>
        </w:tc>
      </w:tr>
      <w:tr>
        <w:trPr>
          <w:trHeight w:val="280"/>
        </w:trPr>
        <w:tc>
          <w:tcPr>
            <w:tcW w:w="108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46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宋体" w:cs="宋体"/>
                <w:color w:val="000000"/>
                <w:sz w:val="18"/>
                <w:szCs w:val="18"/>
              </w:rPr>
            </w:pPr>
            <w:r>
              <w:rPr>
                <w:rFonts w:ascii="宋体" w:cs="宋体"/>
                <w:color w:val="000000"/>
                <w:kern w:val="0"/>
                <w:sz w:val="18"/>
                <w:szCs w:val="18"/>
              </w:rPr>
              <w:t>乡镇统计工作</w:t>
            </w:r>
          </w:p>
        </w:tc>
        <w:tc>
          <w:tcPr>
            <w:tcW w:w="6958"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宋体" w:cs="宋体"/>
                <w:color w:val="000000"/>
                <w:sz w:val="18"/>
                <w:szCs w:val="18"/>
              </w:rPr>
            </w:pPr>
            <w:r>
              <w:rPr>
                <w:rFonts w:ascii="宋体" w:cs="宋体"/>
                <w:color w:val="000000"/>
                <w:kern w:val="0"/>
                <w:sz w:val="18"/>
                <w:szCs w:val="18"/>
              </w:rPr>
              <w:t>开展乡镇统计站基层建设、人员业务指导培训等</w:t>
            </w:r>
          </w:p>
        </w:tc>
      </w:tr>
      <w:tr>
        <w:trPr>
          <w:trHeight w:val="440"/>
        </w:trPr>
        <w:tc>
          <w:tcPr>
            <w:tcW w:w="108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46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宋体" w:cs="宋体"/>
                <w:color w:val="000000"/>
                <w:sz w:val="18"/>
                <w:szCs w:val="18"/>
              </w:rPr>
            </w:pPr>
            <w:r>
              <w:rPr>
                <w:rFonts w:ascii="宋体" w:cs="宋体"/>
                <w:color w:val="000000"/>
                <w:kern w:val="0"/>
                <w:sz w:val="18"/>
                <w:szCs w:val="18"/>
              </w:rPr>
              <w:t>《汶川统计年鉴》（202</w:t>
            </w:r>
            <w:r>
              <w:rPr>
                <w:rFonts w:ascii="宋体" w:cs="宋体" w:hint="eastAsia"/>
                <w:color w:val="000000"/>
                <w:kern w:val="0"/>
                <w:sz w:val="18"/>
                <w:szCs w:val="18"/>
              </w:rPr>
              <w:t>5</w:t>
            </w:r>
            <w:r>
              <w:rPr>
                <w:rFonts w:ascii="宋体" w:cs="宋体"/>
                <w:color w:val="000000"/>
                <w:kern w:val="0"/>
                <w:sz w:val="18"/>
                <w:szCs w:val="18"/>
              </w:rPr>
              <w:t>）印刷出版</w:t>
            </w:r>
          </w:p>
        </w:tc>
        <w:tc>
          <w:tcPr>
            <w:tcW w:w="6958"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宋体" w:cs="宋体"/>
                <w:color w:val="000000"/>
                <w:sz w:val="18"/>
                <w:szCs w:val="18"/>
              </w:rPr>
            </w:pPr>
            <w:r>
              <w:rPr>
                <w:rFonts w:ascii="宋体" w:cs="宋体"/>
                <w:color w:val="000000"/>
                <w:kern w:val="0"/>
                <w:sz w:val="18"/>
                <w:szCs w:val="18"/>
              </w:rPr>
              <w:t>收集相关资料并编纂印刷出版</w:t>
            </w:r>
          </w:p>
        </w:tc>
      </w:tr>
      <w:tr>
        <w:trPr>
          <w:trHeight w:val="220"/>
        </w:trPr>
        <w:tc>
          <w:tcPr>
            <w:tcW w:w="108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46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宋体" w:cs="宋体"/>
                <w:color w:val="000000"/>
                <w:sz w:val="18"/>
                <w:szCs w:val="18"/>
              </w:rPr>
            </w:pPr>
            <w:r>
              <w:rPr>
                <w:rFonts w:ascii="宋体" w:cs="宋体"/>
                <w:color w:val="000000"/>
                <w:kern w:val="0"/>
                <w:sz w:val="18"/>
                <w:szCs w:val="18"/>
              </w:rPr>
              <w:t>名录库建设</w:t>
            </w:r>
          </w:p>
        </w:tc>
        <w:tc>
          <w:tcPr>
            <w:tcW w:w="6958"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宋体" w:cs="宋体"/>
                <w:color w:val="000000"/>
                <w:sz w:val="18"/>
                <w:szCs w:val="18"/>
              </w:rPr>
            </w:pPr>
            <w:r>
              <w:rPr>
                <w:rFonts w:ascii="宋体" w:cs="宋体"/>
                <w:color w:val="000000"/>
                <w:kern w:val="0"/>
                <w:sz w:val="18"/>
                <w:szCs w:val="18"/>
              </w:rPr>
              <w:t>开展辖区内行政事业、企业单位名录库资料补充完善</w:t>
            </w:r>
          </w:p>
        </w:tc>
      </w:tr>
      <w:tr>
        <w:trPr>
          <w:trHeight w:val="260"/>
        </w:trPr>
        <w:tc>
          <w:tcPr>
            <w:tcW w:w="108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46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宋体" w:cs="宋体"/>
                <w:color w:val="000000"/>
                <w:sz w:val="18"/>
                <w:szCs w:val="18"/>
              </w:rPr>
            </w:pPr>
            <w:r>
              <w:rPr>
                <w:rFonts w:ascii="宋体" w:cs="宋体"/>
                <w:color w:val="000000"/>
                <w:kern w:val="0"/>
                <w:sz w:val="18"/>
                <w:szCs w:val="18"/>
              </w:rPr>
              <w:t>各专业统计报表</w:t>
            </w:r>
          </w:p>
        </w:tc>
        <w:tc>
          <w:tcPr>
            <w:tcW w:w="6958"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宋体" w:cs="宋体"/>
                <w:color w:val="000000"/>
                <w:sz w:val="18"/>
                <w:szCs w:val="18"/>
              </w:rPr>
            </w:pPr>
            <w:r>
              <w:rPr>
                <w:rFonts w:ascii="宋体" w:cs="宋体"/>
                <w:color w:val="000000"/>
                <w:kern w:val="0"/>
                <w:sz w:val="18"/>
                <w:szCs w:val="18"/>
              </w:rPr>
              <w:t>各专业开展月报、季度、年报上报工作和撰写分析报告</w:t>
            </w:r>
          </w:p>
        </w:tc>
      </w:tr>
      <w:tr>
        <w:trPr>
          <w:trHeight w:val="570"/>
        </w:trPr>
        <w:tc>
          <w:tcPr>
            <w:tcW w:w="1080" w:type="dxa"/>
            <w:vMerge w:val="restart"/>
            <w:tcBorders>
              <w:top w:val="single" w:sz="4" w:space="0" w:color="000000"/>
              <w:left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年度绩效指标</w:t>
            </w:r>
          </w:p>
        </w:tc>
        <w:tc>
          <w:tcPr>
            <w:tcW w:w="11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一级指标</w:t>
            </w:r>
          </w:p>
        </w:tc>
        <w:tc>
          <w:tcPr>
            <w:tcW w:w="13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二级指标</w:t>
            </w:r>
          </w:p>
        </w:tc>
        <w:tc>
          <w:tcPr>
            <w:tcW w:w="2565" w:type="dxa"/>
            <w:tcBorders>
              <w:top w:val="nil"/>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三级指标</w:t>
            </w:r>
          </w:p>
        </w:tc>
        <w:tc>
          <w:tcPr>
            <w:tcW w:w="855" w:type="dxa"/>
            <w:tcBorders>
              <w:top w:val="nil"/>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绩效指标性质</w:t>
            </w:r>
          </w:p>
        </w:tc>
        <w:tc>
          <w:tcPr>
            <w:tcW w:w="810" w:type="dxa"/>
            <w:tcBorders>
              <w:top w:val="nil"/>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绩效指标值</w:t>
            </w:r>
          </w:p>
        </w:tc>
        <w:tc>
          <w:tcPr>
            <w:tcW w:w="855" w:type="dxa"/>
            <w:tcBorders>
              <w:top w:val="nil"/>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绩效度量单位</w:t>
            </w:r>
          </w:p>
        </w:tc>
        <w:tc>
          <w:tcPr>
            <w:tcW w:w="855" w:type="dxa"/>
            <w:tcBorders>
              <w:top w:val="nil"/>
              <w:left w:val="single" w:sz="4" w:space="0" w:color="000000"/>
              <w:bottom w:val="single" w:sz="4" w:space="0" w:color="000000"/>
              <w:right w:val="nil"/>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权重</w:t>
            </w:r>
          </w:p>
        </w:tc>
        <w:tc>
          <w:tcPr>
            <w:tcW w:w="1018" w:type="dxa"/>
            <w:tcBorders>
              <w:top w:val="nil"/>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hint="eastAsia"/>
                <w:color w:val="000000"/>
                <w:kern w:val="0"/>
                <w:sz w:val="18"/>
                <w:szCs w:val="18"/>
              </w:rPr>
              <w:t>实际完成指标傎</w:t>
            </w:r>
          </w:p>
        </w:tc>
      </w:tr>
      <w:tr>
        <w:trPr>
          <w:trHeight w:val="570"/>
        </w:trPr>
        <w:tc>
          <w:tcPr>
            <w:tcW w:w="1080" w:type="dxa"/>
            <w:vMerge/>
            <w:tcBorders>
              <w:left w:val="single" w:sz="4" w:space="0" w:color="000000"/>
              <w:right w:val="single" w:sz="4" w:space="0" w:color="000000"/>
            </w:tcBorders>
            <w:shd w:val="clear" w:color="auto" w:fill="auto"/>
            <w:noWrap/>
            <w:vAlign w:val="center"/>
          </w:tcPr>
          <w:p/>
        </w:tc>
        <w:tc>
          <w:tcPr>
            <w:tcW w:w="1125" w:type="dxa"/>
            <w:vMerge w:val="restart"/>
            <w:tcBorders>
              <w:top w:val="single" w:sz="4" w:space="0" w:color="000000"/>
              <w:left w:val="single" w:sz="4" w:space="0" w:color="000000"/>
              <w:right w:val="single" w:sz="4" w:space="0" w:color="000000"/>
            </w:tcBorders>
            <w:shd w:val="clear" w:color="auto" w:fill="auto"/>
            <w:noWrap/>
            <w:vAlign w:val="center"/>
          </w:tcPr>
          <w:p>
            <w:pPr>
              <w:widowControl/>
              <w:jc w:val="left"/>
              <w:textAlignment w:val="center"/>
              <w:rPr>
                <w:rFonts w:ascii="宋体" w:cs="宋体"/>
                <w:color w:val="000000"/>
                <w:sz w:val="18"/>
                <w:szCs w:val="18"/>
              </w:rPr>
            </w:pPr>
            <w:r>
              <w:rPr>
                <w:rFonts w:ascii="宋体" w:cs="宋体"/>
                <w:color w:val="000000"/>
                <w:kern w:val="0"/>
                <w:sz w:val="18"/>
                <w:szCs w:val="18"/>
              </w:rPr>
              <w:t>产出指标</w:t>
            </w:r>
          </w:p>
        </w:tc>
        <w:tc>
          <w:tcPr>
            <w:tcW w:w="13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数量指标</w:t>
            </w:r>
          </w:p>
        </w:tc>
        <w:tc>
          <w:tcPr>
            <w:tcW w:w="25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宋体" w:cs="宋体"/>
                <w:color w:val="000000"/>
                <w:sz w:val="18"/>
                <w:szCs w:val="18"/>
              </w:rPr>
            </w:pPr>
            <w:r>
              <w:rPr>
                <w:rFonts w:ascii="宋体" w:cs="宋体"/>
                <w:color w:val="000000"/>
                <w:kern w:val="0"/>
                <w:sz w:val="18"/>
                <w:szCs w:val="18"/>
              </w:rPr>
              <w:t>印刷《汶川统计年鉴》（202</w:t>
            </w:r>
            <w:r>
              <w:rPr>
                <w:rFonts w:ascii="宋体" w:cs="宋体" w:hint="eastAsia"/>
                <w:color w:val="000000"/>
                <w:kern w:val="0"/>
                <w:sz w:val="18"/>
                <w:szCs w:val="18"/>
              </w:rPr>
              <w:t>5</w:t>
            </w:r>
            <w:r>
              <w:rPr>
                <w:rFonts w:ascii="宋体" w:cs="宋体"/>
                <w:color w:val="000000"/>
                <w:kern w:val="0"/>
                <w:sz w:val="18"/>
                <w:szCs w:val="18"/>
              </w:rPr>
              <w:t>）220册</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w:t>
            </w:r>
          </w:p>
        </w:tc>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220</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册/期</w:t>
            </w:r>
          </w:p>
        </w:tc>
        <w:tc>
          <w:tcPr>
            <w:tcW w:w="855" w:type="dxa"/>
            <w:tcBorders>
              <w:top w:val="single" w:sz="4" w:space="0" w:color="000000"/>
              <w:left w:val="single" w:sz="4" w:space="0" w:color="000000"/>
              <w:bottom w:val="single" w:sz="4" w:space="0" w:color="000000"/>
              <w:right w:val="nil"/>
            </w:tcBorders>
            <w:shd w:val="clear" w:color="auto" w:fill="auto"/>
            <w:noWrap/>
            <w:vAlign w:val="center"/>
          </w:tcPr>
          <w:p>
            <w:pPr>
              <w:widowControl/>
              <w:jc w:val="center"/>
              <w:textAlignment w:val="center"/>
              <w:rPr>
                <w:rFonts w:ascii="宋体" w:cs="宋体"/>
                <w:color w:val="000000"/>
                <w:sz w:val="18"/>
                <w:szCs w:val="18"/>
              </w:rPr>
            </w:pPr>
            <w:r>
              <w:rPr>
                <w:rFonts w:ascii="宋体" w:cs="宋体" w:hint="eastAsia"/>
                <w:color w:val="000000"/>
                <w:kern w:val="0"/>
                <w:sz w:val="18"/>
                <w:szCs w:val="18"/>
              </w:rPr>
              <w:t>10</w:t>
            </w:r>
          </w:p>
        </w:tc>
        <w:tc>
          <w:tcPr>
            <w:tcW w:w="10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hint="eastAsia"/>
                <w:color w:val="000000"/>
                <w:kern w:val="0"/>
                <w:sz w:val="18"/>
                <w:szCs w:val="18"/>
              </w:rPr>
              <w:t>220册</w:t>
            </w:r>
          </w:p>
        </w:tc>
      </w:tr>
      <w:tr>
        <w:trPr>
          <w:trHeight w:val="320"/>
        </w:trPr>
        <w:tc>
          <w:tcPr>
            <w:tcW w:w="1080" w:type="dxa"/>
            <w:vMerge/>
            <w:tcBorders>
              <w:left w:val="single" w:sz="4" w:space="0" w:color="000000"/>
              <w:right w:val="single" w:sz="4" w:space="0" w:color="000000"/>
            </w:tcBorders>
            <w:shd w:val="clear" w:color="auto" w:fill="auto"/>
            <w:noWrap/>
            <w:vAlign w:val="center"/>
          </w:tcPr>
          <w:p/>
        </w:tc>
        <w:tc>
          <w:tcPr>
            <w:tcW w:w="1125" w:type="dxa"/>
            <w:vMerge/>
            <w:tcBorders>
              <w:left w:val="single" w:sz="4" w:space="0" w:color="000000"/>
              <w:right w:val="single" w:sz="4" w:space="0" w:color="000000"/>
            </w:tcBorders>
            <w:shd w:val="clear" w:color="auto" w:fill="auto"/>
            <w:noWrap/>
            <w:vAlign w:val="center"/>
          </w:tcPr>
          <w:p/>
        </w:tc>
        <w:tc>
          <w:tcPr>
            <w:tcW w:w="13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数量指标</w:t>
            </w:r>
          </w:p>
        </w:tc>
        <w:tc>
          <w:tcPr>
            <w:tcW w:w="25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宋体" w:cs="宋体"/>
                <w:color w:val="000000"/>
                <w:kern w:val="0"/>
                <w:sz w:val="18"/>
                <w:szCs w:val="18"/>
              </w:rPr>
            </w:pPr>
            <w:r>
              <w:rPr>
                <w:rFonts w:ascii="宋体" w:cs="宋体" w:hint="eastAsia"/>
                <w:color w:val="000000"/>
                <w:kern w:val="0"/>
                <w:sz w:val="18"/>
                <w:szCs w:val="18"/>
              </w:rPr>
              <w:t>印刷《五经普资料汇编》18册</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w:t>
            </w:r>
          </w:p>
        </w:tc>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kern w:val="0"/>
                <w:sz w:val="18"/>
                <w:szCs w:val="18"/>
              </w:rPr>
            </w:pPr>
            <w:r>
              <w:rPr>
                <w:rFonts w:ascii="宋体" w:cs="宋体" w:hint="eastAsia"/>
                <w:color w:val="000000"/>
                <w:kern w:val="0"/>
                <w:sz w:val="18"/>
                <w:szCs w:val="18"/>
              </w:rPr>
              <w:t>180</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册/期</w:t>
            </w:r>
          </w:p>
        </w:tc>
        <w:tc>
          <w:tcPr>
            <w:tcW w:w="855" w:type="dxa"/>
            <w:tcBorders>
              <w:top w:val="single" w:sz="4" w:space="0" w:color="000000"/>
              <w:left w:val="single" w:sz="4" w:space="0" w:color="000000"/>
              <w:bottom w:val="single" w:sz="4" w:space="0" w:color="000000"/>
              <w:right w:val="nil"/>
            </w:tcBorders>
            <w:shd w:val="clear" w:color="auto" w:fill="auto"/>
            <w:noWrap/>
            <w:vAlign w:val="center"/>
          </w:tcPr>
          <w:p>
            <w:pPr>
              <w:widowControl/>
              <w:jc w:val="center"/>
              <w:textAlignment w:val="center"/>
              <w:rPr>
                <w:rFonts w:ascii="宋体" w:cs="宋体"/>
                <w:color w:val="000000"/>
                <w:kern w:val="0"/>
                <w:sz w:val="18"/>
                <w:szCs w:val="18"/>
              </w:rPr>
            </w:pPr>
            <w:r>
              <w:rPr>
                <w:rFonts w:ascii="宋体" w:cs="宋体" w:hint="eastAsia"/>
                <w:color w:val="000000"/>
                <w:kern w:val="0"/>
                <w:sz w:val="18"/>
                <w:szCs w:val="18"/>
              </w:rPr>
              <w:t>10</w:t>
            </w:r>
          </w:p>
        </w:tc>
        <w:tc>
          <w:tcPr>
            <w:tcW w:w="10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kern w:val="0"/>
                <w:sz w:val="18"/>
                <w:szCs w:val="18"/>
              </w:rPr>
            </w:pPr>
            <w:r>
              <w:rPr>
                <w:rFonts w:ascii="宋体" w:cs="宋体" w:hint="eastAsia"/>
                <w:color w:val="000000"/>
                <w:kern w:val="0"/>
                <w:sz w:val="18"/>
                <w:szCs w:val="18"/>
              </w:rPr>
              <w:t>180册</w:t>
            </w:r>
          </w:p>
        </w:tc>
      </w:tr>
      <w:tr>
        <w:trPr>
          <w:trHeight w:val="245"/>
        </w:trPr>
        <w:tc>
          <w:tcPr>
            <w:tcW w:w="1080" w:type="dxa"/>
            <w:vMerge/>
            <w:tcBorders>
              <w:left w:val="single" w:sz="4" w:space="0" w:color="000000"/>
              <w:right w:val="single" w:sz="4" w:space="0" w:color="000000"/>
            </w:tcBorders>
            <w:shd w:val="clear" w:color="auto" w:fill="auto"/>
            <w:noWrap/>
            <w:vAlign w:val="center"/>
          </w:tcPr>
          <w:p/>
        </w:tc>
        <w:tc>
          <w:tcPr>
            <w:tcW w:w="1125" w:type="dxa"/>
            <w:vMerge/>
            <w:tcBorders>
              <w:left w:val="single" w:sz="4" w:space="0" w:color="000000"/>
              <w:right w:val="single" w:sz="4" w:space="0" w:color="000000"/>
            </w:tcBorders>
            <w:shd w:val="clear" w:color="auto" w:fill="auto"/>
            <w:noWrap/>
            <w:vAlign w:val="center"/>
          </w:tcPr>
          <w:p/>
        </w:tc>
        <w:tc>
          <w:tcPr>
            <w:tcW w:w="13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质量指标</w:t>
            </w:r>
          </w:p>
        </w:tc>
        <w:tc>
          <w:tcPr>
            <w:tcW w:w="25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宋体" w:cs="宋体"/>
                <w:color w:val="000000"/>
                <w:sz w:val="18"/>
                <w:szCs w:val="18"/>
              </w:rPr>
            </w:pPr>
            <w:r>
              <w:rPr>
                <w:rFonts w:ascii="宋体" w:cs="宋体"/>
                <w:color w:val="000000"/>
                <w:kern w:val="0"/>
                <w:sz w:val="18"/>
                <w:szCs w:val="18"/>
              </w:rPr>
              <w:t>相关单位报表质量</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w:t>
            </w:r>
          </w:p>
        </w:tc>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99</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w:t>
            </w:r>
          </w:p>
        </w:tc>
        <w:tc>
          <w:tcPr>
            <w:tcW w:w="855" w:type="dxa"/>
            <w:tcBorders>
              <w:top w:val="single" w:sz="4" w:space="0" w:color="000000"/>
              <w:left w:val="single" w:sz="4" w:space="0" w:color="000000"/>
              <w:bottom w:val="single" w:sz="4" w:space="0" w:color="000000"/>
              <w:right w:val="nil"/>
            </w:tcBorders>
            <w:shd w:val="clear" w:color="auto" w:fill="auto"/>
            <w:noWrap/>
            <w:vAlign w:val="center"/>
          </w:tcPr>
          <w:p>
            <w:pPr>
              <w:widowControl/>
              <w:jc w:val="center"/>
              <w:textAlignment w:val="center"/>
              <w:rPr>
                <w:rFonts w:ascii="宋体" w:eastAsia="宋体" w:cs="宋体"/>
                <w:color w:val="000000"/>
                <w:sz w:val="18"/>
                <w:szCs w:val="18"/>
                <w:lang w:val="en-US" w:eastAsia="zh-CN"/>
              </w:rPr>
            </w:pPr>
            <w:r>
              <w:rPr>
                <w:rFonts w:ascii="宋体" w:cs="宋体" w:hint="eastAsia"/>
                <w:color w:val="000000"/>
                <w:sz w:val="18"/>
                <w:szCs w:val="18"/>
                <w:lang w:val="en-US" w:eastAsia="zh-CN"/>
              </w:rPr>
              <w:t>20</w:t>
            </w:r>
          </w:p>
        </w:tc>
        <w:tc>
          <w:tcPr>
            <w:tcW w:w="10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hint="eastAsia"/>
                <w:color w:val="000000"/>
                <w:kern w:val="0"/>
                <w:sz w:val="18"/>
                <w:szCs w:val="18"/>
              </w:rPr>
              <w:t>100</w:t>
            </w:r>
          </w:p>
        </w:tc>
      </w:tr>
      <w:tr>
        <w:trPr>
          <w:trHeight w:val="245"/>
        </w:trPr>
        <w:tc>
          <w:tcPr>
            <w:tcW w:w="1080" w:type="dxa"/>
            <w:vMerge/>
            <w:tcBorders>
              <w:left w:val="single" w:sz="4" w:space="0" w:color="000000"/>
              <w:right w:val="single" w:sz="4" w:space="0" w:color="000000"/>
            </w:tcBorders>
            <w:shd w:val="clear" w:color="auto" w:fill="auto"/>
            <w:noWrap/>
            <w:vAlign w:val="center"/>
          </w:tcPr>
          <w:p/>
        </w:tc>
        <w:tc>
          <w:tcPr>
            <w:tcW w:w="1125" w:type="dxa"/>
            <w:vMerge/>
            <w:tcBorders>
              <w:left w:val="single" w:sz="4" w:space="0" w:color="000000"/>
              <w:right w:val="single" w:sz="4" w:space="0" w:color="000000"/>
            </w:tcBorders>
            <w:shd w:val="clear" w:color="auto" w:fill="auto"/>
            <w:noWrap/>
            <w:vAlign w:val="center"/>
          </w:tcPr>
          <w:p/>
        </w:tc>
        <w:tc>
          <w:tcPr>
            <w:tcW w:w="13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eastAsia="宋体" w:cs="宋体" w:hint="eastAsia"/>
                <w:color w:val="000000"/>
                <w:kern w:val="0"/>
                <w:sz w:val="18"/>
                <w:szCs w:val="18"/>
                <w:lang w:eastAsia="zh-CN"/>
              </w:rPr>
            </w:pPr>
            <w:r>
              <w:rPr>
                <w:rFonts w:ascii="宋体" w:cs="宋体" w:hint="eastAsia"/>
                <w:color w:val="000000"/>
                <w:kern w:val="0"/>
                <w:sz w:val="18"/>
                <w:szCs w:val="18"/>
                <w:lang w:eastAsia="zh-CN"/>
              </w:rPr>
              <w:t>数量指标</w:t>
            </w:r>
          </w:p>
        </w:tc>
        <w:tc>
          <w:tcPr>
            <w:tcW w:w="25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宋体" w:eastAsia="宋体" w:cs="宋体" w:hint="eastAsia"/>
                <w:color w:val="000000"/>
                <w:kern w:val="0"/>
                <w:sz w:val="18"/>
                <w:szCs w:val="18"/>
                <w:lang w:eastAsia="zh-CN"/>
              </w:rPr>
            </w:pPr>
            <w:r>
              <w:rPr>
                <w:rFonts w:ascii="宋体" w:cs="宋体" w:hint="eastAsia"/>
                <w:color w:val="000000"/>
                <w:kern w:val="0"/>
                <w:sz w:val="18"/>
                <w:szCs w:val="18"/>
                <w:lang w:eastAsia="zh-CN"/>
              </w:rPr>
              <w:t>指导各镇业务次数</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w:t>
            </w:r>
          </w:p>
        </w:tc>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eastAsia="宋体" w:cs="宋体" w:hint="eastAsia"/>
                <w:color w:val="000000"/>
                <w:kern w:val="0"/>
                <w:sz w:val="18"/>
                <w:szCs w:val="18"/>
                <w:lang w:val="en-US" w:eastAsia="zh-CN"/>
              </w:rPr>
            </w:pPr>
            <w:r>
              <w:rPr>
                <w:rFonts w:ascii="宋体" w:cs="宋体" w:hint="eastAsia"/>
                <w:color w:val="000000"/>
                <w:kern w:val="0"/>
                <w:sz w:val="18"/>
                <w:szCs w:val="18"/>
                <w:lang w:val="en-US" w:eastAsia="zh-CN"/>
              </w:rPr>
              <w:t>9</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eastAsia="宋体" w:cs="宋体" w:hint="eastAsia"/>
                <w:color w:val="000000"/>
                <w:kern w:val="0"/>
                <w:sz w:val="18"/>
                <w:szCs w:val="18"/>
                <w:lang w:eastAsia="zh-CN"/>
              </w:rPr>
            </w:pPr>
            <w:r>
              <w:rPr>
                <w:rFonts w:ascii="宋体" w:cs="宋体" w:hint="eastAsia"/>
                <w:color w:val="000000"/>
                <w:kern w:val="0"/>
                <w:sz w:val="18"/>
                <w:szCs w:val="18"/>
                <w:lang w:eastAsia="zh-CN"/>
              </w:rPr>
              <w:t>次</w:t>
            </w:r>
          </w:p>
        </w:tc>
        <w:tc>
          <w:tcPr>
            <w:tcW w:w="855" w:type="dxa"/>
            <w:tcBorders>
              <w:top w:val="single" w:sz="4" w:space="0" w:color="000000"/>
              <w:left w:val="single" w:sz="4" w:space="0" w:color="000000"/>
              <w:bottom w:val="single" w:sz="4" w:space="0" w:color="000000"/>
              <w:right w:val="nil"/>
            </w:tcBorders>
            <w:shd w:val="clear" w:color="auto" w:fill="auto"/>
            <w:noWrap/>
            <w:vAlign w:val="center"/>
          </w:tcPr>
          <w:p>
            <w:pPr>
              <w:widowControl/>
              <w:jc w:val="center"/>
              <w:textAlignment w:val="center"/>
              <w:rPr>
                <w:rFonts w:ascii="宋体" w:eastAsia="宋体" w:cs="宋体"/>
                <w:color w:val="000000"/>
                <w:kern w:val="0"/>
                <w:sz w:val="18"/>
                <w:szCs w:val="18"/>
                <w:lang w:val="en-US" w:eastAsia="zh-CN"/>
              </w:rPr>
            </w:pPr>
            <w:r>
              <w:rPr>
                <w:rFonts w:ascii="宋体" w:cs="宋体" w:hint="eastAsia"/>
                <w:color w:val="000000"/>
                <w:kern w:val="0"/>
                <w:sz w:val="18"/>
                <w:szCs w:val="18"/>
                <w:lang w:val="en-US" w:eastAsia="zh-CN"/>
              </w:rPr>
              <w:t>10</w:t>
            </w:r>
          </w:p>
        </w:tc>
        <w:tc>
          <w:tcPr>
            <w:tcW w:w="10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eastAsia="宋体" w:cs="宋体" w:hint="eastAsia"/>
                <w:color w:val="000000"/>
                <w:kern w:val="0"/>
                <w:sz w:val="18"/>
                <w:szCs w:val="18"/>
                <w:lang w:val="en-US" w:eastAsia="zh-CN"/>
              </w:rPr>
            </w:pPr>
            <w:r>
              <w:rPr>
                <w:rFonts w:ascii="宋体" w:cs="宋体" w:hint="eastAsia"/>
                <w:color w:val="000000"/>
                <w:kern w:val="0"/>
                <w:sz w:val="18"/>
                <w:szCs w:val="18"/>
                <w:lang w:val="en-US" w:eastAsia="zh-CN"/>
              </w:rPr>
              <w:t>9次</w:t>
            </w:r>
          </w:p>
        </w:tc>
      </w:tr>
      <w:tr>
        <w:trPr>
          <w:trHeight w:val="245"/>
        </w:trPr>
        <w:tc>
          <w:tcPr>
            <w:tcW w:w="1080" w:type="dxa"/>
            <w:vMerge/>
            <w:tcBorders>
              <w:left w:val="single" w:sz="4" w:space="0" w:color="000000"/>
              <w:right w:val="single" w:sz="4" w:space="0" w:color="000000"/>
            </w:tcBorders>
            <w:shd w:val="clear" w:color="auto" w:fill="auto"/>
            <w:noWrap/>
            <w:vAlign w:val="center"/>
          </w:tcPr>
          <w:p/>
        </w:tc>
        <w:tc>
          <w:tcPr>
            <w:tcW w:w="1125" w:type="dxa"/>
            <w:vMerge/>
            <w:tcBorders>
              <w:left w:val="single" w:sz="4" w:space="0" w:color="000000"/>
              <w:bottom w:val="single" w:sz="4" w:space="0" w:color="000000"/>
              <w:right w:val="single" w:sz="4" w:space="0" w:color="000000"/>
            </w:tcBorders>
            <w:shd w:val="clear" w:color="auto" w:fill="auto"/>
            <w:noWrap/>
            <w:vAlign w:val="center"/>
          </w:tcPr>
          <w:p/>
        </w:tc>
        <w:tc>
          <w:tcPr>
            <w:tcW w:w="13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eastAsia="宋体" w:cs="宋体" w:hint="eastAsia"/>
                <w:color w:val="000000"/>
                <w:kern w:val="0"/>
                <w:sz w:val="18"/>
                <w:szCs w:val="18"/>
                <w:lang w:eastAsia="zh-CN"/>
              </w:rPr>
            </w:pPr>
            <w:r>
              <w:rPr>
                <w:rFonts w:ascii="宋体" w:cs="宋体" w:hint="eastAsia"/>
                <w:color w:val="000000"/>
                <w:kern w:val="0"/>
                <w:sz w:val="18"/>
                <w:szCs w:val="18"/>
                <w:lang w:eastAsia="zh-CN"/>
              </w:rPr>
              <w:t>数量指标</w:t>
            </w:r>
          </w:p>
        </w:tc>
        <w:tc>
          <w:tcPr>
            <w:tcW w:w="25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宋体" w:eastAsia="宋体" w:cs="宋体" w:hint="eastAsia"/>
                <w:color w:val="000000"/>
                <w:kern w:val="0"/>
                <w:sz w:val="18"/>
                <w:szCs w:val="18"/>
                <w:lang w:eastAsia="zh-CN"/>
              </w:rPr>
            </w:pPr>
            <w:r>
              <w:rPr>
                <w:rFonts w:ascii="宋体" w:cs="宋体" w:hint="eastAsia"/>
                <w:color w:val="000000"/>
                <w:kern w:val="0"/>
                <w:sz w:val="18"/>
                <w:szCs w:val="18"/>
                <w:lang w:eastAsia="zh-CN"/>
              </w:rPr>
              <w:t>名录库新入库单位户数</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w:t>
            </w:r>
          </w:p>
        </w:tc>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eastAsia="宋体" w:cs="宋体" w:hint="eastAsia"/>
                <w:color w:val="000000"/>
                <w:kern w:val="0"/>
                <w:sz w:val="18"/>
                <w:szCs w:val="18"/>
                <w:lang w:val="en-US" w:eastAsia="zh-CN"/>
              </w:rPr>
            </w:pPr>
            <w:r>
              <w:rPr>
                <w:rFonts w:ascii="宋体" w:cs="宋体" w:hint="eastAsia"/>
                <w:color w:val="000000"/>
                <w:kern w:val="0"/>
                <w:sz w:val="18"/>
                <w:szCs w:val="18"/>
                <w:lang w:val="en-US" w:eastAsia="zh-CN"/>
              </w:rPr>
              <w:t>6</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eastAsia="宋体" w:cs="宋体" w:hint="eastAsia"/>
                <w:color w:val="000000"/>
                <w:kern w:val="0"/>
                <w:sz w:val="18"/>
                <w:szCs w:val="18"/>
                <w:lang w:eastAsia="zh-CN"/>
              </w:rPr>
            </w:pPr>
            <w:r>
              <w:rPr>
                <w:rFonts w:ascii="宋体" w:cs="宋体" w:hint="eastAsia"/>
                <w:color w:val="000000"/>
                <w:kern w:val="0"/>
                <w:sz w:val="18"/>
                <w:szCs w:val="18"/>
                <w:lang w:eastAsia="zh-CN"/>
              </w:rPr>
              <w:t>户</w:t>
            </w:r>
          </w:p>
        </w:tc>
        <w:tc>
          <w:tcPr>
            <w:tcW w:w="855" w:type="dxa"/>
            <w:tcBorders>
              <w:top w:val="single" w:sz="4" w:space="0" w:color="000000"/>
              <w:left w:val="single" w:sz="4" w:space="0" w:color="000000"/>
              <w:bottom w:val="single" w:sz="4" w:space="0" w:color="000000"/>
              <w:right w:val="nil"/>
            </w:tcBorders>
            <w:shd w:val="clear" w:color="auto" w:fill="auto"/>
            <w:noWrap/>
            <w:vAlign w:val="center"/>
          </w:tcPr>
          <w:p>
            <w:pPr>
              <w:widowControl/>
              <w:jc w:val="center"/>
              <w:textAlignment w:val="center"/>
              <w:rPr>
                <w:rFonts w:ascii="宋体" w:eastAsia="宋体" w:cs="宋体"/>
                <w:color w:val="000000"/>
                <w:kern w:val="0"/>
                <w:sz w:val="18"/>
                <w:szCs w:val="18"/>
                <w:lang w:val="en-US" w:eastAsia="zh-CN"/>
              </w:rPr>
            </w:pPr>
            <w:r>
              <w:rPr>
                <w:rFonts w:ascii="宋体" w:cs="宋体" w:hint="eastAsia"/>
                <w:color w:val="000000"/>
                <w:kern w:val="0"/>
                <w:sz w:val="18"/>
                <w:szCs w:val="18"/>
                <w:lang w:val="en-US" w:eastAsia="zh-CN"/>
              </w:rPr>
              <w:t>10</w:t>
            </w:r>
          </w:p>
        </w:tc>
        <w:tc>
          <w:tcPr>
            <w:tcW w:w="10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eastAsia="宋体" w:cs="宋体" w:hint="eastAsia"/>
                <w:color w:val="000000"/>
                <w:kern w:val="0"/>
                <w:sz w:val="18"/>
                <w:szCs w:val="18"/>
                <w:lang w:val="en-US" w:eastAsia="zh-CN"/>
              </w:rPr>
            </w:pPr>
            <w:r>
              <w:rPr>
                <w:rFonts w:ascii="宋体" w:cs="宋体" w:hint="eastAsia"/>
                <w:color w:val="000000"/>
                <w:kern w:val="0"/>
                <w:sz w:val="18"/>
                <w:szCs w:val="18"/>
                <w:lang w:val="en-US" w:eastAsia="zh-CN"/>
              </w:rPr>
              <w:t>8户</w:t>
            </w:r>
          </w:p>
        </w:tc>
      </w:tr>
      <w:tr>
        <w:trPr>
          <w:trHeight w:val="570"/>
        </w:trPr>
        <w:tc>
          <w:tcPr>
            <w:tcW w:w="1080" w:type="dxa"/>
            <w:vMerge/>
            <w:tcBorders>
              <w:left w:val="single" w:sz="4" w:space="0" w:color="000000"/>
              <w:right w:val="single" w:sz="4" w:space="0" w:color="000000"/>
            </w:tcBorders>
            <w:shd w:val="clear" w:color="auto" w:fill="auto"/>
            <w:noWrap/>
            <w:vAlign w:val="center"/>
          </w:tcPr>
          <w:p/>
        </w:tc>
        <w:tc>
          <w:tcPr>
            <w:tcW w:w="11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宋体" w:cs="宋体"/>
                <w:color w:val="000000"/>
                <w:sz w:val="18"/>
                <w:szCs w:val="18"/>
              </w:rPr>
            </w:pPr>
            <w:r>
              <w:rPr>
                <w:rFonts w:ascii="宋体" w:cs="宋体"/>
                <w:color w:val="000000"/>
                <w:kern w:val="0"/>
                <w:sz w:val="18"/>
                <w:szCs w:val="18"/>
              </w:rPr>
              <w:t>效益指标</w:t>
            </w:r>
          </w:p>
        </w:tc>
        <w:tc>
          <w:tcPr>
            <w:tcW w:w="13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社会效益指标</w:t>
            </w:r>
          </w:p>
        </w:tc>
        <w:tc>
          <w:tcPr>
            <w:tcW w:w="25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宋体" w:cs="宋体"/>
                <w:color w:val="000000"/>
                <w:sz w:val="18"/>
                <w:szCs w:val="18"/>
              </w:rPr>
            </w:pPr>
            <w:r>
              <w:rPr>
                <w:rFonts w:ascii="宋体" w:cs="宋体"/>
                <w:color w:val="000000"/>
                <w:kern w:val="0"/>
                <w:sz w:val="18"/>
                <w:szCs w:val="18"/>
              </w:rPr>
              <w:t>对经济指标分析，为经济社会发展提供决策依据</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w:t>
            </w:r>
          </w:p>
        </w:tc>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99</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w:t>
            </w:r>
          </w:p>
        </w:tc>
        <w:tc>
          <w:tcPr>
            <w:tcW w:w="855" w:type="dxa"/>
            <w:tcBorders>
              <w:top w:val="single" w:sz="4" w:space="0" w:color="000000"/>
              <w:left w:val="single" w:sz="4" w:space="0" w:color="000000"/>
              <w:bottom w:val="single" w:sz="4" w:space="0" w:color="000000"/>
              <w:right w:val="nil"/>
            </w:tcBorders>
            <w:shd w:val="clear" w:color="auto" w:fill="auto"/>
            <w:noWrap/>
            <w:vAlign w:val="center"/>
          </w:tcPr>
          <w:p>
            <w:pPr>
              <w:widowControl/>
              <w:jc w:val="center"/>
              <w:textAlignment w:val="center"/>
              <w:rPr>
                <w:rFonts w:ascii="宋体" w:eastAsia="宋体" w:cs="宋体"/>
                <w:color w:val="000000"/>
                <w:sz w:val="18"/>
                <w:szCs w:val="18"/>
                <w:lang w:val="en-US" w:eastAsia="zh-CN"/>
              </w:rPr>
            </w:pPr>
            <w:r>
              <w:rPr>
                <w:rFonts w:ascii="宋体" w:cs="宋体" w:hint="eastAsia"/>
                <w:color w:val="000000"/>
                <w:kern w:val="0"/>
                <w:sz w:val="18"/>
                <w:szCs w:val="18"/>
                <w:lang w:val="en-US" w:eastAsia="zh-CN"/>
              </w:rPr>
              <w:t>20</w:t>
            </w:r>
          </w:p>
        </w:tc>
        <w:tc>
          <w:tcPr>
            <w:tcW w:w="10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eastAsia="宋体" w:cs="宋体" w:hint="eastAsia"/>
                <w:color w:val="000000"/>
                <w:sz w:val="18"/>
                <w:szCs w:val="18"/>
                <w:lang w:val="en-US" w:eastAsia="zh-CN"/>
              </w:rPr>
            </w:pPr>
            <w:r>
              <w:rPr>
                <w:rFonts w:ascii="宋体" w:cs="宋体" w:hint="eastAsia"/>
                <w:color w:val="000000"/>
                <w:kern w:val="0"/>
                <w:sz w:val="18"/>
                <w:szCs w:val="18"/>
              </w:rPr>
              <w:t>100</w:t>
            </w:r>
            <w:r>
              <w:rPr>
                <w:rFonts w:ascii="宋体" w:cs="宋体" w:hint="eastAsia"/>
                <w:color w:val="000000"/>
                <w:kern w:val="0"/>
                <w:sz w:val="18"/>
                <w:szCs w:val="18"/>
                <w:lang w:val="en-US" w:eastAsia="zh-CN"/>
              </w:rPr>
              <w:t>%</w:t>
            </w:r>
          </w:p>
        </w:tc>
      </w:tr>
      <w:tr>
        <w:trPr>
          <w:trHeight w:val="570"/>
        </w:trPr>
        <w:tc>
          <w:tcPr>
            <w:tcW w:w="1080" w:type="dxa"/>
            <w:vMerge/>
            <w:tcBorders>
              <w:left w:val="single" w:sz="4" w:space="0" w:color="000000"/>
              <w:bottom w:val="single" w:sz="4" w:space="0" w:color="auto"/>
              <w:right w:val="single" w:sz="4" w:space="0" w:color="000000"/>
            </w:tcBorders>
            <w:shd w:val="clear" w:color="auto" w:fill="auto"/>
            <w:noWrap/>
            <w:vAlign w:val="center"/>
          </w:tcPr>
          <w:p/>
        </w:tc>
        <w:tc>
          <w:tcPr>
            <w:tcW w:w="11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宋体" w:cs="宋体"/>
                <w:color w:val="000000"/>
                <w:sz w:val="18"/>
                <w:szCs w:val="18"/>
              </w:rPr>
            </w:pPr>
            <w:r>
              <w:rPr>
                <w:rFonts w:ascii="宋体" w:cs="宋体"/>
                <w:color w:val="000000"/>
                <w:kern w:val="0"/>
                <w:sz w:val="18"/>
                <w:szCs w:val="18"/>
              </w:rPr>
              <w:t>满意度指标</w:t>
            </w:r>
          </w:p>
        </w:tc>
        <w:tc>
          <w:tcPr>
            <w:tcW w:w="13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宋体" w:cs="宋体"/>
                <w:color w:val="000000"/>
                <w:sz w:val="18"/>
                <w:szCs w:val="18"/>
              </w:rPr>
            </w:pPr>
            <w:r>
              <w:rPr>
                <w:rFonts w:ascii="宋体" w:cs="宋体"/>
                <w:color w:val="000000"/>
                <w:kern w:val="0"/>
                <w:sz w:val="18"/>
                <w:szCs w:val="18"/>
              </w:rPr>
              <w:t>服务对象满意度指标</w:t>
            </w:r>
          </w:p>
        </w:tc>
        <w:tc>
          <w:tcPr>
            <w:tcW w:w="25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left"/>
              <w:textAlignment w:val="center"/>
              <w:rPr>
                <w:rFonts w:ascii="宋体" w:cs="宋体"/>
                <w:color w:val="000000"/>
                <w:sz w:val="18"/>
                <w:szCs w:val="18"/>
              </w:rPr>
            </w:pPr>
            <w:r>
              <w:rPr>
                <w:rFonts w:ascii="宋体" w:cs="宋体"/>
                <w:color w:val="000000"/>
                <w:kern w:val="0"/>
                <w:sz w:val="18"/>
                <w:szCs w:val="18"/>
              </w:rPr>
              <w:t>社会人员对统计局满意度</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w:t>
            </w:r>
          </w:p>
        </w:tc>
        <w:tc>
          <w:tcPr>
            <w:tcW w:w="8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98</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w:t>
            </w:r>
          </w:p>
        </w:tc>
        <w:tc>
          <w:tcPr>
            <w:tcW w:w="855" w:type="dxa"/>
            <w:tcBorders>
              <w:top w:val="single" w:sz="4" w:space="0" w:color="000000"/>
              <w:left w:val="single" w:sz="4" w:space="0" w:color="000000"/>
              <w:bottom w:val="single" w:sz="4" w:space="0" w:color="000000"/>
              <w:right w:val="nil"/>
            </w:tcBorders>
            <w:shd w:val="clear" w:color="auto" w:fill="auto"/>
            <w:noWrap/>
            <w:vAlign w:val="center"/>
          </w:tcPr>
          <w:p>
            <w:pPr>
              <w:widowControl/>
              <w:jc w:val="center"/>
              <w:textAlignment w:val="center"/>
              <w:rPr>
                <w:rFonts w:ascii="宋体" w:cs="宋体"/>
                <w:color w:val="000000"/>
                <w:sz w:val="18"/>
                <w:szCs w:val="18"/>
              </w:rPr>
            </w:pPr>
            <w:r>
              <w:rPr>
                <w:rFonts w:ascii="宋体" w:cs="宋体"/>
                <w:color w:val="000000"/>
                <w:kern w:val="0"/>
                <w:sz w:val="18"/>
                <w:szCs w:val="18"/>
              </w:rPr>
              <w:t>10</w:t>
            </w:r>
          </w:p>
        </w:tc>
        <w:tc>
          <w:tcPr>
            <w:tcW w:w="10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textAlignment w:val="center"/>
              <w:rPr>
                <w:rFonts w:ascii="宋体" w:eastAsia="宋体" w:cs="宋体" w:hint="eastAsia"/>
                <w:color w:val="000000"/>
                <w:sz w:val="18"/>
                <w:szCs w:val="18"/>
                <w:lang w:val="en-US" w:eastAsia="zh-CN"/>
              </w:rPr>
            </w:pPr>
            <w:r>
              <w:rPr>
                <w:rFonts w:ascii="宋体" w:cs="宋体" w:hint="eastAsia"/>
                <w:color w:val="000000"/>
                <w:kern w:val="0"/>
                <w:sz w:val="18"/>
                <w:szCs w:val="18"/>
              </w:rPr>
              <w:t>100</w:t>
            </w:r>
            <w:r>
              <w:rPr>
                <w:rFonts w:ascii="宋体" w:cs="宋体" w:hint="eastAsia"/>
                <w:color w:val="000000"/>
                <w:kern w:val="0"/>
                <w:sz w:val="18"/>
                <w:szCs w:val="18"/>
                <w:lang w:val="en-US" w:eastAsia="zh-CN"/>
              </w:rPr>
              <w:t>%</w:t>
            </w:r>
          </w:p>
        </w:tc>
      </w:tr>
    </w:tbl>
    <w:p>
      <w:pPr>
        <w:spacing w:line="600" w:lineRule="exact"/>
        <w:jc w:val="center"/>
        <w:outlineLvl w:val="0"/>
        <w:rPr>
          <w:rFonts w:ascii="黑体" w:eastAsia="黑体" w:hint="eastAsia"/>
          <w:sz w:val="44"/>
          <w:szCs w:val="44"/>
        </w:rPr>
      </w:pPr>
    </w:p>
    <w:p>
      <w:pPr>
        <w:spacing w:line="600" w:lineRule="exact"/>
        <w:jc w:val="center"/>
        <w:outlineLvl w:val="0"/>
        <w:rPr>
          <w:rFonts w:ascii="仿宋" w:eastAsia="仿宋"/>
        </w:rPr>
      </w:pPr>
      <w:r>
        <w:rPr>
          <w:rFonts w:ascii="黑体" w:eastAsia="黑体" w:hint="eastAsia"/>
          <w:sz w:val="44"/>
          <w:szCs w:val="44"/>
        </w:rPr>
        <w:t>第</w:t>
      </w:r>
      <w:r>
        <w:rPr>
          <w:rStyle w:val="1Char"/>
          <w:rFonts w:ascii="黑体" w:eastAsia="黑体" w:hint="eastAsia"/>
          <w:b w:val="0"/>
        </w:rPr>
        <w:t>五部分 附表</w:t>
      </w:r>
      <w:bookmarkStart w:id="57" w:name="_Toc15396619"/>
      <w:bookmarkEnd w:id="51"/>
      <w:bookmarkEnd w:id="53"/>
    </w:p>
    <w:p>
      <w:pPr>
        <w:pStyle w:val="2"/>
        <w:rPr>
          <w:rStyle w:val="2Char"/>
          <w:rFonts w:ascii="仿宋" w:eastAsia="仿宋"/>
          <w:b w:val="0"/>
          <w:bCs w:val="0"/>
        </w:rPr>
      </w:pPr>
      <w:r>
        <w:rPr>
          <w:rStyle w:val="2Char"/>
          <w:rFonts w:ascii="仿宋" w:eastAsia="仿宋" w:hint="eastAsia"/>
          <w:b w:val="0"/>
          <w:bCs w:val="0"/>
        </w:rPr>
        <w:t>一、收入支出决算总表</w:t>
      </w:r>
      <w:bookmarkEnd w:id="57"/>
    </w:p>
    <w:p>
      <w:pPr>
        <w:pStyle w:val="2"/>
        <w:rPr>
          <w:rStyle w:val="2Char"/>
          <w:rFonts w:ascii="仿宋" w:eastAsia="仿宋"/>
          <w:b w:val="0"/>
          <w:bCs w:val="0"/>
        </w:rPr>
      </w:pPr>
      <w:bookmarkStart w:id="58" w:name="_Toc15396620"/>
      <w:r>
        <w:rPr>
          <w:rStyle w:val="2Char"/>
          <w:rFonts w:ascii="仿宋" w:eastAsia="仿宋" w:hint="eastAsia"/>
          <w:b w:val="0"/>
          <w:bCs w:val="0"/>
        </w:rPr>
        <w:t>二、收入决算表</w:t>
      </w:r>
      <w:bookmarkEnd w:id="58"/>
    </w:p>
    <w:p>
      <w:pPr>
        <w:pStyle w:val="2"/>
        <w:rPr>
          <w:rStyle w:val="2Char"/>
          <w:rFonts w:ascii="仿宋" w:eastAsia="仿宋"/>
          <w:b w:val="0"/>
          <w:bCs w:val="0"/>
        </w:rPr>
      </w:pPr>
      <w:bookmarkStart w:id="59" w:name="_Toc15396621"/>
      <w:r>
        <w:rPr>
          <w:rStyle w:val="2Char"/>
          <w:rFonts w:ascii="仿宋" w:eastAsia="仿宋" w:hint="eastAsia"/>
          <w:b w:val="0"/>
          <w:bCs w:val="0"/>
        </w:rPr>
        <w:t>三、支出决算表</w:t>
      </w:r>
      <w:bookmarkEnd w:id="59"/>
    </w:p>
    <w:p>
      <w:pPr>
        <w:pStyle w:val="2"/>
        <w:rPr>
          <w:rStyle w:val="2Char"/>
          <w:rFonts w:ascii="仿宋" w:eastAsia="仿宋"/>
          <w:b w:val="0"/>
          <w:bCs w:val="0"/>
        </w:rPr>
      </w:pPr>
      <w:bookmarkStart w:id="60" w:name="_Toc15396622"/>
      <w:r>
        <w:rPr>
          <w:rStyle w:val="2Char"/>
          <w:rFonts w:ascii="仿宋" w:eastAsia="仿宋" w:hint="eastAsia"/>
          <w:b w:val="0"/>
          <w:bCs w:val="0"/>
        </w:rPr>
        <w:t>四、财政拨款收入支出决算总表</w:t>
      </w:r>
      <w:bookmarkEnd w:id="60"/>
    </w:p>
    <w:p>
      <w:pPr>
        <w:pStyle w:val="2"/>
        <w:rPr>
          <w:rStyle w:val="2Char"/>
          <w:rFonts w:ascii="仿宋" w:eastAsia="仿宋"/>
          <w:b w:val="0"/>
          <w:bCs w:val="0"/>
        </w:rPr>
      </w:pPr>
      <w:bookmarkStart w:id="61" w:name="_Toc15396623"/>
      <w:r>
        <w:rPr>
          <w:rStyle w:val="2Char"/>
          <w:rFonts w:ascii="仿宋" w:eastAsia="仿宋" w:hint="eastAsia"/>
          <w:b w:val="0"/>
          <w:bCs w:val="0"/>
        </w:rPr>
        <w:t>五、财政拨款支出决算明细表</w:t>
      </w:r>
      <w:bookmarkStart w:id="62" w:name="_Toc15396624"/>
      <w:bookmarkEnd w:id="61"/>
    </w:p>
    <w:p>
      <w:pPr>
        <w:pStyle w:val="2"/>
        <w:rPr>
          <w:rStyle w:val="2Char"/>
          <w:rFonts w:ascii="仿宋" w:eastAsia="仿宋"/>
          <w:b w:val="0"/>
          <w:bCs w:val="0"/>
        </w:rPr>
      </w:pPr>
      <w:r>
        <w:rPr>
          <w:rStyle w:val="2Char"/>
          <w:rFonts w:ascii="仿宋" w:eastAsia="仿宋" w:hint="eastAsia"/>
          <w:b w:val="0"/>
          <w:bCs w:val="0"/>
        </w:rPr>
        <w:t>六、一般公共预算财政拨款支出决算表</w:t>
      </w:r>
      <w:bookmarkEnd w:id="62"/>
    </w:p>
    <w:p>
      <w:pPr>
        <w:pStyle w:val="2"/>
        <w:rPr>
          <w:rStyle w:val="2Char"/>
          <w:rFonts w:ascii="仿宋" w:eastAsia="仿宋"/>
          <w:b w:val="0"/>
          <w:bCs w:val="0"/>
        </w:rPr>
      </w:pPr>
      <w:bookmarkStart w:id="63" w:name="_Toc15396625"/>
      <w:r>
        <w:rPr>
          <w:rStyle w:val="2Char"/>
          <w:rFonts w:ascii="仿宋" w:eastAsia="仿宋" w:hint="eastAsia"/>
          <w:b w:val="0"/>
          <w:bCs w:val="0"/>
        </w:rPr>
        <w:t>七、一般公共预算财政拨款支出决算明细表</w:t>
      </w:r>
      <w:bookmarkEnd w:id="63"/>
    </w:p>
    <w:p>
      <w:pPr>
        <w:pStyle w:val="2"/>
        <w:rPr>
          <w:rStyle w:val="2Char"/>
          <w:rFonts w:ascii="仿宋" w:eastAsia="仿宋"/>
          <w:b w:val="0"/>
          <w:bCs w:val="0"/>
        </w:rPr>
      </w:pPr>
      <w:bookmarkStart w:id="64" w:name="_Toc15396626"/>
      <w:r>
        <w:rPr>
          <w:rStyle w:val="2Char"/>
          <w:rFonts w:ascii="仿宋" w:eastAsia="仿宋" w:hint="eastAsia"/>
          <w:b w:val="0"/>
          <w:bCs w:val="0"/>
        </w:rPr>
        <w:t>八、一般公共预算财政拨款基本支出决算表</w:t>
      </w:r>
      <w:bookmarkEnd w:id="64"/>
    </w:p>
    <w:p>
      <w:pPr>
        <w:pStyle w:val="2"/>
        <w:rPr>
          <w:rStyle w:val="2Char"/>
          <w:rFonts w:ascii="仿宋" w:eastAsia="仿宋"/>
          <w:b w:val="0"/>
          <w:bCs w:val="0"/>
        </w:rPr>
      </w:pPr>
      <w:bookmarkStart w:id="65" w:name="_Toc15396627"/>
      <w:r>
        <w:rPr>
          <w:rStyle w:val="2Char"/>
          <w:rFonts w:ascii="仿宋" w:eastAsia="仿宋" w:hint="eastAsia"/>
          <w:b w:val="0"/>
          <w:bCs w:val="0"/>
        </w:rPr>
        <w:t>九、一般公共预算财政拨款项目支出决算表</w:t>
      </w:r>
      <w:bookmarkEnd w:id="65"/>
    </w:p>
    <w:p>
      <w:pPr>
        <w:pStyle w:val="2"/>
        <w:rPr>
          <w:rStyle w:val="2Char"/>
          <w:rFonts w:ascii="仿宋" w:eastAsia="仿宋"/>
          <w:b w:val="0"/>
          <w:bCs w:val="0"/>
        </w:rPr>
      </w:pPr>
      <w:bookmarkStart w:id="66" w:name="_Toc15396628"/>
      <w:r>
        <w:rPr>
          <w:rStyle w:val="2Char"/>
          <w:rFonts w:ascii="仿宋" w:eastAsia="仿宋" w:hint="eastAsia"/>
          <w:b w:val="0"/>
          <w:bCs w:val="0"/>
        </w:rPr>
        <w:t>十、</w:t>
      </w:r>
      <w:bookmarkEnd w:id="66"/>
      <w:r>
        <w:rPr>
          <w:rStyle w:val="2Char"/>
          <w:rFonts w:ascii="仿宋" w:eastAsia="仿宋" w:hint="eastAsia"/>
          <w:b w:val="0"/>
          <w:bCs w:val="0"/>
        </w:rPr>
        <w:t>政府性基金预算财政拨款收入支出决算表</w:t>
      </w:r>
    </w:p>
    <w:p>
      <w:pPr>
        <w:pStyle w:val="2"/>
        <w:rPr>
          <w:rStyle w:val="2Char"/>
          <w:rFonts w:ascii="仿宋" w:eastAsia="仿宋"/>
          <w:b w:val="0"/>
          <w:bCs w:val="0"/>
        </w:rPr>
      </w:pPr>
      <w:bookmarkStart w:id="67" w:name="_Toc15396629"/>
      <w:r>
        <w:rPr>
          <w:rStyle w:val="2Char"/>
          <w:rFonts w:ascii="仿宋" w:eastAsia="仿宋" w:hint="eastAsia"/>
          <w:b w:val="0"/>
          <w:bCs w:val="0"/>
        </w:rPr>
        <w:t>十一、</w:t>
      </w:r>
      <w:bookmarkEnd w:id="67"/>
      <w:r>
        <w:rPr>
          <w:rStyle w:val="2Char"/>
          <w:rFonts w:ascii="仿宋" w:eastAsia="仿宋" w:hint="eastAsia"/>
          <w:b w:val="0"/>
          <w:bCs w:val="0"/>
        </w:rPr>
        <w:t>国有资本经营预算财政拨款收入支出决算表</w:t>
      </w:r>
    </w:p>
    <w:p>
      <w:pPr>
        <w:pStyle w:val="2"/>
        <w:rPr>
          <w:rFonts w:ascii="仿宋" w:eastAsia="仿宋"/>
        </w:rPr>
      </w:pPr>
      <w:bookmarkStart w:id="68" w:name="_Toc15396630"/>
      <w:r>
        <w:rPr>
          <w:rStyle w:val="2Char"/>
          <w:rFonts w:ascii="仿宋" w:eastAsia="仿宋" w:hint="eastAsia"/>
          <w:b w:val="0"/>
          <w:bCs w:val="0"/>
        </w:rPr>
        <w:t>十二、</w:t>
      </w:r>
      <w:bookmarkEnd w:id="68"/>
      <w:r>
        <w:rPr>
          <w:rStyle w:val="2Char"/>
          <w:rFonts w:ascii="仿宋" w:eastAsia="仿宋" w:hint="eastAsia"/>
          <w:b w:val="0"/>
          <w:bCs w:val="0"/>
        </w:rPr>
        <w:t>国有资本经营预算财政拨款支出决算表</w:t>
      </w:r>
    </w:p>
    <w:p>
      <w:pPr>
        <w:pStyle w:val="2"/>
        <w:rPr>
          <w:rFonts w:eastAsia="仿宋"/>
        </w:rPr>
      </w:pPr>
      <w:bookmarkStart w:id="69" w:name="_Toc15396631"/>
      <w:r>
        <w:rPr>
          <w:rStyle w:val="2Char"/>
          <w:rFonts w:ascii="仿宋" w:eastAsia="仿宋" w:hint="eastAsia"/>
          <w:b w:val="0"/>
          <w:bCs w:val="0"/>
        </w:rPr>
        <w:t>十三、</w:t>
      </w:r>
      <w:bookmarkEnd w:id="69"/>
      <w:r>
        <w:rPr>
          <w:rStyle w:val="2Char"/>
          <w:rFonts w:ascii="仿宋" w:eastAsia="仿宋" w:hint="eastAsia"/>
          <w:b w:val="0"/>
          <w:bCs w:val="0"/>
        </w:rPr>
        <w:t>财政拨款“三公”经费支出决算表</w:t>
      </w:r>
    </w:p>
    <w:sectPr>
      <w:headerReference w:type="default" r:id="rId2"/>
      <w:footerReference w:type="default" r:id="rId3"/>
      <w:pgSz w:w="11906" w:h="16838"/>
      <w:pgMar w:top="1440" w:right="1800" w:bottom="1440" w:left="1800" w:header="851" w:footer="992" w:gutter="0"/>
      <w:pgNumType w:start="1"/>
      <w:titlePg/>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简体">
    <w:altName w:val="微软雅黑"/>
    <w:panose1 w:val="00000000000000000000"/>
    <w:charset w:val="86"/>
    <w:family w:val="script"/>
    <w:pitch w:val="variable"/>
    <w:sig w:usb0="00000000" w:usb1="00000000" w:usb2="00000000" w:usb3="00000000" w:csb0="00040000" w:csb1="00000000"/>
  </w:font>
  <w:font w:name="黑体">
    <w:panose1 w:val="02010609060101010101"/>
    <w:charset w:val="86"/>
    <w:family w:val="auto"/>
    <w:pitch w:val="variable"/>
    <w:sig w:usb0="800002BF" w:usb1="38CF7CFA" w:usb2="00000016" w:usb3="00000000" w:csb0="00040001" w:csb1="00000000"/>
  </w:font>
  <w:font w:name="宋体">
    <w:panose1 w:val="02010600030101010101"/>
    <w:charset w:val="86"/>
    <w:family w:val="auto"/>
    <w:pitch w:val="variable"/>
    <w:sig w:usb0="00000003" w:usb1="288F0000" w:usb2="00000006" w:usb3="00000000" w:csb0="00040001" w:csb1="00000000"/>
  </w:font>
  <w:font w:name="仿宋_GB2312">
    <w:altName w:val="仿宋"/>
    <w:panose1 w:val="00000000000000000000"/>
    <w:charset w:val="86"/>
    <w:family w:val="modern"/>
    <w:pitch w:val="variable"/>
    <w:sig w:usb0="00000000" w:usb1="00000000" w:usb2="00000000" w:usb3="00000000" w:csb0="00040000" w:csb1="00000000"/>
  </w:font>
  <w:font w:name="Arial">
    <w:panose1 w:val="020B0604020202020204"/>
    <w:charset w:val="01"/>
    <w:family w:val="swiss"/>
    <w:pitch w:val="variable"/>
    <w:sig w:usb0="E0002AFF" w:usb1="C0007843" w:usb2="00000009" w:usb3="00000000" w:csb0="400001FF" w:csb1="FFFF0000"/>
  </w:font>
  <w:font w:name="仿宋">
    <w:panose1 w:val="02010609060101010101"/>
    <w:charset w:val="86"/>
    <w:family w:val="modern"/>
    <w:pitch w:val="variable"/>
    <w:sig w:usb0="800002BF" w:usb1="38CF7CFA" w:usb2="00000016" w:usb3="00000000" w:csb0="00040001" w:csb1="00000000"/>
  </w:font>
  <w:font w:name="楷体_GB2312">
    <w:altName w:val="楷体"/>
    <w:panose1 w:val="00000000000000000000"/>
    <w:charset w:val="86"/>
    <w:family w:val="modern"/>
    <w:pitch w:val="variable"/>
    <w:sig w:usb0="00000000" w:usb1="00000000" w:usb2="00000000" w:usb3="00000000" w:csb0="00040000" w:csb1="00000000"/>
  </w:font>
  <w:font w:name="Times New Roman">
    <w:panose1 w:val="02020603050405020304"/>
    <w:charset w:val="00"/>
    <w:family w:val="roman"/>
    <w:pitch w:val="variable"/>
    <w:sig w:usb0="20007A87" w:usb1="80000000" w:usb2="00000008" w:usb3="00000000" w:csb0="000001FF" w:csb1="00000000"/>
  </w:font>
  <w:font w:name="楷体">
    <w:panose1 w:val="02010609060101010101"/>
    <w:charset w:val="86"/>
    <w:family w:val="modern"/>
    <w:pitch w:val="variable"/>
    <w:sig w:usb0="800002BF" w:usb1="38CF7CFA" w:usb2="00000016" w:usb3="00000000" w:csb0="00040001" w:csb1="00000000"/>
  </w:font>
  <w:font w:name="Cambria">
    <w:panose1 w:val="02040503050406030204"/>
    <w:charset w:val="00"/>
    <w:family w:val="roman"/>
    <w:pitch w:val="variable"/>
    <w:sig w:usb0="E00002FF" w:usb1="400004FF" w:usb2="00000000" w:usb3="00000000" w:csb0="2000019F" w:csb1="00000000"/>
  </w:font>
  <w:font w:name="Calibri">
    <w:panose1 w:val="020F0502020204030204"/>
    <w:charset w:val="00"/>
    <w:family w:val="swiss"/>
    <w:pitch w:val="variable"/>
    <w:sig w:usb0="E00002FF" w:usb1="4000ACFF" w:usb2="00000001" w:usb3="00000000" w:csb0="2000019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sdt>
    <w:sdtPr>
      <w:id w:val="-1425693983"/>
    </w:sdtPr>
    <w:sdtContent>
      <w:p>
        <w:pPr>
          <w:pStyle w:val="19"/>
          <w:tabs>
            <w:tab w:val="center" w:pos="4153"/>
            <w:tab w:val="right" w:pos="8306"/>
          </w:tabs>
          <w:jc w:val="center"/>
        </w:pPr>
        <w:r>
          <w:fldChar w:fldCharType="begin"/>
        </w:r>
        <w:r>
          <w:instrText>PAGE   \* MERGEFORMAT</w:instrText>
        </w:r>
        <w:r>
          <w:fldChar w:fldCharType="separate"/>
        </w:r>
        <w:r>
          <w:rPr>
            <w:lang w:val="zh-CN"/>
          </w:rPr>
          <w:t>9</w:t>
        </w:r>
        <w:r>
          <w:fldChar w:fldCharType="end"/>
        </w:r>
      </w:p>
    </w:sdtContent>
  </w:sdt>
  <w:p>
    <w:pPr>
      <w:pStyle w:val="19"/>
      <w:tabs>
        <w:tab w:val="center" w:pos="4153"/>
        <w:tab w:val="right" w:pos="8306"/>
      </w:tabs>
    </w:pP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0"/>
      <w:pBdr>
        <w:bottom w:val="none" w:sz="0" w:space="0" w:color="auto"/>
      </w:pBdr>
      <w:tabs>
        <w:tab w:val="center" w:pos="4153"/>
        <w:tab w:val="right" w:pos="8306"/>
      </w:tabs>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1272550B"/>
    <w:multiLevelType w:val="multilevel"/>
    <w:tmpl w:val="1272550B"/>
    <w:lvl w:ilvl="0">
      <w:start w:val="1"/>
      <w:numFmt w:val="japaneseCounting"/>
      <w:lvlRestart w:val="0"/>
      <w:lvlText w:val="%1、"/>
      <w:lvlJc w:val="left"/>
      <w:pPr>
        <w:ind w:left="1360" w:hanging="720"/>
      </w:pPr>
      <w:rPr>
        <w:rFonts w:hint="default"/>
        <w:b w:val="0"/>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1">
    <w:nsid w:val="CF652CEC"/>
    <w:multiLevelType w:val="singleLevel"/>
    <w:tmpl w:val="CF652CEC"/>
    <w:lvl w:ilvl="0">
      <w:start w:val="9"/>
      <w:numFmt w:val="chineseCounting"/>
      <w:lvlRestart w:val="0"/>
      <w:suff w:val="nothing"/>
      <w:lvlText w:val="%1、"/>
      <w:lvlJc w:val="left"/>
      <w:pPr>
        <w:ind w:left="0" w:hanging="0"/>
      </w:pPr>
      <w:rPr>
        <w:rFonts w:hint="eastAsia"/>
      </w:rPr>
    </w:lvl>
  </w:abstractNum>
  <w:abstractNum w:abstractNumId="2">
    <w:nsid w:val="E2FA047D"/>
    <w:multiLevelType w:val="singleLevel"/>
    <w:tmpl w:val="E2FA047D"/>
    <w:lvl w:ilvl="0">
      <w:start w:val="3"/>
      <w:numFmt w:val="chineseCounting"/>
      <w:lvlRestart w:val="0"/>
      <w:suff w:val="space"/>
      <w:lvlText w:val="第%1部分"/>
      <w:lvlJc w:val="left"/>
      <w:pPr>
        <w:ind w:left="0" w:hanging="0"/>
      </w:pPr>
      <w:rPr>
        <w:rFonts w:ascii="黑体" w:hAnsi="黑体" w:eastAsia="黑体" w:cs="黑体" w:hint="eastAsia"/>
        <w:sz w:val="44"/>
        <w:szCs w:val="44"/>
      </w:rPr>
    </w:lvl>
  </w:abstractNum>
  <w:num w:numId="1">
    <w:abstractNumId w:val="0"/>
  </w:num>
  <w:num w:numId="2">
    <w:abstractNumId w:val="1"/>
  </w:num>
  <w:num w:numId="3">
    <w:abstractNumId w:val="2"/>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10"/>
  <w:bordersDoNotSurroundHeader/>
  <w:bordersDoNotSurroundFooter/>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2"/>
  </w:compat>
  <w:docVars>
    <w:docVar w:name="commondata" w:val="eyJoZGlkIjoiMjg5YmQyOGFkM2Y1ZTg0OWQyMGE5MzAzNDZiZGM5MjU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autoRedefine/>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autoRedefine/>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autoRedefine/>
    <w:rPr>
      <w:rFonts w:ascii="Times New Roman" w:eastAsia="宋体" w:cs="Times New Roman" w:hAnsi="Times New Roman"/>
      <w:b/>
      <w:bCs/>
      <w:kern w:val="44"/>
      <w:sz w:val="44"/>
      <w:szCs w:val="44"/>
      <w:lang w:val="en-US" w:eastAsia="zh-CN" w:bidi="ar-SA"/>
    </w:rPr>
  </w:style>
  <w:style w:type="paragraph" w:styleId="2">
    <w:name w:val="heading 2"/>
    <w:basedOn w:val="0"/>
    <w:autoRedefine/>
    <w:next w:val="0"/>
    <w:link w:val="2Char"/>
    <w:pPr>
      <w:keepNext/>
      <w:keepLines/>
      <w:widowControl w:val="0"/>
      <w:spacing w:before="260" w:after="260" w:line="415" w:lineRule="auto"/>
      <w:outlineLvl w:val="1"/>
    </w:pPr>
    <w:rPr>
      <w:rFonts w:ascii="Cambria" w:hAnsi="Cambria"/>
      <w:b/>
      <w:bCs/>
      <w:sz w:val="32"/>
      <w:szCs w:val="32"/>
    </w:rPr>
  </w:style>
  <w:style w:type="character" w:customStyle="1" w:styleId="2Char">
    <w:name w:val="heading 2 Char"/>
    <w:basedOn w:val="10"/>
    <w:link w:val="2"/>
    <w:autoRedefine/>
    <w:rPr>
      <w:rFonts w:ascii="Cambria" w:eastAsia="宋体" w:cs="Times New Roman" w:hAnsi="Cambria"/>
      <w:b/>
      <w:bCs/>
      <w:kern w:val="2"/>
      <w:sz w:val="32"/>
      <w:szCs w:val="32"/>
      <w:lang w:val="en-US" w:eastAsia="zh-CN" w:bidi="ar-SA"/>
    </w:rPr>
  </w:style>
  <w:style w:type="paragraph" w:styleId="3">
    <w:name w:val="heading 3"/>
    <w:basedOn w:val="0"/>
    <w:autoRedefine/>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toa heading"/>
    <w:basedOn w:val="0"/>
    <w:autoRedefine/>
    <w:next w:val="0"/>
    <w:pPr>
      <w:spacing w:before="120"/>
    </w:pPr>
    <w:rPr>
      <w:rFonts w:ascii="Cambria" w:hAnsi="Cambria"/>
      <w:sz w:val="24"/>
    </w:rPr>
  </w:style>
  <w:style w:type="paragraph" w:styleId="16">
    <w:name w:val="Body Text"/>
    <w:basedOn w:val="0"/>
    <w:autoRedefine/>
    <w:pPr>
      <w:spacing w:beforeLines="30" w:before="30"/>
    </w:pPr>
    <w:rPr>
      <w:rFonts w:ascii="仿宋_GB2312" w:eastAsia="仿宋_GB2312"/>
      <w:kern w:val="0"/>
      <w:sz w:val="30"/>
    </w:rPr>
  </w:style>
  <w:style w:type="paragraph" w:styleId="17">
    <w:name w:val="toc 3"/>
    <w:basedOn w:val="0"/>
    <w:autoRedefine/>
    <w:next w:val="0"/>
    <w:pPr>
      <w:tabs>
        <w:tab w:val="right" w:leader="dot" w:pos="8296"/>
      </w:tabs>
      <w:ind w:leftChars="400" w:left="400"/>
    </w:pPr>
  </w:style>
  <w:style w:type="paragraph" w:styleId="18">
    <w:name w:val="Balloon Text"/>
    <w:basedOn w:val="0"/>
    <w:autoRedefine/>
    <w:rPr>
      <w:sz w:val="18"/>
      <w:szCs w:val="18"/>
    </w:rPr>
  </w:style>
  <w:style w:type="paragraph" w:styleId="19">
    <w:name w:val="footer"/>
    <w:basedOn w:val="0"/>
    <w:autoRedefine/>
    <w:pPr>
      <w:tabs>
        <w:tab w:val="center" w:pos="4153"/>
        <w:tab w:val="right" w:pos="8306"/>
      </w:tabs>
      <w:snapToGrid w:val="0"/>
      <w:jc w:val="left"/>
    </w:pPr>
    <w:rPr>
      <w:rFonts w:ascii="Calibri" w:hAnsi="Calibri"/>
      <w:kern w:val="0"/>
      <w:sz w:val="18"/>
      <w:szCs w:val="18"/>
    </w:rPr>
  </w:style>
  <w:style w:type="paragraph" w:styleId="20">
    <w:name w:val="header"/>
    <w:basedOn w:val="0"/>
    <w:autoRedefine/>
    <w:pPr>
      <w:pBdr>
        <w:bottom w:val="single" w:sz="6" w:space="1" w:color="auto"/>
      </w:pBdr>
      <w:tabs>
        <w:tab w:val="center" w:pos="4153"/>
        <w:tab w:val="right" w:pos="8306"/>
      </w:tabs>
      <w:snapToGrid w:val="0"/>
      <w:jc w:val="center"/>
    </w:pPr>
    <w:rPr>
      <w:rFonts w:ascii="Calibri" w:hAnsi="Calibri"/>
      <w:kern w:val="0"/>
      <w:sz w:val="18"/>
      <w:szCs w:val="18"/>
    </w:rPr>
  </w:style>
  <w:style w:type="paragraph" w:styleId="21">
    <w:name w:val="toc 1"/>
    <w:basedOn w:val="0"/>
    <w:autoRedefine/>
    <w:next w:val="0"/>
    <w:pPr>
      <w:tabs>
        <w:tab w:val="right" w:leader="dot" w:pos="8296"/>
      </w:tabs>
      <w:spacing w:before="93"/>
      <w:jc w:val="center"/>
    </w:pPr>
    <w:rPr>
      <w:rFonts w:ascii="仿宋" w:eastAsia="仿宋"/>
      <w:sz w:val="28"/>
      <w:szCs w:val="28"/>
    </w:rPr>
  </w:style>
  <w:style w:type="paragraph" w:styleId="22">
    <w:name w:val="toc 2"/>
    <w:basedOn w:val="0"/>
    <w:autoRedefine/>
    <w:next w:val="0"/>
    <w:pPr>
      <w:tabs>
        <w:tab w:val="right" w:leader="dot" w:pos="8296"/>
      </w:tabs>
      <w:ind w:leftChars="200" w:left="200"/>
    </w:pPr>
  </w:style>
  <w:style w:type="paragraph" w:styleId="23">
    <w:name w:val="Normal (Web)"/>
    <w:basedOn w:val="0"/>
    <w:autoRedefine/>
    <w:pPr>
      <w:widowControl/>
      <w:spacing w:before="100" w:beforeAutospacing="1" w:after="100" w:afterAutospacing="1"/>
      <w:jc w:val="left"/>
    </w:pPr>
    <w:rPr>
      <w:rFonts w:ascii="宋体" w:cs="宋体"/>
      <w:kern w:val="0"/>
      <w:sz w:val="24"/>
    </w:rPr>
  </w:style>
  <w:style w:type="character" w:styleId="24">
    <w:name w:val="Strong"/>
    <w:basedOn w:val="10"/>
    <w:autoRedefine/>
    <w:rPr>
      <w:b/>
    </w:rPr>
  </w:style>
  <w:style w:type="character" w:styleId="25">
    <w:name w:val="Hyperlink"/>
    <w:basedOn w:val="10"/>
    <w:autoRedefine/>
    <w:rPr>
      <w:color w:val="0000FF"/>
      <w:u w:val="single"/>
    </w:rPr>
  </w:style>
  <w:style w:type="character" w:customStyle="1" w:styleId="26">
    <w:name w:val="Header Char"/>
    <w:basedOn w:val="10"/>
    <w:autoRedefine/>
    <w:rPr>
      <w:rFonts w:ascii="Times New Roman" w:hAnsi="Times New Roman"/>
      <w:sz w:val="18"/>
      <w:szCs w:val="18"/>
    </w:rPr>
  </w:style>
  <w:style w:type="character" w:customStyle="1" w:styleId="27">
    <w:name w:val="Footer Char"/>
    <w:basedOn w:val="10"/>
    <w:autoRedefine/>
    <w:rPr>
      <w:rFonts w:ascii="Times New Roman" w:hAnsi="Times New Roman"/>
      <w:sz w:val="18"/>
      <w:szCs w:val="18"/>
    </w:rPr>
  </w:style>
  <w:style w:type="character" w:customStyle="1" w:styleId="28">
    <w:name w:val="Body Text Char"/>
    <w:basedOn w:val="10"/>
    <w:autoRedefine/>
    <w:rPr>
      <w:rFonts w:ascii="Times New Roman" w:hAnsi="Times New Roman"/>
      <w:szCs w:val="24"/>
    </w:rPr>
  </w:style>
  <w:style w:type="paragraph" w:customStyle="1" w:styleId="29">
    <w:name w:val="Default"/>
    <w:autoRedefine/>
    <w:pPr>
      <w:widowControl w:val="0"/>
      <w:autoSpaceDE w:val="0"/>
      <w:autoSpaceDN w:val="0"/>
      <w:adjustRightInd w:val="0"/>
    </w:pPr>
    <w:rPr>
      <w:rFonts w:ascii="仿宋" w:eastAsia="仿宋" w:cs="仿宋"/>
      <w:color w:val="000000"/>
      <w:sz w:val="24"/>
      <w:szCs w:val="24"/>
      <w:lang w:val="en-US" w:eastAsia="zh-CN" w:bidi="ar-SA"/>
    </w:rPr>
  </w:style>
  <w:style w:type="paragraph" w:styleId="30">
    <w:name w:val="List Paragraph"/>
    <w:basedOn w:val="0"/>
    <w:autoRedefine/>
    <w:pPr>
      <w:ind w:firstLineChars="200" w:firstLine="200"/>
    </w:pPr>
  </w:style>
  <w:style w:type="paragraph" w:customStyle="1" w:styleId="31">
    <w:name w:val="TOC 标题1"/>
    <w:basedOn w:val="1"/>
    <w:autoRedefine/>
    <w:next w:val="0"/>
    <w:pPr>
      <w:keepNext/>
      <w:keepLines/>
      <w:widowControl/>
      <w:spacing w:before="480" w:after="0" w:line="276" w:lineRule="auto"/>
      <w:jc w:val="left"/>
      <w:outlineLvl w:val="9"/>
    </w:pPr>
    <w:rPr>
      <w:rFonts w:ascii="Cambria" w:hAnsi="Cambria"/>
      <w:color w:val="365F91"/>
      <w:kern w:val="0"/>
      <w:sz w:val="28"/>
      <w:szCs w:val="28"/>
    </w:rPr>
  </w:style>
  <w:style w:type="paragraph" w:customStyle="1" w:styleId="32">
    <w:name w:val="TOC 标题2"/>
    <w:basedOn w:val="1"/>
    <w:autoRedefine/>
    <w:next w:val="0"/>
    <w:pPr>
      <w:keepNext/>
      <w:keepLines/>
      <w:widowControl/>
      <w:spacing w:before="480" w:after="0" w:line="276" w:lineRule="auto"/>
      <w:jc w:val="left"/>
      <w:outlineLvl w:val="9"/>
    </w:pPr>
    <w:rPr>
      <w:rFonts w:ascii="Cambria" w:hAnsi="Cambria"/>
      <w:color w:val="365F91"/>
      <w:kern w:val="0"/>
      <w:sz w:val="28"/>
      <w:szCs w:val="2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chart" Target="charts/chart1.xml"/><Relationship Id="rId5" Type="http://schemas.openxmlformats.org/officeDocument/2006/relationships/chart" Target="charts/chart2.xml"/><Relationship Id="rId6" Type="http://schemas.openxmlformats.org/officeDocument/2006/relationships/chart" Target="charts/chart3.xml"/><Relationship Id="rId7" Type="http://schemas.openxmlformats.org/officeDocument/2006/relationships/chart" Target="charts/chart4.xml"/><Relationship Id="rId8" Type="http://schemas.openxmlformats.org/officeDocument/2006/relationships/chart" Target="charts/chart5.xml"/><Relationship Id="rId9" Type="http://schemas.openxmlformats.org/officeDocument/2006/relationships/chart" Target="charts/chart6.xml"/><Relationship Id="rId10" Type="http://schemas.openxmlformats.org/officeDocument/2006/relationships/styles" Target="styles.xml"/><Relationship Id="rId11" Type="http://schemas.openxmlformats.org/officeDocument/2006/relationships/numbering" Target="numbering.xml"/><Relationship Id="rId1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char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char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char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char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char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chart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1" i="0" u="none" strike="noStrike" baseline="0">
                <a:solidFill>
                  <a:srgbClr val="000000"/>
                </a:solidFill>
                <a:latin typeface="Times New Roman"/>
                <a:ea typeface="宋体"/>
                <a:cs typeface="Arial"/>
              </a:defRPr>
            </a:pPr>
            <a:r>
              <a:rPr lang="zh-CN" sz="1400" b="0" i="0" u="none" strike="noStrike" baseline="0">
                <a:solidFill>
                  <a:srgbClr val="333333"/>
                </a:solidFill>
                <a:latin typeface="宋体"/>
                <a:ea typeface="宋体"/>
                <a:cs typeface="Arial"/>
              </a:rPr>
              <a:t>图</a:t>
            </a:r>
            <a:r>
              <a:rPr lang="zh-CN" sz="1400" b="0" i="0" u="none" strike="noStrike" baseline="0">
                <a:solidFill>
                  <a:srgbClr val="333333"/>
                </a:solidFill>
                <a:latin typeface="Calibri"/>
                <a:ea typeface="Calibri"/>
                <a:cs typeface="Arial"/>
              </a:rPr>
              <a:t>1</a:t>
            </a:r>
            <a:r>
              <a:rPr lang="zh-CN" sz="1400" b="0" i="0" u="none" strike="noStrike" baseline="0">
                <a:solidFill>
                  <a:srgbClr val="333333"/>
                </a:solidFill>
                <a:latin typeface="宋体"/>
                <a:ea typeface="宋体"/>
                <a:cs typeface="Arial"/>
              </a:rPr>
              <a:t>：</a:t>
            </a:r>
            <a:r>
              <a:rPr lang="zh-CN" sz="1400" b="0" i="0" u="none" strike="noStrike" baseline="0">
                <a:solidFill>
                  <a:srgbClr val="333333"/>
                </a:solidFill>
                <a:latin typeface="宋体"/>
                <a:ea typeface="宋体"/>
                <a:cs typeface="Arial"/>
              </a:rPr>
              <a:t>收、支决算总计变动情况图</a:t>
            </a:r>
          </a:p>
        </c:rich>
      </c:tx>
      <c:layout/>
      <c:overlay val="0"/>
      <c:spPr>
        <a:noFill/>
        <a:ln>
          <a:noFill/>
        </a:ln>
      </c:spPr>
    </c:title>
    <c:autoTitleDeleted val="1"/>
    <c:plotArea>
      <c:layout/>
      <c:barChart>
        <c:barDir val="col"/>
        <c:grouping val="stacked"/>
        <c:varyColors val="0"/>
        <c:ser>
          <c:idx val="0"/>
          <c:order val="0"/>
          <c:tx>
            <c:v>收、支决算总计变动情况图</c:v>
          </c:tx>
          <c:spPr>
            <a:solidFill>
              <a:srgbClr val="4F81BD"/>
            </a:solidFill>
            <a:ln>
              <a:noFill/>
            </a:ln>
          </c:spPr>
          <c:invertIfNegative val="0"/>
          <c:dLbls>
            <c:spPr>
              <a:noFill/>
              <a:ln>
                <a:noFill/>
              </a:ln>
            </c:spPr>
            <c:txPr>
              <a:bodyPr vert="horz"/>
              <a:lstStyle/>
              <a:p>
                <a:pPr>
                  <a:defRPr sz="900" b="0" i="0" u="none" strike="noStrike" baseline="0">
                    <a:solidFill>
                      <a:srgbClr val="404040"/>
                    </a:solidFill>
                    <a:latin typeface="Times New Roman"/>
                    <a:ea typeface="宋体"/>
                    <a:cs typeface="Arial"/>
                  </a:defRPr>
                </a:pPr>
                <a:endParaRPr lang="zh-CN"/>
              </a:p>
            </c:txPr>
            <c:numFmt formatCode="General" sourceLinked="0"/>
            <c:dLblPos val="ctr"/>
            <c:showLegendKey val="0"/>
            <c:showVal val="1"/>
            <c:showCatName val="0"/>
            <c:showSerName val="0"/>
            <c:showPercent val="0"/>
            <c:showBubbleSize val="0"/>
            <c:showLeaderLines val="0"/>
          </c:dLbls>
          <c:cat>
            <c:strLit>
              <c:ptCount val="2"/>
              <c:pt idx="0">
                <c:v>2024年</c:v>
              </c:pt>
              <c:pt idx="1">
                <c:v>2025年</c:v>
              </c:pt>
            </c:strLit>
          </c:cat>
          <c:val>
            <c:numRef>
              <c:f/>
              <c:numCache>
                <c:formatCode>General</c:formatCode>
                <c:ptCount val="2"/>
                <c:pt idx="0">
                  <c:v>32.7</c:v>
                </c:pt>
                <c:pt idx="1">
                  <c:v>36.86</c:v>
                </c:pt>
              </c:numCache>
            </c:numRef>
          </c:val>
        </c:ser>
        <c:overlap val="100"/>
        <c:gapWidth val="150"/>
        <c:axId val="0"/>
        <c:axId val="1"/>
      </c:barChart>
      <c:catAx>
        <c:axId val="0"/>
        <c:scaling>
          <c:orientation val="minMax"/>
        </c:scaling>
        <c:delete val="0"/>
        <c:axPos val="b"/>
        <c:numFmt formatCode="General" sourceLinked="1"/>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Arial"/>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D9D9D9"/>
              </a:solidFill>
              <a:prstDash val="solid"/>
            </a:ln>
          </c:spPr>
        </c:majorGridlines>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Arial"/>
              </a:defRPr>
            </a:pPr>
            <a:endParaRPr lang="zh-CN"/>
          </a:p>
        </c:txPr>
        <c:crossesAt val="1.0"/>
        <c:crossBetween val="between"/>
        <c:crossAx val="0"/>
      </c:valAx>
      <c:spPr>
        <a:noFill/>
        <a:ln>
          <a:noFill/>
        </a:ln>
      </c:spPr>
    </c:plotArea>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1" i="0" u="none" strike="noStrike" baseline="0">
                <a:solidFill>
                  <a:srgbClr val="000000"/>
                </a:solidFill>
                <a:latin typeface="Times New Roman"/>
                <a:ea typeface="宋体"/>
                <a:cs typeface="Arial"/>
              </a:defRPr>
            </a:pPr>
            <a:r>
              <a:rPr lang="zh-CN" sz="1400" b="1" i="0" u="none" strike="noStrike" baseline="0">
                <a:solidFill>
                  <a:srgbClr val="333333"/>
                </a:solidFill>
                <a:latin typeface="宋体"/>
                <a:ea typeface="宋体"/>
                <a:cs typeface="Arial"/>
              </a:rPr>
              <a:t>图</a:t>
            </a:r>
            <a:r>
              <a:rPr lang="zh-CN" sz="1400" b="1" i="0" u="none" strike="noStrike" baseline="0">
                <a:solidFill>
                  <a:srgbClr val="333333"/>
                </a:solidFill>
                <a:latin typeface="Calibri"/>
                <a:ea typeface="Calibri"/>
                <a:cs typeface="Arial"/>
              </a:rPr>
              <a:t>3</a:t>
            </a:r>
            <a:r>
              <a:rPr lang="zh-CN" sz="1400" b="1" i="0" u="none" strike="noStrike" baseline="0">
                <a:solidFill>
                  <a:srgbClr val="333333"/>
                </a:solidFill>
                <a:latin typeface="宋体"/>
                <a:ea typeface="宋体"/>
                <a:cs typeface="Arial"/>
              </a:rPr>
              <a:t>：</a:t>
            </a:r>
            <a:r>
              <a:rPr lang="zh-CN" sz="1400" b="1" i="0" u="none" strike="noStrike" baseline="0">
                <a:solidFill>
                  <a:srgbClr val="333333"/>
                </a:solidFill>
                <a:latin typeface="宋体"/>
                <a:ea typeface="宋体"/>
                <a:cs typeface="Arial"/>
              </a:rPr>
              <a:t>支出决算结构图</a:t>
            </a:r>
          </a:p>
        </c:rich>
      </c:tx>
      <c:layout/>
      <c:overlay val="0"/>
      <c:spPr>
        <a:noFill/>
        <a:ln>
          <a:noFill/>
        </a:ln>
      </c:spPr>
    </c:title>
    <c:autoTitleDeleted val="1"/>
    <c:plotArea>
      <c:layout/>
      <c:pieChart>
        <c:varyColors val="1"/>
        <c:ser>
          <c:idx val="0"/>
          <c:order val="0"/>
          <c:spPr>
            <a:ln>
              <a:noFill/>
            </a:ln>
          </c:spPr>
          <c:dPt>
            <c:idx val="0"/>
            <c:bubble3D val="0"/>
            <c:spPr>
              <a:solidFill>
                <a:srgbClr val="4F81BD"/>
              </a:solidFill>
              <a:ln w="19050">
                <a:solidFill>
                  <a:srgbClr val="FFFFFF"/>
                </a:solidFill>
                <a:prstDash val="solid"/>
              </a:ln>
            </c:spPr>
          </c:dPt>
          <c:dPt>
            <c:idx val="1"/>
            <c:bubble3D val="0"/>
            <c:spPr>
              <a:solidFill>
                <a:srgbClr val="C0504D"/>
              </a:solidFill>
              <a:ln w="19050">
                <a:solidFill>
                  <a:srgbClr val="FFFFFF"/>
                </a:solidFill>
                <a:prstDash val="solid"/>
              </a:ln>
            </c:spPr>
          </c:dPt>
          <c:dPt>
            <c:idx val="2"/>
            <c:bubble3D val="0"/>
            <c:spPr>
              <a:solidFill>
                <a:srgbClr val="9BBB59"/>
              </a:solidFill>
              <a:ln w="19050">
                <a:solidFill>
                  <a:srgbClr val="FFFFFF"/>
                </a:solidFill>
                <a:prstDash val="solid"/>
              </a:ln>
            </c:spPr>
          </c:dPt>
          <c:dPt>
            <c:idx val="3"/>
            <c:bubble3D val="0"/>
            <c:spPr>
              <a:solidFill>
                <a:srgbClr val="8064A2"/>
              </a:solidFill>
              <a:ln w="19050">
                <a:solidFill>
                  <a:srgbClr val="FFFFFF"/>
                </a:solidFill>
                <a:prstDash val="solid"/>
              </a:ln>
            </c:spPr>
          </c:dPt>
          <c:dPt>
            <c:idx val="4"/>
            <c:bubble3D val="0"/>
            <c:spPr>
              <a:solidFill>
                <a:srgbClr val="4BACC6"/>
              </a:solidFill>
              <a:ln w="19050">
                <a:solidFill>
                  <a:srgbClr val="FFFFFF"/>
                </a:solidFill>
                <a:prstDash val="solid"/>
              </a:ln>
            </c:spPr>
          </c:dPt>
          <c:dLbls>
            <c:spPr>
              <a:noFill/>
              <a:ln>
                <a:noFill/>
              </a:ln>
            </c:spPr>
            <c:txPr>
              <a:bodyPr vert="horz"/>
              <a:lstStyle/>
              <a:p>
                <a:pPr>
                  <a:defRPr sz="900" b="0" i="0" u="none" strike="noStrike" baseline="0">
                    <a:solidFill>
                      <a:srgbClr val="404040"/>
                    </a:solidFill>
                    <a:latin typeface="Times New Roman"/>
                    <a:ea typeface="宋体"/>
                    <a:cs typeface="Arial"/>
                  </a:defRPr>
                </a:pPr>
                <a:endParaRPr lang="zh-CN"/>
              </a:p>
            </c:txPr>
            <c:numFmt formatCode="General" sourceLinked="0"/>
            <c:showLegendKey val="0"/>
            <c:showVal val="1"/>
            <c:showCatName val="0"/>
            <c:showSerName val="0"/>
            <c:showPercent val="0"/>
            <c:showBubbleSize val="0"/>
            <c:showLeaderLines val="1"/>
          </c:dLbls>
          <c:cat>
            <c:strLit>
              <c:ptCount val="5"/>
              <c:pt idx="0">
                <c:v>基本支出</c:v>
              </c:pt>
              <c:pt idx="1">
                <c:v>项目支出</c:v>
              </c:pt>
              <c:pt idx="2">
                <c:v>上缴上级支出</c:v>
              </c:pt>
              <c:pt idx="3">
                <c:v>经营支出</c:v>
              </c:pt>
              <c:pt idx="4">
                <c:v>对附属单位补助支出</c:v>
              </c:pt>
            </c:strLit>
          </c:cat>
          <c:val>
            <c:numRef>
              <c:f/>
              <c:numCache>
                <c:formatCode>General</c:formatCode>
                <c:ptCount val="5"/>
                <c:pt idx="0">
                  <c:v>36.86</c:v>
                </c:pt>
                <c:pt idx="1">
                  <c:v>0.0</c:v>
                </c:pt>
              </c:numCache>
            </c:numRef>
          </c:val>
        </c:ser>
        <c:firstSliceAng val="0"/>
      </c:pieChart>
      <c:spPr>
        <a:noFill/>
        <a:ln>
          <a:noFill/>
        </a:ln>
      </c:spPr>
    </c:plotArea>
    <c:legend>
      <c:legendPos val="b"/>
      <c:layout/>
      <c:overlay val="0"/>
      <c:spPr>
        <a:noFill/>
        <a:ln>
          <a:noFill/>
        </a:ln>
      </c:spPr>
      <c:txPr>
        <a:bodyPr/>
        <a:lstStyle/>
        <a:p>
          <a:pPr>
            <a:defRPr sz="900" b="0" i="0" u="none" strike="noStrike" baseline="0">
              <a:solidFill>
                <a:srgbClr val="595959"/>
              </a:solidFill>
              <a:latin typeface="Times New Roman"/>
              <a:ea typeface="宋体"/>
              <a:cs typeface="Arial"/>
            </a:defRPr>
          </a:pPr>
          <a:endParaRPr lang="zh-CN"/>
        </a:p>
      </c:txPr>
    </c:legend>
    <c:plotVisOnly val="1"/>
    <c:dispBlanksAs val="zero"/>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1" i="0" u="none" strike="noStrike" baseline="0">
                <a:solidFill>
                  <a:srgbClr val="000000"/>
                </a:solidFill>
                <a:latin typeface="Times New Roman"/>
                <a:ea typeface="宋体"/>
                <a:cs typeface="Arial"/>
              </a:defRPr>
            </a:pPr>
            <a:r>
              <a:rPr lang="zh-CN" sz="1400" b="1" i="0" u="none" strike="noStrike" baseline="0">
                <a:solidFill>
                  <a:srgbClr val="333333"/>
                </a:solidFill>
                <a:latin typeface="宋体"/>
                <a:ea typeface="宋体"/>
                <a:cs typeface="Arial"/>
              </a:rPr>
              <a:t>图</a:t>
            </a:r>
            <a:r>
              <a:rPr lang="zh-CN" sz="1400" b="1" i="0" u="none" strike="noStrike" baseline="0">
                <a:solidFill>
                  <a:srgbClr val="333333"/>
                </a:solidFill>
                <a:latin typeface="Calibri"/>
                <a:ea typeface="Calibri"/>
                <a:cs typeface="Arial"/>
              </a:rPr>
              <a:t>2</a:t>
            </a:r>
            <a:r>
              <a:rPr lang="zh-CN" sz="1400" b="1" i="0" u="none" strike="noStrike" baseline="0">
                <a:solidFill>
                  <a:srgbClr val="333333"/>
                </a:solidFill>
                <a:latin typeface="宋体"/>
                <a:ea typeface="宋体"/>
                <a:cs typeface="Arial"/>
              </a:rPr>
              <a:t>：</a:t>
            </a:r>
            <a:r>
              <a:rPr lang="zh-CN" sz="1400" b="1" i="0" u="none" strike="noStrike" baseline="0">
                <a:solidFill>
                  <a:srgbClr val="333333"/>
                </a:solidFill>
                <a:latin typeface="宋体"/>
                <a:ea typeface="宋体"/>
                <a:cs typeface="Arial"/>
              </a:rPr>
              <a:t>收入决算结构图</a:t>
            </a:r>
          </a:p>
        </c:rich>
      </c:tx>
      <c:layout>
        <c:manualLayout>
          <c:xMode val="edge"/>
          <c:yMode val="edge"/>
          <c:x val="0.41444445"/>
          <c:y val="0.024305556"/>
        </c:manualLayout>
      </c:layout>
      <c:overlay val="0"/>
      <c:spPr>
        <a:noFill/>
        <a:ln>
          <a:noFill/>
        </a:ln>
      </c:spPr>
    </c:title>
    <c:autoTitleDeleted val="1"/>
    <c:plotArea>
      <c:layout/>
      <c:pieChart>
        <c:varyColors val="1"/>
        <c:ser>
          <c:idx val="0"/>
          <c:order val="0"/>
          <c:spPr>
            <a:ln>
              <a:noFill/>
            </a:ln>
          </c:spPr>
          <c:dPt>
            <c:idx val="0"/>
            <c:bubble3D val="0"/>
            <c:spPr>
              <a:solidFill>
                <a:srgbClr val="4F81BD"/>
              </a:solidFill>
              <a:ln w="19050">
                <a:solidFill>
                  <a:srgbClr val="FFFFFF"/>
                </a:solidFill>
                <a:prstDash val="solid"/>
              </a:ln>
            </c:spPr>
          </c:dPt>
          <c:dPt>
            <c:idx val="1"/>
            <c:bubble3D val="0"/>
            <c:spPr>
              <a:solidFill>
                <a:srgbClr val="C0504D"/>
              </a:solidFill>
              <a:ln w="19050">
                <a:solidFill>
                  <a:srgbClr val="FFFFFF"/>
                </a:solidFill>
                <a:prstDash val="solid"/>
              </a:ln>
              <a:effectLst>
                <a:outerShdw dist="35921" dir="2700000" algn="br">
                  <a:srgbClr val="000000"/>
                </a:outerShdw>
              </a:effectLst>
            </c:spPr>
          </c:dPt>
          <c:dPt>
            <c:idx val="2"/>
            <c:bubble3D val="0"/>
            <c:spPr>
              <a:solidFill>
                <a:srgbClr val="9BBB59"/>
              </a:solidFill>
              <a:ln w="19050">
                <a:solidFill>
                  <a:srgbClr val="FFFFFF"/>
                </a:solidFill>
                <a:prstDash val="solid"/>
              </a:ln>
            </c:spPr>
          </c:dPt>
          <c:dPt>
            <c:idx val="3"/>
            <c:bubble3D val="0"/>
            <c:spPr>
              <a:solidFill>
                <a:srgbClr val="8064A2"/>
              </a:solidFill>
              <a:ln w="19050">
                <a:solidFill>
                  <a:srgbClr val="FFFFFF"/>
                </a:solidFill>
                <a:prstDash val="solid"/>
              </a:ln>
            </c:spPr>
          </c:dPt>
          <c:dPt>
            <c:idx val="4"/>
            <c:bubble3D val="0"/>
            <c:spPr>
              <a:solidFill>
                <a:srgbClr val="4BACC6"/>
              </a:solidFill>
              <a:ln w="19050">
                <a:solidFill>
                  <a:srgbClr val="FFFFFF"/>
                </a:solidFill>
                <a:prstDash val="solid"/>
              </a:ln>
            </c:spPr>
          </c:dPt>
          <c:dPt>
            <c:idx val="5"/>
            <c:bubble3D val="0"/>
            <c:spPr>
              <a:solidFill>
                <a:srgbClr val="F79646"/>
              </a:solidFill>
              <a:ln w="19050">
                <a:solidFill>
                  <a:srgbClr val="FFFFFF"/>
                </a:solidFill>
                <a:prstDash val="solid"/>
              </a:ln>
            </c:spPr>
          </c:dPt>
          <c:dLbls>
            <c:spPr>
              <a:noFill/>
              <a:ln>
                <a:noFill/>
              </a:ln>
            </c:spPr>
            <c:txPr>
              <a:bodyPr vert="horz"/>
              <a:lstStyle/>
              <a:p>
                <a:pPr>
                  <a:defRPr sz="900" b="0" i="0" u="none" strike="noStrike" baseline="0">
                    <a:solidFill>
                      <a:srgbClr val="404040"/>
                    </a:solidFill>
                    <a:latin typeface="Times New Roman"/>
                    <a:ea typeface="宋体"/>
                    <a:cs typeface="Arial"/>
                  </a:defRPr>
                </a:pPr>
                <a:endParaRPr lang="zh-CN"/>
              </a:p>
            </c:txPr>
            <c:numFmt formatCode="General" sourceLinked="0"/>
            <c:showLegendKey val="0"/>
            <c:showVal val="1"/>
            <c:showCatName val="0"/>
            <c:showSerName val="0"/>
            <c:showPercent val="0"/>
            <c:showBubbleSize val="0"/>
            <c:showLeaderLines val="1"/>
          </c:dLbls>
          <c:cat>
            <c:strLit>
              <c:ptCount val="6"/>
              <c:pt idx="0">
                <c:v>一般公共预算财政拨款收入</c:v>
              </c:pt>
              <c:pt idx="1">
                <c:v>政府基金预算财政拨款收入</c:v>
              </c:pt>
              <c:pt idx="2">
                <c:v>上级补助收入</c:v>
              </c:pt>
              <c:pt idx="3">
                <c:v>事业收入</c:v>
              </c:pt>
              <c:pt idx="4">
                <c:v>经营收入</c:v>
              </c:pt>
              <c:pt idx="5">
                <c:v>附属单位上缴上级收入</c:v>
              </c:pt>
            </c:strLit>
          </c:cat>
          <c:val>
            <c:numRef>
              <c:f/>
              <c:numCache>
                <c:formatCode>General</c:formatCode>
                <c:ptCount val="6"/>
                <c:pt idx="0">
                  <c:v>36.86</c:v>
                </c:pt>
                <c:pt idx="1">
                  <c:v>0.0</c:v>
                </c:pt>
                <c:pt idx="2">
                  <c:v>0.0</c:v>
                </c:pt>
                <c:pt idx="3">
                  <c:v>0.0</c:v>
                </c:pt>
                <c:pt idx="4">
                  <c:v>0.0</c:v>
                </c:pt>
                <c:pt idx="5">
                  <c:v>0.0</c:v>
                </c:pt>
              </c:numCache>
            </c:numRef>
          </c:val>
        </c:ser>
        <c:firstSliceAng val="0"/>
      </c:pieChart>
      <c:spPr>
        <a:noFill/>
        <a:ln>
          <a:noFill/>
        </a:ln>
      </c:spPr>
    </c:plotArea>
    <c:legend>
      <c:legendPos val="b"/>
      <c:layout/>
      <c:overlay val="0"/>
      <c:spPr>
        <a:noFill/>
        <a:ln>
          <a:noFill/>
        </a:ln>
      </c:spPr>
      <c:txPr>
        <a:bodyPr/>
        <a:lstStyle/>
        <a:p>
          <a:pPr>
            <a:defRPr sz="900" b="0" i="0" u="none" strike="noStrike" baseline="0">
              <a:solidFill>
                <a:srgbClr val="595959"/>
              </a:solidFill>
              <a:latin typeface="Times New Roman"/>
              <a:ea typeface="宋体"/>
              <a:cs typeface="Arial"/>
            </a:defRPr>
          </a:pPr>
          <a:endParaRPr lang="zh-CN"/>
        </a:p>
      </c:txPr>
    </c:legend>
    <c:plotVisOnly val="1"/>
    <c:dispBlanksAs val="zero"/>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1" i="0" u="none" strike="noStrike" baseline="0">
                <a:solidFill>
                  <a:srgbClr val="000000"/>
                </a:solidFill>
                <a:latin typeface="Times New Roman"/>
                <a:ea typeface="宋体"/>
                <a:cs typeface="Arial"/>
              </a:defRPr>
            </a:pPr>
            <a:r>
              <a:rPr lang="zh-CN" sz="1400" b="1" i="0" u="none" strike="noStrike" baseline="0">
                <a:solidFill>
                  <a:srgbClr val="333333"/>
                </a:solidFill>
                <a:latin typeface="宋体"/>
                <a:ea typeface="宋体"/>
                <a:cs typeface="Arial"/>
              </a:rPr>
              <a:t>图</a:t>
            </a:r>
            <a:r>
              <a:rPr lang="zh-CN" sz="1400" b="1" i="0" u="none" strike="noStrike" baseline="0">
                <a:solidFill>
                  <a:srgbClr val="333333"/>
                </a:solidFill>
                <a:latin typeface="Calibri"/>
                <a:ea typeface="Calibri"/>
                <a:cs typeface="Arial"/>
              </a:rPr>
              <a:t>4</a:t>
            </a:r>
            <a:r>
              <a:rPr lang="zh-CN" sz="1400" b="1" i="0" u="none" strike="noStrike" baseline="0">
                <a:solidFill>
                  <a:srgbClr val="333333"/>
                </a:solidFill>
                <a:latin typeface="宋体"/>
                <a:ea typeface="宋体"/>
                <a:cs typeface="Arial"/>
              </a:rPr>
              <a:t>：</a:t>
            </a:r>
            <a:r>
              <a:rPr lang="zh-CN" sz="1400" b="1" i="0" u="none" strike="noStrike" baseline="0">
                <a:solidFill>
                  <a:srgbClr val="333333"/>
                </a:solidFill>
                <a:latin typeface="宋体"/>
                <a:ea typeface="宋体"/>
                <a:cs typeface="Arial"/>
              </a:rPr>
              <a:t>财政拨款收、支决算总计变动情况</a:t>
            </a:r>
          </a:p>
        </c:rich>
      </c:tx>
      <c:layout/>
      <c:overlay val="0"/>
      <c:spPr>
        <a:noFill/>
        <a:ln>
          <a:noFill/>
        </a:ln>
      </c:spPr>
    </c:title>
    <c:autoTitleDeleted val="1"/>
    <c:plotArea>
      <c:layout/>
      <c:barChart>
        <c:barDir val="col"/>
        <c:grouping val="clustered"/>
        <c:varyColors val="0"/>
        <c:ser>
          <c:idx val="0"/>
          <c:order val="0"/>
          <c:spPr>
            <a:solidFill>
              <a:srgbClr val="4F81BD"/>
            </a:solidFill>
            <a:ln>
              <a:noFill/>
            </a:ln>
          </c:spPr>
          <c:invertIfNegative val="0"/>
          <c:dLbls>
            <c:spPr>
              <a:noFill/>
              <a:ln>
                <a:noFill/>
              </a:ln>
            </c:spPr>
            <c:txPr>
              <a:bodyPr vert="horz"/>
              <a:lstStyle/>
              <a:p>
                <a:pPr>
                  <a:defRPr sz="900" b="0" i="0" u="none" strike="noStrike" baseline="0">
                    <a:solidFill>
                      <a:srgbClr val="404040"/>
                    </a:solidFill>
                    <a:latin typeface="Times New Roman"/>
                    <a:ea typeface="宋体"/>
                    <a:cs typeface="Arial"/>
                  </a:defRPr>
                </a:pPr>
                <a:endParaRPr lang="zh-CN"/>
              </a:p>
            </c:txPr>
            <c:numFmt formatCode="General" sourceLinked="0"/>
            <c:dLblPos val="outEnd"/>
            <c:showLegendKey val="0"/>
            <c:showVal val="1"/>
            <c:showCatName val="0"/>
            <c:showSerName val="0"/>
            <c:showPercent val="0"/>
            <c:showBubbleSize val="0"/>
            <c:showLeaderLines val="0"/>
          </c:dLbls>
          <c:cat>
            <c:strLit>
              <c:ptCount val="2"/>
              <c:pt idx="0">
                <c:v>2024年</c:v>
              </c:pt>
              <c:pt idx="1">
                <c:v>2025年</c:v>
              </c:pt>
            </c:strLit>
          </c:cat>
          <c:val>
            <c:numRef>
              <c:f/>
              <c:numCache>
                <c:formatCode>General</c:formatCode>
                <c:ptCount val="2"/>
                <c:pt idx="0">
                  <c:v>32.7</c:v>
                </c:pt>
                <c:pt idx="1">
                  <c:v>36.86</c:v>
                </c:pt>
              </c:numCache>
            </c:numRef>
          </c:val>
        </c:ser>
        <c:overlap val="-27"/>
        <c:gapWidth val="219"/>
        <c:axId val="0"/>
        <c:axId val="1"/>
      </c:barChart>
      <c:catAx>
        <c:axId val="0"/>
        <c:scaling>
          <c:orientation val="minMax"/>
        </c:scaling>
        <c:delete val="0"/>
        <c:axPos val="b"/>
        <c:numFmt formatCode="General" sourceLinked="1"/>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Arial"/>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D9D9D9"/>
              </a:solidFill>
              <a:prstDash val="solid"/>
            </a:ln>
          </c:spPr>
        </c:majorGridlines>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Arial"/>
              </a:defRPr>
            </a:pPr>
            <a:endParaRPr lang="zh-CN"/>
          </a:p>
        </c:txPr>
        <c:crossesAt val="1.0"/>
        <c:crossBetween val="between"/>
        <c:crossAx val="0"/>
      </c:valAx>
      <c:spPr>
        <a:noFill/>
        <a:ln>
          <a:noFill/>
        </a:ln>
      </c:spPr>
    </c:plotArea>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1" i="0" u="none" strike="noStrike" baseline="0">
                <a:solidFill>
                  <a:srgbClr val="000000"/>
                </a:solidFill>
                <a:latin typeface="Times New Roman"/>
                <a:ea typeface="宋体"/>
                <a:cs typeface="Arial"/>
              </a:defRPr>
            </a:pPr>
            <a:r>
              <a:rPr lang="zh-CN" sz="1400" b="1" i="0" u="none" strike="noStrike" baseline="0">
                <a:solidFill>
                  <a:srgbClr val="333333"/>
                </a:solidFill>
                <a:latin typeface="宋体"/>
                <a:ea typeface="宋体"/>
                <a:cs typeface="Arial"/>
              </a:rPr>
              <a:t>图</a:t>
            </a:r>
            <a:r>
              <a:rPr lang="zh-CN" sz="1400" b="1" i="0" u="none" strike="noStrike" baseline="0">
                <a:solidFill>
                  <a:srgbClr val="333333"/>
                </a:solidFill>
                <a:latin typeface="Calibri"/>
                <a:ea typeface="Calibri"/>
                <a:cs typeface="Arial"/>
              </a:rPr>
              <a:t>5</a:t>
            </a:r>
            <a:r>
              <a:rPr lang="zh-CN" sz="1400" b="1" i="0" u="none" strike="noStrike" baseline="0">
                <a:solidFill>
                  <a:srgbClr val="333333"/>
                </a:solidFill>
                <a:latin typeface="宋体"/>
                <a:ea typeface="宋体"/>
                <a:cs typeface="Arial"/>
              </a:rPr>
              <a:t>：</a:t>
            </a:r>
            <a:r>
              <a:rPr lang="zh-CN" sz="1400" b="1" i="0" u="none" strike="noStrike" baseline="0">
                <a:solidFill>
                  <a:srgbClr val="333333"/>
                </a:solidFill>
                <a:latin typeface="宋体"/>
                <a:ea typeface="宋体"/>
                <a:cs typeface="Arial"/>
              </a:rPr>
              <a:t>一般公共预算财政拨款支出决算变动情况</a:t>
            </a:r>
          </a:p>
        </c:rich>
      </c:tx>
      <c:layout/>
      <c:overlay val="0"/>
      <c:spPr>
        <a:noFill/>
        <a:ln>
          <a:noFill/>
        </a:ln>
      </c:spPr>
    </c:title>
    <c:autoTitleDeleted val="1"/>
    <c:plotArea>
      <c:layout/>
      <c:barChart>
        <c:barDir val="col"/>
        <c:grouping val="clustered"/>
        <c:varyColors val="0"/>
        <c:ser>
          <c:idx val="0"/>
          <c:order val="0"/>
          <c:spPr>
            <a:solidFill>
              <a:srgbClr val="4F81BD"/>
            </a:solidFill>
            <a:ln>
              <a:noFill/>
            </a:ln>
          </c:spPr>
          <c:invertIfNegative val="0"/>
          <c:dLbls>
            <c:spPr>
              <a:noFill/>
              <a:ln>
                <a:noFill/>
              </a:ln>
            </c:spPr>
            <c:txPr>
              <a:bodyPr vert="horz"/>
              <a:lstStyle/>
              <a:p>
                <a:pPr>
                  <a:defRPr sz="900" b="0" i="0" u="none" strike="noStrike" baseline="0">
                    <a:solidFill>
                      <a:srgbClr val="404040"/>
                    </a:solidFill>
                    <a:latin typeface="Times New Roman"/>
                    <a:ea typeface="宋体"/>
                    <a:cs typeface="Arial"/>
                  </a:defRPr>
                </a:pPr>
                <a:endParaRPr lang="zh-CN"/>
              </a:p>
            </c:txPr>
            <c:numFmt formatCode="General" sourceLinked="0"/>
            <c:dLblPos val="outEnd"/>
            <c:showLegendKey val="0"/>
            <c:showVal val="1"/>
            <c:showCatName val="0"/>
            <c:showSerName val="0"/>
            <c:showPercent val="0"/>
            <c:showBubbleSize val="0"/>
            <c:showLeaderLines val="0"/>
          </c:dLbls>
          <c:cat>
            <c:strLit>
              <c:ptCount val="2"/>
              <c:pt idx="0">
                <c:v>2024年</c:v>
              </c:pt>
              <c:pt idx="1">
                <c:v>2025年</c:v>
              </c:pt>
            </c:strLit>
          </c:cat>
          <c:val>
            <c:numRef>
              <c:f/>
              <c:numCache>
                <c:formatCode>General</c:formatCode>
                <c:ptCount val="2"/>
                <c:pt idx="0">
                  <c:v>32.7</c:v>
                </c:pt>
                <c:pt idx="1">
                  <c:v>36.86</c:v>
                </c:pt>
              </c:numCache>
            </c:numRef>
          </c:val>
        </c:ser>
        <c:overlap val="-27"/>
        <c:gapWidth val="219"/>
        <c:axId val="0"/>
        <c:axId val="1"/>
      </c:barChart>
      <c:catAx>
        <c:axId val="0"/>
        <c:scaling>
          <c:orientation val="minMax"/>
        </c:scaling>
        <c:delete val="0"/>
        <c:axPos val="b"/>
        <c:numFmt formatCode="General" sourceLinked="1"/>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Arial"/>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D9D9D9"/>
              </a:solidFill>
              <a:prstDash val="solid"/>
            </a:ln>
          </c:spPr>
        </c:majorGridlines>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Arial"/>
              </a:defRPr>
            </a:pPr>
            <a:endParaRPr lang="zh-CN"/>
          </a:p>
        </c:txPr>
        <c:crossesAt val="1.0"/>
        <c:crossBetween val="between"/>
        <c:crossAx val="0"/>
      </c:valAx>
      <c:spPr>
        <a:noFill/>
        <a:ln>
          <a:noFill/>
        </a:ln>
      </c:spPr>
    </c:plotArea>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1" i="0" u="none" strike="noStrike" baseline="0">
                <a:solidFill>
                  <a:srgbClr val="000000"/>
                </a:solidFill>
                <a:latin typeface="Times New Roman"/>
                <a:ea typeface="宋体"/>
                <a:cs typeface="Arial"/>
              </a:defRPr>
            </a:pPr>
            <a:r>
              <a:rPr lang="zh-CN" sz="1400" b="0" i="0" u="none" strike="noStrike" baseline="0">
                <a:solidFill>
                  <a:srgbClr val="000000"/>
                </a:solidFill>
                <a:latin typeface="宋体"/>
                <a:ea typeface="宋体"/>
                <a:cs typeface="Arial"/>
              </a:rPr>
              <a:t>图</a:t>
            </a:r>
            <a:r>
              <a:rPr lang="zh-CN" sz="1400" b="0" i="0" u="none" strike="noStrike" baseline="0">
                <a:solidFill>
                  <a:srgbClr val="000000"/>
                </a:solidFill>
                <a:latin typeface="Calibri"/>
                <a:ea typeface="Calibri"/>
                <a:cs typeface="Arial"/>
              </a:rPr>
              <a:t>6</a:t>
            </a:r>
            <a:r>
              <a:rPr lang="zh-CN" sz="1400" b="0" i="0" u="none" strike="noStrike" baseline="0">
                <a:solidFill>
                  <a:srgbClr val="000000"/>
                </a:solidFill>
                <a:latin typeface="宋体"/>
                <a:ea typeface="宋体"/>
                <a:cs typeface="Arial"/>
              </a:rPr>
              <a:t>：</a:t>
            </a:r>
            <a:r>
              <a:rPr lang="zh-CN" sz="1400" b="0" i="0" u="none" strike="noStrike" baseline="0">
                <a:solidFill>
                  <a:srgbClr val="000000"/>
                </a:solidFill>
                <a:latin typeface="宋体"/>
                <a:ea typeface="宋体"/>
                <a:cs typeface="Arial"/>
              </a:rPr>
              <a:t>一般公共预算财政拨款支出决算结构</a:t>
            </a:r>
          </a:p>
        </c:rich>
      </c:tx>
      <c:layout/>
      <c:overlay val="0"/>
      <c:spPr>
        <a:noFill/>
        <a:ln>
          <a:noFill/>
        </a:ln>
      </c:spPr>
    </c:title>
    <c:autoTitleDeleted val="1"/>
    <c:plotArea>
      <c:layout/>
      <c:pieChart>
        <c:varyColors val="1"/>
        <c:ser>
          <c:idx val="0"/>
          <c:order val="0"/>
          <c:spPr>
            <a:ln>
              <a:noFill/>
            </a:ln>
          </c:spPr>
          <c:dPt>
            <c:idx val="0"/>
            <c:bubble3D val="0"/>
            <c:spPr>
              <a:solidFill>
                <a:srgbClr val="4F81BD"/>
              </a:solidFill>
              <a:ln w="19050">
                <a:solidFill>
                  <a:srgbClr val="FFFFFF"/>
                </a:solidFill>
                <a:prstDash val="solid"/>
              </a:ln>
            </c:spPr>
          </c:dPt>
          <c:dPt>
            <c:idx val="1"/>
            <c:bubble3D val="0"/>
            <c:spPr>
              <a:solidFill>
                <a:srgbClr val="C0504D"/>
              </a:solidFill>
              <a:ln w="19050">
                <a:solidFill>
                  <a:srgbClr val="FFFFFF"/>
                </a:solidFill>
                <a:prstDash val="solid"/>
              </a:ln>
            </c:spPr>
          </c:dPt>
          <c:dPt>
            <c:idx val="2"/>
            <c:bubble3D val="0"/>
            <c:spPr>
              <a:solidFill>
                <a:srgbClr val="9BBB59"/>
              </a:solidFill>
              <a:ln w="19050">
                <a:solidFill>
                  <a:srgbClr val="FFFFFF"/>
                </a:solidFill>
                <a:prstDash val="solid"/>
              </a:ln>
            </c:spPr>
          </c:dPt>
          <c:dPt>
            <c:idx val="3"/>
            <c:bubble3D val="0"/>
            <c:spPr>
              <a:solidFill>
                <a:srgbClr val="8064A2"/>
              </a:solidFill>
              <a:ln w="19050">
                <a:solidFill>
                  <a:srgbClr val="FFFFFF"/>
                </a:solidFill>
                <a:prstDash val="solid"/>
              </a:ln>
            </c:spPr>
          </c:dPt>
          <c:dLbls>
            <c:spPr>
              <a:noFill/>
              <a:ln>
                <a:noFill/>
              </a:ln>
            </c:spPr>
            <c:txPr>
              <a:bodyPr vert="horz"/>
              <a:lstStyle/>
              <a:p>
                <a:pPr>
                  <a:defRPr sz="900" b="0" i="0" u="none" strike="noStrike" baseline="0">
                    <a:solidFill>
                      <a:srgbClr val="404040"/>
                    </a:solidFill>
                    <a:latin typeface="Times New Roman"/>
                    <a:ea typeface="宋体"/>
                    <a:cs typeface="Arial"/>
                  </a:defRPr>
                </a:pPr>
                <a:endParaRPr lang="zh-CN"/>
              </a:p>
            </c:txPr>
            <c:numFmt formatCode="General" sourceLinked="0"/>
            <c:showLegendKey val="0"/>
            <c:showVal val="1"/>
            <c:showCatName val="0"/>
            <c:showSerName val="0"/>
            <c:showPercent val="0"/>
            <c:showBubbleSize val="0"/>
            <c:showLeaderLines val="1"/>
          </c:dLbls>
          <c:cat>
            <c:strLit>
              <c:ptCount val="4"/>
              <c:pt idx="0">
                <c:v>一般公共服务支出</c:v>
              </c:pt>
              <c:pt idx="1">
                <c:v>社会保障和就业支出</c:v>
              </c:pt>
              <c:pt idx="2">
                <c:v>卫生健康支出</c:v>
              </c:pt>
              <c:pt idx="3">
                <c:v>住房保障支出</c:v>
              </c:pt>
            </c:strLit>
          </c:cat>
          <c:val>
            <c:numRef>
              <c:f/>
              <c:numCache>
                <c:formatCode>General</c:formatCode>
                <c:ptCount val="4"/>
                <c:pt idx="0">
                  <c:v>27.68</c:v>
                </c:pt>
                <c:pt idx="1">
                  <c:v>4.62</c:v>
                </c:pt>
                <c:pt idx="2">
                  <c:v>1.86</c:v>
                </c:pt>
                <c:pt idx="3">
                  <c:v>2.7</c:v>
                </c:pt>
              </c:numCache>
            </c:numRef>
          </c:val>
        </c:ser>
        <c:firstSliceAng val="0"/>
      </c:pieChart>
      <c:spPr>
        <a:noFill/>
        <a:ln>
          <a:noFill/>
        </a:ln>
      </c:spPr>
    </c:plotArea>
    <c:legend>
      <c:legendPos val="r"/>
      <c:layout/>
      <c:overlay val="0"/>
      <c:spPr>
        <a:noFill/>
        <a:ln>
          <a:noFill/>
        </a:ln>
      </c:spPr>
      <c:txPr>
        <a:bodyPr/>
        <a:lstStyle/>
        <a:p>
          <a:pPr>
            <a:defRPr sz="900" b="0" i="0" u="none" strike="noStrike" baseline="0">
              <a:solidFill>
                <a:srgbClr val="595959"/>
              </a:solidFill>
              <a:latin typeface="Times New Roman"/>
              <a:ea typeface="宋体"/>
              <a:cs typeface="Arial"/>
            </a:defRPr>
          </a:pPr>
          <a:endParaRPr lang="zh-CN"/>
        </a:p>
      </c:txPr>
    </c:legend>
    <c:plotVisOnly val="1"/>
    <c:dispBlanksAs val="zero"/>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docProps/app.xml><?xml version="1.0" encoding="utf-8"?>
<Properties xmlns="http://schemas.openxmlformats.org/officeDocument/2006/extended-properties">
  <Template>Normal.eit</Template>
  <TotalTime>2</TotalTime>
  <Application>Yozo_Office27021597764231179</Application>
  <Pages>27</Pages>
  <Words>11079</Words>
  <Characters>11872</Characters>
  <Lines>671</Lines>
  <Paragraphs>298</Paragraphs>
  <CharactersWithSpaces>11917</CharactersWithSpaces>
  <Company>四川省财政厅</Company>
</Properties>
</file>

<file path=docProps/core.xml><?xml version="1.0" encoding="utf-8"?>
<cp:coreProperties xmlns:cp="http://schemas.openxmlformats.org/package/2006/metadata/core-properties" xmlns:dc="http://purl.org/dc/elements/1.1/" xmlns:dcterms="http://purl.org/dc/terms/" xmlns:xsi="http://www.w3.org/2001/XMLSchema-instance">
  <dc:title>四川省***</dc:title>
  <dc:creator>曹颖</dc:creator>
  <cp:lastModifiedBy>Administrator</cp:lastModifiedBy>
  <cp:revision>38</cp:revision>
  <cp:lastPrinted>2023-07-31T02:35:00Z</cp:lastPrinted>
  <dcterms:created xsi:type="dcterms:W3CDTF">2020-08-05T01:49:00Z</dcterms:created>
  <dcterms:modified xsi:type="dcterms:W3CDTF">2026-10-22T09:34:30Z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2052-12.1.0.16388</vt:lpwstr>
  </property>
  <property fmtid="{D5CDD505-2E9C-101B-9397-08002B2CF9AE}" pid="3" name="KSOTemplateDocerSaveRecord">
    <vt:lpwstr>eyJoZGlkIjoiNzJjZTdjYWZkZDNkNjFlZjkwMWViZjcyOTU5NGMxOTQiLCJ1c2VySWQiOiIxMTI3NDY4NDkxIn0=</vt:lpwstr>
  </property>
  <property fmtid="{D5CDD505-2E9C-101B-9397-08002B2CF9AE}" pid="4" name="ICV">
    <vt:lpwstr>BF912064168F4DA68272EE7BE14A7C45_13</vt:lpwstr>
  </property>
</Properties>
</file>