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7C1B0">
      <w:pPr>
        <w:rPr>
          <w:highlight w:val="none"/>
        </w:rPr>
      </w:pPr>
    </w:p>
    <w:p w14:paraId="548A97E5">
      <w:pPr>
        <w:rPr>
          <w:highlight w:val="none"/>
        </w:rPr>
      </w:pPr>
    </w:p>
    <w:p w14:paraId="216300FE">
      <w:pPr>
        <w:rPr>
          <w:highlight w:val="none"/>
        </w:rPr>
      </w:pPr>
    </w:p>
    <w:p w14:paraId="74D80D49">
      <w:pPr>
        <w:rPr>
          <w:highlight w:val="none"/>
        </w:rPr>
      </w:pPr>
    </w:p>
    <w:p w14:paraId="51D007A4">
      <w:pPr>
        <w:ind w:firstLine="1050" w:firstLineChars="500"/>
        <w:rPr>
          <w:highlight w:val="none"/>
        </w:rPr>
      </w:pPr>
    </w:p>
    <w:p w14:paraId="5160653B">
      <w:pPr>
        <w:ind w:firstLine="1050" w:firstLineChars="500"/>
        <w:rPr>
          <w:highlight w:val="none"/>
        </w:rPr>
      </w:pPr>
    </w:p>
    <w:p w14:paraId="1260EE1B">
      <w:pPr>
        <w:jc w:val="center"/>
        <w:rPr>
          <w:rFonts w:hint="eastAsia" w:ascii="黑体" w:hAnsi="黑体" w:eastAsia="黑体"/>
          <w:sz w:val="44"/>
          <w:szCs w:val="44"/>
          <w:highlight w:val="none"/>
        </w:rPr>
      </w:pPr>
      <w:r>
        <w:rPr>
          <w:rFonts w:hint="eastAsia" w:ascii="黑体" w:hAnsi="黑体" w:eastAsia="黑体"/>
          <w:sz w:val="44"/>
          <w:szCs w:val="44"/>
          <w:highlight w:val="none"/>
        </w:rPr>
        <w:t>汶川县文化广播电视体育和旅游局</w:t>
      </w:r>
    </w:p>
    <w:p w14:paraId="44E52717">
      <w:pPr>
        <w:jc w:val="center"/>
        <w:rPr>
          <w:rFonts w:ascii="黑体" w:hAnsi="黑体" w:eastAsia="黑体"/>
          <w:sz w:val="44"/>
          <w:szCs w:val="44"/>
          <w:highlight w:val="none"/>
        </w:rPr>
      </w:pPr>
      <w:r>
        <w:rPr>
          <w:rFonts w:hint="eastAsia" w:ascii="黑体" w:hAnsi="黑体" w:eastAsia="黑体"/>
          <w:sz w:val="44"/>
          <w:szCs w:val="44"/>
          <w:highlight w:val="none"/>
          <w:lang w:val="en-US" w:eastAsia="zh-CN"/>
        </w:rPr>
        <w:t>2026年</w:t>
      </w:r>
      <w:r>
        <w:rPr>
          <w:rFonts w:hint="eastAsia" w:ascii="黑体" w:hAnsi="黑体" w:eastAsia="黑体"/>
          <w:sz w:val="44"/>
          <w:szCs w:val="44"/>
        </w:rPr>
        <w:t>部门预算</w:t>
      </w:r>
      <w:r>
        <w:rPr>
          <w:rFonts w:hint="eastAsia" w:ascii="黑体" w:hAnsi="黑体" w:eastAsia="黑体"/>
          <w:sz w:val="44"/>
          <w:szCs w:val="44"/>
          <w:lang w:eastAsia="zh-CN"/>
        </w:rPr>
        <w:t>公开</w:t>
      </w:r>
      <w:r>
        <w:rPr>
          <w:rFonts w:hint="eastAsia" w:ascii="黑体" w:hAnsi="黑体" w:eastAsia="黑体"/>
          <w:sz w:val="44"/>
          <w:szCs w:val="44"/>
          <w:lang w:val="en-US" w:eastAsia="zh-CN"/>
        </w:rPr>
        <w:t>编制说明</w:t>
      </w:r>
      <w:r>
        <w:rPr>
          <w:rFonts w:hint="eastAsia" w:ascii="黑体" w:hAnsi="黑体" w:eastAsia="黑体"/>
          <w:sz w:val="44"/>
          <w:szCs w:val="44"/>
          <w:highlight w:val="none"/>
        </w:rPr>
        <w:t>（汇总）</w:t>
      </w:r>
    </w:p>
    <w:p w14:paraId="22E813B5">
      <w:pPr>
        <w:ind w:firstLine="1760" w:firstLineChars="400"/>
        <w:jc w:val="center"/>
        <w:rPr>
          <w:rFonts w:ascii="黑体" w:hAnsi="黑体" w:eastAsia="黑体"/>
          <w:sz w:val="44"/>
          <w:szCs w:val="44"/>
          <w:highlight w:val="none"/>
        </w:rPr>
      </w:pPr>
    </w:p>
    <w:p w14:paraId="5E7A63EE">
      <w:pPr>
        <w:ind w:firstLine="1760" w:firstLineChars="400"/>
        <w:rPr>
          <w:rFonts w:ascii="黑体" w:hAnsi="黑体" w:eastAsia="黑体"/>
          <w:sz w:val="44"/>
          <w:szCs w:val="44"/>
          <w:highlight w:val="none"/>
        </w:rPr>
      </w:pPr>
    </w:p>
    <w:p w14:paraId="3E795819">
      <w:pPr>
        <w:ind w:firstLine="1760" w:firstLineChars="400"/>
        <w:rPr>
          <w:rFonts w:ascii="黑体" w:hAnsi="黑体" w:eastAsia="黑体"/>
          <w:sz w:val="44"/>
          <w:szCs w:val="44"/>
          <w:highlight w:val="none"/>
        </w:rPr>
      </w:pPr>
    </w:p>
    <w:p w14:paraId="2C827F1A">
      <w:pPr>
        <w:pStyle w:val="3"/>
        <w:rPr>
          <w:highlight w:val="none"/>
        </w:rPr>
      </w:pPr>
    </w:p>
    <w:p w14:paraId="316C3CB3">
      <w:pPr>
        <w:ind w:firstLine="1760" w:firstLineChars="400"/>
        <w:rPr>
          <w:rFonts w:ascii="黑体" w:hAnsi="黑体" w:eastAsia="黑体"/>
          <w:sz w:val="44"/>
          <w:szCs w:val="44"/>
          <w:highlight w:val="none"/>
        </w:rPr>
      </w:pPr>
    </w:p>
    <w:p w14:paraId="3884CE3E">
      <w:pPr>
        <w:ind w:firstLine="1760" w:firstLineChars="400"/>
        <w:rPr>
          <w:rFonts w:ascii="黑体" w:hAnsi="黑体" w:eastAsia="黑体"/>
          <w:sz w:val="44"/>
          <w:szCs w:val="44"/>
          <w:highlight w:val="none"/>
        </w:rPr>
      </w:pPr>
    </w:p>
    <w:p w14:paraId="09DA1BC2">
      <w:pPr>
        <w:ind w:firstLine="1760" w:firstLineChars="400"/>
        <w:rPr>
          <w:rFonts w:ascii="黑体" w:hAnsi="黑体" w:eastAsia="黑体"/>
          <w:sz w:val="44"/>
          <w:szCs w:val="44"/>
          <w:highlight w:val="none"/>
        </w:rPr>
      </w:pPr>
    </w:p>
    <w:p w14:paraId="254B5BAE">
      <w:pPr>
        <w:ind w:firstLine="1760" w:firstLineChars="400"/>
        <w:rPr>
          <w:rFonts w:ascii="黑体" w:hAnsi="黑体" w:eastAsia="黑体"/>
          <w:sz w:val="44"/>
          <w:szCs w:val="44"/>
          <w:highlight w:val="none"/>
        </w:rPr>
      </w:pPr>
    </w:p>
    <w:p w14:paraId="5578FEEB">
      <w:pPr>
        <w:ind w:firstLine="1440" w:firstLineChars="400"/>
        <w:rPr>
          <w:rFonts w:ascii="黑体" w:hAnsi="黑体" w:eastAsia="黑体"/>
          <w:sz w:val="36"/>
          <w:szCs w:val="36"/>
          <w:highlight w:val="none"/>
        </w:rPr>
      </w:pPr>
    </w:p>
    <w:p w14:paraId="56A05678">
      <w:pPr>
        <w:ind w:firstLine="2560" w:firstLineChars="800"/>
        <w:rPr>
          <w:rFonts w:ascii="黑体" w:hAnsi="黑体" w:eastAsia="黑体"/>
          <w:sz w:val="32"/>
          <w:szCs w:val="32"/>
          <w:highlight w:val="none"/>
        </w:rPr>
      </w:pPr>
      <w:r>
        <w:rPr>
          <w:rFonts w:hint="eastAsia" w:ascii="黑体" w:hAnsi="黑体" w:eastAsia="黑体"/>
          <w:sz w:val="32"/>
          <w:szCs w:val="32"/>
          <w:highlight w:val="none"/>
        </w:rPr>
        <w:t>202</w:t>
      </w:r>
      <w:r>
        <w:rPr>
          <w:rFonts w:hint="eastAsia" w:ascii="黑体" w:hAnsi="黑体" w:eastAsia="黑体"/>
          <w:sz w:val="32"/>
          <w:szCs w:val="32"/>
          <w:highlight w:val="none"/>
          <w:lang w:val="en-US" w:eastAsia="zh-CN"/>
        </w:rPr>
        <w:t>6</w:t>
      </w:r>
      <w:r>
        <w:rPr>
          <w:rFonts w:hint="eastAsia" w:ascii="黑体" w:hAnsi="黑体" w:eastAsia="黑体"/>
          <w:sz w:val="32"/>
          <w:szCs w:val="32"/>
          <w:highlight w:val="none"/>
        </w:rPr>
        <w:t>年 0</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月</w:t>
      </w:r>
      <w:r>
        <w:rPr>
          <w:rFonts w:hint="eastAsia" w:ascii="黑体" w:hAnsi="黑体" w:eastAsia="黑体"/>
          <w:sz w:val="32"/>
          <w:szCs w:val="32"/>
          <w:highlight w:val="none"/>
          <w:lang w:val="en-US" w:eastAsia="zh-CN"/>
        </w:rPr>
        <w:t>06</w:t>
      </w:r>
      <w:r>
        <w:rPr>
          <w:rFonts w:hint="eastAsia" w:ascii="黑体" w:hAnsi="黑体" w:eastAsia="黑体"/>
          <w:sz w:val="32"/>
          <w:szCs w:val="32"/>
          <w:highlight w:val="none"/>
        </w:rPr>
        <w:t>日</w:t>
      </w:r>
    </w:p>
    <w:p w14:paraId="2067488F">
      <w:pPr>
        <w:ind w:firstLine="1760" w:firstLineChars="400"/>
        <w:rPr>
          <w:rFonts w:ascii="黑体" w:hAnsi="黑体" w:eastAsia="黑体"/>
          <w:sz w:val="44"/>
          <w:szCs w:val="44"/>
          <w:highlight w:val="none"/>
        </w:rPr>
      </w:pPr>
    </w:p>
    <w:p w14:paraId="79E317BB">
      <w:pPr>
        <w:ind w:firstLine="1760" w:firstLineChars="400"/>
        <w:rPr>
          <w:rFonts w:ascii="黑体" w:hAnsi="黑体" w:eastAsia="黑体"/>
          <w:sz w:val="44"/>
          <w:szCs w:val="44"/>
          <w:highlight w:val="none"/>
        </w:rPr>
      </w:pPr>
    </w:p>
    <w:p w14:paraId="4F61A012">
      <w:pPr>
        <w:ind w:firstLine="1760" w:firstLineChars="400"/>
        <w:rPr>
          <w:rFonts w:ascii="黑体" w:hAnsi="黑体" w:eastAsia="黑体"/>
          <w:sz w:val="44"/>
          <w:szCs w:val="44"/>
          <w:highlight w:val="none"/>
        </w:rPr>
      </w:pPr>
    </w:p>
    <w:p w14:paraId="6A2B8953">
      <w:pPr>
        <w:ind w:firstLine="1760" w:firstLineChars="400"/>
        <w:rPr>
          <w:rFonts w:ascii="黑体" w:hAnsi="黑体" w:eastAsia="黑体"/>
          <w:sz w:val="44"/>
          <w:szCs w:val="44"/>
          <w:highlight w:val="none"/>
        </w:rPr>
      </w:pPr>
    </w:p>
    <w:p w14:paraId="63AEBC90">
      <w:pPr>
        <w:ind w:firstLine="1760" w:firstLineChars="400"/>
        <w:rPr>
          <w:rFonts w:ascii="黑体" w:hAnsi="黑体" w:eastAsia="黑体"/>
          <w:sz w:val="44"/>
          <w:szCs w:val="44"/>
          <w:highlight w:val="none"/>
        </w:rPr>
      </w:pPr>
    </w:p>
    <w:p w14:paraId="4D2D167B">
      <w:pPr>
        <w:rPr>
          <w:rFonts w:ascii="黑体" w:hAnsi="黑体" w:eastAsia="黑体"/>
          <w:sz w:val="44"/>
          <w:szCs w:val="44"/>
          <w:highlight w:val="none"/>
        </w:rPr>
      </w:pPr>
    </w:p>
    <w:p w14:paraId="4EC9A52E">
      <w:pPr>
        <w:ind w:firstLine="3120" w:firstLineChars="600"/>
        <w:rPr>
          <w:rFonts w:ascii="黑体" w:hAnsi="黑体" w:eastAsia="黑体"/>
          <w:sz w:val="52"/>
          <w:szCs w:val="52"/>
          <w:highlight w:val="none"/>
        </w:rPr>
      </w:pPr>
      <w:r>
        <w:rPr>
          <w:rFonts w:hint="eastAsia" w:ascii="黑体" w:hAnsi="黑体" w:eastAsia="黑体"/>
          <w:sz w:val="52"/>
          <w:szCs w:val="52"/>
          <w:highlight w:val="none"/>
        </w:rPr>
        <w:t>目 录</w:t>
      </w:r>
    </w:p>
    <w:p w14:paraId="55619B49">
      <w:pPr>
        <w:ind w:firstLine="3080" w:firstLineChars="700"/>
        <w:rPr>
          <w:rFonts w:ascii="黑体" w:hAnsi="黑体" w:eastAsia="黑体"/>
          <w:sz w:val="44"/>
          <w:szCs w:val="44"/>
          <w:highlight w:val="none"/>
        </w:rPr>
      </w:pPr>
    </w:p>
    <w:p w14:paraId="009D5632">
      <w:pPr>
        <w:pStyle w:val="15"/>
        <w:numPr>
          <w:ilvl w:val="0"/>
          <w:numId w:val="1"/>
        </w:numPr>
        <w:ind w:firstLineChars="0"/>
        <w:rPr>
          <w:rFonts w:ascii="黑体" w:hAnsi="黑体" w:eastAsia="黑体"/>
          <w:sz w:val="32"/>
          <w:szCs w:val="32"/>
          <w:highlight w:val="none"/>
        </w:rPr>
      </w:pPr>
      <w:r>
        <w:rPr>
          <w:rFonts w:hint="eastAsia" w:ascii="黑体" w:hAnsi="黑体" w:eastAsia="黑体"/>
          <w:sz w:val="32"/>
          <w:szCs w:val="32"/>
          <w:highlight w:val="none"/>
        </w:rPr>
        <w:t>基本职能及主要工作</w:t>
      </w:r>
    </w:p>
    <w:p w14:paraId="650AE7A2">
      <w:pPr>
        <w:numPr>
          <w:ilvl w:val="0"/>
          <w:numId w:val="2"/>
        </w:numPr>
        <w:rPr>
          <w:rFonts w:ascii="仿宋_GB2312" w:hAnsi="黑体" w:eastAsia="仿宋_GB2312"/>
          <w:sz w:val="32"/>
          <w:szCs w:val="32"/>
          <w:highlight w:val="none"/>
        </w:rPr>
      </w:pPr>
      <w:r>
        <w:rPr>
          <w:rFonts w:hint="eastAsia" w:ascii="仿宋_GB2312" w:hAnsi="黑体" w:eastAsia="仿宋_GB2312"/>
          <w:sz w:val="32"/>
          <w:szCs w:val="32"/>
          <w:highlight w:val="none"/>
        </w:rPr>
        <w:t>基本职能</w:t>
      </w:r>
    </w:p>
    <w:p w14:paraId="3E139C85">
      <w:pPr>
        <w:rPr>
          <w:rFonts w:ascii="仿宋_GB2312" w:hAnsi="黑体" w:eastAsia="仿宋_GB2312"/>
          <w:sz w:val="32"/>
          <w:szCs w:val="32"/>
          <w:highlight w:val="none"/>
        </w:rPr>
      </w:pPr>
      <w:r>
        <w:rPr>
          <w:rFonts w:hint="eastAsia" w:ascii="仿宋_GB2312" w:hAnsi="黑体" w:eastAsia="仿宋_GB2312"/>
          <w:sz w:val="32"/>
          <w:szCs w:val="32"/>
          <w:highlight w:val="none"/>
        </w:rPr>
        <w:t>（二）</w:t>
      </w:r>
      <w:r>
        <w:rPr>
          <w:rFonts w:hint="eastAsia" w:ascii="仿宋_GB2312" w:hAnsi="黑体" w:eastAsia="仿宋_GB2312"/>
          <w:sz w:val="32"/>
          <w:szCs w:val="32"/>
          <w:highlight w:val="none"/>
          <w:lang w:eastAsia="zh-CN"/>
        </w:rPr>
        <w:t>2026</w:t>
      </w:r>
      <w:r>
        <w:rPr>
          <w:rFonts w:hint="eastAsia" w:ascii="仿宋_GB2312" w:hAnsi="黑体" w:eastAsia="仿宋_GB2312"/>
          <w:sz w:val="32"/>
          <w:szCs w:val="32"/>
          <w:highlight w:val="none"/>
        </w:rPr>
        <w:t>年重点工作</w:t>
      </w:r>
    </w:p>
    <w:p w14:paraId="5626916F">
      <w:pPr>
        <w:rPr>
          <w:rFonts w:ascii="黑体" w:hAnsi="黑体" w:eastAsia="黑体"/>
          <w:sz w:val="32"/>
          <w:szCs w:val="32"/>
          <w:highlight w:val="none"/>
        </w:rPr>
      </w:pPr>
      <w:r>
        <w:rPr>
          <w:rFonts w:hint="eastAsia" w:ascii="黑体" w:hAnsi="黑体" w:eastAsia="黑体"/>
          <w:sz w:val="32"/>
          <w:szCs w:val="32"/>
          <w:highlight w:val="none"/>
        </w:rPr>
        <w:t>二、部门预算单位构成</w:t>
      </w:r>
    </w:p>
    <w:p w14:paraId="76AC2002">
      <w:pPr>
        <w:rPr>
          <w:rFonts w:ascii="黑体" w:hAnsi="黑体" w:eastAsia="黑体"/>
          <w:sz w:val="32"/>
          <w:szCs w:val="32"/>
          <w:highlight w:val="none"/>
        </w:rPr>
      </w:pPr>
      <w:r>
        <w:rPr>
          <w:rFonts w:hint="eastAsia" w:ascii="黑体" w:hAnsi="黑体" w:eastAsia="黑体"/>
          <w:sz w:val="32"/>
          <w:szCs w:val="32"/>
          <w:highlight w:val="none"/>
        </w:rPr>
        <w:t>三、收支预算情况说明</w:t>
      </w:r>
    </w:p>
    <w:p w14:paraId="43C1B2EA">
      <w:pPr>
        <w:rPr>
          <w:rFonts w:ascii="仿宋_GB2312" w:hAnsi="黑体" w:eastAsia="仿宋_GB2312"/>
          <w:sz w:val="32"/>
          <w:szCs w:val="32"/>
          <w:highlight w:val="none"/>
        </w:rPr>
      </w:pPr>
      <w:r>
        <w:rPr>
          <w:rFonts w:hint="eastAsia" w:ascii="黑体" w:hAnsi="黑体" w:eastAsia="黑体"/>
          <w:sz w:val="32"/>
          <w:szCs w:val="32"/>
          <w:highlight w:val="none"/>
        </w:rPr>
        <w:t>（</w:t>
      </w:r>
      <w:r>
        <w:rPr>
          <w:rFonts w:hint="eastAsia" w:ascii="仿宋_GB2312" w:hAnsi="黑体" w:eastAsia="仿宋_GB2312"/>
          <w:sz w:val="32"/>
          <w:szCs w:val="32"/>
          <w:highlight w:val="none"/>
        </w:rPr>
        <w:t>一）收入预算情况</w:t>
      </w:r>
    </w:p>
    <w:p w14:paraId="1AFA4CA7">
      <w:pPr>
        <w:rPr>
          <w:rFonts w:ascii="仿宋_GB2312" w:hAnsi="黑体" w:eastAsia="仿宋_GB2312"/>
          <w:sz w:val="32"/>
          <w:szCs w:val="32"/>
          <w:highlight w:val="none"/>
        </w:rPr>
      </w:pPr>
      <w:r>
        <w:rPr>
          <w:rFonts w:hint="eastAsia" w:ascii="仿宋_GB2312" w:hAnsi="黑体" w:eastAsia="仿宋_GB2312"/>
          <w:sz w:val="32"/>
          <w:szCs w:val="32"/>
          <w:highlight w:val="none"/>
        </w:rPr>
        <w:t>（二）支出预算情况</w:t>
      </w:r>
    </w:p>
    <w:p w14:paraId="6883704C">
      <w:pPr>
        <w:rPr>
          <w:rFonts w:ascii="黑体" w:hAnsi="黑体" w:eastAsia="黑体"/>
          <w:sz w:val="32"/>
          <w:szCs w:val="32"/>
          <w:highlight w:val="none"/>
        </w:rPr>
      </w:pPr>
      <w:r>
        <w:rPr>
          <w:rFonts w:hint="eastAsia" w:ascii="黑体" w:hAnsi="黑体" w:eastAsia="黑体"/>
          <w:sz w:val="32"/>
          <w:szCs w:val="32"/>
          <w:highlight w:val="none"/>
        </w:rPr>
        <w:t>四、财政拨款收支预算情况说明</w:t>
      </w:r>
    </w:p>
    <w:p w14:paraId="1BD37675">
      <w:pPr>
        <w:rPr>
          <w:rFonts w:ascii="黑体" w:hAnsi="黑体" w:eastAsia="黑体"/>
          <w:sz w:val="32"/>
          <w:szCs w:val="32"/>
          <w:highlight w:val="none"/>
        </w:rPr>
      </w:pPr>
      <w:r>
        <w:rPr>
          <w:rFonts w:hint="eastAsia" w:ascii="黑体" w:hAnsi="黑体" w:eastAsia="黑体"/>
          <w:sz w:val="32"/>
          <w:szCs w:val="32"/>
          <w:highlight w:val="none"/>
        </w:rPr>
        <w:t>五、一般公共预算当年拨款情况说明</w:t>
      </w:r>
    </w:p>
    <w:p w14:paraId="51F1A67D">
      <w:pPr>
        <w:rPr>
          <w:rFonts w:ascii="黑体" w:hAnsi="黑体" w:eastAsia="黑体"/>
          <w:sz w:val="32"/>
          <w:szCs w:val="32"/>
          <w:highlight w:val="none"/>
        </w:rPr>
      </w:pPr>
      <w:r>
        <w:rPr>
          <w:rFonts w:ascii="仿宋_GB2312" w:hAnsi="黑体" w:eastAsia="仿宋_GB2312"/>
          <w:sz w:val="32"/>
          <w:szCs w:val="32"/>
          <w:highlight w:val="none"/>
        </w:rPr>
        <w:t>（一）一般公共预算当年拨款规模变化情况</w:t>
      </w:r>
      <w:r>
        <w:rPr>
          <w:rFonts w:ascii="仿宋_GB2312" w:hAnsi="黑体" w:eastAsia="仿宋_GB2312"/>
          <w:sz w:val="32"/>
          <w:szCs w:val="32"/>
          <w:highlight w:val="none"/>
        </w:rPr>
        <w:br w:type="textWrapping"/>
      </w:r>
      <w:r>
        <w:rPr>
          <w:rFonts w:ascii="仿宋_GB2312" w:hAnsi="黑体" w:eastAsia="仿宋_GB2312"/>
          <w:sz w:val="32"/>
          <w:szCs w:val="32"/>
          <w:highlight w:val="none"/>
        </w:rPr>
        <w:t>（二）一般公共预算当年拨款结构情况</w:t>
      </w:r>
      <w:r>
        <w:rPr>
          <w:rFonts w:ascii="仿宋_GB2312" w:hAnsi="黑体" w:eastAsia="仿宋_GB2312"/>
          <w:sz w:val="32"/>
          <w:szCs w:val="32"/>
          <w:highlight w:val="none"/>
        </w:rPr>
        <w:br w:type="textWrapping"/>
      </w:r>
      <w:r>
        <w:rPr>
          <w:rFonts w:ascii="仿宋_GB2312" w:hAnsi="黑体" w:eastAsia="仿宋_GB2312"/>
          <w:sz w:val="32"/>
          <w:szCs w:val="32"/>
          <w:highlight w:val="none"/>
        </w:rPr>
        <w:t>（三）一般公共预算当年拨款具体使用情况</w:t>
      </w:r>
      <w:r>
        <w:rPr>
          <w:rFonts w:ascii="ˎ̥" w:hAnsi="ˎ̥" w:eastAsia="宋体" w:cs="宋体"/>
          <w:kern w:val="0"/>
          <w:sz w:val="16"/>
          <w:szCs w:val="16"/>
          <w:highlight w:val="none"/>
        </w:rPr>
        <w:br w:type="textWrapping"/>
      </w:r>
      <w:r>
        <w:rPr>
          <w:rFonts w:ascii="黑体" w:hAnsi="黑体" w:eastAsia="黑体"/>
          <w:sz w:val="32"/>
          <w:szCs w:val="32"/>
          <w:highlight w:val="none"/>
        </w:rPr>
        <w:t>六、一般公共预算基本支出情况说明</w:t>
      </w:r>
      <w:r>
        <w:rPr>
          <w:rFonts w:ascii="黑体" w:hAnsi="黑体" w:eastAsia="黑体"/>
          <w:sz w:val="32"/>
          <w:szCs w:val="32"/>
          <w:highlight w:val="none"/>
        </w:rPr>
        <w:br w:type="textWrapping"/>
      </w:r>
      <w:r>
        <w:rPr>
          <w:rFonts w:ascii="黑体" w:hAnsi="黑体" w:eastAsia="黑体"/>
          <w:sz w:val="32"/>
          <w:szCs w:val="32"/>
          <w:highlight w:val="none"/>
        </w:rPr>
        <w:t>七、“三公”经费财政拨款预算安排情况说明</w:t>
      </w:r>
      <w:r>
        <w:rPr>
          <w:rFonts w:ascii="黑体" w:hAnsi="黑体" w:eastAsia="黑体"/>
          <w:sz w:val="32"/>
          <w:szCs w:val="32"/>
          <w:highlight w:val="none"/>
        </w:rPr>
        <w:br w:type="textWrapping"/>
      </w:r>
      <w:r>
        <w:rPr>
          <w:rFonts w:ascii="黑体" w:hAnsi="黑体" w:eastAsia="黑体"/>
          <w:sz w:val="32"/>
          <w:szCs w:val="32"/>
          <w:highlight w:val="none"/>
        </w:rPr>
        <w:t>八、政府性基金预算支出情况说明</w:t>
      </w:r>
      <w:r>
        <w:rPr>
          <w:rFonts w:ascii="黑体" w:hAnsi="黑体" w:eastAsia="黑体"/>
          <w:sz w:val="32"/>
          <w:szCs w:val="32"/>
          <w:highlight w:val="none"/>
        </w:rPr>
        <w:br w:type="textWrapping"/>
      </w:r>
      <w:r>
        <w:rPr>
          <w:rFonts w:ascii="黑体" w:hAnsi="黑体" w:eastAsia="黑体"/>
          <w:sz w:val="32"/>
          <w:szCs w:val="32"/>
          <w:highlight w:val="none"/>
        </w:rPr>
        <w:t>九、其他重要事项的情况说明</w:t>
      </w:r>
      <w:r>
        <w:rPr>
          <w:rFonts w:ascii="黑体" w:hAnsi="黑体" w:eastAsia="黑体"/>
          <w:sz w:val="32"/>
          <w:szCs w:val="32"/>
          <w:highlight w:val="none"/>
        </w:rPr>
        <w:br w:type="textWrapping"/>
      </w:r>
      <w:r>
        <w:rPr>
          <w:rFonts w:hint="eastAsia" w:ascii="黑体" w:hAnsi="黑体" w:eastAsia="黑体"/>
          <w:sz w:val="32"/>
          <w:szCs w:val="32"/>
          <w:highlight w:val="none"/>
        </w:rPr>
        <w:t>十、名称解释</w:t>
      </w:r>
    </w:p>
    <w:p w14:paraId="2D145B76">
      <w:pPr>
        <w:rPr>
          <w:rFonts w:ascii="黑体" w:hAnsi="黑体" w:eastAsia="黑体"/>
          <w:sz w:val="32"/>
          <w:szCs w:val="32"/>
          <w:highlight w:val="none"/>
        </w:rPr>
      </w:pPr>
    </w:p>
    <w:p w14:paraId="24B2305F">
      <w:pPr>
        <w:widowControl/>
        <w:shd w:val="clear" w:color="auto" w:fill="FFFFFF"/>
        <w:spacing w:before="100" w:beforeAutospacing="1" w:after="100" w:afterAutospacing="1" w:line="290" w:lineRule="atLeast"/>
        <w:ind w:right="300"/>
        <w:jc w:val="left"/>
        <w:rPr>
          <w:rFonts w:hint="eastAsia" w:ascii="ˎ̥" w:hAnsi="ˎ̥" w:eastAsia="宋体" w:cs="宋体"/>
          <w:kern w:val="0"/>
          <w:sz w:val="12"/>
          <w:szCs w:val="12"/>
          <w:highlight w:val="none"/>
        </w:rPr>
      </w:pPr>
    </w:p>
    <w:tbl>
      <w:tblPr>
        <w:tblStyle w:val="7"/>
        <w:tblpPr w:leftFromText="30" w:rightFromText="230" w:vertAnchor="text" w:tblpXSpec="right" w:tblpYSpec="center"/>
        <w:tblW w:w="636" w:type="dxa"/>
        <w:tblCellSpacing w:w="15" w:type="dxa"/>
        <w:tblInd w:w="0" w:type="dxa"/>
        <w:tblLayout w:type="fixed"/>
        <w:tblCellMar>
          <w:top w:w="15" w:type="dxa"/>
          <w:left w:w="15" w:type="dxa"/>
          <w:bottom w:w="15" w:type="dxa"/>
          <w:right w:w="15" w:type="dxa"/>
        </w:tblCellMar>
      </w:tblPr>
      <w:tblGrid>
        <w:gridCol w:w="541"/>
        <w:gridCol w:w="95"/>
      </w:tblGrid>
      <w:tr w14:paraId="7C3AFC8D">
        <w:tblPrEx>
          <w:tblCellMar>
            <w:top w:w="15" w:type="dxa"/>
            <w:left w:w="15" w:type="dxa"/>
            <w:bottom w:w="15" w:type="dxa"/>
            <w:right w:w="15" w:type="dxa"/>
          </w:tblCellMar>
        </w:tblPrEx>
        <w:trPr>
          <w:tblCellSpacing w:w="15" w:type="dxa"/>
        </w:trPr>
        <w:tc>
          <w:tcPr>
            <w:tcW w:w="510" w:type="dxa"/>
            <w:vAlign w:val="center"/>
          </w:tcPr>
          <w:p w14:paraId="00FC6A88">
            <w:pPr>
              <w:widowControl/>
              <w:spacing w:line="180" w:lineRule="atLeast"/>
              <w:jc w:val="center"/>
              <w:rPr>
                <w:rFonts w:hint="eastAsia" w:ascii="ˎ̥" w:hAnsi="ˎ̥" w:eastAsia="宋体" w:cs="宋体"/>
                <w:kern w:val="0"/>
                <w:sz w:val="12"/>
                <w:szCs w:val="12"/>
                <w:highlight w:val="none"/>
              </w:rPr>
            </w:pPr>
            <w:r>
              <w:rPr>
                <w:rFonts w:ascii="ˎ̥" w:hAnsi="ˎ̥" w:eastAsia="宋体" w:cs="宋体"/>
                <w:kern w:val="0"/>
                <w:sz w:val="12"/>
                <w:highlight w:val="none"/>
              </w:rPr>
              <w:t>分享到：</w:t>
            </w:r>
          </w:p>
        </w:tc>
        <w:tc>
          <w:tcPr>
            <w:tcW w:w="36" w:type="dxa"/>
            <w:vAlign w:val="center"/>
          </w:tcPr>
          <w:p w14:paraId="631B0FA6">
            <w:pPr>
              <w:widowControl/>
              <w:spacing w:line="180" w:lineRule="atLeast"/>
              <w:jc w:val="center"/>
              <w:rPr>
                <w:rFonts w:hint="eastAsia" w:ascii="ˎ̥" w:hAnsi="ˎ̥" w:eastAsia="宋体" w:cs="宋体"/>
                <w:kern w:val="0"/>
                <w:sz w:val="12"/>
                <w:szCs w:val="12"/>
                <w:highlight w:val="none"/>
              </w:rPr>
            </w:pPr>
          </w:p>
        </w:tc>
      </w:tr>
    </w:tbl>
    <w:p w14:paraId="746AFDC6">
      <w:pPr>
        <w:pStyle w:val="15"/>
        <w:widowControl/>
        <w:spacing w:before="93" w:line="576" w:lineRule="exact"/>
        <w:ind w:firstLine="643"/>
        <w:jc w:val="left"/>
        <w:rPr>
          <w:rFonts w:ascii="黑体" w:hAnsi="黑体" w:eastAsia="黑体" w:cs="宋体"/>
          <w:b/>
          <w:bCs/>
          <w:sz w:val="32"/>
          <w:szCs w:val="32"/>
          <w:highlight w:val="none"/>
        </w:rPr>
      </w:pPr>
      <w:r>
        <w:rPr>
          <w:rFonts w:hint="eastAsia" w:ascii="黑体" w:hAnsi="黑体" w:eastAsia="黑体" w:cs="宋体"/>
          <w:b/>
          <w:bCs/>
          <w:sz w:val="32"/>
          <w:szCs w:val="32"/>
          <w:highlight w:val="none"/>
        </w:rPr>
        <w:t>一、</w:t>
      </w:r>
      <w:r>
        <w:rPr>
          <w:rFonts w:ascii="黑体" w:hAnsi="黑体" w:eastAsia="黑体" w:cs="宋体"/>
          <w:b/>
          <w:bCs/>
          <w:sz w:val="32"/>
          <w:szCs w:val="32"/>
          <w:highlight w:val="none"/>
        </w:rPr>
        <w:t>基本职能及主要工作</w:t>
      </w:r>
    </w:p>
    <w:p w14:paraId="2F5EB8D6">
      <w:pPr>
        <w:pStyle w:val="15"/>
        <w:widowControl/>
        <w:spacing w:before="93" w:line="576" w:lineRule="exact"/>
        <w:ind w:firstLine="640"/>
        <w:jc w:val="left"/>
        <w:rPr>
          <w:rFonts w:ascii="黑体" w:hAnsi="黑体" w:eastAsia="黑体" w:cs="宋体"/>
          <w:sz w:val="32"/>
          <w:szCs w:val="32"/>
          <w:highlight w:val="none"/>
        </w:rPr>
      </w:pPr>
      <w:r>
        <w:rPr>
          <w:rFonts w:hint="eastAsia" w:ascii="黑体" w:hAnsi="黑体" w:eastAsia="黑体" w:cs="宋体"/>
          <w:sz w:val="32"/>
          <w:szCs w:val="32"/>
          <w:highlight w:val="none"/>
        </w:rPr>
        <w:t>（一）基本职能</w:t>
      </w:r>
    </w:p>
    <w:p w14:paraId="328372AC">
      <w:pPr>
        <w:spacing w:line="540" w:lineRule="exact"/>
        <w:ind w:firstLine="640" w:firstLineChars="200"/>
        <w:rPr>
          <w:rFonts w:ascii="仿宋_GB2312" w:hAnsi="宋体" w:eastAsia="仿宋_GB2312" w:cs="宋体"/>
          <w:bCs/>
          <w:kern w:val="0"/>
          <w:sz w:val="32"/>
          <w:szCs w:val="32"/>
          <w:highlight w:val="none"/>
        </w:rPr>
      </w:pPr>
      <w:r>
        <w:rPr>
          <w:rFonts w:hint="eastAsia" w:ascii="仿宋_GB2312" w:hAnsi="仿宋_GB2312" w:eastAsia="仿宋_GB2312" w:cs="仿宋_GB2312"/>
          <w:sz w:val="32"/>
          <w:szCs w:val="32"/>
          <w:highlight w:val="none"/>
        </w:rPr>
        <w:t>1.</w:t>
      </w:r>
      <w:r>
        <w:rPr>
          <w:rFonts w:hint="eastAsia" w:ascii="仿宋_GB2312" w:hAnsi="宋体" w:eastAsia="仿宋_GB2312" w:cs="宋体"/>
          <w:bCs/>
          <w:kern w:val="0"/>
          <w:sz w:val="32"/>
          <w:szCs w:val="32"/>
          <w:highlight w:val="none"/>
        </w:rPr>
        <w:t>贯彻落实党和国家关于文化、体育、旅游、广电工作的方针政策、法律法规和省委、州委、县委的决策部署，拟订文化、体育和旅游政策措施，负责本部门依法行政工作。</w:t>
      </w:r>
    </w:p>
    <w:p w14:paraId="78490096">
      <w:pPr>
        <w:spacing w:line="540" w:lineRule="exact"/>
        <w:ind w:firstLine="640" w:firstLineChars="200"/>
        <w:rPr>
          <w:rFonts w:ascii="仿宋_GB2312" w:hAnsi="宋体" w:eastAsia="仿宋_GB2312" w:cs="宋体"/>
          <w:bCs/>
          <w:kern w:val="0"/>
          <w:sz w:val="32"/>
          <w:szCs w:val="32"/>
          <w:highlight w:val="none"/>
        </w:rPr>
      </w:pPr>
      <w:r>
        <w:rPr>
          <w:rFonts w:hint="eastAsia" w:ascii="仿宋_GB2312" w:hAnsi="仿宋_GB2312" w:eastAsia="仿宋_GB2312" w:cs="仿宋_GB2312"/>
          <w:sz w:val="32"/>
          <w:szCs w:val="32"/>
          <w:highlight w:val="none"/>
        </w:rPr>
        <w:t>2.</w:t>
      </w:r>
      <w:r>
        <w:rPr>
          <w:rFonts w:hint="eastAsia" w:ascii="仿宋_GB2312" w:hAnsi="宋体" w:eastAsia="仿宋_GB2312" w:cs="宋体"/>
          <w:bCs/>
          <w:kern w:val="0"/>
          <w:sz w:val="32"/>
          <w:szCs w:val="32"/>
          <w:highlight w:val="none"/>
        </w:rPr>
        <w:t>组织推动全县文化、体育事业产业和旅游业发展，拟订发展规划并组织实施；推进文化、体育、旅游体制机制改革；推进文化、体育和旅游产业融合发展，促进文化、体育和旅游与相关产业融合发展。</w:t>
      </w:r>
    </w:p>
    <w:p w14:paraId="080E2AE8">
      <w:pPr>
        <w:spacing w:line="540" w:lineRule="exact"/>
        <w:ind w:firstLine="640" w:firstLineChars="200"/>
        <w:rPr>
          <w:rFonts w:ascii="仿宋_GB2312" w:hAnsi="宋体" w:eastAsia="仿宋_GB2312" w:cs="宋体"/>
          <w:bCs/>
          <w:kern w:val="0"/>
          <w:sz w:val="32"/>
          <w:szCs w:val="32"/>
          <w:highlight w:val="none"/>
        </w:rPr>
      </w:pPr>
      <w:r>
        <w:rPr>
          <w:rFonts w:hint="eastAsia" w:ascii="仿宋_GB2312" w:hAnsi="仿宋_GB2312" w:eastAsia="仿宋_GB2312" w:cs="仿宋_GB2312"/>
          <w:sz w:val="32"/>
          <w:szCs w:val="32"/>
          <w:highlight w:val="none"/>
        </w:rPr>
        <w:t>3.</w:t>
      </w:r>
      <w:r>
        <w:rPr>
          <w:rFonts w:hint="eastAsia" w:ascii="仿宋_GB2312" w:hAnsi="宋体" w:eastAsia="仿宋_GB2312" w:cs="宋体"/>
          <w:bCs/>
          <w:kern w:val="0"/>
          <w:sz w:val="32"/>
          <w:szCs w:val="32"/>
          <w:highlight w:val="none"/>
        </w:rPr>
        <w:t>组织实施全县文化、体育和旅游资源的普查、保护与利用；管理全县性重大文化、体育和旅游活动，组织全县重点文化、体育和旅游设施建设；组织实施全县文化、体育和旅游整体形象推广，促进文化、体育、旅游产业市场推广和对外合作交流，制定文化体育和旅游市场开发战略并组织实施，推进全域旅游。</w:t>
      </w:r>
    </w:p>
    <w:p w14:paraId="79F36081">
      <w:pPr>
        <w:spacing w:line="540" w:lineRule="exact"/>
        <w:ind w:firstLine="640" w:firstLineChars="200"/>
        <w:rPr>
          <w:rFonts w:ascii="仿宋_GB2312" w:hAnsi="宋体" w:eastAsia="仿宋_GB2312" w:cs="宋体"/>
          <w:bCs/>
          <w:kern w:val="0"/>
          <w:sz w:val="32"/>
          <w:szCs w:val="32"/>
          <w:highlight w:val="none"/>
        </w:rPr>
      </w:pPr>
      <w:r>
        <w:rPr>
          <w:rFonts w:hint="eastAsia" w:ascii="仿宋_GB2312" w:hAnsi="仿宋_GB2312" w:eastAsia="仿宋_GB2312" w:cs="仿宋_GB2312"/>
          <w:sz w:val="32"/>
          <w:szCs w:val="32"/>
          <w:highlight w:val="none"/>
        </w:rPr>
        <w:t>4.</w:t>
      </w:r>
      <w:r>
        <w:rPr>
          <w:rFonts w:hint="eastAsia" w:ascii="仿宋_GB2312" w:hAnsi="宋体" w:eastAsia="仿宋_GB2312" w:cs="宋体"/>
          <w:bCs/>
          <w:kern w:val="0"/>
          <w:sz w:val="32"/>
          <w:szCs w:val="32"/>
          <w:highlight w:val="none"/>
        </w:rPr>
        <w:t>综合管理全县群众文化艺术事业，指导协调文化艺术创作与生产；组织、管理、指导全县性重大文化活动的开展；组织实施公益性公共文化服务项目，指导、协调全县民间艺术的挖掘和整理；指导图书文献资源和共享工程的建设、开发和利用；组织推动图书馆事业网络化、现代化建设；管理全县文物事业和博物馆事业，指导协调全县文物管理、保护、抢救、利用等工作，推动完善文物和博物馆公共服务体系建设；组织实施非物质文化遗产保护和优秀民族文化的传承和普及工作，推动非物质文化遗产的保护、传承、普及、弘扬和振兴。</w:t>
      </w:r>
    </w:p>
    <w:p w14:paraId="3684D009">
      <w:pPr>
        <w:spacing w:line="540" w:lineRule="exact"/>
        <w:ind w:firstLine="640" w:firstLineChars="200"/>
        <w:rPr>
          <w:rFonts w:ascii="仿宋_GB2312" w:hAnsi="宋体" w:eastAsia="仿宋_GB2312" w:cs="宋体"/>
          <w:bCs/>
          <w:kern w:val="0"/>
          <w:sz w:val="32"/>
          <w:szCs w:val="32"/>
          <w:highlight w:val="none"/>
        </w:rPr>
      </w:pPr>
      <w:r>
        <w:rPr>
          <w:rFonts w:hint="eastAsia" w:ascii="仿宋_GB2312" w:hAnsi="仿宋_GB2312" w:eastAsia="仿宋_GB2312" w:cs="仿宋_GB2312"/>
          <w:sz w:val="32"/>
          <w:szCs w:val="32"/>
          <w:highlight w:val="none"/>
        </w:rPr>
        <w:t>5.</w:t>
      </w:r>
      <w:r>
        <w:rPr>
          <w:rFonts w:hint="eastAsia" w:ascii="仿宋_GB2312" w:hAnsi="宋体" w:eastAsia="仿宋_GB2312" w:cs="宋体"/>
          <w:bCs/>
          <w:kern w:val="0"/>
          <w:sz w:val="32"/>
          <w:szCs w:val="32"/>
          <w:highlight w:val="none"/>
        </w:rPr>
        <w:t>负责公共文化、体育、旅游、广电事业发展，推进全县公共文化体育服务体系建设和旅游公共服务建设，实施惠民工程，推进文化、体育和旅游科技创新。监测文化、体育、旅游经济运行，负责旅游信息化建设、旅游统计和行业信息发布；指导全县文化、体育、旅游市场发展，对全县文化、体育、旅游、广电市场依法进行行业监管，推进文化、体育、旅游行业信用体系建设，依法规范文化、体育、旅游市场；负责全县文化、体育、旅游社团（协会）、广电的业务指导。</w:t>
      </w:r>
    </w:p>
    <w:p w14:paraId="4A8F0E55">
      <w:pPr>
        <w:spacing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宋体" w:eastAsia="仿宋_GB2312" w:cs="宋体"/>
          <w:bCs/>
          <w:kern w:val="0"/>
          <w:sz w:val="32"/>
          <w:szCs w:val="32"/>
          <w:highlight w:val="none"/>
        </w:rPr>
        <w:t>组织实施全面健身计划，培训社会体育指导员，推进全面健身活动的开展；统筹规划全县竞技体育发展和运动项目布局，组织、指导全县性重大体育活动；指导学校体育和青少年竞技体育的协调发展；指导业余体育训练，输送优秀竞技体育后备人才；按规定使用体育彩票公益金。</w:t>
      </w:r>
    </w:p>
    <w:p w14:paraId="26A90774">
      <w:pPr>
        <w:spacing w:line="540" w:lineRule="exact"/>
        <w:ind w:firstLine="640" w:firstLineChars="200"/>
        <w:rPr>
          <w:rFonts w:ascii="仿宋_GB2312" w:hAnsi="宋体" w:eastAsia="仿宋_GB2312" w:cs="宋体"/>
          <w:bCs/>
          <w:kern w:val="0"/>
          <w:sz w:val="32"/>
          <w:szCs w:val="32"/>
          <w:highlight w:val="none"/>
        </w:rPr>
      </w:pPr>
      <w:r>
        <w:rPr>
          <w:rFonts w:hint="eastAsia" w:ascii="仿宋_GB2312" w:hAnsi="仿宋_GB2312" w:eastAsia="仿宋_GB2312" w:cs="仿宋_GB2312"/>
          <w:sz w:val="32"/>
          <w:szCs w:val="32"/>
          <w:highlight w:val="none"/>
        </w:rPr>
        <w:t>7.</w:t>
      </w:r>
      <w:r>
        <w:rPr>
          <w:rFonts w:hint="eastAsia" w:ascii="仿宋_GB2312" w:hAnsi="宋体" w:eastAsia="仿宋_GB2312" w:cs="宋体"/>
          <w:bCs/>
          <w:kern w:val="0"/>
          <w:sz w:val="32"/>
          <w:szCs w:val="32"/>
          <w:highlight w:val="none"/>
        </w:rPr>
        <w:t>管理文化、体育和旅游对外及对港澳台交流合作与宣传推广工作，组织大型文化、体育和旅游对外及对港澳台交流活动。</w:t>
      </w:r>
    </w:p>
    <w:p w14:paraId="708846F5">
      <w:pPr>
        <w:spacing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w:t>
      </w:r>
      <w:r>
        <w:rPr>
          <w:rFonts w:hint="eastAsia" w:ascii="仿宋_GB2312" w:hAnsi="宋体" w:eastAsia="仿宋_GB2312" w:cs="宋体"/>
          <w:bCs/>
          <w:kern w:val="0"/>
          <w:sz w:val="32"/>
          <w:szCs w:val="32"/>
          <w:highlight w:val="none"/>
        </w:rPr>
        <w:t>负责文化、体育和旅游系统及市场安全生产工作的综合协调与监督管理，承担文化、体育、旅游行业意识形态工作，负责机关节能。</w:t>
      </w:r>
    </w:p>
    <w:p w14:paraId="0F482AA0">
      <w:pPr>
        <w:spacing w:line="540" w:lineRule="exact"/>
        <w:ind w:firstLine="640" w:firstLineChars="200"/>
        <w:rPr>
          <w:rFonts w:ascii="仿宋_GB2312" w:hAnsi="宋体" w:eastAsia="仿宋_GB2312" w:cs="宋体"/>
          <w:bCs/>
          <w:kern w:val="0"/>
          <w:sz w:val="32"/>
          <w:szCs w:val="32"/>
          <w:highlight w:val="none"/>
        </w:rPr>
      </w:pPr>
      <w:r>
        <w:rPr>
          <w:rFonts w:hint="eastAsia" w:ascii="仿宋_GB2312" w:hAnsi="仿宋_GB2312" w:eastAsia="仿宋_GB2312" w:cs="仿宋_GB2312"/>
          <w:sz w:val="32"/>
          <w:szCs w:val="32"/>
          <w:highlight w:val="none"/>
        </w:rPr>
        <w:t>9.</w:t>
      </w:r>
      <w:r>
        <w:rPr>
          <w:rFonts w:hint="eastAsia" w:ascii="仿宋_GB2312" w:hAnsi="宋体" w:eastAsia="仿宋_GB2312" w:cs="宋体"/>
          <w:bCs/>
          <w:kern w:val="0"/>
          <w:sz w:val="32"/>
          <w:szCs w:val="32"/>
          <w:highlight w:val="none"/>
        </w:rPr>
        <w:t>承办上级交办的其他事项。</w:t>
      </w:r>
    </w:p>
    <w:p w14:paraId="2101AE20">
      <w:pPr>
        <w:spacing w:line="54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sz w:val="32"/>
          <w:szCs w:val="32"/>
          <w:highlight w:val="none"/>
        </w:rPr>
        <w:t>10.</w:t>
      </w:r>
      <w:r>
        <w:rPr>
          <w:rFonts w:hint="eastAsia" w:ascii="仿宋_GB2312" w:hAnsi="宋体" w:eastAsia="仿宋_GB2312" w:cs="宋体"/>
          <w:bCs/>
          <w:kern w:val="0"/>
          <w:sz w:val="32"/>
          <w:szCs w:val="32"/>
          <w:highlight w:val="none"/>
        </w:rPr>
        <w:t>职能转变。强化文化、体育和旅游要素配置，统筹整合形成文化、体育和旅游发展新优势，着力打造具有地方民族特色的文化、体育和旅游品牌，推进文化、体育和旅游融合发展，巩固旅游业的战略性支柱产业地位，推动旅游业向主导产业发展，提升汶川文化软实力，建设体育强县，努力开创文化、体育和旅游工作新局面。</w:t>
      </w:r>
    </w:p>
    <w:p w14:paraId="58A3BFC3">
      <w:pPr>
        <w:pStyle w:val="15"/>
        <w:widowControl/>
        <w:spacing w:before="93" w:line="576" w:lineRule="exact"/>
        <w:ind w:firstLine="640"/>
        <w:jc w:val="left"/>
        <w:rPr>
          <w:rFonts w:ascii="黑体" w:hAnsi="黑体" w:eastAsia="黑体" w:cs="宋体"/>
          <w:sz w:val="32"/>
          <w:szCs w:val="32"/>
          <w:highlight w:val="none"/>
        </w:rPr>
      </w:pPr>
      <w:r>
        <w:rPr>
          <w:rFonts w:hint="eastAsia" w:ascii="黑体" w:hAnsi="黑体" w:eastAsia="黑体" w:cs="宋体"/>
          <w:sz w:val="32"/>
          <w:szCs w:val="32"/>
          <w:highlight w:val="none"/>
        </w:rPr>
        <w:t>（二）汶川县文化广播电视体育和旅游局</w:t>
      </w:r>
      <w:r>
        <w:rPr>
          <w:rFonts w:hint="eastAsia" w:ascii="黑体" w:hAnsi="黑体" w:eastAsia="黑体" w:cs="宋体"/>
          <w:sz w:val="32"/>
          <w:szCs w:val="32"/>
          <w:highlight w:val="none"/>
          <w:lang w:eastAsia="zh-CN"/>
        </w:rPr>
        <w:t>2026</w:t>
      </w:r>
      <w:r>
        <w:rPr>
          <w:rFonts w:hint="eastAsia" w:ascii="黑体" w:hAnsi="黑体" w:eastAsia="黑体" w:cs="宋体"/>
          <w:sz w:val="32"/>
          <w:szCs w:val="32"/>
          <w:highlight w:val="none"/>
        </w:rPr>
        <w:t>年重点工作</w:t>
      </w:r>
    </w:p>
    <w:p w14:paraId="356EFD7D">
      <w:pPr>
        <w:pBdr>
          <w:bottom w:val="single" w:color="FFFFFF" w:sz="4" w:space="28"/>
        </w:pBdr>
        <w:tabs>
          <w:tab w:val="left" w:pos="1440"/>
          <w:tab w:val="center" w:pos="4153"/>
          <w:tab w:val="right" w:pos="8306"/>
        </w:tabs>
        <w:spacing w:line="520" w:lineRule="exact"/>
        <w:ind w:firstLine="640" w:firstLineChars="200"/>
        <w:rPr>
          <w:rFonts w:hint="default" w:ascii="华文仿宋" w:hAnsi="华文仿宋" w:eastAsia="华文仿宋" w:cs="Tahoma"/>
          <w:bCs/>
          <w:color w:val="000000"/>
          <w:kern w:val="0"/>
          <w:sz w:val="32"/>
          <w:szCs w:val="32"/>
          <w:highlight w:val="none"/>
          <w:lang w:val="en-US" w:eastAsia="zh-CN"/>
        </w:rPr>
      </w:pPr>
      <w:r>
        <w:rPr>
          <w:rFonts w:hint="eastAsia" w:ascii="仿宋_GB2312" w:hAnsi="仿宋" w:eastAsia="仿宋_GB2312"/>
          <w:sz w:val="32"/>
          <w:szCs w:val="32"/>
          <w:highlight w:val="none"/>
          <w:lang w:val="en-US" w:eastAsia="zh-CN"/>
        </w:rPr>
        <w:t>1</w:t>
      </w:r>
      <w:r>
        <w:rPr>
          <w:rFonts w:hint="eastAsia" w:ascii="仿宋_GB2312" w:hAnsi="仿宋" w:eastAsia="仿宋_GB2312"/>
          <w:b/>
          <w:bCs/>
          <w:sz w:val="32"/>
          <w:szCs w:val="32"/>
          <w:highlight w:val="none"/>
          <w:lang w:val="en-US" w:eastAsia="zh-CN"/>
        </w:rPr>
        <w:t>.</w:t>
      </w:r>
      <w:r>
        <w:rPr>
          <w:rFonts w:hint="default" w:ascii="仿宋_GB2312" w:hAnsi="仿宋" w:eastAsia="仿宋_GB2312"/>
          <w:b/>
          <w:bCs/>
          <w:sz w:val="32"/>
          <w:szCs w:val="32"/>
          <w:highlight w:val="none"/>
          <w:lang w:val="en-US" w:eastAsia="zh-CN"/>
        </w:rPr>
        <w:t>补齐基础配套短板。</w:t>
      </w:r>
      <w:r>
        <w:rPr>
          <w:rFonts w:hint="default" w:ascii="华文仿宋" w:hAnsi="华文仿宋" w:eastAsia="华文仿宋" w:cs="Tahoma"/>
          <w:bCs/>
          <w:color w:val="000000"/>
          <w:kern w:val="0"/>
          <w:sz w:val="32"/>
          <w:szCs w:val="32"/>
          <w:highlight w:val="none"/>
          <w:lang w:val="en-US" w:eastAsia="zh-CN"/>
        </w:rPr>
        <w:t>常态做好纪念馆等5馆9站免费开放与提质增效，实现三级公共服务设施提质增效。强化两处传统村落保护和国家、省、州县四级非遗传承人考核。维护升级现有156条全民健身路径、20余公里健身步道、A级景区基础设施，增补乡村旅游带文旅配套和偏远行政村健身设施。拓展“研学+营地”模式，完善县域标准化研学营地建设，指导汶川天地映秀培训中心等县域主体，创新研发研学课程和研学产品2个，开发“藏羌非遗体验游”“红色初心研学游”等主题线路3条，丰富全域、全季、全时文旅产品供给。</w:t>
      </w:r>
    </w:p>
    <w:p w14:paraId="31B7BFEA">
      <w:pPr>
        <w:pBdr>
          <w:bottom w:val="single" w:color="FFFFFF" w:sz="4" w:space="28"/>
        </w:pBdr>
        <w:tabs>
          <w:tab w:val="left" w:pos="1440"/>
          <w:tab w:val="center" w:pos="4153"/>
          <w:tab w:val="right" w:pos="8306"/>
        </w:tabs>
        <w:spacing w:line="520" w:lineRule="exact"/>
        <w:ind w:firstLine="640" w:firstLineChars="200"/>
        <w:rPr>
          <w:rFonts w:hint="default" w:ascii="华文仿宋" w:hAnsi="华文仿宋" w:eastAsia="华文仿宋" w:cs="Tahoma"/>
          <w:bCs/>
          <w:color w:val="000000"/>
          <w:kern w:val="0"/>
          <w:sz w:val="32"/>
          <w:szCs w:val="32"/>
          <w:highlight w:val="none"/>
          <w:lang w:val="en-US" w:eastAsia="zh-CN"/>
        </w:rPr>
      </w:pPr>
      <w:r>
        <w:rPr>
          <w:rFonts w:hint="eastAsia" w:ascii="仿宋_GB2312" w:hAnsi="仿宋" w:eastAsia="仿宋_GB2312"/>
          <w:sz w:val="32"/>
          <w:szCs w:val="32"/>
          <w:highlight w:val="none"/>
          <w:lang w:val="en-US" w:eastAsia="zh-CN"/>
        </w:rPr>
        <w:t>2.</w:t>
      </w:r>
      <w:r>
        <w:rPr>
          <w:rFonts w:hint="default" w:ascii="仿宋_GB2312" w:hAnsi="仿宋" w:eastAsia="仿宋_GB2312"/>
          <w:b/>
          <w:bCs/>
          <w:sz w:val="32"/>
          <w:szCs w:val="32"/>
          <w:highlight w:val="none"/>
          <w:lang w:val="en-US" w:eastAsia="zh-CN"/>
        </w:rPr>
        <w:t>培育多元产品业态。</w:t>
      </w:r>
      <w:r>
        <w:rPr>
          <w:rFonts w:hint="default" w:ascii="华文仿宋" w:hAnsi="华文仿宋" w:eastAsia="华文仿宋" w:cs="Tahoma"/>
          <w:bCs/>
          <w:color w:val="000000"/>
          <w:kern w:val="0"/>
          <w:sz w:val="32"/>
          <w:szCs w:val="32"/>
          <w:highlight w:val="none"/>
          <w:lang w:val="en-US" w:eastAsia="zh-CN"/>
        </w:rPr>
        <w:t>高质量编制“十五五”文旅规划，完善《汶川县休闲度假产业链》《汶川县户外运动产业链》文本，印发《汶川县支持文旅融合高质量发展若干措施》，聚焦强链补链、推动产业融合、强化品牌运营、优化营商环境，为打造“文旅强县”提供科学指引。推进赵公福地生态旅游区创建和大禹文化旅游度假区规划编制，加快姜维城旅游基础设施项目建设进度，加大对低空旅游、冰雪度假综合体、文创产业园区、南天门徒步线路、羌人谷观光索道等项目的储备和招商引资力度，争取落地更多项目。</w:t>
      </w:r>
    </w:p>
    <w:p w14:paraId="4DB20FB4">
      <w:pPr>
        <w:pBdr>
          <w:bottom w:val="single" w:color="FFFFFF" w:sz="4" w:space="28"/>
        </w:pBdr>
        <w:tabs>
          <w:tab w:val="left" w:pos="1440"/>
          <w:tab w:val="center" w:pos="4153"/>
          <w:tab w:val="right" w:pos="8306"/>
        </w:tabs>
        <w:spacing w:line="520" w:lineRule="exact"/>
        <w:ind w:firstLine="640" w:firstLineChars="200"/>
        <w:rPr>
          <w:rFonts w:hint="default" w:ascii="华文仿宋" w:hAnsi="华文仿宋" w:eastAsia="华文仿宋" w:cs="Tahoma"/>
          <w:bCs/>
          <w:color w:val="000000"/>
          <w:kern w:val="0"/>
          <w:sz w:val="32"/>
          <w:szCs w:val="32"/>
          <w:highlight w:val="none"/>
          <w:lang w:val="en-US" w:eastAsia="zh-CN"/>
        </w:rPr>
      </w:pPr>
      <w:r>
        <w:rPr>
          <w:rFonts w:hint="eastAsia" w:ascii="仿宋_GB2312" w:hAnsi="仿宋" w:eastAsia="仿宋_GB2312"/>
          <w:sz w:val="32"/>
          <w:szCs w:val="32"/>
          <w:highlight w:val="none"/>
          <w:lang w:val="en-US" w:eastAsia="zh-CN"/>
        </w:rPr>
        <w:t>3.</w:t>
      </w:r>
      <w:r>
        <w:rPr>
          <w:rFonts w:hint="default" w:ascii="仿宋_GB2312" w:hAnsi="仿宋" w:eastAsia="仿宋_GB2312"/>
          <w:b/>
          <w:bCs/>
          <w:sz w:val="32"/>
          <w:szCs w:val="32"/>
          <w:highlight w:val="none"/>
          <w:lang w:val="en-US" w:eastAsia="zh-CN"/>
        </w:rPr>
        <w:t>深化文旅品牌影响。</w:t>
      </w:r>
      <w:r>
        <w:rPr>
          <w:rFonts w:hint="default" w:ascii="华文仿宋" w:hAnsi="华文仿宋" w:eastAsia="华文仿宋" w:cs="Tahoma"/>
          <w:bCs/>
          <w:color w:val="000000"/>
          <w:kern w:val="0"/>
          <w:sz w:val="32"/>
          <w:szCs w:val="32"/>
          <w:highlight w:val="none"/>
          <w:lang w:val="en-US" w:eastAsia="zh-CN"/>
        </w:rPr>
        <w:t>高质量举办大禹华诞、羌年等传统民俗活动，构建“汶川文旅IP矩阵”，推动宣传营销从“资源推介”向“IP运营”转型，从“景点旅游”向“全域旅游”转变，从“季节性火爆”向“全时段均衡”提升。举办“汶川首届生态康养旅游季”，优化整合南部避暑与阿尔沟徒步，创新举办“羌年文化旅游周”，打造冬季旅游新热点。开发“阿尔沟四季旅游产品”，优化“古羌寨文化体验线路”，将威州镇布瓦羌寨、萝卜寨等节点串联，增强文化沉浸感。</w:t>
      </w:r>
    </w:p>
    <w:p w14:paraId="6787A6B0">
      <w:pPr>
        <w:pBdr>
          <w:bottom w:val="single" w:color="FFFFFF" w:sz="4" w:space="28"/>
        </w:pBdr>
        <w:tabs>
          <w:tab w:val="left" w:pos="1440"/>
          <w:tab w:val="center" w:pos="4153"/>
          <w:tab w:val="right" w:pos="8306"/>
        </w:tabs>
        <w:spacing w:line="520" w:lineRule="exact"/>
        <w:ind w:firstLine="640" w:firstLineChars="200"/>
        <w:rPr>
          <w:rFonts w:hint="default" w:ascii="华文仿宋" w:hAnsi="华文仿宋" w:eastAsia="华文仿宋" w:cs="Tahoma"/>
          <w:bCs/>
          <w:color w:val="000000"/>
          <w:kern w:val="0"/>
          <w:sz w:val="32"/>
          <w:szCs w:val="32"/>
          <w:highlight w:val="none"/>
          <w:lang w:val="en-US" w:eastAsia="zh-CN"/>
        </w:rPr>
      </w:pPr>
      <w:r>
        <w:rPr>
          <w:rFonts w:hint="default"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val="en-US" w:eastAsia="zh-CN"/>
        </w:rPr>
        <w:t>.</w:t>
      </w:r>
      <w:r>
        <w:rPr>
          <w:rFonts w:hint="default" w:ascii="仿宋_GB2312" w:hAnsi="仿宋" w:eastAsia="仿宋_GB2312"/>
          <w:b/>
          <w:bCs/>
          <w:sz w:val="32"/>
          <w:szCs w:val="32"/>
          <w:highlight w:val="none"/>
          <w:lang w:val="en-US" w:eastAsia="zh-CN"/>
        </w:rPr>
        <w:t>健全长效监管机制。</w:t>
      </w:r>
      <w:r>
        <w:rPr>
          <w:rFonts w:hint="default" w:ascii="华文仿宋" w:hAnsi="华文仿宋" w:eastAsia="华文仿宋" w:cs="Tahoma"/>
          <w:bCs/>
          <w:color w:val="000000"/>
          <w:kern w:val="0"/>
          <w:sz w:val="32"/>
          <w:szCs w:val="32"/>
          <w:highlight w:val="none"/>
          <w:lang w:val="en-US" w:eastAsia="zh-CN"/>
        </w:rPr>
        <w:t>按照“行业监管+联合整治”的协同联动机制，建立行业管理部门联席会议制度，常态开展文旅市场综合整治，定期开展购物场所、旅行社、购物点等随机联合抽查。聚焦A级景区、旅游包车、导游执业等重点领域和突出问题，持续严查黑车黑导、强买强卖、随意涨价、欺客宰客、以次充好等行为，形成“整治、巩固、提升”良性循环。</w:t>
      </w:r>
    </w:p>
    <w:p w14:paraId="3A411414">
      <w:pPr>
        <w:pBdr>
          <w:bottom w:val="single" w:color="FFFFFF" w:sz="4" w:space="28"/>
        </w:pBdr>
        <w:tabs>
          <w:tab w:val="left" w:pos="1440"/>
          <w:tab w:val="center" w:pos="4153"/>
          <w:tab w:val="right" w:pos="8306"/>
        </w:tabs>
        <w:spacing w:line="576" w:lineRule="exact"/>
        <w:ind w:firstLine="643" w:firstLineChars="200"/>
        <w:rPr>
          <w:rFonts w:ascii="黑体" w:hAnsi="黑体" w:eastAsia="黑体" w:cs="宋体"/>
          <w:b/>
          <w:bCs/>
          <w:sz w:val="32"/>
          <w:szCs w:val="32"/>
          <w:highlight w:val="none"/>
        </w:rPr>
      </w:pPr>
      <w:r>
        <w:rPr>
          <w:rFonts w:ascii="黑体" w:hAnsi="黑体" w:eastAsia="黑体" w:cs="宋体"/>
          <w:b/>
          <w:bCs/>
          <w:sz w:val="32"/>
          <w:szCs w:val="32"/>
          <w:highlight w:val="none"/>
        </w:rPr>
        <w:t>二、部门预算单位构成</w:t>
      </w:r>
    </w:p>
    <w:p w14:paraId="03A1AE7F">
      <w:pPr>
        <w:pBdr>
          <w:bottom w:val="single" w:color="FFFFFF" w:sz="4" w:space="28"/>
        </w:pBdr>
        <w:tabs>
          <w:tab w:val="left" w:pos="1440"/>
          <w:tab w:val="center" w:pos="4153"/>
          <w:tab w:val="right" w:pos="8306"/>
        </w:tabs>
        <w:spacing w:line="576" w:lineRule="exact"/>
        <w:ind w:firstLine="640" w:firstLineChars="200"/>
        <w:rPr>
          <w:rFonts w:ascii="华文仿宋" w:hAnsi="华文仿宋" w:eastAsia="华文仿宋" w:cs="Tahoma"/>
          <w:bCs/>
          <w:color w:val="000000"/>
          <w:kern w:val="0"/>
          <w:sz w:val="32"/>
          <w:szCs w:val="32"/>
          <w:highlight w:val="none"/>
        </w:rPr>
      </w:pPr>
      <w:r>
        <w:rPr>
          <w:rFonts w:hint="eastAsia" w:ascii="华文仿宋" w:hAnsi="华文仿宋" w:eastAsia="华文仿宋" w:cs="Tahoma"/>
          <w:bCs/>
          <w:color w:val="000000"/>
          <w:kern w:val="0"/>
          <w:sz w:val="32"/>
          <w:szCs w:val="32"/>
          <w:highlight w:val="none"/>
        </w:rPr>
        <w:t>汶川县文化广播电视体育和旅游局单位属一级预算单位，局下设综合股、文化股、旅游股、体育广电股。下属其他事业单位2个：文化馆、图书馆。</w:t>
      </w:r>
    </w:p>
    <w:p w14:paraId="3191F43F">
      <w:pPr>
        <w:pBdr>
          <w:bottom w:val="single" w:color="FFFFFF" w:sz="4" w:space="28"/>
        </w:pBdr>
        <w:tabs>
          <w:tab w:val="left" w:pos="1440"/>
          <w:tab w:val="center" w:pos="4153"/>
          <w:tab w:val="right" w:pos="8306"/>
        </w:tabs>
        <w:spacing w:line="576" w:lineRule="exact"/>
        <w:ind w:firstLine="640" w:firstLineChars="200"/>
        <w:rPr>
          <w:rFonts w:ascii="华文仿宋" w:hAnsi="华文仿宋" w:eastAsia="华文仿宋" w:cs="Tahoma"/>
          <w:bCs/>
          <w:color w:val="000000"/>
          <w:spacing w:val="-11"/>
          <w:kern w:val="0"/>
          <w:sz w:val="32"/>
          <w:szCs w:val="32"/>
          <w:highlight w:val="none"/>
        </w:rPr>
      </w:pPr>
      <w:r>
        <w:rPr>
          <w:rFonts w:hint="eastAsia" w:ascii="华文仿宋" w:hAnsi="华文仿宋" w:eastAsia="华文仿宋" w:cs="Tahoma"/>
          <w:bCs/>
          <w:color w:val="000000"/>
          <w:kern w:val="0"/>
          <w:sz w:val="32"/>
          <w:szCs w:val="32"/>
          <w:highlight w:val="none"/>
        </w:rPr>
        <w:t>汶川县文化广播电视体育和旅游局设行政编制8人，机关工勤</w:t>
      </w:r>
      <w:r>
        <w:rPr>
          <w:rFonts w:hint="eastAsia" w:ascii="华文仿宋" w:hAnsi="华文仿宋" w:eastAsia="华文仿宋" w:cs="Tahoma"/>
          <w:bCs/>
          <w:color w:val="000000"/>
          <w:kern w:val="0"/>
          <w:sz w:val="32"/>
          <w:szCs w:val="32"/>
          <w:highlight w:val="none"/>
          <w:lang w:val="en-US" w:eastAsia="zh-CN"/>
        </w:rPr>
        <w:t>1</w:t>
      </w:r>
      <w:r>
        <w:rPr>
          <w:rFonts w:hint="eastAsia" w:ascii="华文仿宋" w:hAnsi="华文仿宋" w:eastAsia="华文仿宋" w:cs="Tahoma"/>
          <w:bCs/>
          <w:color w:val="000000"/>
          <w:kern w:val="0"/>
          <w:sz w:val="32"/>
          <w:szCs w:val="32"/>
          <w:highlight w:val="none"/>
        </w:rPr>
        <w:t>人，在</w:t>
      </w:r>
      <w:r>
        <w:rPr>
          <w:rFonts w:hint="eastAsia" w:ascii="华文仿宋" w:hAnsi="华文仿宋" w:eastAsia="华文仿宋" w:cs="Tahoma"/>
          <w:bCs/>
          <w:color w:val="000000"/>
          <w:spacing w:val="-11"/>
          <w:kern w:val="0"/>
          <w:sz w:val="32"/>
          <w:szCs w:val="32"/>
          <w:highlight w:val="none"/>
        </w:rPr>
        <w:t>职行政人员8</w:t>
      </w:r>
      <w:r>
        <w:rPr>
          <w:rFonts w:hint="eastAsia" w:ascii="华文仿宋" w:hAnsi="华文仿宋" w:eastAsia="华文仿宋" w:cs="Tahoma"/>
          <w:bCs/>
          <w:color w:val="000000"/>
          <w:kern w:val="0"/>
          <w:sz w:val="32"/>
          <w:szCs w:val="32"/>
          <w:highlight w:val="none"/>
        </w:rPr>
        <w:t>人</w:t>
      </w:r>
      <w:r>
        <w:rPr>
          <w:rFonts w:hint="eastAsia" w:ascii="华文仿宋" w:hAnsi="华文仿宋" w:eastAsia="华文仿宋" w:cs="Tahoma"/>
          <w:bCs/>
          <w:color w:val="000000"/>
          <w:spacing w:val="-11"/>
          <w:kern w:val="0"/>
          <w:sz w:val="32"/>
          <w:szCs w:val="32"/>
          <w:highlight w:val="none"/>
        </w:rPr>
        <w:t>，在职工勤</w:t>
      </w:r>
      <w:r>
        <w:rPr>
          <w:rFonts w:hint="eastAsia" w:ascii="华文仿宋" w:hAnsi="华文仿宋" w:eastAsia="华文仿宋" w:cs="Tahoma"/>
          <w:bCs/>
          <w:color w:val="000000"/>
          <w:spacing w:val="-11"/>
          <w:kern w:val="0"/>
          <w:sz w:val="32"/>
          <w:szCs w:val="32"/>
          <w:highlight w:val="none"/>
          <w:lang w:val="en-US" w:eastAsia="zh-CN"/>
        </w:rPr>
        <w:t>1</w:t>
      </w:r>
      <w:r>
        <w:rPr>
          <w:rFonts w:hint="eastAsia" w:ascii="华文仿宋" w:hAnsi="华文仿宋" w:eastAsia="华文仿宋" w:cs="Tahoma"/>
          <w:bCs/>
          <w:color w:val="000000"/>
          <w:kern w:val="0"/>
          <w:sz w:val="32"/>
          <w:szCs w:val="32"/>
          <w:highlight w:val="none"/>
        </w:rPr>
        <w:t>人</w:t>
      </w:r>
      <w:r>
        <w:rPr>
          <w:rFonts w:hint="eastAsia" w:ascii="华文仿宋" w:hAnsi="华文仿宋" w:eastAsia="华文仿宋" w:cs="Tahoma"/>
          <w:bCs/>
          <w:color w:val="000000"/>
          <w:spacing w:val="-11"/>
          <w:kern w:val="0"/>
          <w:sz w:val="32"/>
          <w:szCs w:val="32"/>
          <w:highlight w:val="none"/>
        </w:rPr>
        <w:t>；</w:t>
      </w:r>
      <w:r>
        <w:rPr>
          <w:rFonts w:hint="eastAsia" w:ascii="华文仿宋" w:hAnsi="华文仿宋" w:eastAsia="华文仿宋" w:cs="Tahoma"/>
          <w:bCs/>
          <w:color w:val="000000"/>
          <w:kern w:val="0"/>
          <w:sz w:val="32"/>
          <w:szCs w:val="32"/>
          <w:highlight w:val="none"/>
        </w:rPr>
        <w:t>汶川县文化体育旅游服务中心设事业编</w:t>
      </w:r>
      <w:r>
        <w:rPr>
          <w:rFonts w:hint="eastAsia" w:ascii="华文仿宋" w:hAnsi="华文仿宋" w:eastAsia="华文仿宋" w:cs="Tahoma"/>
          <w:bCs/>
          <w:color w:val="000000"/>
          <w:kern w:val="0"/>
          <w:sz w:val="32"/>
          <w:szCs w:val="32"/>
          <w:highlight w:val="none"/>
          <w:lang w:val="en-US" w:eastAsia="zh-CN"/>
        </w:rPr>
        <w:t>13</w:t>
      </w:r>
      <w:r>
        <w:rPr>
          <w:rFonts w:hint="eastAsia" w:ascii="华文仿宋" w:hAnsi="华文仿宋" w:eastAsia="华文仿宋" w:cs="Tahoma"/>
          <w:bCs/>
          <w:color w:val="000000"/>
          <w:kern w:val="0"/>
          <w:sz w:val="32"/>
          <w:szCs w:val="32"/>
          <w:highlight w:val="none"/>
        </w:rPr>
        <w:t>人，在职8人；大禹故里景区管理处</w:t>
      </w:r>
      <w:r>
        <w:rPr>
          <w:rFonts w:hint="eastAsia" w:ascii="华文仿宋" w:hAnsi="华文仿宋" w:eastAsia="华文仿宋" w:cs="Tahoma"/>
          <w:bCs/>
          <w:color w:val="000000"/>
          <w:kern w:val="0"/>
          <w:sz w:val="32"/>
          <w:szCs w:val="32"/>
          <w:highlight w:val="none"/>
          <w:lang w:val="en-US" w:eastAsia="zh-CN"/>
        </w:rPr>
        <w:t>事业编6人，在职5人；</w:t>
      </w:r>
      <w:r>
        <w:rPr>
          <w:rFonts w:hint="eastAsia" w:ascii="华文仿宋" w:hAnsi="华文仿宋" w:eastAsia="华文仿宋" w:cs="Tahoma"/>
          <w:bCs/>
          <w:color w:val="000000"/>
          <w:kern w:val="0"/>
          <w:sz w:val="32"/>
          <w:szCs w:val="32"/>
          <w:highlight w:val="none"/>
        </w:rPr>
        <w:t>中国羌城景区管理处事业编制</w:t>
      </w:r>
      <w:r>
        <w:rPr>
          <w:rFonts w:hint="eastAsia" w:ascii="华文仿宋" w:hAnsi="华文仿宋" w:eastAsia="华文仿宋" w:cs="Tahoma"/>
          <w:bCs/>
          <w:color w:val="000000"/>
          <w:kern w:val="0"/>
          <w:sz w:val="32"/>
          <w:szCs w:val="32"/>
          <w:highlight w:val="none"/>
          <w:lang w:val="en-US" w:eastAsia="zh-CN"/>
        </w:rPr>
        <w:t>6</w:t>
      </w:r>
      <w:r>
        <w:rPr>
          <w:rFonts w:hint="eastAsia" w:ascii="华文仿宋" w:hAnsi="华文仿宋" w:eastAsia="华文仿宋" w:cs="Tahoma"/>
          <w:bCs/>
          <w:color w:val="000000"/>
          <w:kern w:val="0"/>
          <w:sz w:val="32"/>
          <w:szCs w:val="32"/>
          <w:highlight w:val="none"/>
        </w:rPr>
        <w:t>人，在职</w:t>
      </w:r>
      <w:r>
        <w:rPr>
          <w:rFonts w:hint="eastAsia" w:ascii="华文仿宋" w:hAnsi="华文仿宋" w:eastAsia="华文仿宋" w:cs="Tahoma"/>
          <w:bCs/>
          <w:color w:val="000000"/>
          <w:kern w:val="0"/>
          <w:sz w:val="32"/>
          <w:szCs w:val="32"/>
          <w:highlight w:val="none"/>
          <w:lang w:val="en-US" w:eastAsia="zh-CN"/>
        </w:rPr>
        <w:t>6</w:t>
      </w:r>
      <w:r>
        <w:rPr>
          <w:rFonts w:hint="eastAsia" w:ascii="华文仿宋" w:hAnsi="华文仿宋" w:eastAsia="华文仿宋" w:cs="Tahoma"/>
          <w:bCs/>
          <w:color w:val="000000"/>
          <w:kern w:val="0"/>
          <w:sz w:val="32"/>
          <w:szCs w:val="32"/>
          <w:highlight w:val="none"/>
        </w:rPr>
        <w:t>人；映秀5.12特大地震震中纪念馆事业编制</w:t>
      </w:r>
      <w:r>
        <w:rPr>
          <w:rFonts w:hint="eastAsia" w:ascii="华文仿宋" w:hAnsi="华文仿宋" w:eastAsia="华文仿宋" w:cs="Tahoma"/>
          <w:bCs/>
          <w:color w:val="000000"/>
          <w:kern w:val="0"/>
          <w:sz w:val="32"/>
          <w:szCs w:val="32"/>
          <w:highlight w:val="none"/>
          <w:lang w:val="en-US" w:eastAsia="zh-CN"/>
        </w:rPr>
        <w:t>5</w:t>
      </w:r>
      <w:r>
        <w:rPr>
          <w:rFonts w:hint="eastAsia" w:ascii="华文仿宋" w:hAnsi="华文仿宋" w:eastAsia="华文仿宋" w:cs="Tahoma"/>
          <w:bCs/>
          <w:color w:val="000000"/>
          <w:kern w:val="0"/>
          <w:sz w:val="32"/>
          <w:szCs w:val="32"/>
          <w:highlight w:val="none"/>
        </w:rPr>
        <w:t>人，在职</w:t>
      </w:r>
      <w:r>
        <w:rPr>
          <w:rFonts w:hint="eastAsia" w:ascii="华文仿宋" w:hAnsi="华文仿宋" w:eastAsia="华文仿宋" w:cs="Tahoma"/>
          <w:bCs/>
          <w:color w:val="000000"/>
          <w:kern w:val="0"/>
          <w:sz w:val="32"/>
          <w:szCs w:val="32"/>
          <w:highlight w:val="none"/>
          <w:lang w:val="en-US" w:eastAsia="zh-CN"/>
        </w:rPr>
        <w:t>5</w:t>
      </w:r>
      <w:r>
        <w:rPr>
          <w:rFonts w:hint="eastAsia" w:ascii="华文仿宋" w:hAnsi="华文仿宋" w:eastAsia="华文仿宋" w:cs="Tahoma"/>
          <w:bCs/>
          <w:color w:val="000000"/>
          <w:kern w:val="0"/>
          <w:sz w:val="32"/>
          <w:szCs w:val="32"/>
          <w:highlight w:val="none"/>
        </w:rPr>
        <w:t>人</w:t>
      </w:r>
      <w:r>
        <w:rPr>
          <w:rFonts w:hint="eastAsia" w:ascii="华文仿宋" w:hAnsi="华文仿宋" w:eastAsia="华文仿宋" w:cs="Tahoma"/>
          <w:bCs/>
          <w:color w:val="000000"/>
          <w:kern w:val="0"/>
          <w:sz w:val="32"/>
          <w:szCs w:val="32"/>
          <w:highlight w:val="none"/>
          <w:lang w:eastAsia="zh-CN"/>
        </w:rPr>
        <w:t>；体育服务中心</w:t>
      </w:r>
      <w:r>
        <w:rPr>
          <w:rFonts w:hint="eastAsia" w:ascii="华文仿宋" w:hAnsi="华文仿宋" w:eastAsia="华文仿宋" w:cs="Tahoma"/>
          <w:bCs/>
          <w:color w:val="000000"/>
          <w:kern w:val="0"/>
          <w:sz w:val="32"/>
          <w:szCs w:val="32"/>
          <w:highlight w:val="none"/>
          <w:lang w:val="en-US" w:eastAsia="zh-CN"/>
        </w:rPr>
        <w:t>事业编制5人，在职3人</w:t>
      </w:r>
      <w:r>
        <w:rPr>
          <w:rFonts w:hint="eastAsia" w:ascii="华文仿宋" w:hAnsi="华文仿宋" w:eastAsia="华文仿宋" w:cs="Tahoma"/>
          <w:bCs/>
          <w:color w:val="000000"/>
          <w:kern w:val="0"/>
          <w:sz w:val="32"/>
          <w:szCs w:val="32"/>
          <w:highlight w:val="none"/>
        </w:rPr>
        <w:t>。</w:t>
      </w:r>
    </w:p>
    <w:p w14:paraId="73CEFA4F">
      <w:pPr>
        <w:pBdr>
          <w:bottom w:val="single" w:color="FFFFFF" w:sz="4" w:space="28"/>
        </w:pBdr>
        <w:tabs>
          <w:tab w:val="left" w:pos="1440"/>
          <w:tab w:val="center" w:pos="4153"/>
          <w:tab w:val="right" w:pos="8306"/>
        </w:tabs>
        <w:spacing w:line="576" w:lineRule="exact"/>
        <w:ind w:firstLine="643" w:firstLineChars="200"/>
        <w:rPr>
          <w:rFonts w:ascii="华文仿宋" w:hAnsi="华文仿宋" w:eastAsia="华文仿宋" w:cs="宋体"/>
          <w:sz w:val="32"/>
          <w:szCs w:val="32"/>
          <w:highlight w:val="none"/>
        </w:rPr>
      </w:pPr>
      <w:r>
        <w:rPr>
          <w:rFonts w:hint="eastAsia" w:ascii="黑体" w:hAnsi="黑体" w:eastAsia="黑体" w:cs="宋体"/>
          <w:b/>
          <w:bCs/>
          <w:sz w:val="32"/>
          <w:szCs w:val="32"/>
          <w:highlight w:val="none"/>
        </w:rPr>
        <w:t>三、</w:t>
      </w:r>
      <w:r>
        <w:rPr>
          <w:rFonts w:ascii="黑体" w:hAnsi="黑体" w:eastAsia="黑体" w:cs="宋体"/>
          <w:b/>
          <w:bCs/>
          <w:sz w:val="32"/>
          <w:szCs w:val="32"/>
          <w:highlight w:val="none"/>
        </w:rPr>
        <w:t>收支预算情况说明</w:t>
      </w:r>
      <w:r>
        <w:rPr>
          <w:rFonts w:ascii="华文仿宋" w:hAnsi="华文仿宋" w:eastAsia="华文仿宋" w:cs="宋体"/>
          <w:sz w:val="32"/>
          <w:szCs w:val="32"/>
          <w:highlight w:val="none"/>
        </w:rPr>
        <w:br w:type="textWrapping"/>
      </w:r>
      <w:r>
        <w:rPr>
          <w:rFonts w:ascii="华文仿宋" w:hAnsi="华文仿宋" w:eastAsia="华文仿宋" w:cs="宋体"/>
          <w:sz w:val="32"/>
          <w:szCs w:val="32"/>
          <w:highlight w:val="none"/>
        </w:rPr>
        <w:t>　　按照综合预算的原则，</w:t>
      </w:r>
      <w:r>
        <w:rPr>
          <w:rFonts w:hint="eastAsia" w:ascii="华文仿宋" w:hAnsi="华文仿宋" w:eastAsia="华文仿宋" w:cs="宋体"/>
          <w:sz w:val="32"/>
          <w:szCs w:val="32"/>
          <w:highlight w:val="none"/>
        </w:rPr>
        <w:t>汶川县文化广播电视体育和旅游局单位</w:t>
      </w:r>
      <w:r>
        <w:rPr>
          <w:rFonts w:ascii="华文仿宋" w:hAnsi="华文仿宋" w:eastAsia="华文仿宋" w:cs="宋体"/>
          <w:sz w:val="32"/>
          <w:szCs w:val="32"/>
          <w:highlight w:val="none"/>
        </w:rPr>
        <w:t>所有收入和支出均纳入部门预算管理。收入包括：一般公共预算拨款收入</w:t>
      </w:r>
      <w:r>
        <w:rPr>
          <w:rFonts w:hint="eastAsia" w:ascii="华文仿宋" w:hAnsi="华文仿宋" w:eastAsia="华文仿宋" w:cs="宋体"/>
          <w:sz w:val="32"/>
          <w:szCs w:val="32"/>
          <w:highlight w:val="none"/>
        </w:rPr>
        <w:t>1238.61</w:t>
      </w:r>
      <w:r>
        <w:rPr>
          <w:rFonts w:ascii="华文仿宋" w:hAnsi="华文仿宋" w:eastAsia="华文仿宋" w:cs="宋体"/>
          <w:sz w:val="32"/>
          <w:szCs w:val="32"/>
          <w:highlight w:val="none"/>
        </w:rPr>
        <w:t>万元，其他收入</w:t>
      </w:r>
      <w:r>
        <w:rPr>
          <w:rFonts w:hint="eastAsia" w:ascii="华文仿宋" w:hAnsi="华文仿宋" w:eastAsia="华文仿宋" w:cs="宋体"/>
          <w:sz w:val="32"/>
          <w:szCs w:val="32"/>
          <w:highlight w:val="none"/>
        </w:rPr>
        <w:t>0.00</w:t>
      </w:r>
      <w:r>
        <w:rPr>
          <w:rFonts w:ascii="华文仿宋" w:hAnsi="华文仿宋" w:eastAsia="华文仿宋" w:cs="宋体"/>
          <w:sz w:val="32"/>
          <w:szCs w:val="32"/>
          <w:highlight w:val="none"/>
        </w:rPr>
        <w:t>万元，上年结转</w:t>
      </w:r>
      <w:r>
        <w:rPr>
          <w:rFonts w:hint="eastAsia" w:ascii="华文仿宋" w:hAnsi="华文仿宋" w:eastAsia="华文仿宋" w:cs="宋体"/>
          <w:sz w:val="32"/>
          <w:szCs w:val="32"/>
          <w:highlight w:val="none"/>
        </w:rPr>
        <w:t>0.00</w:t>
      </w:r>
      <w:r>
        <w:rPr>
          <w:rFonts w:ascii="华文仿宋" w:hAnsi="华文仿宋" w:eastAsia="华文仿宋" w:cs="宋体"/>
          <w:sz w:val="32"/>
          <w:szCs w:val="32"/>
          <w:highlight w:val="none"/>
        </w:rPr>
        <w:t>万元；支出包括：</w:t>
      </w:r>
      <w:r>
        <w:rPr>
          <w:rFonts w:hint="eastAsia" w:ascii="华文仿宋" w:hAnsi="华文仿宋" w:eastAsia="华文仿宋" w:cs="宋体"/>
          <w:sz w:val="32"/>
          <w:szCs w:val="32"/>
          <w:highlight w:val="none"/>
        </w:rPr>
        <w:t>文化旅游体育与传媒支出</w:t>
      </w:r>
      <w:r>
        <w:rPr>
          <w:rFonts w:hint="eastAsia" w:ascii="华文仿宋" w:hAnsi="华文仿宋" w:eastAsia="华文仿宋" w:cs="宋体"/>
          <w:sz w:val="32"/>
          <w:szCs w:val="32"/>
          <w:highlight w:val="none"/>
          <w:lang w:eastAsia="zh-CN"/>
        </w:rPr>
        <w:t>845.18</w:t>
      </w:r>
      <w:r>
        <w:rPr>
          <w:rFonts w:ascii="华文仿宋" w:hAnsi="华文仿宋" w:eastAsia="华文仿宋" w:cs="宋体"/>
          <w:sz w:val="32"/>
          <w:szCs w:val="32"/>
          <w:highlight w:val="none"/>
        </w:rPr>
        <w:t>万元，社会保障和就业支出</w:t>
      </w:r>
      <w:r>
        <w:rPr>
          <w:rFonts w:hint="eastAsia" w:ascii="华文仿宋" w:hAnsi="华文仿宋" w:eastAsia="华文仿宋" w:cs="宋体"/>
          <w:sz w:val="32"/>
          <w:szCs w:val="32"/>
          <w:highlight w:val="none"/>
          <w:lang w:eastAsia="zh-CN"/>
        </w:rPr>
        <w:t>35.95</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,卫生健康支出</w:t>
      </w:r>
      <w:r>
        <w:rPr>
          <w:rFonts w:hint="eastAsia" w:ascii="华文仿宋" w:hAnsi="华文仿宋" w:eastAsia="华文仿宋" w:cs="宋体"/>
          <w:sz w:val="32"/>
          <w:szCs w:val="32"/>
          <w:highlight w:val="none"/>
          <w:lang w:eastAsia="zh-CN"/>
        </w:rPr>
        <w:t>74.36</w:t>
      </w:r>
      <w:r>
        <w:rPr>
          <w:rFonts w:ascii="华文仿宋" w:hAnsi="华文仿宋" w:eastAsia="华文仿宋" w:cs="宋体"/>
          <w:sz w:val="32"/>
          <w:szCs w:val="32"/>
          <w:highlight w:val="none"/>
        </w:rPr>
        <w:t>万元，住房保障支出</w:t>
      </w:r>
      <w:r>
        <w:rPr>
          <w:rFonts w:hint="eastAsia" w:ascii="华文仿宋" w:hAnsi="华文仿宋" w:eastAsia="华文仿宋" w:cs="宋体"/>
          <w:sz w:val="32"/>
          <w:szCs w:val="32"/>
          <w:highlight w:val="none"/>
          <w:lang w:eastAsia="zh-CN"/>
        </w:rPr>
        <w:t>54.89</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。汶川县文化广播电视体育和旅游局单位</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年收支总预算</w:t>
      </w:r>
      <w:r>
        <w:rPr>
          <w:rFonts w:hint="eastAsia" w:ascii="华文仿宋" w:hAnsi="华文仿宋" w:eastAsia="华文仿宋" w:cs="宋体"/>
          <w:sz w:val="32"/>
          <w:szCs w:val="32"/>
          <w:highlight w:val="none"/>
          <w:lang w:eastAsia="zh-CN"/>
        </w:rPr>
        <w:t>1238.61</w:t>
      </w:r>
      <w:r>
        <w:rPr>
          <w:rFonts w:ascii="华文仿宋" w:hAnsi="华文仿宋" w:eastAsia="华文仿宋" w:cs="宋体"/>
          <w:sz w:val="32"/>
          <w:szCs w:val="32"/>
          <w:highlight w:val="none"/>
        </w:rPr>
        <w:t>万元,比</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年收支预算总数</w:t>
      </w:r>
      <w:r>
        <w:rPr>
          <w:rFonts w:hint="eastAsia" w:ascii="华文仿宋" w:hAnsi="华文仿宋" w:eastAsia="华文仿宋" w:cs="宋体"/>
          <w:sz w:val="32"/>
          <w:szCs w:val="32"/>
          <w:highlight w:val="none"/>
        </w:rPr>
        <w:t>减少</w:t>
      </w:r>
      <w:r>
        <w:rPr>
          <w:rFonts w:hint="eastAsia" w:ascii="华文仿宋" w:hAnsi="华文仿宋" w:eastAsia="华文仿宋" w:cs="宋体"/>
          <w:sz w:val="32"/>
          <w:szCs w:val="32"/>
          <w:highlight w:val="none"/>
          <w:lang w:val="en-US" w:eastAsia="zh-CN"/>
        </w:rPr>
        <w:t>47.01</w:t>
      </w:r>
      <w:r>
        <w:rPr>
          <w:rFonts w:ascii="华文仿宋" w:hAnsi="华文仿宋" w:eastAsia="华文仿宋" w:cs="宋体"/>
          <w:sz w:val="32"/>
          <w:szCs w:val="32"/>
          <w:highlight w:val="none"/>
        </w:rPr>
        <w:t>万元，主要原因</w:t>
      </w:r>
      <w:r>
        <w:rPr>
          <w:rFonts w:hint="eastAsia" w:ascii="华文仿宋" w:hAnsi="华文仿宋" w:eastAsia="华文仿宋" w:cs="宋体"/>
          <w:sz w:val="32"/>
          <w:szCs w:val="32"/>
          <w:highlight w:val="none"/>
        </w:rPr>
        <w:t>:</w:t>
      </w:r>
      <w:r>
        <w:rPr>
          <w:rFonts w:hint="eastAsia" w:ascii="华文仿宋" w:hAnsi="华文仿宋" w:eastAsia="华文仿宋" w:cs="宋体"/>
          <w:sz w:val="32"/>
          <w:szCs w:val="32"/>
          <w:highlight w:val="none"/>
          <w:lang w:val="en-US" w:eastAsia="zh-CN"/>
        </w:rPr>
        <w:t>人员变动</w:t>
      </w:r>
      <w:r>
        <w:rPr>
          <w:rFonts w:ascii="华文仿宋" w:hAnsi="华文仿宋" w:eastAsia="华文仿宋" w:cs="宋体"/>
          <w:sz w:val="32"/>
          <w:szCs w:val="32"/>
          <w:highlight w:val="none"/>
        </w:rPr>
        <w:t>。</w:t>
      </w:r>
    </w:p>
    <w:p w14:paraId="152D5A35">
      <w:pPr>
        <w:numPr>
          <w:ilvl w:val="0"/>
          <w:numId w:val="3"/>
        </w:numPr>
        <w:pBdr>
          <w:bottom w:val="single" w:color="FFFFFF" w:sz="4" w:space="28"/>
        </w:pBdr>
        <w:tabs>
          <w:tab w:val="left" w:pos="1440"/>
          <w:tab w:val="center" w:pos="4153"/>
          <w:tab w:val="right" w:pos="8306"/>
        </w:tabs>
        <w:spacing w:line="576" w:lineRule="exact"/>
        <w:ind w:firstLine="643" w:firstLineChars="200"/>
        <w:rPr>
          <w:rFonts w:ascii="华文仿宋" w:hAnsi="华文仿宋" w:eastAsia="华文仿宋" w:cs="宋体"/>
          <w:b/>
          <w:bCs/>
          <w:sz w:val="32"/>
          <w:szCs w:val="32"/>
          <w:highlight w:val="none"/>
        </w:rPr>
      </w:pPr>
      <w:r>
        <w:rPr>
          <w:rFonts w:ascii="华文仿宋" w:hAnsi="华文仿宋" w:eastAsia="华文仿宋" w:cs="宋体"/>
          <w:b/>
          <w:bCs/>
          <w:sz w:val="32"/>
          <w:szCs w:val="32"/>
          <w:highlight w:val="none"/>
        </w:rPr>
        <w:t>收入预算情况</w:t>
      </w:r>
    </w:p>
    <w:p w14:paraId="6017EBF6">
      <w:pPr>
        <w:pBdr>
          <w:bottom w:val="single" w:color="FFFFFF" w:sz="4" w:space="28"/>
        </w:pBdr>
        <w:tabs>
          <w:tab w:val="left" w:pos="1440"/>
          <w:tab w:val="center" w:pos="4153"/>
          <w:tab w:val="right" w:pos="8306"/>
        </w:tabs>
        <w:spacing w:line="576" w:lineRule="exact"/>
        <w:ind w:firstLine="640" w:firstLineChars="200"/>
        <w:rPr>
          <w:rFonts w:ascii="华文仿宋" w:hAnsi="华文仿宋" w:eastAsia="华文仿宋" w:cs="宋体"/>
          <w:b/>
          <w:bCs/>
          <w:sz w:val="32"/>
          <w:szCs w:val="32"/>
          <w:highlight w:val="none"/>
        </w:rPr>
      </w:pPr>
      <w:r>
        <w:rPr>
          <w:rFonts w:hint="eastAsia" w:ascii="华文仿宋" w:hAnsi="华文仿宋" w:eastAsia="华文仿宋" w:cs="宋体"/>
          <w:sz w:val="32"/>
          <w:szCs w:val="32"/>
          <w:highlight w:val="none"/>
        </w:rPr>
        <w:t>汶川县文化广播电视体育和旅游局单位</w:t>
      </w:r>
      <w:r>
        <w:rPr>
          <w:rFonts w:ascii="华文仿宋" w:hAnsi="华文仿宋" w:eastAsia="华文仿宋" w:cs="宋体"/>
          <w:sz w:val="32"/>
          <w:szCs w:val="32"/>
          <w:highlight w:val="none"/>
        </w:rPr>
        <w:t>2</w:t>
      </w:r>
      <w:r>
        <w:rPr>
          <w:rFonts w:hint="eastAsia" w:ascii="华文仿宋" w:hAnsi="华文仿宋" w:eastAsia="华文仿宋" w:cs="宋体"/>
          <w:sz w:val="32"/>
          <w:szCs w:val="32"/>
          <w:highlight w:val="none"/>
        </w:rPr>
        <w:t>02</w:t>
      </w:r>
      <w:r>
        <w:rPr>
          <w:rFonts w:hint="eastAsia" w:ascii="华文仿宋" w:hAnsi="华文仿宋" w:eastAsia="华文仿宋" w:cs="宋体"/>
          <w:sz w:val="32"/>
          <w:szCs w:val="32"/>
          <w:highlight w:val="none"/>
          <w:lang w:val="en-US" w:eastAsia="zh-CN"/>
        </w:rPr>
        <w:t>6</w:t>
      </w:r>
      <w:r>
        <w:rPr>
          <w:rFonts w:ascii="华文仿宋" w:hAnsi="华文仿宋" w:eastAsia="华文仿宋" w:cs="宋体"/>
          <w:sz w:val="32"/>
          <w:szCs w:val="32"/>
          <w:highlight w:val="none"/>
        </w:rPr>
        <w:t>年收入预算</w:t>
      </w:r>
      <w:r>
        <w:rPr>
          <w:rFonts w:hint="eastAsia" w:ascii="华文仿宋" w:hAnsi="华文仿宋" w:eastAsia="华文仿宋" w:cs="宋体"/>
          <w:sz w:val="32"/>
          <w:szCs w:val="32"/>
          <w:highlight w:val="none"/>
          <w:lang w:eastAsia="zh-CN"/>
        </w:rPr>
        <w:t>1238.61</w:t>
      </w:r>
      <w:r>
        <w:rPr>
          <w:rFonts w:ascii="华文仿宋" w:hAnsi="华文仿宋" w:eastAsia="华文仿宋" w:cs="宋体"/>
          <w:sz w:val="32"/>
          <w:szCs w:val="32"/>
          <w:highlight w:val="none"/>
        </w:rPr>
        <w:t>万元，其中：</w:t>
      </w:r>
      <w:r>
        <w:rPr>
          <w:rFonts w:hint="eastAsia" w:ascii="华文仿宋" w:hAnsi="华文仿宋" w:eastAsia="华文仿宋" w:cs="宋体"/>
          <w:sz w:val="32"/>
          <w:szCs w:val="32"/>
          <w:highlight w:val="none"/>
        </w:rPr>
        <w:t>一般公共预算拨款收入</w:t>
      </w:r>
      <w:r>
        <w:rPr>
          <w:rFonts w:hint="eastAsia" w:ascii="华文仿宋" w:hAnsi="华文仿宋" w:eastAsia="华文仿宋" w:cs="宋体"/>
          <w:sz w:val="32"/>
          <w:szCs w:val="32"/>
          <w:highlight w:val="none"/>
          <w:lang w:eastAsia="zh-CN"/>
        </w:rPr>
        <w:t>1238.61</w:t>
      </w:r>
      <w:r>
        <w:rPr>
          <w:rFonts w:hint="eastAsia" w:ascii="华文仿宋" w:hAnsi="华文仿宋" w:eastAsia="华文仿宋" w:cs="宋体"/>
          <w:sz w:val="32"/>
          <w:szCs w:val="32"/>
          <w:highlight w:val="none"/>
        </w:rPr>
        <w:t>万元，</w:t>
      </w:r>
      <w:r>
        <w:rPr>
          <w:rFonts w:ascii="华文仿宋" w:hAnsi="华文仿宋" w:eastAsia="华文仿宋" w:cs="宋体"/>
          <w:sz w:val="32"/>
          <w:szCs w:val="32"/>
          <w:highlight w:val="none"/>
        </w:rPr>
        <w:t>占</w:t>
      </w:r>
      <w:r>
        <w:rPr>
          <w:rFonts w:hint="eastAsia" w:ascii="华文仿宋" w:hAnsi="华文仿宋" w:eastAsia="华文仿宋" w:cs="宋体"/>
          <w:sz w:val="32"/>
          <w:szCs w:val="32"/>
          <w:highlight w:val="none"/>
        </w:rPr>
        <w:t>100</w:t>
      </w:r>
      <w:r>
        <w:rPr>
          <w:rFonts w:ascii="华文仿宋" w:hAnsi="华文仿宋" w:eastAsia="华文仿宋" w:cs="宋体"/>
          <w:sz w:val="32"/>
          <w:szCs w:val="32"/>
          <w:highlight w:val="none"/>
        </w:rPr>
        <w:t>%；上年结转</w:t>
      </w:r>
      <w:r>
        <w:rPr>
          <w:rFonts w:hint="eastAsia" w:ascii="华文仿宋" w:hAnsi="华文仿宋" w:eastAsia="华文仿宋" w:cs="宋体"/>
          <w:sz w:val="32"/>
          <w:szCs w:val="32"/>
          <w:highlight w:val="none"/>
        </w:rPr>
        <w:t>0.00</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，占0.00%。</w:t>
      </w:r>
      <w:r>
        <w:rPr>
          <w:rFonts w:ascii="华文仿宋" w:hAnsi="华文仿宋" w:eastAsia="华文仿宋" w:cs="宋体"/>
          <w:sz w:val="32"/>
          <w:szCs w:val="32"/>
          <w:highlight w:val="none"/>
        </w:rPr>
        <w:br w:type="textWrapping"/>
      </w:r>
      <w:r>
        <w:rPr>
          <w:rFonts w:ascii="华文仿宋" w:hAnsi="华文仿宋" w:eastAsia="华文仿宋" w:cs="宋体"/>
          <w:sz w:val="32"/>
          <w:szCs w:val="32"/>
          <w:highlight w:val="none"/>
        </w:rPr>
        <w:t>　　</w:t>
      </w:r>
      <w:r>
        <w:rPr>
          <w:rFonts w:ascii="华文仿宋" w:hAnsi="华文仿宋" w:eastAsia="华文仿宋" w:cs="宋体"/>
          <w:b/>
          <w:bCs/>
          <w:sz w:val="32"/>
          <w:szCs w:val="32"/>
          <w:highlight w:val="none"/>
        </w:rPr>
        <w:t>（二）支出预算情况</w:t>
      </w:r>
    </w:p>
    <w:p w14:paraId="6EE2373F">
      <w:pPr>
        <w:pBdr>
          <w:bottom w:val="single" w:color="FFFFFF" w:sz="4" w:space="28"/>
        </w:pBdr>
        <w:tabs>
          <w:tab w:val="left" w:pos="1440"/>
          <w:tab w:val="center" w:pos="4153"/>
          <w:tab w:val="right" w:pos="8306"/>
        </w:tabs>
        <w:spacing w:line="576" w:lineRule="exact"/>
        <w:ind w:firstLine="640" w:firstLineChars="200"/>
        <w:rPr>
          <w:rFonts w:ascii="华文仿宋" w:hAnsi="华文仿宋" w:eastAsia="华文仿宋" w:cs="宋体"/>
          <w:sz w:val="32"/>
          <w:szCs w:val="32"/>
          <w:highlight w:val="none"/>
        </w:rPr>
      </w:pPr>
      <w:r>
        <w:rPr>
          <w:rFonts w:hint="eastAsia" w:ascii="华文仿宋" w:hAnsi="华文仿宋" w:eastAsia="华文仿宋" w:cs="宋体"/>
          <w:sz w:val="32"/>
          <w:szCs w:val="32"/>
          <w:highlight w:val="none"/>
        </w:rPr>
        <w:t>汶川县文化广播电视体育和旅游局单位</w:t>
      </w:r>
      <w:r>
        <w:rPr>
          <w:rFonts w:ascii="华文仿宋" w:hAnsi="华文仿宋" w:eastAsia="华文仿宋" w:cs="宋体"/>
          <w:sz w:val="32"/>
          <w:szCs w:val="32"/>
          <w:highlight w:val="none"/>
        </w:rPr>
        <w:t>2</w:t>
      </w:r>
      <w:r>
        <w:rPr>
          <w:rFonts w:hint="eastAsia" w:ascii="华文仿宋" w:hAnsi="华文仿宋" w:eastAsia="华文仿宋" w:cs="宋体"/>
          <w:sz w:val="32"/>
          <w:szCs w:val="32"/>
          <w:highlight w:val="none"/>
        </w:rPr>
        <w:t>02</w:t>
      </w:r>
      <w:r>
        <w:rPr>
          <w:rFonts w:hint="eastAsia" w:ascii="华文仿宋" w:hAnsi="华文仿宋" w:eastAsia="华文仿宋" w:cs="宋体"/>
          <w:sz w:val="32"/>
          <w:szCs w:val="32"/>
          <w:highlight w:val="none"/>
          <w:lang w:val="en-US" w:eastAsia="zh-CN"/>
        </w:rPr>
        <w:t>6</w:t>
      </w:r>
      <w:r>
        <w:rPr>
          <w:rFonts w:ascii="华文仿宋" w:hAnsi="华文仿宋" w:eastAsia="华文仿宋" w:cs="宋体"/>
          <w:sz w:val="32"/>
          <w:szCs w:val="32"/>
          <w:highlight w:val="none"/>
        </w:rPr>
        <w:t>年支出预算</w:t>
      </w:r>
      <w:r>
        <w:rPr>
          <w:rFonts w:hint="eastAsia" w:ascii="华文仿宋" w:hAnsi="华文仿宋" w:eastAsia="华文仿宋" w:cs="宋体"/>
          <w:sz w:val="32"/>
          <w:szCs w:val="32"/>
          <w:highlight w:val="none"/>
          <w:lang w:eastAsia="zh-CN"/>
        </w:rPr>
        <w:t>1238.61</w:t>
      </w:r>
      <w:r>
        <w:rPr>
          <w:rFonts w:hint="eastAsia" w:ascii="华文仿宋" w:hAnsi="华文仿宋" w:eastAsia="华文仿宋" w:cs="宋体"/>
          <w:sz w:val="32"/>
          <w:szCs w:val="32"/>
          <w:highlight w:val="none"/>
        </w:rPr>
        <w:t>万元</w:t>
      </w:r>
      <w:r>
        <w:rPr>
          <w:rFonts w:ascii="华文仿宋" w:hAnsi="华文仿宋" w:eastAsia="华文仿宋" w:cs="宋体"/>
          <w:sz w:val="32"/>
          <w:szCs w:val="32"/>
          <w:highlight w:val="none"/>
        </w:rPr>
        <w:t>，其中：基本支出</w:t>
      </w:r>
      <w:r>
        <w:rPr>
          <w:rFonts w:hint="eastAsia" w:ascii="华文仿宋" w:hAnsi="华文仿宋" w:eastAsia="华文仿宋" w:cs="宋体"/>
          <w:sz w:val="32"/>
          <w:szCs w:val="32"/>
          <w:highlight w:val="none"/>
        </w:rPr>
        <w:t>689</w:t>
      </w:r>
      <w:r>
        <w:rPr>
          <w:rFonts w:ascii="华文仿宋" w:hAnsi="华文仿宋" w:eastAsia="华文仿宋" w:cs="宋体"/>
          <w:sz w:val="32"/>
          <w:szCs w:val="32"/>
          <w:highlight w:val="none"/>
        </w:rPr>
        <w:t>万元，占</w:t>
      </w:r>
      <w:r>
        <w:rPr>
          <w:rFonts w:hint="eastAsia" w:ascii="华文仿宋" w:hAnsi="华文仿宋" w:eastAsia="华文仿宋" w:cs="宋体"/>
          <w:sz w:val="32"/>
          <w:szCs w:val="32"/>
          <w:highlight w:val="none"/>
          <w:lang w:val="en-US" w:eastAsia="zh-CN"/>
        </w:rPr>
        <w:t>55.63</w:t>
      </w:r>
      <w:r>
        <w:rPr>
          <w:rFonts w:ascii="华文仿宋" w:hAnsi="华文仿宋" w:eastAsia="华文仿宋" w:cs="宋体"/>
          <w:sz w:val="32"/>
          <w:szCs w:val="32"/>
          <w:highlight w:val="none"/>
        </w:rPr>
        <w:t>%；项目支出</w:t>
      </w:r>
      <w:r>
        <w:rPr>
          <w:rFonts w:hint="eastAsia" w:ascii="华文仿宋" w:hAnsi="华文仿宋" w:eastAsia="华文仿宋" w:cs="宋体"/>
          <w:sz w:val="32"/>
          <w:szCs w:val="32"/>
          <w:highlight w:val="none"/>
          <w:lang w:eastAsia="zh-CN"/>
        </w:rPr>
        <w:t>355.48</w:t>
      </w:r>
      <w:r>
        <w:rPr>
          <w:rFonts w:ascii="华文仿宋" w:hAnsi="华文仿宋" w:eastAsia="华文仿宋" w:cs="宋体"/>
          <w:sz w:val="32"/>
          <w:szCs w:val="32"/>
          <w:highlight w:val="none"/>
        </w:rPr>
        <w:t>万元，占</w:t>
      </w:r>
      <w:r>
        <w:rPr>
          <w:rFonts w:hint="eastAsia" w:ascii="华文仿宋" w:hAnsi="华文仿宋" w:eastAsia="华文仿宋" w:cs="宋体"/>
          <w:sz w:val="32"/>
          <w:szCs w:val="32"/>
          <w:highlight w:val="none"/>
          <w:lang w:val="en-US" w:eastAsia="zh-CN"/>
        </w:rPr>
        <w:t>44.37</w:t>
      </w:r>
      <w:r>
        <w:rPr>
          <w:rFonts w:ascii="华文仿宋" w:hAnsi="华文仿宋" w:eastAsia="华文仿宋" w:cs="宋体"/>
          <w:sz w:val="32"/>
          <w:szCs w:val="32"/>
          <w:highlight w:val="none"/>
        </w:rPr>
        <w:t>%。</w:t>
      </w:r>
    </w:p>
    <w:p w14:paraId="37F1BF32">
      <w:pPr>
        <w:pBdr>
          <w:bottom w:val="single" w:color="FFFFFF" w:sz="4" w:space="28"/>
        </w:pBdr>
        <w:tabs>
          <w:tab w:val="left" w:pos="1440"/>
          <w:tab w:val="center" w:pos="4153"/>
          <w:tab w:val="right" w:pos="8306"/>
        </w:tabs>
        <w:spacing w:line="576" w:lineRule="exact"/>
        <w:ind w:firstLine="643" w:firstLineChars="200"/>
        <w:rPr>
          <w:rFonts w:ascii="黑体" w:hAnsi="黑体" w:eastAsia="黑体" w:cs="宋体"/>
          <w:b/>
          <w:bCs/>
          <w:sz w:val="32"/>
          <w:szCs w:val="32"/>
          <w:highlight w:val="none"/>
        </w:rPr>
      </w:pPr>
      <w:r>
        <w:rPr>
          <w:rFonts w:hint="eastAsia" w:ascii="黑体" w:hAnsi="黑体" w:eastAsia="黑体" w:cs="宋体"/>
          <w:b/>
          <w:bCs/>
          <w:sz w:val="32"/>
          <w:szCs w:val="32"/>
          <w:highlight w:val="none"/>
        </w:rPr>
        <w:t>四、</w:t>
      </w:r>
      <w:r>
        <w:rPr>
          <w:rFonts w:ascii="黑体" w:hAnsi="黑体" w:eastAsia="黑体" w:cs="宋体"/>
          <w:b/>
          <w:bCs/>
          <w:sz w:val="32"/>
          <w:szCs w:val="32"/>
          <w:highlight w:val="none"/>
        </w:rPr>
        <w:t>财政拨款收支预算情况说明</w:t>
      </w:r>
    </w:p>
    <w:p w14:paraId="5064C50F">
      <w:pPr>
        <w:pBdr>
          <w:bottom w:val="single" w:color="FFFFFF" w:sz="4" w:space="28"/>
        </w:pBdr>
        <w:tabs>
          <w:tab w:val="left" w:pos="1440"/>
          <w:tab w:val="center" w:pos="4153"/>
          <w:tab w:val="right" w:pos="8306"/>
        </w:tabs>
        <w:spacing w:line="576" w:lineRule="exact"/>
        <w:ind w:firstLine="640" w:firstLineChars="200"/>
        <w:rPr>
          <w:rFonts w:ascii="华文仿宋" w:hAnsi="华文仿宋" w:eastAsia="华文仿宋" w:cs="宋体"/>
          <w:sz w:val="32"/>
          <w:szCs w:val="32"/>
          <w:highlight w:val="none"/>
        </w:rPr>
      </w:pPr>
      <w:r>
        <w:rPr>
          <w:rFonts w:hint="eastAsia" w:ascii="华文仿宋" w:hAnsi="华文仿宋" w:eastAsia="华文仿宋" w:cs="宋体"/>
          <w:sz w:val="32"/>
          <w:szCs w:val="32"/>
          <w:highlight w:val="none"/>
        </w:rPr>
        <w:t>汶川县文化广播电视体育和旅游局单位</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年收支总预</w:t>
      </w:r>
      <w:r>
        <w:rPr>
          <w:rFonts w:hint="eastAsia" w:ascii="华文仿宋" w:hAnsi="华文仿宋" w:eastAsia="华文仿宋" w:cs="宋体"/>
          <w:sz w:val="32"/>
          <w:szCs w:val="32"/>
          <w:highlight w:val="none"/>
        </w:rPr>
        <w:t>算</w:t>
      </w:r>
      <w:r>
        <w:rPr>
          <w:rFonts w:hint="eastAsia" w:ascii="华文仿宋" w:hAnsi="华文仿宋" w:eastAsia="华文仿宋" w:cs="宋体"/>
          <w:sz w:val="32"/>
          <w:szCs w:val="32"/>
          <w:highlight w:val="none"/>
          <w:lang w:eastAsia="zh-CN"/>
        </w:rPr>
        <w:t>1238.61</w:t>
      </w:r>
      <w:r>
        <w:rPr>
          <w:rFonts w:ascii="华文仿宋" w:hAnsi="华文仿宋" w:eastAsia="华文仿宋" w:cs="宋体"/>
          <w:sz w:val="32"/>
          <w:szCs w:val="32"/>
          <w:highlight w:val="none"/>
        </w:rPr>
        <w:t>万元,比</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年收支预算总数</w:t>
      </w:r>
      <w:r>
        <w:rPr>
          <w:rFonts w:hint="eastAsia" w:ascii="华文仿宋" w:hAnsi="华文仿宋" w:eastAsia="华文仿宋" w:cs="宋体"/>
          <w:sz w:val="32"/>
          <w:szCs w:val="32"/>
          <w:highlight w:val="none"/>
        </w:rPr>
        <w:t>减少</w:t>
      </w:r>
      <w:r>
        <w:rPr>
          <w:rFonts w:hint="eastAsia" w:ascii="华文仿宋" w:hAnsi="华文仿宋" w:eastAsia="华文仿宋" w:cs="宋体"/>
          <w:sz w:val="32"/>
          <w:szCs w:val="32"/>
          <w:highlight w:val="none"/>
          <w:lang w:val="en-US" w:eastAsia="zh-CN"/>
        </w:rPr>
        <w:t>47.01</w:t>
      </w:r>
      <w:r>
        <w:rPr>
          <w:rFonts w:ascii="华文仿宋" w:hAnsi="华文仿宋" w:eastAsia="华文仿宋" w:cs="宋体"/>
          <w:sz w:val="32"/>
          <w:szCs w:val="32"/>
          <w:highlight w:val="none"/>
        </w:rPr>
        <w:t>万元，主要原因</w:t>
      </w:r>
      <w:r>
        <w:rPr>
          <w:rFonts w:hint="eastAsia" w:ascii="华文仿宋" w:hAnsi="华文仿宋" w:eastAsia="华文仿宋" w:cs="宋体"/>
          <w:sz w:val="32"/>
          <w:szCs w:val="32"/>
          <w:highlight w:val="none"/>
        </w:rPr>
        <w:t>:</w:t>
      </w:r>
      <w:r>
        <w:rPr>
          <w:rFonts w:hint="eastAsia" w:ascii="华文仿宋" w:hAnsi="华文仿宋" w:eastAsia="华文仿宋" w:cs="Tahoma"/>
          <w:color w:val="000000"/>
          <w:kern w:val="0"/>
          <w:sz w:val="32"/>
          <w:szCs w:val="32"/>
          <w:highlight w:val="none"/>
          <w:lang w:eastAsia="zh-CN"/>
        </w:rPr>
        <w:t>2026</w:t>
      </w:r>
      <w:r>
        <w:rPr>
          <w:rFonts w:hint="eastAsia" w:ascii="华文仿宋" w:hAnsi="华文仿宋" w:eastAsia="华文仿宋" w:cs="Tahoma"/>
          <w:color w:val="000000"/>
          <w:kern w:val="0"/>
          <w:sz w:val="32"/>
          <w:szCs w:val="32"/>
          <w:highlight w:val="none"/>
        </w:rPr>
        <w:t>年度结转为零且</w:t>
      </w:r>
      <w:r>
        <w:rPr>
          <w:rFonts w:hint="eastAsia" w:ascii="华文仿宋" w:hAnsi="华文仿宋" w:eastAsia="华文仿宋" w:cs="Tahoma"/>
          <w:color w:val="000000"/>
          <w:kern w:val="0"/>
          <w:sz w:val="32"/>
          <w:szCs w:val="32"/>
          <w:highlight w:val="none"/>
          <w:lang w:eastAsia="zh-CN"/>
        </w:rPr>
        <w:t>2026</w:t>
      </w:r>
      <w:r>
        <w:rPr>
          <w:rFonts w:hint="eastAsia" w:ascii="华文仿宋" w:hAnsi="华文仿宋" w:eastAsia="华文仿宋" w:cs="Tahoma"/>
          <w:color w:val="000000"/>
          <w:kern w:val="0"/>
          <w:sz w:val="32"/>
          <w:szCs w:val="32"/>
          <w:highlight w:val="none"/>
        </w:rPr>
        <w:t>年度年初预算项目减少</w:t>
      </w:r>
      <w:r>
        <w:rPr>
          <w:rFonts w:ascii="华文仿宋" w:hAnsi="华文仿宋" w:eastAsia="华文仿宋" w:cs="宋体"/>
          <w:sz w:val="32"/>
          <w:szCs w:val="32"/>
          <w:highlight w:val="none"/>
        </w:rPr>
        <w:t>。</w:t>
      </w:r>
    </w:p>
    <w:p w14:paraId="1D275BB4">
      <w:pPr>
        <w:pBdr>
          <w:bottom w:val="single" w:color="FFFFFF" w:sz="4" w:space="28"/>
        </w:pBdr>
        <w:tabs>
          <w:tab w:val="left" w:pos="1440"/>
          <w:tab w:val="center" w:pos="4153"/>
          <w:tab w:val="right" w:pos="8306"/>
        </w:tabs>
        <w:spacing w:line="576" w:lineRule="exact"/>
        <w:ind w:firstLine="640" w:firstLineChars="200"/>
        <w:rPr>
          <w:rFonts w:hint="eastAsia" w:ascii="华文仿宋" w:hAnsi="华文仿宋" w:eastAsia="华文仿宋" w:cs="宋体"/>
          <w:sz w:val="32"/>
          <w:szCs w:val="32"/>
          <w:highlight w:val="none"/>
          <w:lang w:eastAsia="zh-CN"/>
        </w:rPr>
      </w:pPr>
      <w:r>
        <w:rPr>
          <w:rFonts w:ascii="华文仿宋" w:hAnsi="华文仿宋" w:eastAsia="华文仿宋" w:cs="宋体"/>
          <w:sz w:val="32"/>
          <w:szCs w:val="32"/>
          <w:highlight w:val="none"/>
        </w:rPr>
        <w:t>支出包括：</w:t>
      </w:r>
      <w:r>
        <w:rPr>
          <w:rFonts w:hint="eastAsia" w:ascii="华文仿宋" w:hAnsi="华文仿宋" w:eastAsia="华文仿宋" w:cs="宋体"/>
          <w:sz w:val="32"/>
          <w:szCs w:val="32"/>
          <w:highlight w:val="none"/>
        </w:rPr>
        <w:t>文化旅游体育与传媒支出</w:t>
      </w:r>
      <w:r>
        <w:rPr>
          <w:rFonts w:hint="eastAsia" w:ascii="华文仿宋" w:hAnsi="华文仿宋" w:eastAsia="华文仿宋" w:cs="宋体"/>
          <w:sz w:val="32"/>
          <w:szCs w:val="32"/>
          <w:highlight w:val="none"/>
          <w:lang w:eastAsia="zh-CN"/>
        </w:rPr>
        <w:t>845.18</w:t>
      </w:r>
      <w:r>
        <w:rPr>
          <w:rFonts w:ascii="华文仿宋" w:hAnsi="华文仿宋" w:eastAsia="华文仿宋" w:cs="宋体"/>
          <w:sz w:val="32"/>
          <w:szCs w:val="32"/>
          <w:highlight w:val="none"/>
        </w:rPr>
        <w:t>万元，社会保障和就业支出</w:t>
      </w:r>
      <w:r>
        <w:rPr>
          <w:rFonts w:hint="eastAsia" w:ascii="华文仿宋" w:hAnsi="华文仿宋" w:eastAsia="华文仿宋" w:cs="宋体"/>
          <w:sz w:val="32"/>
          <w:szCs w:val="32"/>
          <w:highlight w:val="none"/>
          <w:lang w:eastAsia="zh-CN"/>
        </w:rPr>
        <w:t>35.95</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,卫生健康支出</w:t>
      </w:r>
      <w:r>
        <w:rPr>
          <w:rFonts w:hint="eastAsia" w:ascii="华文仿宋" w:hAnsi="华文仿宋" w:eastAsia="华文仿宋" w:cs="宋体"/>
          <w:sz w:val="32"/>
          <w:szCs w:val="32"/>
          <w:highlight w:val="none"/>
          <w:lang w:eastAsia="zh-CN"/>
        </w:rPr>
        <w:t>74.36</w:t>
      </w:r>
      <w:r>
        <w:rPr>
          <w:rFonts w:ascii="华文仿宋" w:hAnsi="华文仿宋" w:eastAsia="华文仿宋" w:cs="宋体"/>
          <w:sz w:val="32"/>
          <w:szCs w:val="32"/>
          <w:highlight w:val="none"/>
        </w:rPr>
        <w:t>万元，住房保障支出</w:t>
      </w:r>
      <w:r>
        <w:rPr>
          <w:rFonts w:hint="eastAsia" w:ascii="华文仿宋" w:hAnsi="华文仿宋" w:eastAsia="华文仿宋" w:cs="宋体"/>
          <w:sz w:val="32"/>
          <w:szCs w:val="32"/>
          <w:highlight w:val="none"/>
          <w:lang w:eastAsia="zh-CN"/>
        </w:rPr>
        <w:t>54.89</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lang w:eastAsia="zh-CN"/>
        </w:rPr>
        <w:t>。</w:t>
      </w:r>
    </w:p>
    <w:p w14:paraId="50B61C40">
      <w:pPr>
        <w:pBdr>
          <w:bottom w:val="single" w:color="FFFFFF" w:sz="4" w:space="28"/>
        </w:pBdr>
        <w:tabs>
          <w:tab w:val="left" w:pos="1440"/>
          <w:tab w:val="center" w:pos="4153"/>
          <w:tab w:val="right" w:pos="8306"/>
        </w:tabs>
        <w:spacing w:line="576" w:lineRule="exact"/>
        <w:ind w:firstLine="643" w:firstLineChars="200"/>
        <w:rPr>
          <w:rFonts w:ascii="黑体" w:hAnsi="黑体" w:eastAsia="黑体" w:cs="宋体"/>
          <w:b/>
          <w:bCs/>
          <w:sz w:val="32"/>
          <w:szCs w:val="32"/>
          <w:highlight w:val="none"/>
        </w:rPr>
      </w:pPr>
      <w:r>
        <w:rPr>
          <w:rFonts w:hint="eastAsia" w:ascii="黑体" w:hAnsi="黑体" w:eastAsia="黑体" w:cs="宋体"/>
          <w:b/>
          <w:bCs/>
          <w:sz w:val="32"/>
          <w:szCs w:val="32"/>
          <w:highlight w:val="none"/>
        </w:rPr>
        <w:t>五、</w:t>
      </w:r>
      <w:r>
        <w:rPr>
          <w:rFonts w:ascii="黑体" w:hAnsi="黑体" w:eastAsia="黑体" w:cs="宋体"/>
          <w:b/>
          <w:bCs/>
          <w:sz w:val="32"/>
          <w:szCs w:val="32"/>
          <w:highlight w:val="none"/>
        </w:rPr>
        <w:t>一般公共预算当年拨款情况说明</w:t>
      </w:r>
    </w:p>
    <w:p w14:paraId="11438D43">
      <w:pPr>
        <w:numPr>
          <w:ilvl w:val="0"/>
          <w:numId w:val="4"/>
        </w:numPr>
        <w:pBdr>
          <w:bottom w:val="single" w:color="FFFFFF" w:sz="4" w:space="28"/>
        </w:pBdr>
        <w:tabs>
          <w:tab w:val="left" w:pos="1440"/>
          <w:tab w:val="center" w:pos="4153"/>
          <w:tab w:val="right" w:pos="8306"/>
        </w:tabs>
        <w:spacing w:line="576" w:lineRule="exact"/>
        <w:ind w:firstLine="643" w:firstLineChars="200"/>
        <w:rPr>
          <w:rFonts w:ascii="华文仿宋" w:hAnsi="华文仿宋" w:eastAsia="华文仿宋" w:cs="宋体"/>
          <w:b/>
          <w:bCs/>
          <w:sz w:val="32"/>
          <w:szCs w:val="32"/>
          <w:highlight w:val="none"/>
        </w:rPr>
      </w:pPr>
      <w:r>
        <w:rPr>
          <w:rFonts w:ascii="华文仿宋" w:hAnsi="华文仿宋" w:eastAsia="华文仿宋" w:cs="宋体"/>
          <w:b/>
          <w:bCs/>
          <w:sz w:val="32"/>
          <w:szCs w:val="32"/>
          <w:highlight w:val="none"/>
        </w:rPr>
        <w:t>一般公共预算当年拨款规模变化情况</w:t>
      </w:r>
    </w:p>
    <w:p w14:paraId="5F753F74">
      <w:pPr>
        <w:pBdr>
          <w:bottom w:val="single" w:color="FFFFFF" w:sz="4" w:space="28"/>
        </w:pBdr>
        <w:tabs>
          <w:tab w:val="left" w:pos="1440"/>
          <w:tab w:val="center" w:pos="4153"/>
          <w:tab w:val="right" w:pos="8306"/>
        </w:tabs>
        <w:spacing w:line="576" w:lineRule="exact"/>
        <w:ind w:firstLine="640" w:firstLineChars="200"/>
        <w:rPr>
          <w:rFonts w:ascii="华文仿宋" w:hAnsi="华文仿宋" w:eastAsia="华文仿宋" w:cs="宋体"/>
          <w:sz w:val="32"/>
          <w:szCs w:val="32"/>
          <w:highlight w:val="none"/>
        </w:rPr>
      </w:pPr>
      <w:r>
        <w:rPr>
          <w:rFonts w:hint="eastAsia" w:ascii="华文仿宋" w:hAnsi="华文仿宋" w:eastAsia="华文仿宋" w:cs="宋体"/>
          <w:sz w:val="32"/>
          <w:szCs w:val="32"/>
          <w:highlight w:val="none"/>
        </w:rPr>
        <w:t>汶川县文化广播电视体育和旅游局单位</w:t>
      </w:r>
      <w:r>
        <w:rPr>
          <w:rFonts w:ascii="华文仿宋" w:hAnsi="华文仿宋" w:eastAsia="华文仿宋" w:cs="宋体"/>
          <w:sz w:val="32"/>
          <w:szCs w:val="32"/>
          <w:highlight w:val="none"/>
        </w:rPr>
        <w:t>20</w:t>
      </w:r>
      <w:r>
        <w:rPr>
          <w:rFonts w:hint="eastAsia" w:ascii="华文仿宋" w:hAnsi="华文仿宋" w:eastAsia="华文仿宋" w:cs="宋体"/>
          <w:sz w:val="32"/>
          <w:szCs w:val="32"/>
          <w:highlight w:val="none"/>
        </w:rPr>
        <w:t>2</w:t>
      </w:r>
      <w:r>
        <w:rPr>
          <w:rFonts w:hint="eastAsia" w:ascii="华文仿宋" w:hAnsi="华文仿宋" w:eastAsia="华文仿宋" w:cs="宋体"/>
          <w:sz w:val="32"/>
          <w:szCs w:val="32"/>
          <w:highlight w:val="none"/>
          <w:lang w:val="en-US" w:eastAsia="zh-CN"/>
        </w:rPr>
        <w:t>6</w:t>
      </w:r>
      <w:r>
        <w:rPr>
          <w:rFonts w:ascii="华文仿宋" w:hAnsi="华文仿宋" w:eastAsia="华文仿宋" w:cs="宋体"/>
          <w:sz w:val="32"/>
          <w:szCs w:val="32"/>
          <w:highlight w:val="none"/>
        </w:rPr>
        <w:t>年一般公共预算当年拨款</w:t>
      </w:r>
      <w:r>
        <w:rPr>
          <w:rFonts w:hint="eastAsia" w:ascii="华文仿宋" w:hAnsi="华文仿宋" w:eastAsia="华文仿宋" w:cs="宋体"/>
          <w:sz w:val="32"/>
          <w:szCs w:val="32"/>
          <w:highlight w:val="none"/>
          <w:lang w:eastAsia="zh-CN"/>
        </w:rPr>
        <w:t>1238.61</w:t>
      </w:r>
      <w:r>
        <w:rPr>
          <w:rFonts w:hint="eastAsia" w:ascii="华文仿宋" w:hAnsi="华文仿宋" w:eastAsia="华文仿宋" w:cs="宋体"/>
          <w:sz w:val="32"/>
          <w:szCs w:val="32"/>
          <w:highlight w:val="none"/>
        </w:rPr>
        <w:t>万元</w:t>
      </w:r>
      <w:r>
        <w:rPr>
          <w:rFonts w:ascii="华文仿宋" w:hAnsi="华文仿宋" w:eastAsia="华文仿宋" w:cs="宋体"/>
          <w:sz w:val="32"/>
          <w:szCs w:val="32"/>
          <w:highlight w:val="none"/>
        </w:rPr>
        <w:t>，比</w:t>
      </w:r>
      <w:r>
        <w:rPr>
          <w:rFonts w:hint="eastAsia" w:ascii="华文仿宋" w:hAnsi="华文仿宋" w:eastAsia="华文仿宋" w:cs="宋体"/>
          <w:sz w:val="32"/>
          <w:szCs w:val="32"/>
          <w:highlight w:val="none"/>
          <w:lang w:eastAsia="zh-CN"/>
        </w:rPr>
        <w:t>202</w:t>
      </w:r>
      <w:r>
        <w:rPr>
          <w:rFonts w:hint="eastAsia" w:ascii="华文仿宋" w:hAnsi="华文仿宋" w:eastAsia="华文仿宋" w:cs="宋体"/>
          <w:sz w:val="32"/>
          <w:szCs w:val="32"/>
          <w:highlight w:val="none"/>
          <w:lang w:val="en-US" w:eastAsia="zh-CN"/>
        </w:rPr>
        <w:t>5</w:t>
      </w:r>
      <w:r>
        <w:rPr>
          <w:rFonts w:ascii="华文仿宋" w:hAnsi="华文仿宋" w:eastAsia="华文仿宋" w:cs="宋体"/>
          <w:sz w:val="32"/>
          <w:szCs w:val="32"/>
          <w:highlight w:val="none"/>
        </w:rPr>
        <w:t>年预算数</w:t>
      </w:r>
      <w:r>
        <w:rPr>
          <w:rFonts w:hint="eastAsia" w:ascii="华文仿宋" w:hAnsi="华文仿宋" w:eastAsia="华文仿宋" w:cs="宋体"/>
          <w:sz w:val="32"/>
          <w:szCs w:val="32"/>
          <w:highlight w:val="none"/>
        </w:rPr>
        <w:t>减少</w:t>
      </w:r>
      <w:r>
        <w:rPr>
          <w:rFonts w:hint="eastAsia" w:ascii="华文仿宋" w:hAnsi="华文仿宋" w:eastAsia="华文仿宋" w:cs="宋体"/>
          <w:sz w:val="32"/>
          <w:szCs w:val="32"/>
          <w:highlight w:val="none"/>
          <w:lang w:val="en-US" w:eastAsia="zh-CN"/>
        </w:rPr>
        <w:t>47.01</w:t>
      </w:r>
      <w:r>
        <w:rPr>
          <w:rFonts w:ascii="华文仿宋" w:hAnsi="华文仿宋" w:eastAsia="华文仿宋" w:cs="宋体"/>
          <w:sz w:val="32"/>
          <w:szCs w:val="32"/>
          <w:highlight w:val="none"/>
        </w:rPr>
        <w:t>万元，主要原因</w:t>
      </w:r>
      <w:r>
        <w:rPr>
          <w:rFonts w:hint="eastAsia" w:ascii="华文仿宋" w:hAnsi="华文仿宋" w:eastAsia="华文仿宋" w:cs="宋体"/>
          <w:sz w:val="32"/>
          <w:szCs w:val="32"/>
          <w:highlight w:val="none"/>
        </w:rPr>
        <w:t>:</w:t>
      </w:r>
      <w:r>
        <w:rPr>
          <w:rFonts w:hint="eastAsia" w:ascii="华文仿宋" w:hAnsi="华文仿宋" w:eastAsia="华文仿宋" w:cs="Tahoma"/>
          <w:color w:val="000000"/>
          <w:kern w:val="0"/>
          <w:sz w:val="32"/>
          <w:szCs w:val="32"/>
          <w:highlight w:val="none"/>
        </w:rPr>
        <w:t>当年人员经费和公用经费减少</w:t>
      </w:r>
      <w:r>
        <w:rPr>
          <w:rFonts w:ascii="华文仿宋" w:hAnsi="华文仿宋" w:eastAsia="华文仿宋" w:cs="宋体"/>
          <w:sz w:val="32"/>
          <w:szCs w:val="32"/>
          <w:highlight w:val="none"/>
        </w:rPr>
        <w:t>。</w:t>
      </w:r>
    </w:p>
    <w:p w14:paraId="67E00D7E">
      <w:pPr>
        <w:numPr>
          <w:ilvl w:val="0"/>
          <w:numId w:val="4"/>
        </w:numPr>
        <w:pBdr>
          <w:bottom w:val="single" w:color="FFFFFF" w:sz="4" w:space="28"/>
        </w:pBdr>
        <w:tabs>
          <w:tab w:val="left" w:pos="1440"/>
          <w:tab w:val="center" w:pos="4153"/>
          <w:tab w:val="right" w:pos="8306"/>
        </w:tabs>
        <w:spacing w:line="576" w:lineRule="exact"/>
        <w:ind w:firstLine="643" w:firstLineChars="200"/>
        <w:rPr>
          <w:rFonts w:ascii="华文仿宋" w:hAnsi="华文仿宋" w:eastAsia="华文仿宋" w:cs="宋体"/>
          <w:sz w:val="32"/>
          <w:szCs w:val="32"/>
          <w:highlight w:val="none"/>
        </w:rPr>
      </w:pPr>
      <w:r>
        <w:rPr>
          <w:rFonts w:ascii="华文仿宋" w:hAnsi="华文仿宋" w:eastAsia="华文仿宋" w:cs="宋体"/>
          <w:b/>
          <w:bCs/>
          <w:sz w:val="32"/>
          <w:szCs w:val="32"/>
          <w:highlight w:val="none"/>
        </w:rPr>
        <w:t>一般公共预算当年拨款结构情况</w:t>
      </w:r>
      <w:r>
        <w:rPr>
          <w:rFonts w:ascii="华文仿宋" w:hAnsi="华文仿宋" w:eastAsia="华文仿宋" w:cs="宋体"/>
          <w:sz w:val="32"/>
          <w:szCs w:val="32"/>
          <w:highlight w:val="none"/>
        </w:rPr>
        <w:br w:type="textWrapping"/>
      </w:r>
      <w:r>
        <w:rPr>
          <w:rFonts w:ascii="华文仿宋" w:hAnsi="华文仿宋" w:eastAsia="华文仿宋" w:cs="宋体"/>
          <w:sz w:val="32"/>
          <w:szCs w:val="32"/>
          <w:highlight w:val="none"/>
        </w:rPr>
        <w:t>　　</w:t>
      </w:r>
      <w:r>
        <w:rPr>
          <w:rFonts w:hint="eastAsia" w:ascii="华文仿宋" w:hAnsi="华文仿宋" w:eastAsia="华文仿宋" w:cs="宋体"/>
          <w:sz w:val="32"/>
          <w:szCs w:val="32"/>
          <w:highlight w:val="none"/>
        </w:rPr>
        <w:t>文化旅游体育与传媒支出</w:t>
      </w:r>
      <w:r>
        <w:rPr>
          <w:rFonts w:hint="eastAsia" w:ascii="华文仿宋" w:hAnsi="华文仿宋" w:eastAsia="华文仿宋" w:cs="宋体"/>
          <w:sz w:val="32"/>
          <w:szCs w:val="32"/>
          <w:highlight w:val="none"/>
          <w:lang w:eastAsia="zh-CN"/>
        </w:rPr>
        <w:t>845.18</w:t>
      </w:r>
      <w:r>
        <w:rPr>
          <w:rFonts w:ascii="华文仿宋" w:hAnsi="华文仿宋" w:eastAsia="华文仿宋" w:cs="宋体"/>
          <w:sz w:val="32"/>
          <w:szCs w:val="32"/>
          <w:highlight w:val="none"/>
        </w:rPr>
        <w:t>万元，社会保障和就业支出</w:t>
      </w:r>
      <w:r>
        <w:rPr>
          <w:rFonts w:hint="eastAsia" w:ascii="华文仿宋" w:hAnsi="华文仿宋" w:eastAsia="华文仿宋" w:cs="宋体"/>
          <w:sz w:val="32"/>
          <w:szCs w:val="32"/>
          <w:highlight w:val="none"/>
          <w:lang w:eastAsia="zh-CN"/>
        </w:rPr>
        <w:t>35.95</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,卫生健康支出</w:t>
      </w:r>
      <w:r>
        <w:rPr>
          <w:rFonts w:hint="eastAsia" w:ascii="华文仿宋" w:hAnsi="华文仿宋" w:eastAsia="华文仿宋" w:cs="宋体"/>
          <w:sz w:val="32"/>
          <w:szCs w:val="32"/>
          <w:highlight w:val="none"/>
          <w:lang w:eastAsia="zh-CN"/>
        </w:rPr>
        <w:t>74.36</w:t>
      </w:r>
      <w:r>
        <w:rPr>
          <w:rFonts w:ascii="华文仿宋" w:hAnsi="华文仿宋" w:eastAsia="华文仿宋" w:cs="宋体"/>
          <w:sz w:val="32"/>
          <w:szCs w:val="32"/>
          <w:highlight w:val="none"/>
        </w:rPr>
        <w:t>万元，住房保障支出</w:t>
      </w:r>
      <w:r>
        <w:rPr>
          <w:rFonts w:hint="eastAsia" w:ascii="华文仿宋" w:hAnsi="华文仿宋" w:eastAsia="华文仿宋" w:cs="宋体"/>
          <w:sz w:val="32"/>
          <w:szCs w:val="32"/>
          <w:highlight w:val="none"/>
          <w:lang w:eastAsia="zh-CN"/>
        </w:rPr>
        <w:t>54.89</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w:t>
      </w:r>
    </w:p>
    <w:p w14:paraId="3C93719B">
      <w:pPr>
        <w:numPr>
          <w:ilvl w:val="0"/>
          <w:numId w:val="4"/>
        </w:numPr>
        <w:pBdr>
          <w:bottom w:val="single" w:color="FFFFFF" w:sz="4" w:space="28"/>
        </w:pBdr>
        <w:tabs>
          <w:tab w:val="left" w:pos="1440"/>
          <w:tab w:val="center" w:pos="4153"/>
          <w:tab w:val="right" w:pos="8306"/>
        </w:tabs>
        <w:adjustRightInd w:val="0"/>
        <w:snapToGrid w:val="0"/>
        <w:spacing w:line="576" w:lineRule="exact"/>
        <w:ind w:firstLine="643" w:firstLineChars="200"/>
        <w:rPr>
          <w:rFonts w:ascii="华文仿宋" w:hAnsi="华文仿宋" w:eastAsia="华文仿宋" w:cs="宋体"/>
          <w:b/>
          <w:bCs/>
          <w:sz w:val="32"/>
          <w:szCs w:val="32"/>
          <w:highlight w:val="none"/>
        </w:rPr>
      </w:pPr>
      <w:r>
        <w:rPr>
          <w:rFonts w:ascii="华文仿宋" w:hAnsi="华文仿宋" w:eastAsia="华文仿宋" w:cs="宋体"/>
          <w:b/>
          <w:bCs/>
          <w:sz w:val="32"/>
          <w:szCs w:val="32"/>
          <w:highlight w:val="none"/>
        </w:rPr>
        <w:t>一般公共预算当年拨款具体使用情况</w:t>
      </w:r>
    </w:p>
    <w:p w14:paraId="021719A5">
      <w:pPr>
        <w:pBdr>
          <w:bottom w:val="single" w:color="FFFFFF" w:sz="4" w:space="28"/>
        </w:pBdr>
        <w:tabs>
          <w:tab w:val="left" w:pos="1440"/>
          <w:tab w:val="center" w:pos="4153"/>
          <w:tab w:val="right" w:pos="8306"/>
        </w:tabs>
        <w:adjustRightInd w:val="0"/>
        <w:snapToGrid w:val="0"/>
        <w:spacing w:line="576" w:lineRule="exact"/>
        <w:ind w:firstLine="640" w:firstLineChars="200"/>
        <w:rPr>
          <w:rFonts w:ascii="华文仿宋" w:hAnsi="华文仿宋" w:eastAsia="华文仿宋" w:cs="宋体"/>
          <w:sz w:val="32"/>
          <w:szCs w:val="32"/>
          <w:highlight w:val="none"/>
        </w:rPr>
      </w:pPr>
      <w:r>
        <w:rPr>
          <w:rFonts w:ascii="华文仿宋" w:hAnsi="华文仿宋" w:eastAsia="华文仿宋" w:cs="宋体"/>
          <w:sz w:val="32"/>
          <w:szCs w:val="32"/>
          <w:highlight w:val="none"/>
        </w:rPr>
        <w:t>一般公共服务（类）宣传事务（款）行政运行（项目）</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年预算数为</w:t>
      </w:r>
      <w:r>
        <w:rPr>
          <w:rFonts w:hint="eastAsia" w:ascii="华文仿宋" w:hAnsi="华文仿宋" w:eastAsia="华文仿宋" w:cs="宋体"/>
          <w:sz w:val="32"/>
          <w:szCs w:val="32"/>
          <w:highlight w:val="none"/>
          <w:lang w:eastAsia="zh-CN"/>
        </w:rPr>
        <w:t>1238.61</w:t>
      </w:r>
      <w:r>
        <w:rPr>
          <w:rFonts w:ascii="华文仿宋" w:hAnsi="华文仿宋" w:eastAsia="华文仿宋" w:cs="宋体"/>
          <w:sz w:val="32"/>
          <w:szCs w:val="32"/>
          <w:highlight w:val="none"/>
        </w:rPr>
        <w:t>万元，主要用于</w:t>
      </w:r>
      <w:r>
        <w:rPr>
          <w:rFonts w:hint="eastAsia" w:ascii="华文仿宋" w:hAnsi="华文仿宋" w:eastAsia="华文仿宋" w:cs="宋体"/>
          <w:sz w:val="32"/>
          <w:szCs w:val="32"/>
          <w:highlight w:val="none"/>
        </w:rPr>
        <w:t>:</w:t>
      </w:r>
    </w:p>
    <w:p w14:paraId="6558E563">
      <w:pPr>
        <w:pBdr>
          <w:bottom w:val="single" w:color="FFFFFF" w:sz="4" w:space="28"/>
        </w:pBdr>
        <w:tabs>
          <w:tab w:val="left" w:pos="1440"/>
          <w:tab w:val="center" w:pos="4153"/>
          <w:tab w:val="right" w:pos="8306"/>
        </w:tabs>
        <w:adjustRightInd w:val="0"/>
        <w:snapToGrid w:val="0"/>
        <w:spacing w:line="576" w:lineRule="exact"/>
        <w:ind w:firstLine="640" w:firstLineChars="200"/>
        <w:jc w:val="left"/>
        <w:rPr>
          <w:rFonts w:hint="eastAsia" w:ascii="华文仿宋" w:hAnsi="华文仿宋" w:eastAsia="华文仿宋" w:cs="宋体"/>
          <w:sz w:val="32"/>
          <w:szCs w:val="32"/>
          <w:highlight w:val="none"/>
        </w:rPr>
      </w:pPr>
      <w:r>
        <w:rPr>
          <w:rFonts w:hint="eastAsia" w:ascii="华文仿宋" w:hAnsi="华文仿宋" w:eastAsia="华文仿宋" w:cs="宋体"/>
          <w:sz w:val="32"/>
          <w:szCs w:val="32"/>
          <w:highlight w:val="none"/>
        </w:rPr>
        <w:t>文化旅游体育与传媒（207）文化和旅游（01）行政运行(01)预算为124.94万元</w:t>
      </w:r>
    </w:p>
    <w:p w14:paraId="2D9D604E">
      <w:pPr>
        <w:pBdr>
          <w:bottom w:val="single" w:color="FFFFFF" w:sz="4" w:space="28"/>
        </w:pBdr>
        <w:tabs>
          <w:tab w:val="left" w:pos="1440"/>
          <w:tab w:val="center" w:pos="4153"/>
          <w:tab w:val="right" w:pos="8306"/>
        </w:tabs>
        <w:adjustRightInd w:val="0"/>
        <w:snapToGrid w:val="0"/>
        <w:spacing w:line="576" w:lineRule="exact"/>
        <w:ind w:firstLine="640" w:firstLineChars="200"/>
        <w:jc w:val="left"/>
        <w:rPr>
          <w:rFonts w:hint="eastAsia" w:ascii="华文仿宋" w:hAnsi="华文仿宋" w:eastAsia="华文仿宋" w:cs="宋体"/>
          <w:sz w:val="32"/>
          <w:szCs w:val="32"/>
          <w:highlight w:val="none"/>
        </w:rPr>
      </w:pPr>
      <w:r>
        <w:rPr>
          <w:rFonts w:hint="eastAsia" w:ascii="华文仿宋" w:hAnsi="华文仿宋" w:eastAsia="华文仿宋" w:cs="宋体"/>
          <w:sz w:val="32"/>
          <w:szCs w:val="32"/>
          <w:highlight w:val="none"/>
        </w:rPr>
        <w:t>文化旅游体育与传媒（207）文化和旅游（01）机关服务（03）预算为373.91万元</w:t>
      </w:r>
    </w:p>
    <w:p w14:paraId="767A6F4D">
      <w:pPr>
        <w:pBdr>
          <w:bottom w:val="single" w:color="FFFFFF" w:sz="4" w:space="28"/>
        </w:pBdr>
        <w:tabs>
          <w:tab w:val="left" w:pos="1440"/>
          <w:tab w:val="center" w:pos="4153"/>
          <w:tab w:val="right" w:pos="8306"/>
        </w:tabs>
        <w:spacing w:line="576" w:lineRule="exact"/>
        <w:ind w:firstLine="640" w:firstLineChars="200"/>
        <w:jc w:val="left"/>
        <w:rPr>
          <w:rFonts w:hint="eastAsia" w:ascii="华文仿宋" w:hAnsi="华文仿宋" w:eastAsia="华文仿宋" w:cs="宋体"/>
          <w:sz w:val="32"/>
          <w:szCs w:val="32"/>
          <w:highlight w:val="none"/>
        </w:rPr>
      </w:pPr>
      <w:r>
        <w:rPr>
          <w:rFonts w:hint="eastAsia" w:ascii="华文仿宋" w:hAnsi="华文仿宋" w:eastAsia="华文仿宋" w:cs="宋体"/>
          <w:sz w:val="32"/>
          <w:szCs w:val="32"/>
          <w:highlight w:val="none"/>
        </w:rPr>
        <w:t>文化旅游体育与传媒（207）文化和旅游（01）艺术表演团体（07）预算为188.23万元</w:t>
      </w:r>
    </w:p>
    <w:p w14:paraId="3418B60F">
      <w:pPr>
        <w:pBdr>
          <w:bottom w:val="single" w:color="FFFFFF" w:sz="4" w:space="28"/>
        </w:pBdr>
        <w:tabs>
          <w:tab w:val="left" w:pos="1440"/>
          <w:tab w:val="center" w:pos="4153"/>
          <w:tab w:val="right" w:pos="8306"/>
        </w:tabs>
        <w:spacing w:line="576" w:lineRule="exact"/>
        <w:ind w:firstLine="640" w:firstLineChars="200"/>
        <w:jc w:val="left"/>
        <w:rPr>
          <w:highlight w:val="none"/>
        </w:rPr>
      </w:pPr>
      <w:r>
        <w:rPr>
          <w:rFonts w:hint="eastAsia" w:ascii="华文仿宋" w:hAnsi="华文仿宋" w:eastAsia="华文仿宋" w:cs="宋体"/>
          <w:sz w:val="32"/>
          <w:szCs w:val="32"/>
          <w:highlight w:val="none"/>
        </w:rPr>
        <w:t>文化旅游体育与传媒（207）文化和旅游（01）文化创作与保护（11）预算为</w:t>
      </w:r>
      <w:r>
        <w:rPr>
          <w:rFonts w:hint="eastAsia" w:ascii="华文仿宋" w:hAnsi="华文仿宋" w:eastAsia="华文仿宋" w:cs="宋体"/>
          <w:sz w:val="32"/>
          <w:szCs w:val="32"/>
          <w:highlight w:val="none"/>
          <w:lang w:val="en-US" w:eastAsia="zh-CN"/>
        </w:rPr>
        <w:t>14.1</w:t>
      </w:r>
      <w:r>
        <w:rPr>
          <w:rFonts w:hint="eastAsia" w:ascii="华文仿宋" w:hAnsi="华文仿宋" w:eastAsia="华文仿宋" w:cs="宋体"/>
          <w:sz w:val="32"/>
          <w:szCs w:val="32"/>
          <w:highlight w:val="none"/>
        </w:rPr>
        <w:t>万元</w:t>
      </w:r>
    </w:p>
    <w:p w14:paraId="1865485D">
      <w:pPr>
        <w:pBdr>
          <w:bottom w:val="single" w:color="FFFFFF" w:sz="4" w:space="28"/>
        </w:pBdr>
        <w:tabs>
          <w:tab w:val="left" w:pos="1440"/>
          <w:tab w:val="center" w:pos="4153"/>
          <w:tab w:val="right" w:pos="8306"/>
        </w:tabs>
        <w:adjustRightInd w:val="0"/>
        <w:snapToGrid w:val="0"/>
        <w:spacing w:line="576" w:lineRule="exact"/>
        <w:ind w:firstLine="640" w:firstLineChars="200"/>
        <w:jc w:val="left"/>
        <w:rPr>
          <w:rFonts w:hint="eastAsia" w:ascii="华文仿宋" w:hAnsi="华文仿宋" w:eastAsia="华文仿宋" w:cs="宋体"/>
          <w:sz w:val="32"/>
          <w:szCs w:val="32"/>
          <w:highlight w:val="none"/>
        </w:rPr>
      </w:pPr>
      <w:r>
        <w:rPr>
          <w:rFonts w:hint="eastAsia" w:ascii="华文仿宋" w:hAnsi="华文仿宋" w:eastAsia="华文仿宋" w:cs="宋体"/>
          <w:sz w:val="32"/>
          <w:szCs w:val="32"/>
          <w:highlight w:val="none"/>
        </w:rPr>
        <w:t>文化旅游体育与传媒（207）文化和旅游(01)其他文化和旅游支出（99）预算为4</w:t>
      </w:r>
      <w:r>
        <w:rPr>
          <w:rFonts w:hint="eastAsia" w:ascii="华文仿宋" w:hAnsi="华文仿宋" w:eastAsia="华文仿宋" w:cs="宋体"/>
          <w:sz w:val="32"/>
          <w:szCs w:val="32"/>
          <w:highlight w:val="none"/>
          <w:lang w:val="en-US" w:eastAsia="zh-CN"/>
        </w:rPr>
        <w:t>9</w:t>
      </w:r>
      <w:r>
        <w:rPr>
          <w:rFonts w:hint="eastAsia" w:ascii="华文仿宋" w:hAnsi="华文仿宋" w:eastAsia="华文仿宋" w:cs="宋体"/>
          <w:sz w:val="32"/>
          <w:szCs w:val="32"/>
          <w:highlight w:val="none"/>
        </w:rPr>
        <w:t>.00万元</w:t>
      </w:r>
    </w:p>
    <w:p w14:paraId="5D31A2D8">
      <w:pPr>
        <w:pBdr>
          <w:bottom w:val="single" w:color="FFFFFF" w:sz="4" w:space="28"/>
        </w:pBdr>
        <w:tabs>
          <w:tab w:val="left" w:pos="1440"/>
          <w:tab w:val="center" w:pos="4153"/>
          <w:tab w:val="right" w:pos="8306"/>
        </w:tabs>
        <w:spacing w:line="576" w:lineRule="exact"/>
        <w:ind w:firstLine="640" w:firstLineChars="200"/>
        <w:jc w:val="left"/>
        <w:rPr>
          <w:highlight w:val="none"/>
        </w:rPr>
      </w:pPr>
      <w:r>
        <w:rPr>
          <w:rFonts w:hint="eastAsia" w:ascii="华文仿宋" w:hAnsi="华文仿宋" w:eastAsia="华文仿宋" w:cs="宋体"/>
          <w:sz w:val="32"/>
          <w:szCs w:val="32"/>
          <w:highlight w:val="none"/>
        </w:rPr>
        <w:t>文化旅游体育与传媒（207）体育（0</w:t>
      </w:r>
      <w:r>
        <w:rPr>
          <w:rFonts w:hint="eastAsia" w:ascii="华文仿宋" w:hAnsi="华文仿宋" w:eastAsia="华文仿宋" w:cs="宋体"/>
          <w:sz w:val="32"/>
          <w:szCs w:val="32"/>
          <w:highlight w:val="none"/>
          <w:lang w:val="en-US" w:eastAsia="zh-CN"/>
        </w:rPr>
        <w:t>2</w:t>
      </w:r>
      <w:r>
        <w:rPr>
          <w:rFonts w:hint="eastAsia" w:ascii="华文仿宋" w:hAnsi="华文仿宋" w:eastAsia="华文仿宋" w:cs="宋体"/>
          <w:sz w:val="32"/>
          <w:szCs w:val="32"/>
          <w:highlight w:val="none"/>
        </w:rPr>
        <w:t>）文物保护（04）预算为10万元</w:t>
      </w:r>
    </w:p>
    <w:p w14:paraId="0E78BF36">
      <w:pPr>
        <w:pBdr>
          <w:bottom w:val="single" w:color="FFFFFF" w:sz="4" w:space="28"/>
        </w:pBdr>
        <w:tabs>
          <w:tab w:val="left" w:pos="1440"/>
          <w:tab w:val="center" w:pos="4153"/>
          <w:tab w:val="right" w:pos="8306"/>
        </w:tabs>
        <w:adjustRightInd w:val="0"/>
        <w:snapToGrid w:val="0"/>
        <w:spacing w:line="576" w:lineRule="exact"/>
        <w:ind w:firstLine="640" w:firstLineChars="200"/>
        <w:jc w:val="left"/>
        <w:rPr>
          <w:rFonts w:ascii="华文仿宋" w:hAnsi="华文仿宋" w:eastAsia="华文仿宋" w:cs="宋体"/>
          <w:sz w:val="32"/>
          <w:szCs w:val="32"/>
          <w:highlight w:val="none"/>
        </w:rPr>
      </w:pPr>
      <w:r>
        <w:rPr>
          <w:rFonts w:hint="eastAsia" w:ascii="华文仿宋" w:hAnsi="华文仿宋" w:eastAsia="华文仿宋" w:cs="宋体"/>
          <w:sz w:val="32"/>
          <w:szCs w:val="32"/>
          <w:highlight w:val="none"/>
        </w:rPr>
        <w:t>社会保障和就业支出（208）行政事业单位养老支出（05）机关事业单位基本养老保险缴费支出（05）预算为18.08万元</w:t>
      </w:r>
    </w:p>
    <w:p w14:paraId="1D629B0D">
      <w:pPr>
        <w:pBdr>
          <w:bottom w:val="single" w:color="FFFFFF" w:sz="4" w:space="28"/>
        </w:pBdr>
        <w:tabs>
          <w:tab w:val="left" w:pos="1440"/>
          <w:tab w:val="center" w:pos="4153"/>
          <w:tab w:val="right" w:pos="8306"/>
        </w:tabs>
        <w:adjustRightInd w:val="0"/>
        <w:snapToGrid w:val="0"/>
        <w:spacing w:line="576" w:lineRule="exact"/>
        <w:ind w:firstLine="640" w:firstLineChars="200"/>
        <w:jc w:val="left"/>
        <w:rPr>
          <w:rFonts w:ascii="华文仿宋" w:hAnsi="华文仿宋" w:eastAsia="华文仿宋" w:cs="宋体"/>
          <w:sz w:val="32"/>
          <w:szCs w:val="32"/>
          <w:highlight w:val="none"/>
        </w:rPr>
      </w:pPr>
      <w:r>
        <w:rPr>
          <w:rFonts w:hint="eastAsia" w:ascii="华文仿宋" w:hAnsi="华文仿宋" w:eastAsia="华文仿宋" w:cs="宋体"/>
          <w:sz w:val="32"/>
          <w:szCs w:val="32"/>
          <w:highlight w:val="none"/>
        </w:rPr>
        <w:t>社会保障和就业支出（208）行政事业单位养老支出（05）机关事业单位职业年金缴费支出（06）预算为17.87万元</w:t>
      </w:r>
    </w:p>
    <w:p w14:paraId="239415DF">
      <w:pPr>
        <w:pBdr>
          <w:bottom w:val="single" w:color="FFFFFF" w:sz="4" w:space="28"/>
        </w:pBdr>
        <w:tabs>
          <w:tab w:val="left" w:pos="1440"/>
          <w:tab w:val="center" w:pos="4153"/>
          <w:tab w:val="right" w:pos="8306"/>
        </w:tabs>
        <w:spacing w:line="576" w:lineRule="exact"/>
        <w:ind w:firstLine="640" w:firstLineChars="200"/>
        <w:jc w:val="left"/>
        <w:rPr>
          <w:rFonts w:hint="eastAsia" w:ascii="华文仿宋" w:hAnsi="华文仿宋" w:eastAsia="华文仿宋" w:cs="宋体"/>
          <w:sz w:val="32"/>
          <w:szCs w:val="32"/>
          <w:highlight w:val="none"/>
        </w:rPr>
      </w:pPr>
      <w:r>
        <w:rPr>
          <w:rFonts w:hint="eastAsia" w:ascii="华文仿宋" w:hAnsi="华文仿宋" w:eastAsia="华文仿宋" w:cs="宋体"/>
          <w:sz w:val="32"/>
          <w:szCs w:val="32"/>
          <w:highlight w:val="none"/>
        </w:rPr>
        <w:t>文化旅游体育与传媒（207）体育（03）体育竞赛（05）预算为45万元</w:t>
      </w:r>
    </w:p>
    <w:p w14:paraId="62EC6A7D">
      <w:pPr>
        <w:pBdr>
          <w:bottom w:val="single" w:color="FFFFFF" w:sz="4" w:space="28"/>
        </w:pBdr>
        <w:tabs>
          <w:tab w:val="left" w:pos="1440"/>
          <w:tab w:val="center" w:pos="4153"/>
          <w:tab w:val="right" w:pos="8306"/>
        </w:tabs>
        <w:spacing w:line="576" w:lineRule="exact"/>
        <w:ind w:firstLine="640" w:firstLineChars="200"/>
        <w:jc w:val="left"/>
        <w:rPr>
          <w:rFonts w:hint="eastAsia" w:ascii="华文仿宋" w:hAnsi="华文仿宋" w:eastAsia="华文仿宋" w:cs="宋体"/>
          <w:sz w:val="32"/>
          <w:szCs w:val="32"/>
          <w:highlight w:val="none"/>
        </w:rPr>
      </w:pPr>
      <w:r>
        <w:rPr>
          <w:rFonts w:hint="eastAsia" w:ascii="华文仿宋" w:hAnsi="华文仿宋" w:eastAsia="华文仿宋" w:cs="宋体"/>
          <w:sz w:val="32"/>
          <w:szCs w:val="32"/>
          <w:highlight w:val="none"/>
        </w:rPr>
        <w:t>文化旅游体育与传媒（207）体育（03）体育训练（06）预算为30万元</w:t>
      </w:r>
    </w:p>
    <w:p w14:paraId="01C49AB9">
      <w:pPr>
        <w:pBdr>
          <w:bottom w:val="single" w:color="FFFFFF" w:sz="4" w:space="28"/>
        </w:pBdr>
        <w:tabs>
          <w:tab w:val="left" w:pos="1440"/>
          <w:tab w:val="center" w:pos="4153"/>
          <w:tab w:val="right" w:pos="8306"/>
        </w:tabs>
        <w:spacing w:line="576" w:lineRule="exact"/>
        <w:ind w:firstLine="640" w:firstLineChars="200"/>
        <w:jc w:val="left"/>
        <w:rPr>
          <w:highlight w:val="none"/>
        </w:rPr>
      </w:pPr>
      <w:r>
        <w:rPr>
          <w:rFonts w:hint="eastAsia" w:ascii="华文仿宋" w:hAnsi="华文仿宋" w:eastAsia="华文仿宋" w:cs="宋体"/>
          <w:sz w:val="32"/>
          <w:szCs w:val="32"/>
          <w:highlight w:val="none"/>
        </w:rPr>
        <w:t>文化旅游体育与传媒（207）体育（03）体育</w:t>
      </w:r>
      <w:r>
        <w:rPr>
          <w:rFonts w:hint="eastAsia" w:ascii="华文仿宋" w:hAnsi="华文仿宋" w:eastAsia="华文仿宋" w:cs="宋体"/>
          <w:sz w:val="32"/>
          <w:szCs w:val="32"/>
          <w:highlight w:val="none"/>
          <w:lang w:val="en-US" w:eastAsia="zh-CN"/>
        </w:rPr>
        <w:t>场馆</w:t>
      </w:r>
      <w:r>
        <w:rPr>
          <w:rFonts w:hint="eastAsia" w:ascii="华文仿宋" w:hAnsi="华文仿宋" w:eastAsia="华文仿宋" w:cs="宋体"/>
          <w:sz w:val="32"/>
          <w:szCs w:val="32"/>
          <w:highlight w:val="none"/>
        </w:rPr>
        <w:t>（0</w:t>
      </w:r>
      <w:r>
        <w:rPr>
          <w:rFonts w:hint="eastAsia" w:ascii="华文仿宋" w:hAnsi="华文仿宋" w:eastAsia="华文仿宋" w:cs="宋体"/>
          <w:sz w:val="32"/>
          <w:szCs w:val="32"/>
          <w:highlight w:val="none"/>
          <w:lang w:val="en-US" w:eastAsia="zh-CN"/>
        </w:rPr>
        <w:t>7</w:t>
      </w:r>
      <w:r>
        <w:rPr>
          <w:rFonts w:hint="eastAsia" w:ascii="华文仿宋" w:hAnsi="华文仿宋" w:eastAsia="华文仿宋" w:cs="宋体"/>
          <w:sz w:val="32"/>
          <w:szCs w:val="32"/>
          <w:highlight w:val="none"/>
        </w:rPr>
        <w:t>）预算为</w:t>
      </w:r>
      <w:r>
        <w:rPr>
          <w:rFonts w:hint="eastAsia" w:ascii="华文仿宋" w:hAnsi="华文仿宋" w:eastAsia="华文仿宋" w:cs="宋体"/>
          <w:sz w:val="32"/>
          <w:szCs w:val="32"/>
          <w:highlight w:val="none"/>
          <w:lang w:val="en-US" w:eastAsia="zh-CN"/>
        </w:rPr>
        <w:t>10</w:t>
      </w:r>
      <w:r>
        <w:rPr>
          <w:rFonts w:hint="eastAsia" w:ascii="华文仿宋" w:hAnsi="华文仿宋" w:eastAsia="华文仿宋" w:cs="宋体"/>
          <w:sz w:val="32"/>
          <w:szCs w:val="32"/>
          <w:highlight w:val="none"/>
        </w:rPr>
        <w:t>万元</w:t>
      </w:r>
    </w:p>
    <w:p w14:paraId="79445E3E">
      <w:pPr>
        <w:pBdr>
          <w:bottom w:val="single" w:color="FFFFFF" w:sz="4" w:space="28"/>
        </w:pBdr>
        <w:tabs>
          <w:tab w:val="left" w:pos="1440"/>
          <w:tab w:val="center" w:pos="4153"/>
          <w:tab w:val="right" w:pos="8306"/>
        </w:tabs>
        <w:adjustRightInd w:val="0"/>
        <w:snapToGrid w:val="0"/>
        <w:spacing w:line="576" w:lineRule="exact"/>
        <w:ind w:firstLine="640" w:firstLineChars="200"/>
        <w:jc w:val="left"/>
        <w:rPr>
          <w:rFonts w:hint="eastAsia" w:ascii="华文仿宋" w:hAnsi="华文仿宋" w:eastAsia="华文仿宋" w:cs="宋体"/>
          <w:sz w:val="32"/>
          <w:szCs w:val="32"/>
          <w:highlight w:val="none"/>
        </w:rPr>
      </w:pPr>
      <w:r>
        <w:rPr>
          <w:rFonts w:hint="eastAsia" w:ascii="华文仿宋" w:hAnsi="华文仿宋" w:eastAsia="华文仿宋" w:cs="宋体"/>
          <w:sz w:val="32"/>
          <w:szCs w:val="32"/>
          <w:highlight w:val="none"/>
        </w:rPr>
        <w:t>卫生健康支出（210）行政事业单位医疗（11）事业单位医疗（02）预算为108.45万元</w:t>
      </w:r>
    </w:p>
    <w:p w14:paraId="7DBE4653">
      <w:pPr>
        <w:pBdr>
          <w:bottom w:val="single" w:color="FFFFFF" w:sz="4" w:space="28"/>
        </w:pBdr>
        <w:tabs>
          <w:tab w:val="left" w:pos="1440"/>
          <w:tab w:val="center" w:pos="4153"/>
          <w:tab w:val="right" w:pos="8306"/>
        </w:tabs>
        <w:adjustRightInd w:val="0"/>
        <w:snapToGrid w:val="0"/>
        <w:spacing w:line="576" w:lineRule="exact"/>
        <w:ind w:firstLine="640" w:firstLineChars="200"/>
        <w:jc w:val="left"/>
        <w:rPr>
          <w:highlight w:val="none"/>
        </w:rPr>
      </w:pPr>
      <w:r>
        <w:rPr>
          <w:rFonts w:hint="eastAsia" w:ascii="华文仿宋" w:hAnsi="华文仿宋" w:eastAsia="华文仿宋" w:cs="宋体"/>
          <w:sz w:val="32"/>
          <w:szCs w:val="32"/>
          <w:highlight w:val="none"/>
        </w:rPr>
        <w:t>卫生健康支出（210）行政事业单位医疗（11）行政单位医疗（01）预算为35.8万元</w:t>
      </w:r>
    </w:p>
    <w:p w14:paraId="78C37A3D">
      <w:pPr>
        <w:pBdr>
          <w:bottom w:val="single" w:color="FFFFFF" w:sz="4" w:space="28"/>
        </w:pBdr>
        <w:tabs>
          <w:tab w:val="left" w:pos="1440"/>
          <w:tab w:val="center" w:pos="4153"/>
          <w:tab w:val="right" w:pos="8306"/>
        </w:tabs>
        <w:adjustRightInd w:val="0"/>
        <w:snapToGrid w:val="0"/>
        <w:spacing w:line="576" w:lineRule="exact"/>
        <w:ind w:firstLine="640" w:firstLineChars="200"/>
        <w:jc w:val="left"/>
        <w:rPr>
          <w:rFonts w:ascii="华文仿宋" w:hAnsi="华文仿宋" w:eastAsia="华文仿宋" w:cs="宋体"/>
          <w:sz w:val="32"/>
          <w:szCs w:val="32"/>
          <w:highlight w:val="none"/>
        </w:rPr>
      </w:pPr>
      <w:r>
        <w:rPr>
          <w:rFonts w:hint="eastAsia" w:ascii="华文仿宋" w:hAnsi="华文仿宋" w:eastAsia="华文仿宋" w:cs="宋体"/>
          <w:sz w:val="32"/>
          <w:szCs w:val="32"/>
          <w:highlight w:val="none"/>
        </w:rPr>
        <w:t>卫生健康支出（210）行政事业单位医疗（11）公务员医疗补助（03）预算为7.58万元</w:t>
      </w:r>
    </w:p>
    <w:p w14:paraId="1327CEB7">
      <w:pPr>
        <w:pBdr>
          <w:bottom w:val="single" w:color="FFFFFF" w:sz="4" w:space="28"/>
        </w:pBdr>
        <w:tabs>
          <w:tab w:val="left" w:pos="1440"/>
          <w:tab w:val="center" w:pos="4153"/>
          <w:tab w:val="right" w:pos="8306"/>
        </w:tabs>
        <w:adjustRightInd w:val="0"/>
        <w:snapToGrid w:val="0"/>
        <w:spacing w:line="576" w:lineRule="exact"/>
        <w:ind w:firstLine="640" w:firstLineChars="200"/>
        <w:jc w:val="left"/>
        <w:rPr>
          <w:rFonts w:hint="eastAsia" w:ascii="华文仿宋" w:hAnsi="华文仿宋" w:eastAsia="华文仿宋" w:cs="宋体"/>
          <w:sz w:val="32"/>
          <w:szCs w:val="32"/>
          <w:highlight w:val="none"/>
        </w:rPr>
      </w:pPr>
      <w:r>
        <w:rPr>
          <w:rFonts w:hint="eastAsia" w:ascii="华文仿宋" w:hAnsi="华文仿宋" w:eastAsia="华文仿宋" w:cs="宋体"/>
          <w:sz w:val="32"/>
          <w:szCs w:val="32"/>
          <w:highlight w:val="none"/>
        </w:rPr>
        <w:t>卫生健康支出（210）行政事业单位医疗（11）其他行政事业单位医疗支出（99）预算为23.79万元</w:t>
      </w:r>
    </w:p>
    <w:p w14:paraId="4964ACA0">
      <w:pPr>
        <w:pBdr>
          <w:bottom w:val="single" w:color="FFFFFF" w:sz="4" w:space="28"/>
        </w:pBdr>
        <w:tabs>
          <w:tab w:val="left" w:pos="1440"/>
          <w:tab w:val="center" w:pos="4153"/>
          <w:tab w:val="right" w:pos="8306"/>
        </w:tabs>
        <w:adjustRightInd w:val="0"/>
        <w:snapToGrid w:val="0"/>
        <w:spacing w:line="576" w:lineRule="exact"/>
        <w:ind w:firstLine="640" w:firstLineChars="200"/>
        <w:jc w:val="left"/>
        <w:rPr>
          <w:rFonts w:ascii="华文仿宋" w:hAnsi="华文仿宋" w:eastAsia="华文仿宋" w:cs="宋体"/>
          <w:sz w:val="32"/>
          <w:szCs w:val="32"/>
          <w:highlight w:val="none"/>
        </w:rPr>
      </w:pPr>
      <w:r>
        <w:rPr>
          <w:rFonts w:hint="eastAsia" w:ascii="华文仿宋" w:hAnsi="华文仿宋" w:eastAsia="华文仿宋" w:cs="宋体"/>
          <w:sz w:val="32"/>
          <w:szCs w:val="32"/>
          <w:highlight w:val="none"/>
        </w:rPr>
        <w:t>住房保障支出（221）住房改革支出（02）住房公积金（01）预算为</w:t>
      </w:r>
      <w:r>
        <w:rPr>
          <w:rFonts w:hint="eastAsia" w:ascii="华文仿宋" w:hAnsi="华文仿宋" w:eastAsia="华文仿宋" w:cs="宋体"/>
          <w:sz w:val="32"/>
          <w:szCs w:val="32"/>
          <w:highlight w:val="none"/>
          <w:lang w:eastAsia="zh-CN"/>
        </w:rPr>
        <w:t>54.89</w:t>
      </w:r>
      <w:r>
        <w:rPr>
          <w:rFonts w:hint="eastAsia" w:ascii="华文仿宋" w:hAnsi="华文仿宋" w:eastAsia="华文仿宋" w:cs="宋体"/>
          <w:sz w:val="32"/>
          <w:szCs w:val="32"/>
          <w:highlight w:val="none"/>
        </w:rPr>
        <w:t>万元</w:t>
      </w:r>
    </w:p>
    <w:p w14:paraId="733920E3">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s="宋体"/>
          <w:sz w:val="32"/>
          <w:szCs w:val="32"/>
          <w:highlight w:val="none"/>
        </w:rPr>
      </w:pPr>
      <w:r>
        <w:rPr>
          <w:rFonts w:hint="eastAsia" w:ascii="黑体" w:hAnsi="黑体" w:eastAsia="黑体" w:cs="宋体"/>
          <w:b/>
          <w:bCs/>
          <w:sz w:val="32"/>
          <w:szCs w:val="32"/>
          <w:highlight w:val="none"/>
        </w:rPr>
        <w:t>六、</w:t>
      </w:r>
      <w:r>
        <w:rPr>
          <w:rFonts w:ascii="黑体" w:hAnsi="黑体" w:eastAsia="黑体" w:cs="宋体"/>
          <w:b/>
          <w:bCs/>
          <w:sz w:val="32"/>
          <w:szCs w:val="32"/>
          <w:highlight w:val="none"/>
        </w:rPr>
        <w:t>一般公共预算基本支出情况说明</w:t>
      </w:r>
      <w:r>
        <w:rPr>
          <w:rFonts w:ascii="黑体" w:hAnsi="黑体" w:eastAsia="黑体" w:cs="宋体"/>
          <w:b/>
          <w:bCs/>
          <w:sz w:val="32"/>
          <w:szCs w:val="32"/>
          <w:highlight w:val="none"/>
        </w:rPr>
        <w:br w:type="textWrapping"/>
      </w:r>
      <w:r>
        <w:rPr>
          <w:rFonts w:ascii="华文仿宋" w:hAnsi="华文仿宋" w:eastAsia="华文仿宋" w:cs="宋体"/>
          <w:sz w:val="32"/>
          <w:szCs w:val="32"/>
          <w:highlight w:val="none"/>
        </w:rPr>
        <w:t>　　</w:t>
      </w:r>
      <w:r>
        <w:rPr>
          <w:rFonts w:hint="eastAsia" w:ascii="华文仿宋" w:hAnsi="华文仿宋" w:eastAsia="华文仿宋" w:cs="宋体"/>
          <w:sz w:val="32"/>
          <w:szCs w:val="32"/>
          <w:highlight w:val="none"/>
        </w:rPr>
        <w:t>汶川县文化广播电视体育和旅游局单位</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年一般公共预算基本支出</w:t>
      </w:r>
      <w:r>
        <w:rPr>
          <w:rFonts w:hint="eastAsia" w:ascii="华文仿宋" w:hAnsi="华文仿宋" w:eastAsia="华文仿宋" w:cs="宋体"/>
          <w:sz w:val="32"/>
          <w:szCs w:val="32"/>
          <w:highlight w:val="none"/>
        </w:rPr>
        <w:t>689</w:t>
      </w:r>
      <w:r>
        <w:rPr>
          <w:rFonts w:ascii="华文仿宋" w:hAnsi="华文仿宋" w:eastAsia="华文仿宋" w:cs="宋体"/>
          <w:sz w:val="32"/>
          <w:szCs w:val="32"/>
          <w:highlight w:val="none"/>
        </w:rPr>
        <w:t>万元，其中：人员经费</w:t>
      </w:r>
      <w:r>
        <w:rPr>
          <w:rFonts w:hint="eastAsia" w:ascii="华文仿宋" w:hAnsi="华文仿宋" w:eastAsia="华文仿宋" w:cs="宋体"/>
          <w:sz w:val="32"/>
          <w:szCs w:val="32"/>
          <w:highlight w:val="none"/>
        </w:rPr>
        <w:t>617.49</w:t>
      </w:r>
      <w:r>
        <w:rPr>
          <w:rFonts w:ascii="华文仿宋" w:hAnsi="华文仿宋" w:eastAsia="华文仿宋" w:cs="宋体"/>
          <w:sz w:val="32"/>
          <w:szCs w:val="32"/>
          <w:highlight w:val="none"/>
        </w:rPr>
        <w:t>万元，主要包括：基本工资、津贴补贴、奖金、其他社会保障缴费、绩效工资、机关事业单位基本养老保险缴费、职业年金缴费、住房公积金、其他对个人和家庭的补助支出。公用经费</w:t>
      </w:r>
      <w:r>
        <w:rPr>
          <w:rFonts w:hint="eastAsia" w:ascii="华文仿宋" w:hAnsi="华文仿宋" w:eastAsia="华文仿宋" w:cs="宋体"/>
          <w:sz w:val="32"/>
          <w:szCs w:val="32"/>
          <w:highlight w:val="none"/>
        </w:rPr>
        <w:t>71.51</w:t>
      </w:r>
      <w:r>
        <w:rPr>
          <w:rFonts w:ascii="华文仿宋" w:hAnsi="华文仿宋" w:eastAsia="华文仿宋" w:cs="宋体"/>
          <w:sz w:val="32"/>
          <w:szCs w:val="32"/>
          <w:highlight w:val="none"/>
        </w:rPr>
        <w:t>万元，主要包括：办公费、手续费、邮电费、差旅费</w:t>
      </w:r>
      <w:r>
        <w:rPr>
          <w:rFonts w:hint="eastAsia" w:ascii="华文仿宋" w:hAnsi="华文仿宋" w:eastAsia="华文仿宋" w:cs="宋体"/>
          <w:sz w:val="32"/>
          <w:szCs w:val="32"/>
          <w:highlight w:val="none"/>
          <w:lang w:eastAsia="zh-CN"/>
        </w:rPr>
        <w:t>、</w:t>
      </w:r>
      <w:r>
        <w:rPr>
          <w:rFonts w:ascii="华文仿宋" w:hAnsi="华文仿宋" w:eastAsia="华文仿宋" w:cs="宋体"/>
          <w:sz w:val="32"/>
          <w:szCs w:val="32"/>
          <w:highlight w:val="none"/>
        </w:rPr>
        <w:t>会议费、培训费、劳务费、</w:t>
      </w:r>
      <w:r>
        <w:rPr>
          <w:rFonts w:hint="eastAsia" w:ascii="华文仿宋" w:hAnsi="华文仿宋" w:eastAsia="华文仿宋" w:cs="宋体"/>
          <w:sz w:val="32"/>
          <w:szCs w:val="32"/>
          <w:highlight w:val="none"/>
        </w:rPr>
        <w:t>公务用车</w:t>
      </w:r>
      <w:r>
        <w:rPr>
          <w:rFonts w:ascii="华文仿宋" w:hAnsi="华文仿宋" w:eastAsia="华文仿宋" w:cs="宋体"/>
          <w:sz w:val="32"/>
          <w:szCs w:val="32"/>
          <w:highlight w:val="none"/>
        </w:rPr>
        <w:t>运行维护费。</w:t>
      </w:r>
    </w:p>
    <w:p w14:paraId="03470F2E">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s="宋体"/>
          <w:sz w:val="32"/>
          <w:szCs w:val="32"/>
          <w:highlight w:val="none"/>
        </w:rPr>
      </w:pPr>
      <w:r>
        <w:rPr>
          <w:rFonts w:hint="eastAsia" w:ascii="黑体" w:hAnsi="黑体" w:eastAsia="黑体" w:cs="宋体"/>
          <w:b/>
          <w:bCs/>
          <w:sz w:val="32"/>
          <w:szCs w:val="32"/>
          <w:highlight w:val="none"/>
        </w:rPr>
        <w:t>七、</w:t>
      </w:r>
      <w:r>
        <w:rPr>
          <w:rFonts w:ascii="黑体" w:hAnsi="黑体" w:eastAsia="黑体" w:cs="宋体"/>
          <w:b/>
          <w:bCs/>
          <w:sz w:val="32"/>
          <w:szCs w:val="32"/>
          <w:highlight w:val="none"/>
        </w:rPr>
        <w:t>“三公”经费财政拨款预算安排情况说明</w:t>
      </w:r>
      <w:r>
        <w:rPr>
          <w:rFonts w:ascii="黑体" w:hAnsi="黑体" w:eastAsia="黑体" w:cs="宋体"/>
          <w:sz w:val="32"/>
          <w:szCs w:val="32"/>
          <w:highlight w:val="none"/>
        </w:rPr>
        <w:br w:type="textWrapping"/>
      </w:r>
      <w:r>
        <w:rPr>
          <w:rFonts w:ascii="华文仿宋" w:hAnsi="华文仿宋" w:eastAsia="华文仿宋" w:cs="宋体"/>
          <w:sz w:val="32"/>
          <w:szCs w:val="32"/>
          <w:highlight w:val="none"/>
        </w:rPr>
        <w:t>　　　</w:t>
      </w:r>
      <w:r>
        <w:rPr>
          <w:rFonts w:hint="eastAsia" w:ascii="仿宋_GB2312" w:hAnsi="宋体" w:eastAsia="仿宋_GB2312" w:cs="宋体"/>
          <w:bCs/>
          <w:kern w:val="0"/>
          <w:sz w:val="32"/>
          <w:szCs w:val="32"/>
          <w:highlight w:val="none"/>
        </w:rPr>
        <w:t>汶川县文化广播电视体育和旅游局（本级）</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年“三公”经费财政拨款预算数</w:t>
      </w:r>
      <w:r>
        <w:rPr>
          <w:rFonts w:hint="eastAsia" w:ascii="华文仿宋" w:hAnsi="华文仿宋" w:eastAsia="华文仿宋" w:cs="宋体"/>
          <w:sz w:val="32"/>
          <w:szCs w:val="32"/>
          <w:highlight w:val="none"/>
        </w:rPr>
        <w:t>33.</w:t>
      </w:r>
      <w:r>
        <w:rPr>
          <w:rFonts w:hint="eastAsia" w:ascii="华文仿宋" w:hAnsi="华文仿宋" w:eastAsia="华文仿宋" w:cs="宋体"/>
          <w:sz w:val="32"/>
          <w:szCs w:val="32"/>
          <w:highlight w:val="none"/>
          <w:lang w:val="en-US" w:eastAsia="zh-CN"/>
        </w:rPr>
        <w:t>18</w:t>
      </w:r>
      <w:r>
        <w:rPr>
          <w:rFonts w:ascii="华文仿宋" w:hAnsi="华文仿宋" w:eastAsia="华文仿宋" w:cs="宋体"/>
          <w:sz w:val="32"/>
          <w:szCs w:val="32"/>
          <w:highlight w:val="none"/>
        </w:rPr>
        <w:t>万元，其中：因公出国（境）经费</w:t>
      </w:r>
      <w:r>
        <w:rPr>
          <w:rFonts w:hint="eastAsia" w:ascii="华文仿宋" w:hAnsi="华文仿宋" w:eastAsia="华文仿宋" w:cs="宋体"/>
          <w:sz w:val="32"/>
          <w:szCs w:val="32"/>
          <w:highlight w:val="none"/>
        </w:rPr>
        <w:t>0</w:t>
      </w:r>
      <w:r>
        <w:rPr>
          <w:rFonts w:ascii="华文仿宋" w:hAnsi="华文仿宋" w:eastAsia="华文仿宋" w:cs="宋体"/>
          <w:sz w:val="32"/>
          <w:szCs w:val="32"/>
          <w:highlight w:val="none"/>
        </w:rPr>
        <w:t>万元，公务接待费</w:t>
      </w:r>
      <w:r>
        <w:rPr>
          <w:rFonts w:hint="eastAsia" w:ascii="华文仿宋" w:hAnsi="华文仿宋" w:eastAsia="华文仿宋" w:cs="宋体"/>
          <w:sz w:val="32"/>
          <w:szCs w:val="32"/>
          <w:highlight w:val="none"/>
        </w:rPr>
        <w:t>0.</w:t>
      </w:r>
      <w:r>
        <w:rPr>
          <w:rFonts w:hint="eastAsia" w:ascii="华文仿宋" w:hAnsi="华文仿宋" w:eastAsia="华文仿宋" w:cs="宋体"/>
          <w:sz w:val="32"/>
          <w:szCs w:val="32"/>
          <w:highlight w:val="none"/>
          <w:lang w:val="en-US" w:eastAsia="zh-CN"/>
        </w:rPr>
        <w:t>18</w:t>
      </w:r>
      <w:r>
        <w:rPr>
          <w:rFonts w:ascii="华文仿宋" w:hAnsi="华文仿宋" w:eastAsia="华文仿宋" w:cs="宋体"/>
          <w:sz w:val="32"/>
          <w:szCs w:val="32"/>
          <w:highlight w:val="none"/>
        </w:rPr>
        <w:t>万元，公务用车购置</w:t>
      </w:r>
      <w:r>
        <w:rPr>
          <w:rFonts w:hint="eastAsia" w:ascii="华文仿宋" w:hAnsi="华文仿宋" w:eastAsia="华文仿宋" w:cs="宋体"/>
          <w:sz w:val="32"/>
          <w:szCs w:val="32"/>
          <w:highlight w:val="none"/>
        </w:rPr>
        <w:t>费0元，公务用车</w:t>
      </w:r>
      <w:r>
        <w:rPr>
          <w:rFonts w:ascii="华文仿宋" w:hAnsi="华文仿宋" w:eastAsia="华文仿宋" w:cs="宋体"/>
          <w:sz w:val="32"/>
          <w:szCs w:val="32"/>
          <w:highlight w:val="none"/>
        </w:rPr>
        <w:t>运行维护费</w:t>
      </w:r>
      <w:r>
        <w:rPr>
          <w:rFonts w:hint="eastAsia" w:ascii="华文仿宋" w:hAnsi="华文仿宋" w:eastAsia="华文仿宋" w:cs="宋体"/>
          <w:sz w:val="32"/>
          <w:szCs w:val="32"/>
          <w:highlight w:val="none"/>
        </w:rPr>
        <w:t>33</w:t>
      </w:r>
      <w:r>
        <w:rPr>
          <w:rFonts w:ascii="华文仿宋" w:hAnsi="华文仿宋" w:eastAsia="华文仿宋" w:cs="宋体"/>
          <w:sz w:val="32"/>
          <w:szCs w:val="32"/>
          <w:highlight w:val="none"/>
        </w:rPr>
        <w:t>万元。</w:t>
      </w:r>
    </w:p>
    <w:p w14:paraId="0B89EA7F">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s="宋体"/>
          <w:sz w:val="32"/>
          <w:szCs w:val="32"/>
          <w:highlight w:val="none"/>
        </w:rPr>
      </w:pPr>
      <w:r>
        <w:rPr>
          <w:rFonts w:ascii="华文仿宋" w:hAnsi="华文仿宋" w:eastAsia="华文仿宋" w:cs="宋体"/>
          <w:sz w:val="32"/>
          <w:szCs w:val="32"/>
          <w:highlight w:val="none"/>
        </w:rPr>
        <w:t>（一）</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年因公出国（境）经费</w:t>
      </w:r>
      <w:r>
        <w:rPr>
          <w:rFonts w:hint="eastAsia" w:ascii="华文仿宋" w:hAnsi="华文仿宋" w:eastAsia="华文仿宋" w:cs="宋体"/>
          <w:sz w:val="32"/>
          <w:szCs w:val="32"/>
          <w:highlight w:val="none"/>
        </w:rPr>
        <w:t>0</w:t>
      </w:r>
      <w:r>
        <w:rPr>
          <w:rFonts w:ascii="华文仿宋" w:hAnsi="华文仿宋" w:eastAsia="华文仿宋" w:cs="宋体"/>
          <w:sz w:val="32"/>
          <w:szCs w:val="32"/>
          <w:highlight w:val="none"/>
        </w:rPr>
        <w:t>万元。较</w:t>
      </w:r>
      <w:r>
        <w:rPr>
          <w:rFonts w:hint="eastAsia" w:ascii="华文仿宋" w:hAnsi="华文仿宋" w:eastAsia="华文仿宋" w:cs="宋体"/>
          <w:sz w:val="32"/>
          <w:szCs w:val="32"/>
          <w:highlight w:val="none"/>
          <w:lang w:eastAsia="zh-CN"/>
        </w:rPr>
        <w:t>2025</w:t>
      </w:r>
      <w:r>
        <w:rPr>
          <w:rFonts w:ascii="华文仿宋" w:hAnsi="华文仿宋" w:eastAsia="华文仿宋" w:cs="宋体"/>
          <w:sz w:val="32"/>
          <w:szCs w:val="32"/>
          <w:highlight w:val="none"/>
        </w:rPr>
        <w:t>年预算经费</w:t>
      </w:r>
      <w:r>
        <w:rPr>
          <w:rFonts w:hint="eastAsia" w:ascii="华文仿宋" w:hAnsi="华文仿宋" w:eastAsia="华文仿宋" w:cs="宋体"/>
          <w:sz w:val="32"/>
          <w:szCs w:val="32"/>
          <w:highlight w:val="none"/>
        </w:rPr>
        <w:t>增加0</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w:t>
      </w:r>
    </w:p>
    <w:p w14:paraId="2DB36DAF">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s="宋体"/>
          <w:sz w:val="32"/>
          <w:szCs w:val="32"/>
          <w:highlight w:val="none"/>
        </w:rPr>
      </w:pPr>
      <w:r>
        <w:rPr>
          <w:rFonts w:hint="eastAsia" w:ascii="华文仿宋" w:hAnsi="华文仿宋" w:eastAsia="华文仿宋" w:cs="宋体"/>
          <w:sz w:val="32"/>
          <w:szCs w:val="32"/>
          <w:highlight w:val="none"/>
        </w:rPr>
        <w:t>（二）</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年公务接待费</w:t>
      </w:r>
      <w:r>
        <w:rPr>
          <w:rFonts w:hint="eastAsia" w:ascii="华文仿宋" w:hAnsi="华文仿宋" w:eastAsia="华文仿宋" w:cs="宋体"/>
          <w:sz w:val="32"/>
          <w:szCs w:val="32"/>
          <w:highlight w:val="none"/>
        </w:rPr>
        <w:t>0.</w:t>
      </w:r>
      <w:r>
        <w:rPr>
          <w:rFonts w:hint="eastAsia" w:ascii="华文仿宋" w:hAnsi="华文仿宋" w:eastAsia="华文仿宋" w:cs="宋体"/>
          <w:sz w:val="32"/>
          <w:szCs w:val="32"/>
          <w:highlight w:val="none"/>
          <w:lang w:val="en-US" w:eastAsia="zh-CN"/>
        </w:rPr>
        <w:t>18</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w:t>
      </w:r>
      <w:r>
        <w:rPr>
          <w:rFonts w:ascii="华文仿宋" w:hAnsi="华文仿宋" w:eastAsia="华文仿宋" w:cs="宋体"/>
          <w:sz w:val="32"/>
          <w:szCs w:val="32"/>
          <w:highlight w:val="none"/>
        </w:rPr>
        <w:t>较</w:t>
      </w:r>
      <w:r>
        <w:rPr>
          <w:rFonts w:hint="eastAsia" w:ascii="华文仿宋" w:hAnsi="华文仿宋" w:eastAsia="华文仿宋" w:cs="宋体"/>
          <w:sz w:val="32"/>
          <w:szCs w:val="32"/>
          <w:highlight w:val="none"/>
          <w:lang w:eastAsia="zh-CN"/>
        </w:rPr>
        <w:t>2025</w:t>
      </w:r>
      <w:r>
        <w:rPr>
          <w:rFonts w:ascii="华文仿宋" w:hAnsi="华文仿宋" w:eastAsia="华文仿宋" w:cs="宋体"/>
          <w:sz w:val="32"/>
          <w:szCs w:val="32"/>
          <w:highlight w:val="none"/>
        </w:rPr>
        <w:t>年预算经费</w:t>
      </w:r>
      <w:r>
        <w:rPr>
          <w:rFonts w:hint="eastAsia" w:ascii="华文仿宋" w:hAnsi="华文仿宋" w:eastAsia="华文仿宋" w:cs="宋体"/>
          <w:sz w:val="32"/>
          <w:szCs w:val="32"/>
          <w:highlight w:val="none"/>
          <w:lang w:eastAsia="zh-CN"/>
        </w:rPr>
        <w:t>减少</w:t>
      </w:r>
      <w:r>
        <w:rPr>
          <w:rFonts w:hint="eastAsia" w:ascii="华文仿宋" w:hAnsi="华文仿宋" w:eastAsia="华文仿宋" w:cs="宋体"/>
          <w:sz w:val="32"/>
          <w:szCs w:val="32"/>
          <w:highlight w:val="none"/>
          <w:lang w:val="en-US" w:eastAsia="zh-CN"/>
        </w:rPr>
        <w:t>0.18</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，原因是上级督查</w:t>
      </w:r>
      <w:r>
        <w:rPr>
          <w:rFonts w:hint="eastAsia" w:ascii="华文仿宋" w:hAnsi="华文仿宋" w:eastAsia="华文仿宋" w:cs="宋体"/>
          <w:sz w:val="32"/>
          <w:szCs w:val="32"/>
          <w:highlight w:val="none"/>
          <w:lang w:val="en-US" w:eastAsia="zh-CN"/>
        </w:rPr>
        <w:t>减少</w:t>
      </w:r>
      <w:r>
        <w:rPr>
          <w:rFonts w:hint="eastAsia" w:ascii="华文仿宋" w:hAnsi="华文仿宋" w:eastAsia="华文仿宋" w:cs="宋体"/>
          <w:sz w:val="32"/>
          <w:szCs w:val="32"/>
          <w:highlight w:val="none"/>
        </w:rPr>
        <w:t>。</w:t>
      </w:r>
    </w:p>
    <w:p w14:paraId="5C24AA55">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s="宋体"/>
          <w:sz w:val="32"/>
          <w:szCs w:val="32"/>
          <w:highlight w:val="none"/>
        </w:rPr>
      </w:pPr>
      <w:r>
        <w:rPr>
          <w:rFonts w:ascii="华文仿宋" w:hAnsi="华文仿宋" w:eastAsia="华文仿宋" w:cs="宋体"/>
          <w:sz w:val="32"/>
          <w:szCs w:val="32"/>
          <w:highlight w:val="none"/>
        </w:rPr>
        <w:t>（</w:t>
      </w:r>
      <w:r>
        <w:rPr>
          <w:rFonts w:hint="eastAsia" w:ascii="华文仿宋" w:hAnsi="华文仿宋" w:eastAsia="华文仿宋" w:cs="宋体"/>
          <w:sz w:val="32"/>
          <w:szCs w:val="32"/>
          <w:highlight w:val="none"/>
        </w:rPr>
        <w:t>三</w:t>
      </w:r>
      <w:r>
        <w:rPr>
          <w:rFonts w:ascii="华文仿宋" w:hAnsi="华文仿宋" w:eastAsia="华文仿宋" w:cs="宋体"/>
          <w:sz w:val="32"/>
          <w:szCs w:val="32"/>
          <w:highlight w:val="none"/>
        </w:rPr>
        <w:t>）</w:t>
      </w:r>
      <w:r>
        <w:rPr>
          <w:rFonts w:hint="eastAsia" w:ascii="华文仿宋" w:hAnsi="华文仿宋" w:eastAsia="华文仿宋" w:cs="宋体"/>
          <w:sz w:val="32"/>
          <w:szCs w:val="32"/>
          <w:highlight w:val="none"/>
          <w:lang w:eastAsia="zh-CN"/>
        </w:rPr>
        <w:t>2026</w:t>
      </w:r>
      <w:r>
        <w:rPr>
          <w:rFonts w:ascii="华文仿宋" w:hAnsi="华文仿宋" w:eastAsia="华文仿宋" w:cs="宋体"/>
          <w:sz w:val="32"/>
          <w:szCs w:val="32"/>
          <w:highlight w:val="none"/>
        </w:rPr>
        <w:t>年公务用车购置</w:t>
      </w:r>
      <w:r>
        <w:rPr>
          <w:rFonts w:hint="eastAsia" w:ascii="华文仿宋" w:hAnsi="华文仿宋" w:eastAsia="华文仿宋" w:cs="宋体"/>
          <w:sz w:val="32"/>
          <w:szCs w:val="32"/>
          <w:highlight w:val="none"/>
        </w:rPr>
        <w:t>费0元，</w:t>
      </w:r>
      <w:r>
        <w:rPr>
          <w:rFonts w:ascii="华文仿宋" w:hAnsi="华文仿宋" w:eastAsia="华文仿宋" w:cs="宋体"/>
          <w:sz w:val="32"/>
          <w:szCs w:val="32"/>
          <w:highlight w:val="none"/>
        </w:rPr>
        <w:t>较</w:t>
      </w:r>
      <w:r>
        <w:rPr>
          <w:rFonts w:hint="eastAsia" w:ascii="华文仿宋" w:hAnsi="华文仿宋" w:eastAsia="华文仿宋" w:cs="宋体"/>
          <w:sz w:val="32"/>
          <w:szCs w:val="32"/>
          <w:highlight w:val="none"/>
          <w:lang w:eastAsia="zh-CN"/>
        </w:rPr>
        <w:t>2025</w:t>
      </w:r>
      <w:r>
        <w:rPr>
          <w:rFonts w:ascii="华文仿宋" w:hAnsi="华文仿宋" w:eastAsia="华文仿宋" w:cs="宋体"/>
          <w:sz w:val="32"/>
          <w:szCs w:val="32"/>
          <w:highlight w:val="none"/>
        </w:rPr>
        <w:t>年预算经费</w:t>
      </w:r>
      <w:r>
        <w:rPr>
          <w:rFonts w:hint="eastAsia" w:ascii="华文仿宋" w:hAnsi="华文仿宋" w:eastAsia="华文仿宋" w:cs="宋体"/>
          <w:sz w:val="32"/>
          <w:szCs w:val="32"/>
          <w:highlight w:val="none"/>
        </w:rPr>
        <w:t>增加0</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。公务用车</w:t>
      </w:r>
      <w:r>
        <w:rPr>
          <w:rFonts w:ascii="华文仿宋" w:hAnsi="华文仿宋" w:eastAsia="华文仿宋" w:cs="宋体"/>
          <w:sz w:val="32"/>
          <w:szCs w:val="32"/>
          <w:highlight w:val="none"/>
        </w:rPr>
        <w:t>运行维护费</w:t>
      </w:r>
      <w:r>
        <w:rPr>
          <w:rFonts w:hint="eastAsia" w:ascii="华文仿宋" w:hAnsi="华文仿宋" w:eastAsia="华文仿宋" w:cs="宋体"/>
          <w:sz w:val="32"/>
          <w:szCs w:val="32"/>
          <w:highlight w:val="none"/>
        </w:rPr>
        <w:t>33</w:t>
      </w:r>
      <w:r>
        <w:rPr>
          <w:rFonts w:ascii="华文仿宋" w:hAnsi="华文仿宋" w:eastAsia="华文仿宋" w:cs="宋体"/>
          <w:sz w:val="32"/>
          <w:szCs w:val="32"/>
          <w:highlight w:val="none"/>
        </w:rPr>
        <w:t>万元</w:t>
      </w:r>
      <w:r>
        <w:rPr>
          <w:rFonts w:hint="eastAsia" w:ascii="华文仿宋" w:hAnsi="华文仿宋" w:eastAsia="华文仿宋" w:cs="宋体"/>
          <w:sz w:val="32"/>
          <w:szCs w:val="32"/>
          <w:highlight w:val="none"/>
        </w:rPr>
        <w:t>，</w:t>
      </w:r>
      <w:r>
        <w:rPr>
          <w:rFonts w:ascii="华文仿宋" w:hAnsi="华文仿宋" w:eastAsia="华文仿宋" w:cs="宋体"/>
          <w:sz w:val="32"/>
          <w:szCs w:val="32"/>
          <w:highlight w:val="none"/>
        </w:rPr>
        <w:t>较</w:t>
      </w:r>
      <w:r>
        <w:rPr>
          <w:rFonts w:hint="eastAsia" w:ascii="华文仿宋" w:hAnsi="华文仿宋" w:eastAsia="华文仿宋" w:cs="宋体"/>
          <w:sz w:val="32"/>
          <w:szCs w:val="32"/>
          <w:highlight w:val="none"/>
          <w:lang w:eastAsia="zh-CN"/>
        </w:rPr>
        <w:t>2025</w:t>
      </w:r>
      <w:r>
        <w:rPr>
          <w:rFonts w:ascii="华文仿宋" w:hAnsi="华文仿宋" w:eastAsia="华文仿宋" w:cs="宋体"/>
          <w:sz w:val="32"/>
          <w:szCs w:val="32"/>
          <w:highlight w:val="none"/>
        </w:rPr>
        <w:t>年预算经费</w:t>
      </w:r>
      <w:r>
        <w:rPr>
          <w:rFonts w:hint="eastAsia" w:ascii="华文仿宋" w:hAnsi="华文仿宋" w:eastAsia="华文仿宋" w:cs="宋体"/>
          <w:sz w:val="32"/>
          <w:szCs w:val="32"/>
          <w:highlight w:val="none"/>
          <w:lang w:val="en-US" w:eastAsia="zh-CN"/>
        </w:rPr>
        <w:t>持平</w:t>
      </w:r>
      <w:r>
        <w:rPr>
          <w:rFonts w:hint="eastAsia" w:ascii="华文仿宋" w:hAnsi="华文仿宋" w:eastAsia="华文仿宋" w:cs="宋体"/>
          <w:sz w:val="32"/>
          <w:szCs w:val="32"/>
          <w:highlight w:val="none"/>
          <w:lang w:eastAsia="zh-CN"/>
        </w:rPr>
        <w:t>。</w:t>
      </w:r>
    </w:p>
    <w:p w14:paraId="1EA12711">
      <w:pPr>
        <w:pBdr>
          <w:bottom w:val="single" w:color="FFFFFF" w:sz="4" w:space="28"/>
        </w:pBdr>
        <w:tabs>
          <w:tab w:val="left" w:pos="1440"/>
          <w:tab w:val="center" w:pos="4153"/>
          <w:tab w:val="right" w:pos="8306"/>
        </w:tabs>
        <w:spacing w:line="576" w:lineRule="exact"/>
        <w:ind w:firstLine="643" w:firstLineChars="200"/>
        <w:jc w:val="left"/>
        <w:rPr>
          <w:rFonts w:ascii="黑体" w:hAnsi="黑体" w:eastAsia="黑体" w:cs="宋体"/>
          <w:b/>
          <w:bCs/>
          <w:sz w:val="32"/>
          <w:szCs w:val="32"/>
          <w:highlight w:val="none"/>
        </w:rPr>
      </w:pPr>
      <w:r>
        <w:rPr>
          <w:rFonts w:hint="eastAsia" w:ascii="黑体" w:hAnsi="黑体" w:eastAsia="黑体" w:cs="宋体"/>
          <w:b/>
          <w:bCs/>
          <w:sz w:val="32"/>
          <w:szCs w:val="32"/>
          <w:highlight w:val="none"/>
        </w:rPr>
        <w:t>八、</w:t>
      </w:r>
      <w:r>
        <w:rPr>
          <w:rFonts w:ascii="黑体" w:hAnsi="黑体" w:eastAsia="黑体" w:cs="宋体"/>
          <w:b/>
          <w:bCs/>
          <w:sz w:val="32"/>
          <w:szCs w:val="32"/>
          <w:highlight w:val="none"/>
        </w:rPr>
        <w:t>政府性基金预算支出情况说明</w:t>
      </w:r>
    </w:p>
    <w:p w14:paraId="22028B41">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s="宋体"/>
          <w:sz w:val="32"/>
          <w:szCs w:val="32"/>
          <w:highlight w:val="none"/>
        </w:rPr>
      </w:pPr>
      <w:r>
        <w:rPr>
          <w:rFonts w:hint="eastAsia" w:ascii="华文仿宋" w:hAnsi="华文仿宋" w:eastAsia="华文仿宋" w:cs="宋体"/>
          <w:sz w:val="32"/>
          <w:szCs w:val="32"/>
          <w:highlight w:val="none"/>
        </w:rPr>
        <w:t>汶川县文化广播电视体育和旅游局单位</w:t>
      </w:r>
      <w:r>
        <w:rPr>
          <w:rFonts w:hint="eastAsia" w:ascii="华文仿宋" w:hAnsi="华文仿宋" w:eastAsia="华文仿宋" w:cs="宋体"/>
          <w:sz w:val="32"/>
          <w:szCs w:val="32"/>
          <w:highlight w:val="none"/>
          <w:lang w:eastAsia="zh-CN"/>
        </w:rPr>
        <w:t>2026年</w:t>
      </w:r>
      <w:r>
        <w:rPr>
          <w:rFonts w:ascii="华文仿宋" w:hAnsi="华文仿宋" w:eastAsia="华文仿宋" w:cs="宋体"/>
          <w:sz w:val="32"/>
          <w:szCs w:val="32"/>
          <w:highlight w:val="none"/>
        </w:rPr>
        <w:t>政府性基金预算拨款安排的支出</w:t>
      </w:r>
      <w:r>
        <w:rPr>
          <w:rFonts w:hint="eastAsia" w:ascii="华文仿宋" w:hAnsi="华文仿宋" w:eastAsia="华文仿宋" w:cs="宋体"/>
          <w:sz w:val="32"/>
          <w:szCs w:val="32"/>
          <w:highlight w:val="none"/>
        </w:rPr>
        <w:t>194.14</w:t>
      </w:r>
      <w:r>
        <w:rPr>
          <w:rFonts w:ascii="华文仿宋" w:hAnsi="华文仿宋" w:eastAsia="华文仿宋" w:cs="宋体"/>
          <w:sz w:val="32"/>
          <w:szCs w:val="32"/>
          <w:highlight w:val="none"/>
        </w:rPr>
        <w:t>万元。</w:t>
      </w:r>
    </w:p>
    <w:p w14:paraId="0C8216FC">
      <w:pPr>
        <w:numPr>
          <w:ilvl w:val="0"/>
          <w:numId w:val="5"/>
        </w:numPr>
        <w:pBdr>
          <w:bottom w:val="single" w:color="FFFFFF" w:sz="4" w:space="28"/>
        </w:pBdr>
        <w:tabs>
          <w:tab w:val="left" w:pos="1440"/>
          <w:tab w:val="center" w:pos="4153"/>
          <w:tab w:val="right" w:pos="8306"/>
        </w:tabs>
        <w:spacing w:line="576" w:lineRule="exact"/>
        <w:ind w:firstLine="643" w:firstLineChars="200"/>
        <w:jc w:val="left"/>
        <w:rPr>
          <w:rFonts w:ascii="黑体" w:hAnsi="黑体" w:eastAsia="黑体" w:cs="宋体"/>
          <w:b/>
          <w:bCs/>
          <w:sz w:val="32"/>
          <w:szCs w:val="32"/>
          <w:highlight w:val="none"/>
        </w:rPr>
      </w:pPr>
      <w:r>
        <w:rPr>
          <w:rFonts w:ascii="黑体" w:hAnsi="黑体" w:eastAsia="黑体" w:cs="宋体"/>
          <w:b/>
          <w:bCs/>
          <w:sz w:val="32"/>
          <w:szCs w:val="32"/>
          <w:highlight w:val="none"/>
        </w:rPr>
        <w:t>其他重要事项的情况说明</w:t>
      </w:r>
    </w:p>
    <w:p w14:paraId="444AD787">
      <w:pPr>
        <w:numPr>
          <w:ilvl w:val="0"/>
          <w:numId w:val="6"/>
        </w:numPr>
        <w:pBdr>
          <w:bottom w:val="single" w:color="FFFFFF" w:sz="4" w:space="28"/>
        </w:pBdr>
        <w:tabs>
          <w:tab w:val="left" w:pos="1440"/>
          <w:tab w:val="center" w:pos="4153"/>
          <w:tab w:val="right" w:pos="8306"/>
        </w:tabs>
        <w:spacing w:line="576" w:lineRule="exact"/>
        <w:ind w:left="0" w:leftChars="0" w:firstLine="420" w:firstLineChars="0"/>
        <w:jc w:val="left"/>
        <w:rPr>
          <w:rFonts w:hint="eastAsia" w:ascii="华文仿宋" w:hAnsi="华文仿宋" w:eastAsia="华文仿宋" w:cs="Tahoma"/>
          <w:sz w:val="32"/>
          <w:szCs w:val="32"/>
          <w:lang w:eastAsia="zh-CN"/>
        </w:rPr>
      </w:pPr>
      <w:r>
        <w:rPr>
          <w:rFonts w:ascii="华文仿宋" w:hAnsi="华文仿宋" w:eastAsia="华文仿宋" w:cs="宋体"/>
          <w:b/>
          <w:bCs/>
          <w:sz w:val="32"/>
          <w:szCs w:val="32"/>
        </w:rPr>
        <w:t>机关运行经费</w:t>
      </w:r>
      <w:r>
        <w:rPr>
          <w:rFonts w:ascii="华文仿宋" w:hAnsi="华文仿宋" w:eastAsia="华文仿宋" w:cs="宋体"/>
          <w:b/>
          <w:bCs/>
          <w:sz w:val="32"/>
          <w:szCs w:val="32"/>
        </w:rPr>
        <w:br w:type="textWrapping"/>
      </w:r>
      <w:r>
        <w:rPr>
          <w:rFonts w:ascii="华文仿宋" w:hAnsi="华文仿宋" w:eastAsia="华文仿宋" w:cs="宋体"/>
          <w:sz w:val="32"/>
          <w:szCs w:val="32"/>
        </w:rPr>
        <w:t>　　</w:t>
      </w:r>
      <w:r>
        <w:rPr>
          <w:rFonts w:hint="eastAsia" w:ascii="华文仿宋" w:hAnsi="华文仿宋" w:eastAsia="华文仿宋" w:cs="宋体"/>
          <w:sz w:val="32"/>
          <w:szCs w:val="32"/>
        </w:rPr>
        <w:t>汶川县文化广播电视体育和旅游局</w:t>
      </w:r>
      <w:r>
        <w:rPr>
          <w:rFonts w:hint="eastAsia" w:ascii="华文仿宋" w:hAnsi="华文仿宋" w:eastAsia="华文仿宋" w:cs="Tahoma"/>
          <w:sz w:val="32"/>
          <w:szCs w:val="32"/>
        </w:rPr>
        <w:t>202</w:t>
      </w:r>
      <w:r>
        <w:rPr>
          <w:rFonts w:hint="eastAsia" w:ascii="华文仿宋" w:hAnsi="华文仿宋" w:eastAsia="华文仿宋" w:cs="Tahoma"/>
          <w:sz w:val="32"/>
          <w:szCs w:val="32"/>
          <w:lang w:val="en-US" w:eastAsia="zh-CN"/>
        </w:rPr>
        <w:t>6</w:t>
      </w:r>
      <w:r>
        <w:rPr>
          <w:rFonts w:hint="eastAsia" w:ascii="华文仿宋" w:hAnsi="华文仿宋" w:eastAsia="华文仿宋" w:cs="Tahoma"/>
          <w:sz w:val="32"/>
          <w:szCs w:val="32"/>
        </w:rPr>
        <w:t>年预算安排机关运行经费31.91万元</w:t>
      </w:r>
      <w:r>
        <w:rPr>
          <w:rFonts w:hint="eastAsia" w:ascii="华文仿宋" w:hAnsi="华文仿宋" w:eastAsia="华文仿宋" w:cs="Tahoma"/>
          <w:sz w:val="32"/>
          <w:szCs w:val="32"/>
          <w:lang w:eastAsia="zh-CN"/>
        </w:rPr>
        <w:t>。</w:t>
      </w:r>
    </w:p>
    <w:p w14:paraId="244B991D">
      <w:pPr>
        <w:numPr>
          <w:ilvl w:val="0"/>
          <w:numId w:val="6"/>
        </w:numPr>
        <w:pBdr>
          <w:bottom w:val="single" w:color="FFFFFF" w:sz="4" w:space="28"/>
        </w:pBdr>
        <w:tabs>
          <w:tab w:val="left" w:pos="1440"/>
          <w:tab w:val="center" w:pos="4153"/>
          <w:tab w:val="right" w:pos="8306"/>
        </w:tabs>
        <w:spacing w:line="576" w:lineRule="exact"/>
        <w:ind w:left="0" w:leftChars="0" w:firstLine="420" w:firstLineChars="0"/>
        <w:jc w:val="left"/>
        <w:rPr>
          <w:rFonts w:hint="eastAsia" w:ascii="仿宋_GB2312" w:eastAsia="仿宋_GB2312"/>
          <w:b/>
          <w:bCs/>
          <w:sz w:val="32"/>
          <w:szCs w:val="32"/>
        </w:rPr>
      </w:pPr>
      <w:bookmarkStart w:id="0" w:name="_GoBack"/>
      <w:r>
        <w:rPr>
          <w:rFonts w:hint="eastAsia" w:ascii="仿宋_GB2312" w:eastAsia="仿宋_GB2312"/>
          <w:b/>
          <w:bCs/>
          <w:sz w:val="32"/>
          <w:szCs w:val="32"/>
        </w:rPr>
        <w:t>政府采购情况</w:t>
      </w:r>
    </w:p>
    <w:p w14:paraId="3AEDE6C0">
      <w:pPr>
        <w:numPr>
          <w:numId w:val="0"/>
        </w:numPr>
        <w:pBdr>
          <w:bottom w:val="single" w:color="FFFFFF" w:sz="4" w:space="28"/>
        </w:pBdr>
        <w:tabs>
          <w:tab w:val="left" w:pos="1440"/>
          <w:tab w:val="center" w:pos="4153"/>
          <w:tab w:val="right" w:pos="8306"/>
        </w:tabs>
        <w:spacing w:line="576" w:lineRule="exact"/>
        <w:ind w:firstLine="640" w:firstLineChars="200"/>
        <w:jc w:val="left"/>
        <w:rPr>
          <w:rFonts w:hint="eastAsia" w:ascii="仿宋_GB2312" w:eastAsia="仿宋_GB2312"/>
          <w:sz w:val="32"/>
          <w:szCs w:val="32"/>
        </w:rPr>
      </w:pPr>
      <w:r>
        <w:rPr>
          <w:rFonts w:hint="eastAsia" w:ascii="仿宋_GB2312" w:eastAsia="仿宋_GB2312"/>
          <w:sz w:val="32"/>
          <w:szCs w:val="32"/>
        </w:rPr>
        <w:t>汶川县</w:t>
      </w:r>
      <w:r>
        <w:rPr>
          <w:rFonts w:hint="eastAsia" w:ascii="华文仿宋" w:hAnsi="华文仿宋" w:eastAsia="华文仿宋" w:cs="宋体"/>
          <w:sz w:val="32"/>
          <w:szCs w:val="32"/>
        </w:rPr>
        <w:t>文化广播电视体育和旅游局</w:t>
      </w:r>
      <w:r>
        <w:rPr>
          <w:rFonts w:hint="eastAsia" w:ascii="仿宋_GB2312" w:eastAsia="仿宋_GB2312"/>
          <w:sz w:val="32"/>
          <w:szCs w:val="32"/>
        </w:rPr>
        <w:t>2026年未安排政府采购预算。</w:t>
      </w:r>
    </w:p>
    <w:bookmarkEnd w:id="0"/>
    <w:p w14:paraId="733EE7C5">
      <w:pPr>
        <w:numPr>
          <w:ilvl w:val="0"/>
          <w:numId w:val="6"/>
        </w:numPr>
        <w:pBdr>
          <w:bottom w:val="single" w:color="FFFFFF" w:sz="4" w:space="28"/>
        </w:pBdr>
        <w:tabs>
          <w:tab w:val="left" w:pos="1440"/>
          <w:tab w:val="center" w:pos="4153"/>
          <w:tab w:val="right" w:pos="8306"/>
        </w:tabs>
        <w:spacing w:line="576" w:lineRule="exact"/>
        <w:ind w:left="0" w:leftChars="0" w:firstLine="420" w:firstLineChars="0"/>
        <w:jc w:val="left"/>
        <w:rPr>
          <w:rFonts w:ascii="华文仿宋" w:hAnsi="华文仿宋" w:eastAsia="华文仿宋" w:cs="宋体"/>
          <w:b/>
          <w:bCs/>
          <w:sz w:val="32"/>
          <w:szCs w:val="32"/>
          <w:highlight w:val="none"/>
        </w:rPr>
      </w:pPr>
      <w:r>
        <w:rPr>
          <w:rFonts w:ascii="华文仿宋" w:hAnsi="华文仿宋" w:eastAsia="华文仿宋" w:cs="宋体"/>
          <w:b/>
          <w:bCs/>
          <w:sz w:val="32"/>
          <w:szCs w:val="32"/>
          <w:highlight w:val="none"/>
        </w:rPr>
        <w:t>国有资产占有使用情况</w:t>
      </w:r>
    </w:p>
    <w:p w14:paraId="6696DCC4">
      <w:pPr>
        <w:numPr>
          <w:numId w:val="0"/>
        </w:numPr>
        <w:pBdr>
          <w:bottom w:val="single" w:color="FFFFFF" w:sz="4" w:space="28"/>
        </w:pBdr>
        <w:tabs>
          <w:tab w:val="left" w:pos="1440"/>
          <w:tab w:val="center" w:pos="4153"/>
          <w:tab w:val="right" w:pos="8306"/>
        </w:tabs>
        <w:spacing w:line="576" w:lineRule="exact"/>
        <w:ind w:firstLine="640" w:firstLineChars="200"/>
        <w:jc w:val="left"/>
        <w:rPr>
          <w:rFonts w:hint="eastAsia" w:ascii="华文仿宋" w:hAnsi="华文仿宋" w:eastAsia="华文仿宋" w:cs="宋体"/>
          <w:sz w:val="32"/>
          <w:szCs w:val="32"/>
          <w:highlight w:val="none"/>
        </w:rPr>
      </w:pPr>
      <w:r>
        <w:rPr>
          <w:rFonts w:hint="eastAsia" w:ascii="华文仿宋" w:hAnsi="华文仿宋" w:eastAsia="华文仿宋" w:cs="宋体"/>
          <w:sz w:val="32"/>
          <w:szCs w:val="32"/>
          <w:highlight w:val="none"/>
          <w:lang w:eastAsia="zh-CN"/>
        </w:rPr>
        <w:t>2026</w:t>
      </w:r>
      <w:r>
        <w:rPr>
          <w:rFonts w:hint="eastAsia" w:ascii="华文仿宋" w:hAnsi="华文仿宋" w:eastAsia="华文仿宋" w:cs="宋体"/>
          <w:sz w:val="32"/>
          <w:szCs w:val="32"/>
          <w:highlight w:val="none"/>
        </w:rPr>
        <w:t>年</w:t>
      </w:r>
      <w:r>
        <w:rPr>
          <w:rFonts w:hint="eastAsia" w:ascii="仿宋_GB2312" w:hAnsi="宋体" w:eastAsia="仿宋_GB2312" w:cs="宋体"/>
          <w:bCs/>
          <w:kern w:val="0"/>
          <w:sz w:val="32"/>
          <w:szCs w:val="32"/>
          <w:highlight w:val="none"/>
        </w:rPr>
        <w:t>汶川县文化广播电视体育和旅游局（本级）</w:t>
      </w:r>
      <w:r>
        <w:rPr>
          <w:rFonts w:hint="eastAsia" w:ascii="华文仿宋" w:hAnsi="华文仿宋" w:eastAsia="华文仿宋" w:cs="宋体"/>
          <w:sz w:val="32"/>
          <w:szCs w:val="32"/>
          <w:highlight w:val="none"/>
        </w:rPr>
        <w:t>固定资产总额9615</w:t>
      </w:r>
      <w:r>
        <w:rPr>
          <w:rFonts w:hint="eastAsia" w:ascii="华文仿宋" w:hAnsi="华文仿宋" w:eastAsia="华文仿宋" w:cs="宋体"/>
          <w:sz w:val="32"/>
          <w:szCs w:val="32"/>
          <w:highlight w:val="none"/>
          <w:lang w:val="en-US" w:eastAsia="zh-CN"/>
        </w:rPr>
        <w:t>.3</w:t>
      </w:r>
      <w:r>
        <w:rPr>
          <w:rFonts w:hint="eastAsia" w:ascii="华文仿宋" w:hAnsi="华文仿宋" w:eastAsia="华文仿宋" w:cs="宋体"/>
          <w:sz w:val="32"/>
          <w:szCs w:val="32"/>
          <w:highlight w:val="none"/>
        </w:rPr>
        <w:t>万元。</w:t>
      </w:r>
    </w:p>
    <w:p w14:paraId="49F69A70">
      <w:pPr>
        <w:numPr>
          <w:ilvl w:val="0"/>
          <w:numId w:val="6"/>
        </w:numPr>
        <w:pBdr>
          <w:bottom w:val="single" w:color="FFFFFF" w:sz="4" w:space="28"/>
        </w:pBdr>
        <w:tabs>
          <w:tab w:val="left" w:pos="1440"/>
          <w:tab w:val="center" w:pos="4153"/>
          <w:tab w:val="right" w:pos="8306"/>
        </w:tabs>
        <w:spacing w:line="576" w:lineRule="exact"/>
        <w:ind w:left="0" w:leftChars="0" w:firstLine="420" w:firstLineChars="0"/>
        <w:jc w:val="left"/>
        <w:rPr>
          <w:rFonts w:ascii="华文仿宋" w:hAnsi="华文仿宋" w:eastAsia="华文仿宋" w:cs="宋体"/>
          <w:sz w:val="32"/>
          <w:szCs w:val="32"/>
          <w:highlight w:val="none"/>
        </w:rPr>
      </w:pPr>
      <w:r>
        <w:rPr>
          <w:rFonts w:ascii="华文仿宋" w:hAnsi="华文仿宋" w:eastAsia="华文仿宋" w:cs="宋体"/>
          <w:b/>
          <w:bCs/>
          <w:sz w:val="32"/>
          <w:szCs w:val="32"/>
          <w:highlight w:val="none"/>
        </w:rPr>
        <w:t>绩效目标设置情况</w:t>
      </w:r>
      <w:r>
        <w:rPr>
          <w:rFonts w:ascii="华文仿宋" w:hAnsi="华文仿宋" w:eastAsia="华文仿宋" w:cs="宋体"/>
          <w:sz w:val="32"/>
          <w:szCs w:val="32"/>
          <w:highlight w:val="none"/>
        </w:rPr>
        <w:br w:type="textWrapping"/>
      </w:r>
      <w:r>
        <w:rPr>
          <w:rFonts w:hint="eastAsia" w:ascii="华文仿宋" w:hAnsi="华文仿宋" w:eastAsia="华文仿宋" w:cs="宋体"/>
          <w:sz w:val="32"/>
          <w:szCs w:val="32"/>
          <w:highlight w:val="none"/>
          <w:lang w:val="en-US" w:eastAsia="zh-CN"/>
        </w:rPr>
        <w:t xml:space="preserve">    </w:t>
      </w:r>
      <w:r>
        <w:rPr>
          <w:rFonts w:hint="eastAsia" w:ascii="华文仿宋" w:hAnsi="华文仿宋" w:eastAsia="华文仿宋" w:cs="宋体"/>
          <w:sz w:val="32"/>
          <w:szCs w:val="32"/>
          <w:highlight w:val="none"/>
        </w:rPr>
        <w:t>2026年度文化广播电视体育和旅游局部门整体预算申报资金共1238.61万元，其中一般公共预算拨款收入1044.47万元，上年结转资金194.14万元，主要用于聚焦“休闲度假产业链”“户外运动产业链”，培育民宿集群、文创产业和保障机构正常运转等支出，均按绩效管理要求设置目标。</w:t>
      </w:r>
    </w:p>
    <w:p w14:paraId="70D302DF">
      <w:pPr>
        <w:pStyle w:val="15"/>
        <w:pBdr>
          <w:bottom w:val="single" w:color="FFFFFF" w:sz="4" w:space="28"/>
        </w:pBdr>
        <w:tabs>
          <w:tab w:val="left" w:pos="1440"/>
          <w:tab w:val="center" w:pos="4153"/>
          <w:tab w:val="right" w:pos="8306"/>
        </w:tabs>
        <w:spacing w:line="576" w:lineRule="exact"/>
        <w:ind w:firstLine="640"/>
        <w:jc w:val="left"/>
        <w:rPr>
          <w:highlight w:val="none"/>
        </w:rPr>
      </w:pPr>
      <w:r>
        <w:rPr>
          <w:rFonts w:hint="eastAsia" w:ascii="华文仿宋" w:hAnsi="华文仿宋" w:eastAsia="华文仿宋" w:cs="宋体"/>
          <w:sz w:val="32"/>
          <w:szCs w:val="32"/>
          <w:highlight w:val="none"/>
          <w:lang w:eastAsia="zh-CN"/>
        </w:rPr>
        <w:t>2026</w:t>
      </w:r>
      <w:r>
        <w:rPr>
          <w:rFonts w:hint="eastAsia" w:ascii="华文仿宋" w:hAnsi="华文仿宋" w:eastAsia="华文仿宋" w:cs="宋体"/>
          <w:sz w:val="32"/>
          <w:szCs w:val="32"/>
          <w:highlight w:val="none"/>
        </w:rPr>
        <w:t>年度文化广播电视体育和旅游局</w:t>
      </w:r>
      <w:r>
        <w:rPr>
          <w:rFonts w:hint="eastAsia" w:ascii="华文仿宋" w:hAnsi="华文仿宋" w:eastAsia="华文仿宋" w:cs="宋体"/>
          <w:sz w:val="32"/>
          <w:szCs w:val="32"/>
          <w:highlight w:val="none"/>
          <w:lang w:eastAsia="zh-CN"/>
        </w:rPr>
        <w:t>2026</w:t>
      </w:r>
      <w:r>
        <w:rPr>
          <w:rFonts w:hint="eastAsia" w:ascii="华文仿宋" w:hAnsi="华文仿宋" w:eastAsia="华文仿宋" w:cs="宋体"/>
          <w:sz w:val="32"/>
          <w:szCs w:val="32"/>
          <w:highlight w:val="none"/>
        </w:rPr>
        <w:t>年共申报特定目标类项目1</w:t>
      </w:r>
      <w:r>
        <w:rPr>
          <w:rFonts w:hint="eastAsia" w:ascii="华文仿宋" w:hAnsi="华文仿宋" w:eastAsia="华文仿宋" w:cs="宋体"/>
          <w:sz w:val="32"/>
          <w:szCs w:val="32"/>
          <w:highlight w:val="none"/>
          <w:lang w:val="en-US" w:eastAsia="zh-CN"/>
        </w:rPr>
        <w:t>2</w:t>
      </w:r>
      <w:r>
        <w:rPr>
          <w:rFonts w:hint="eastAsia" w:ascii="华文仿宋" w:hAnsi="华文仿宋" w:eastAsia="华文仿宋" w:cs="宋体"/>
          <w:sz w:val="32"/>
          <w:szCs w:val="32"/>
          <w:highlight w:val="none"/>
        </w:rPr>
        <w:t>个，涉及资金355.48万元，主要用于文化和旅游支出、体育竞赛、文物保护、文化创作与保护等，均按绩效管理要求设置目标。</w:t>
      </w:r>
    </w:p>
    <w:p w14:paraId="197583C5">
      <w:pPr>
        <w:pStyle w:val="15"/>
        <w:numPr>
          <w:numId w:val="0"/>
        </w:num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sz w:val="32"/>
          <w:szCs w:val="32"/>
          <w:highlight w:val="none"/>
        </w:rPr>
      </w:pPr>
      <w:r>
        <w:rPr>
          <w:rFonts w:hint="eastAsia" w:ascii="黑体" w:hAnsi="黑体" w:eastAsia="黑体" w:cs="宋体"/>
          <w:b/>
          <w:bCs/>
          <w:sz w:val="32"/>
          <w:szCs w:val="32"/>
          <w:highlight w:val="none"/>
        </w:rPr>
        <w:t>十、</w:t>
      </w:r>
      <w:r>
        <w:rPr>
          <w:rFonts w:ascii="黑体" w:hAnsi="黑体" w:eastAsia="黑体" w:cs="宋体"/>
          <w:b/>
          <w:bCs/>
          <w:sz w:val="32"/>
          <w:szCs w:val="32"/>
          <w:highlight w:val="none"/>
        </w:rPr>
        <w:t>名词解释</w:t>
      </w:r>
      <w:r>
        <w:rPr>
          <w:rFonts w:ascii="黑体" w:hAnsi="黑体" w:eastAsia="黑体" w:cs="宋体"/>
          <w:sz w:val="32"/>
          <w:szCs w:val="32"/>
          <w:highlight w:val="none"/>
        </w:rPr>
        <w:br w:type="textWrapping"/>
      </w:r>
      <w:r>
        <w:rPr>
          <w:rFonts w:ascii="华文仿宋" w:hAnsi="华文仿宋" w:eastAsia="华文仿宋" w:cs="宋体"/>
          <w:sz w:val="32"/>
          <w:szCs w:val="32"/>
          <w:highlight w:val="none"/>
        </w:rPr>
        <w:t>　　</w:t>
      </w:r>
      <w:r>
        <w:rPr>
          <w:rFonts w:hint="eastAsia" w:ascii="华文仿宋" w:hAnsi="华文仿宋" w:eastAsia="华文仿宋"/>
          <w:sz w:val="32"/>
          <w:szCs w:val="32"/>
          <w:highlight w:val="none"/>
        </w:rPr>
        <w:t xml:space="preserve">1.财政拨款收入：指本级财政当年拨付的资金。 </w:t>
      </w:r>
    </w:p>
    <w:p w14:paraId="59E0CB30">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sz w:val="32"/>
          <w:szCs w:val="32"/>
          <w:highlight w:val="none"/>
        </w:rPr>
      </w:pPr>
      <w:r>
        <w:rPr>
          <w:rFonts w:hint="eastAsia" w:ascii="华文仿宋" w:hAnsi="华文仿宋" w:eastAsia="华文仿宋"/>
          <w:sz w:val="32"/>
          <w:szCs w:val="32"/>
          <w:highlight w:val="none"/>
        </w:rPr>
        <w:t xml:space="preserve">2.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60202413">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sz w:val="32"/>
          <w:szCs w:val="32"/>
          <w:highlight w:val="none"/>
        </w:rPr>
      </w:pPr>
      <w:r>
        <w:rPr>
          <w:rFonts w:hint="eastAsia" w:ascii="华文仿宋" w:hAnsi="华文仿宋" w:eastAsia="华文仿宋"/>
          <w:sz w:val="32"/>
          <w:szCs w:val="32"/>
          <w:highlight w:val="none"/>
        </w:rPr>
        <w:t xml:space="preserve">3.年初结转和结余：指以前年度尚未完成、结转到本年按有关规定继续使用的资金。 </w:t>
      </w:r>
    </w:p>
    <w:p w14:paraId="502E8A38">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olor w:val="000000"/>
          <w:sz w:val="32"/>
          <w:szCs w:val="32"/>
          <w:highlight w:val="none"/>
        </w:rPr>
      </w:pPr>
      <w:r>
        <w:rPr>
          <w:rFonts w:hint="eastAsia" w:ascii="华文仿宋" w:hAnsi="华文仿宋" w:eastAsia="华文仿宋"/>
          <w:color w:val="000000"/>
          <w:sz w:val="32"/>
          <w:szCs w:val="32"/>
          <w:highlight w:val="none"/>
        </w:rPr>
        <w:t>4.文化体育与传媒（类）</w:t>
      </w:r>
    </w:p>
    <w:p w14:paraId="0A726AE3">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2070107  艺术表演团体：</w:t>
      </w:r>
      <w:r>
        <w:rPr>
          <w:rFonts w:hint="eastAsia" w:ascii="华文仿宋" w:hAnsi="华文仿宋" w:eastAsia="华文仿宋"/>
          <w:color w:val="000000"/>
          <w:sz w:val="32"/>
          <w:szCs w:val="32"/>
          <w:highlight w:val="none"/>
        </w:rPr>
        <w:t>是指反映文化及其他部门主管的剧院（团）等艺术表演团体的支出。</w:t>
      </w:r>
    </w:p>
    <w:p w14:paraId="194F5916">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2070111  文化创作与保护：</w:t>
      </w:r>
      <w:r>
        <w:rPr>
          <w:rFonts w:hint="eastAsia" w:ascii="华文仿宋" w:hAnsi="华文仿宋" w:eastAsia="华文仿宋"/>
          <w:color w:val="000000"/>
          <w:sz w:val="32"/>
          <w:szCs w:val="32"/>
          <w:highlight w:val="none"/>
        </w:rPr>
        <w:t>是指反映鼓励文学、艺术创作和民间传统文化保护方面的支出。</w:t>
      </w:r>
    </w:p>
    <w:p w14:paraId="1CC3C7BF">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2070112  文化和旅游市场管理：</w:t>
      </w:r>
      <w:r>
        <w:rPr>
          <w:rFonts w:hint="eastAsia" w:ascii="华文仿宋" w:hAnsi="华文仿宋" w:eastAsia="华文仿宋"/>
          <w:color w:val="000000"/>
          <w:sz w:val="32"/>
          <w:szCs w:val="32"/>
          <w:highlight w:val="none"/>
        </w:rPr>
        <w:t>是指反映用于文化、旅游执法检查等文化和旅游市场管理方面的支出。</w:t>
      </w:r>
    </w:p>
    <w:p w14:paraId="02903A33">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2070199  其他文化与旅游支出：</w:t>
      </w:r>
      <w:r>
        <w:rPr>
          <w:rFonts w:hint="eastAsia" w:ascii="华文仿宋" w:hAnsi="华文仿宋" w:eastAsia="华文仿宋"/>
          <w:color w:val="000000"/>
          <w:sz w:val="32"/>
          <w:szCs w:val="32"/>
          <w:highlight w:val="none"/>
        </w:rPr>
        <w:t>是指反映上述项目以外其他文化和旅游方面的支出。</w:t>
      </w:r>
    </w:p>
    <w:p w14:paraId="68CA4A7B">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2070204  文物保护：</w:t>
      </w:r>
      <w:r>
        <w:rPr>
          <w:rFonts w:hint="eastAsia" w:ascii="华文仿宋" w:hAnsi="华文仿宋" w:eastAsia="华文仿宋"/>
          <w:color w:val="000000"/>
          <w:sz w:val="32"/>
          <w:szCs w:val="32"/>
          <w:highlight w:val="none"/>
        </w:rPr>
        <w:t>是指反映考古发掘及文物方面的支出。</w:t>
      </w:r>
    </w:p>
    <w:p w14:paraId="082E5354">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2070301  行政运行：</w:t>
      </w:r>
      <w:r>
        <w:rPr>
          <w:rFonts w:hint="eastAsia" w:ascii="华文仿宋" w:hAnsi="华文仿宋" w:eastAsia="华文仿宋"/>
          <w:color w:val="000000"/>
          <w:sz w:val="32"/>
          <w:szCs w:val="32"/>
          <w:highlight w:val="none"/>
        </w:rPr>
        <w:t>反映行政单位（包括公务员管理的事业单位）的基本支出。</w:t>
      </w:r>
    </w:p>
    <w:p w14:paraId="067F1000">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2070307  体育场馆：</w:t>
      </w:r>
      <w:r>
        <w:rPr>
          <w:rFonts w:hint="eastAsia" w:ascii="华文仿宋" w:hAnsi="华文仿宋" w:eastAsia="华文仿宋"/>
          <w:color w:val="000000"/>
          <w:sz w:val="32"/>
          <w:szCs w:val="32"/>
          <w:highlight w:val="none"/>
        </w:rPr>
        <w:t>反映体育场馆建设及维护等方面的支出。</w:t>
      </w:r>
    </w:p>
    <w:p w14:paraId="2B520777">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2070399  其他体育支出：</w:t>
      </w:r>
      <w:r>
        <w:rPr>
          <w:rFonts w:hint="eastAsia" w:ascii="华文仿宋" w:hAnsi="华文仿宋" w:eastAsia="华文仿宋"/>
          <w:color w:val="000000"/>
          <w:sz w:val="32"/>
          <w:szCs w:val="32"/>
          <w:highlight w:val="none"/>
        </w:rPr>
        <w:t>反映除上述项目以外其他体育方面的支出。</w:t>
      </w:r>
    </w:p>
    <w:p w14:paraId="6A30E6A3">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2079999  其他文化体育与传媒支出：</w:t>
      </w:r>
      <w:r>
        <w:rPr>
          <w:rFonts w:hint="eastAsia" w:ascii="华文仿宋" w:hAnsi="华文仿宋" w:eastAsia="华文仿宋"/>
          <w:color w:val="000000"/>
          <w:sz w:val="32"/>
          <w:szCs w:val="32"/>
          <w:highlight w:val="none"/>
        </w:rPr>
        <w:t>反映出上述以外其他文化体育与传媒方面的支出。</w:t>
      </w:r>
    </w:p>
    <w:p w14:paraId="500D05C3">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olor w:val="000000"/>
          <w:sz w:val="32"/>
          <w:szCs w:val="32"/>
          <w:highlight w:val="none"/>
        </w:rPr>
      </w:pPr>
      <w:r>
        <w:rPr>
          <w:rFonts w:hint="eastAsia" w:ascii="华文仿宋" w:hAnsi="华文仿宋" w:eastAsia="华文仿宋"/>
          <w:color w:val="000000"/>
          <w:sz w:val="32"/>
          <w:szCs w:val="32"/>
          <w:highlight w:val="none"/>
        </w:rPr>
        <w:t>5.社会保障和就业（类）</w:t>
      </w:r>
    </w:p>
    <w:p w14:paraId="7B88B5BF">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2080505  机关事业单位基本养老保险缴费支出：</w:t>
      </w:r>
      <w:r>
        <w:rPr>
          <w:rFonts w:hint="eastAsia" w:ascii="华文仿宋" w:hAnsi="华文仿宋" w:eastAsia="华文仿宋"/>
          <w:color w:val="000000"/>
          <w:sz w:val="32"/>
          <w:szCs w:val="32"/>
          <w:highlight w:val="none"/>
        </w:rPr>
        <w:t>反映财政部门安排的行政事业单位职工缴纳基本养老保险缴费支出。</w:t>
      </w:r>
    </w:p>
    <w:p w14:paraId="26A225FD">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2080506  机关事业单位职业年金缴费支出：</w:t>
      </w:r>
      <w:r>
        <w:rPr>
          <w:rFonts w:hint="eastAsia" w:ascii="华文仿宋" w:hAnsi="华文仿宋" w:eastAsia="华文仿宋"/>
          <w:color w:val="000000"/>
          <w:sz w:val="32"/>
          <w:szCs w:val="32"/>
          <w:highlight w:val="none"/>
        </w:rPr>
        <w:t>反映财政部门安排的行政事业单位职工职业年金缴费支出。</w:t>
      </w:r>
    </w:p>
    <w:p w14:paraId="632914EA">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2101101行政单位医疗</w:t>
      </w:r>
      <w:r>
        <w:rPr>
          <w:rFonts w:hint="eastAsia" w:ascii="华文仿宋" w:hAnsi="华文仿宋" w:eastAsia="华文仿宋"/>
          <w:color w:val="000000"/>
          <w:sz w:val="32"/>
          <w:szCs w:val="32"/>
          <w:highlight w:val="none"/>
        </w:rPr>
        <w:t>：反映财政部门安排的行政单位基本医疗保险缴费经费。</w:t>
      </w:r>
    </w:p>
    <w:p w14:paraId="6F640D53">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2101102  事业单位医疗：</w:t>
      </w:r>
      <w:r>
        <w:rPr>
          <w:rFonts w:hint="eastAsia" w:ascii="华文仿宋" w:hAnsi="华文仿宋" w:eastAsia="华文仿宋"/>
          <w:color w:val="000000"/>
          <w:sz w:val="32"/>
          <w:szCs w:val="32"/>
          <w:highlight w:val="none"/>
        </w:rPr>
        <w:t>反映财政部门安排的事业单位基本医疗保险缴费经费。</w:t>
      </w:r>
    </w:p>
    <w:p w14:paraId="7E28E49C">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olor w:val="000000"/>
          <w:sz w:val="32"/>
          <w:szCs w:val="32"/>
          <w:highlight w:val="none"/>
        </w:rPr>
      </w:pPr>
      <w:r>
        <w:rPr>
          <w:rFonts w:hint="eastAsia" w:ascii="华文仿宋" w:hAnsi="华文仿宋" w:eastAsia="华文仿宋"/>
          <w:color w:val="000000"/>
          <w:sz w:val="32"/>
          <w:szCs w:val="32"/>
          <w:highlight w:val="none"/>
        </w:rPr>
        <w:t>6.住房保障支出</w:t>
      </w:r>
    </w:p>
    <w:p w14:paraId="702C3312">
      <w:pPr>
        <w:pBdr>
          <w:bottom w:val="single" w:color="FFFFFF" w:sz="4" w:space="28"/>
        </w:pBdr>
        <w:tabs>
          <w:tab w:val="left" w:pos="1440"/>
          <w:tab w:val="center" w:pos="4153"/>
          <w:tab w:val="right" w:pos="8306"/>
        </w:tabs>
        <w:spacing w:line="576" w:lineRule="exact"/>
        <w:ind w:firstLine="643" w:firstLineChars="200"/>
        <w:jc w:val="left"/>
        <w:rPr>
          <w:rFonts w:ascii="华文仿宋" w:hAnsi="华文仿宋" w:eastAsia="华文仿宋"/>
          <w:color w:val="000000"/>
          <w:sz w:val="32"/>
          <w:szCs w:val="32"/>
          <w:highlight w:val="none"/>
        </w:rPr>
      </w:pPr>
      <w:r>
        <w:rPr>
          <w:rFonts w:hint="eastAsia" w:ascii="华文仿宋" w:hAnsi="华文仿宋" w:eastAsia="华文仿宋"/>
          <w:b/>
          <w:color w:val="000000"/>
          <w:sz w:val="32"/>
          <w:szCs w:val="32"/>
          <w:highlight w:val="none"/>
        </w:rPr>
        <w:t>2210201  住房公积金：</w:t>
      </w:r>
      <w:r>
        <w:rPr>
          <w:rFonts w:hint="eastAsia" w:ascii="华文仿宋" w:hAnsi="华文仿宋" w:eastAsia="华文仿宋"/>
          <w:color w:val="000000"/>
          <w:sz w:val="32"/>
          <w:szCs w:val="32"/>
          <w:highlight w:val="none"/>
        </w:rPr>
        <w:t>反映行政事业单位安人事部门和财政部规定的基本工资和津补贴以及规定比例为职工缴存的住房公积金。</w:t>
      </w:r>
    </w:p>
    <w:p w14:paraId="345A058D">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olor w:val="000000"/>
          <w:sz w:val="32"/>
          <w:szCs w:val="32"/>
          <w:highlight w:val="none"/>
        </w:rPr>
      </w:pPr>
      <w:r>
        <w:rPr>
          <w:rFonts w:hint="eastAsia" w:ascii="华文仿宋" w:hAnsi="华文仿宋" w:eastAsia="华文仿宋"/>
          <w:color w:val="000000"/>
          <w:sz w:val="32"/>
          <w:szCs w:val="32"/>
          <w:highlight w:val="none"/>
        </w:rPr>
        <w:t>7.结余分配：指事业单位按规定提取的职工福利基金、事业基金和缴纳的所得税，以及建设单位按规定应交回的基本建设竣工项目结余资金。</w:t>
      </w:r>
    </w:p>
    <w:p w14:paraId="6790B4DF">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olor w:val="000000"/>
          <w:sz w:val="32"/>
          <w:szCs w:val="32"/>
          <w:highlight w:val="none"/>
        </w:rPr>
      </w:pPr>
      <w:r>
        <w:rPr>
          <w:rFonts w:hint="eastAsia" w:ascii="华文仿宋" w:hAnsi="华文仿宋" w:eastAsia="华文仿宋"/>
          <w:color w:val="000000"/>
          <w:sz w:val="32"/>
          <w:szCs w:val="32"/>
          <w:highlight w:val="none"/>
        </w:rPr>
        <w:t>8.年末结转和结余：指本年度或以前年度预算安排、因客观条件发生变化无法按原计划实施，需延迟到以后年度按有关规定继续使用的资金。</w:t>
      </w:r>
    </w:p>
    <w:p w14:paraId="1B9C5095">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olor w:val="000000"/>
          <w:sz w:val="32"/>
          <w:szCs w:val="32"/>
          <w:highlight w:val="none"/>
        </w:rPr>
      </w:pPr>
      <w:r>
        <w:rPr>
          <w:rFonts w:hint="eastAsia" w:ascii="华文仿宋" w:hAnsi="华文仿宋" w:eastAsia="华文仿宋"/>
          <w:color w:val="000000"/>
          <w:sz w:val="32"/>
          <w:szCs w:val="32"/>
          <w:highlight w:val="none"/>
        </w:rPr>
        <w:t>9.基本支出：指为保障机构正常运转、完成日常工作任务而发生的人员支出和公用支出。</w:t>
      </w:r>
    </w:p>
    <w:p w14:paraId="188109B3">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color w:val="000000"/>
          <w:sz w:val="32"/>
          <w:szCs w:val="32"/>
          <w:highlight w:val="none"/>
        </w:rPr>
      </w:pPr>
      <w:r>
        <w:rPr>
          <w:rFonts w:hint="eastAsia" w:ascii="华文仿宋" w:hAnsi="华文仿宋" w:eastAsia="华文仿宋"/>
          <w:color w:val="000000"/>
          <w:sz w:val="32"/>
          <w:szCs w:val="32"/>
          <w:highlight w:val="none"/>
        </w:rPr>
        <w:t>10.项目支出：指在基本支出之外为完成特定行政任务和事业发展目标所发生的支出。</w:t>
      </w:r>
    </w:p>
    <w:p w14:paraId="765102BD">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sz w:val="32"/>
          <w:szCs w:val="32"/>
          <w:highlight w:val="none"/>
        </w:rPr>
      </w:pPr>
      <w:r>
        <w:rPr>
          <w:rFonts w:hint="eastAsia" w:ascii="华文仿宋" w:hAnsi="华文仿宋" w:eastAsia="华文仿宋"/>
          <w:sz w:val="32"/>
          <w:szCs w:val="32"/>
          <w:highlight w:val="none"/>
        </w:rPr>
        <w:t>11.“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97F3DDE">
      <w:pPr>
        <w:pBdr>
          <w:bottom w:val="single" w:color="FFFFFF" w:sz="4" w:space="28"/>
        </w:pBdr>
        <w:tabs>
          <w:tab w:val="left" w:pos="1440"/>
          <w:tab w:val="center" w:pos="4153"/>
          <w:tab w:val="right" w:pos="8306"/>
        </w:tabs>
        <w:spacing w:line="576" w:lineRule="exact"/>
        <w:ind w:firstLine="640" w:firstLineChars="200"/>
        <w:jc w:val="left"/>
        <w:rPr>
          <w:rFonts w:ascii="华文仿宋" w:hAnsi="华文仿宋" w:eastAsia="华文仿宋"/>
          <w:sz w:val="32"/>
          <w:szCs w:val="32"/>
          <w:highlight w:val="none"/>
        </w:rPr>
      </w:pPr>
      <w:r>
        <w:rPr>
          <w:rFonts w:hint="eastAsia" w:ascii="华文仿宋" w:hAnsi="华文仿宋" w:eastAsia="华文仿宋"/>
          <w:sz w:val="32"/>
          <w:szCs w:val="32"/>
          <w:highlight w:val="none"/>
        </w:rPr>
        <w:t>1</w:t>
      </w:r>
      <w:r>
        <w:rPr>
          <w:rFonts w:hint="eastAsia" w:ascii="华文仿宋" w:hAnsi="华文仿宋" w:eastAsia="华文仿宋"/>
          <w:sz w:val="32"/>
          <w:szCs w:val="32"/>
          <w:highlight w:val="none"/>
          <w:lang w:val="en-US" w:eastAsia="zh-CN"/>
        </w:rPr>
        <w:t>2</w:t>
      </w:r>
      <w:r>
        <w:rPr>
          <w:rFonts w:hint="eastAsia" w:ascii="华文仿宋" w:hAnsi="华文仿宋" w:eastAsia="华文仿宋"/>
          <w:sz w:val="32"/>
          <w:szCs w:val="32"/>
          <w:highlight w:val="none"/>
        </w:rPr>
        <w:t>.其他资本性支出：反映用于购置固定资产、战略性和应急性储备、土地和无形资产，以及构建基础设施、大型修缮和财政支持企业更新改造所发生的支出。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4AB97B"/>
    <w:multiLevelType w:val="singleLevel"/>
    <w:tmpl w:val="DD4AB97B"/>
    <w:lvl w:ilvl="0" w:tentative="0">
      <w:start w:val="9"/>
      <w:numFmt w:val="chineseCounting"/>
      <w:suff w:val="nothing"/>
      <w:lvlText w:val="%1、"/>
      <w:lvlJc w:val="left"/>
      <w:rPr>
        <w:rFonts w:hint="eastAsia"/>
      </w:rPr>
    </w:lvl>
  </w:abstractNum>
  <w:abstractNum w:abstractNumId="1">
    <w:nsid w:val="E1971A34"/>
    <w:multiLevelType w:val="singleLevel"/>
    <w:tmpl w:val="E1971A34"/>
    <w:lvl w:ilvl="0" w:tentative="0">
      <w:start w:val="1"/>
      <w:numFmt w:val="chineseCounting"/>
      <w:suff w:val="nothing"/>
      <w:lvlText w:val="（%1）"/>
      <w:lvlJc w:val="left"/>
      <w:rPr>
        <w:rFonts w:hint="eastAsia"/>
      </w:rPr>
    </w:lvl>
  </w:abstractNum>
  <w:abstractNum w:abstractNumId="2">
    <w:nsid w:val="096A30D5"/>
    <w:multiLevelType w:val="singleLevel"/>
    <w:tmpl w:val="096A30D5"/>
    <w:lvl w:ilvl="0" w:tentative="0">
      <w:start w:val="1"/>
      <w:numFmt w:val="chineseCounting"/>
      <w:suff w:val="nothing"/>
      <w:lvlText w:val="（%1）"/>
      <w:lvlJc w:val="left"/>
      <w:rPr>
        <w:rFonts w:hint="eastAsia"/>
      </w:rPr>
    </w:lvl>
  </w:abstractNum>
  <w:abstractNum w:abstractNumId="3">
    <w:nsid w:val="28F27FE7"/>
    <w:multiLevelType w:val="multilevel"/>
    <w:tmpl w:val="28F27FE7"/>
    <w:lvl w:ilvl="0" w:tentative="0">
      <w:start w:val="1"/>
      <w:numFmt w:val="none"/>
      <w:lvlText w:val="一、"/>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97C6359"/>
    <w:multiLevelType w:val="singleLevel"/>
    <w:tmpl w:val="697C6359"/>
    <w:lvl w:ilvl="0" w:tentative="0">
      <w:start w:val="1"/>
      <w:numFmt w:val="chineseCounting"/>
      <w:suff w:val="nothing"/>
      <w:lvlText w:val="（%1）"/>
      <w:lvlJc w:val="left"/>
      <w:rPr>
        <w:rFonts w:hint="eastAsia"/>
        <w:b/>
        <w:bCs/>
      </w:rPr>
    </w:lvl>
  </w:abstractNum>
  <w:abstractNum w:abstractNumId="5">
    <w:nsid w:val="7BA19613"/>
    <w:multiLevelType w:val="singleLevel"/>
    <w:tmpl w:val="7BA19613"/>
    <w:lvl w:ilvl="0" w:tentative="0">
      <w:start w:val="1"/>
      <w:numFmt w:val="chineseCounting"/>
      <w:suff w:val="nothing"/>
      <w:lvlText w:val="（%1）"/>
      <w:lvlJc w:val="left"/>
      <w:pPr>
        <w:ind w:left="0" w:firstLine="420"/>
      </w:pPr>
      <w:rPr>
        <w:rFonts w:hint="eastAsia"/>
        <w:b/>
        <w:bCs/>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ZjBmMzc3ZmM4MzIwMTQyZTk2MGFhMzU4YTYzZmEifQ=="/>
  </w:docVars>
  <w:rsids>
    <w:rsidRoot w:val="00352854"/>
    <w:rsid w:val="00007FAE"/>
    <w:rsid w:val="0001708E"/>
    <w:rsid w:val="000177D4"/>
    <w:rsid w:val="000349DC"/>
    <w:rsid w:val="00034D64"/>
    <w:rsid w:val="000523DA"/>
    <w:rsid w:val="00052CDC"/>
    <w:rsid w:val="00053299"/>
    <w:rsid w:val="00067AFE"/>
    <w:rsid w:val="00076DA0"/>
    <w:rsid w:val="00085137"/>
    <w:rsid w:val="000938F2"/>
    <w:rsid w:val="000A162B"/>
    <w:rsid w:val="000A6424"/>
    <w:rsid w:val="000B2134"/>
    <w:rsid w:val="000B668D"/>
    <w:rsid w:val="000C07E8"/>
    <w:rsid w:val="000D5D9F"/>
    <w:rsid w:val="000E21E3"/>
    <w:rsid w:val="000E2BA9"/>
    <w:rsid w:val="000E72E7"/>
    <w:rsid w:val="000F22B5"/>
    <w:rsid w:val="00113E68"/>
    <w:rsid w:val="00120CA2"/>
    <w:rsid w:val="00126D6B"/>
    <w:rsid w:val="00136D19"/>
    <w:rsid w:val="0014144B"/>
    <w:rsid w:val="00157EC0"/>
    <w:rsid w:val="00172F6C"/>
    <w:rsid w:val="00180D4E"/>
    <w:rsid w:val="00193557"/>
    <w:rsid w:val="001A37FB"/>
    <w:rsid w:val="001A6836"/>
    <w:rsid w:val="001C2DB9"/>
    <w:rsid w:val="001D0993"/>
    <w:rsid w:val="001D614C"/>
    <w:rsid w:val="001E4B7A"/>
    <w:rsid w:val="002123CB"/>
    <w:rsid w:val="00214EFE"/>
    <w:rsid w:val="002155D2"/>
    <w:rsid w:val="00222104"/>
    <w:rsid w:val="00224A36"/>
    <w:rsid w:val="00225089"/>
    <w:rsid w:val="00242882"/>
    <w:rsid w:val="00255EB4"/>
    <w:rsid w:val="00273C55"/>
    <w:rsid w:val="00275154"/>
    <w:rsid w:val="002807C6"/>
    <w:rsid w:val="00282F7A"/>
    <w:rsid w:val="00286EC3"/>
    <w:rsid w:val="0029083F"/>
    <w:rsid w:val="002917D6"/>
    <w:rsid w:val="00291C70"/>
    <w:rsid w:val="0029551F"/>
    <w:rsid w:val="002A7C7E"/>
    <w:rsid w:val="002B5D9C"/>
    <w:rsid w:val="002E0692"/>
    <w:rsid w:val="002E2265"/>
    <w:rsid w:val="002F2000"/>
    <w:rsid w:val="002F4EEF"/>
    <w:rsid w:val="00311E79"/>
    <w:rsid w:val="003133DB"/>
    <w:rsid w:val="003146EF"/>
    <w:rsid w:val="00332A6E"/>
    <w:rsid w:val="003355F6"/>
    <w:rsid w:val="0033643F"/>
    <w:rsid w:val="003465E0"/>
    <w:rsid w:val="00352854"/>
    <w:rsid w:val="00365AF0"/>
    <w:rsid w:val="00365E0A"/>
    <w:rsid w:val="00376203"/>
    <w:rsid w:val="003762A5"/>
    <w:rsid w:val="00377FF9"/>
    <w:rsid w:val="00386525"/>
    <w:rsid w:val="003932A0"/>
    <w:rsid w:val="003B504C"/>
    <w:rsid w:val="003F0C8F"/>
    <w:rsid w:val="003F1078"/>
    <w:rsid w:val="003F2B70"/>
    <w:rsid w:val="00400A6F"/>
    <w:rsid w:val="004037EA"/>
    <w:rsid w:val="004040EC"/>
    <w:rsid w:val="0041426D"/>
    <w:rsid w:val="00422FCE"/>
    <w:rsid w:val="004335E7"/>
    <w:rsid w:val="004431D7"/>
    <w:rsid w:val="004459E0"/>
    <w:rsid w:val="00454010"/>
    <w:rsid w:val="00465EEA"/>
    <w:rsid w:val="00466267"/>
    <w:rsid w:val="0048015B"/>
    <w:rsid w:val="004924C9"/>
    <w:rsid w:val="00493CBF"/>
    <w:rsid w:val="004A1A28"/>
    <w:rsid w:val="004A2A63"/>
    <w:rsid w:val="004B4F2A"/>
    <w:rsid w:val="004B632A"/>
    <w:rsid w:val="004C2804"/>
    <w:rsid w:val="004C60C1"/>
    <w:rsid w:val="004E1EA3"/>
    <w:rsid w:val="004E7147"/>
    <w:rsid w:val="004F1C65"/>
    <w:rsid w:val="00500A45"/>
    <w:rsid w:val="005053A9"/>
    <w:rsid w:val="00507424"/>
    <w:rsid w:val="00513C66"/>
    <w:rsid w:val="00515161"/>
    <w:rsid w:val="00521082"/>
    <w:rsid w:val="00550850"/>
    <w:rsid w:val="00573351"/>
    <w:rsid w:val="00574915"/>
    <w:rsid w:val="00576BEA"/>
    <w:rsid w:val="005942B4"/>
    <w:rsid w:val="00595782"/>
    <w:rsid w:val="005B0575"/>
    <w:rsid w:val="005B0919"/>
    <w:rsid w:val="005B1FBD"/>
    <w:rsid w:val="005C028D"/>
    <w:rsid w:val="005C5270"/>
    <w:rsid w:val="005C7DEB"/>
    <w:rsid w:val="005D3CC7"/>
    <w:rsid w:val="005D70E3"/>
    <w:rsid w:val="005E779D"/>
    <w:rsid w:val="005F371E"/>
    <w:rsid w:val="0060745C"/>
    <w:rsid w:val="006147E5"/>
    <w:rsid w:val="006255F7"/>
    <w:rsid w:val="00631932"/>
    <w:rsid w:val="00640CB6"/>
    <w:rsid w:val="0064347A"/>
    <w:rsid w:val="006627C0"/>
    <w:rsid w:val="00667D6E"/>
    <w:rsid w:val="00674C19"/>
    <w:rsid w:val="00683ACD"/>
    <w:rsid w:val="006A26D5"/>
    <w:rsid w:val="006B788A"/>
    <w:rsid w:val="006D3E8A"/>
    <w:rsid w:val="006D50A7"/>
    <w:rsid w:val="006E2F67"/>
    <w:rsid w:val="006E5082"/>
    <w:rsid w:val="006E6D40"/>
    <w:rsid w:val="006F096D"/>
    <w:rsid w:val="00704B40"/>
    <w:rsid w:val="00715736"/>
    <w:rsid w:val="00716FAC"/>
    <w:rsid w:val="0072495D"/>
    <w:rsid w:val="00726EEB"/>
    <w:rsid w:val="00727A26"/>
    <w:rsid w:val="00730054"/>
    <w:rsid w:val="00741B33"/>
    <w:rsid w:val="007477CD"/>
    <w:rsid w:val="00754989"/>
    <w:rsid w:val="007554A2"/>
    <w:rsid w:val="00761E2B"/>
    <w:rsid w:val="007720E0"/>
    <w:rsid w:val="00772119"/>
    <w:rsid w:val="00781BC9"/>
    <w:rsid w:val="0078363A"/>
    <w:rsid w:val="00783973"/>
    <w:rsid w:val="0078721E"/>
    <w:rsid w:val="00794622"/>
    <w:rsid w:val="007A1ED8"/>
    <w:rsid w:val="007B3677"/>
    <w:rsid w:val="007C50D1"/>
    <w:rsid w:val="007D7321"/>
    <w:rsid w:val="007E1B2B"/>
    <w:rsid w:val="007F3337"/>
    <w:rsid w:val="008220A8"/>
    <w:rsid w:val="00844C96"/>
    <w:rsid w:val="008473DE"/>
    <w:rsid w:val="00851AB8"/>
    <w:rsid w:val="00860294"/>
    <w:rsid w:val="00860882"/>
    <w:rsid w:val="00896573"/>
    <w:rsid w:val="008B449B"/>
    <w:rsid w:val="008C44DA"/>
    <w:rsid w:val="008C4B0C"/>
    <w:rsid w:val="008E2F97"/>
    <w:rsid w:val="008E6535"/>
    <w:rsid w:val="008F1AC3"/>
    <w:rsid w:val="008F63EB"/>
    <w:rsid w:val="00910787"/>
    <w:rsid w:val="00910FA0"/>
    <w:rsid w:val="00917848"/>
    <w:rsid w:val="00921D4C"/>
    <w:rsid w:val="00931697"/>
    <w:rsid w:val="00931D20"/>
    <w:rsid w:val="009473BE"/>
    <w:rsid w:val="00951664"/>
    <w:rsid w:val="00963B68"/>
    <w:rsid w:val="00963DA5"/>
    <w:rsid w:val="00965504"/>
    <w:rsid w:val="00965D45"/>
    <w:rsid w:val="00970F11"/>
    <w:rsid w:val="00987B5A"/>
    <w:rsid w:val="009A19EB"/>
    <w:rsid w:val="009A3656"/>
    <w:rsid w:val="009B0A59"/>
    <w:rsid w:val="009B6AD0"/>
    <w:rsid w:val="009C3160"/>
    <w:rsid w:val="009C70F7"/>
    <w:rsid w:val="009F0978"/>
    <w:rsid w:val="009F1499"/>
    <w:rsid w:val="00A0069D"/>
    <w:rsid w:val="00A0116D"/>
    <w:rsid w:val="00A01D7B"/>
    <w:rsid w:val="00A038AE"/>
    <w:rsid w:val="00A15667"/>
    <w:rsid w:val="00A22D78"/>
    <w:rsid w:val="00A76C8B"/>
    <w:rsid w:val="00AB4D1B"/>
    <w:rsid w:val="00AD2AF2"/>
    <w:rsid w:val="00AD4553"/>
    <w:rsid w:val="00AE1334"/>
    <w:rsid w:val="00AF42A0"/>
    <w:rsid w:val="00B05B6B"/>
    <w:rsid w:val="00B24B90"/>
    <w:rsid w:val="00B30966"/>
    <w:rsid w:val="00B408BD"/>
    <w:rsid w:val="00B43851"/>
    <w:rsid w:val="00B4513C"/>
    <w:rsid w:val="00B63977"/>
    <w:rsid w:val="00B74E38"/>
    <w:rsid w:val="00B91D9A"/>
    <w:rsid w:val="00B93E91"/>
    <w:rsid w:val="00B94F3E"/>
    <w:rsid w:val="00BA5104"/>
    <w:rsid w:val="00BA7024"/>
    <w:rsid w:val="00BB5914"/>
    <w:rsid w:val="00BC4FDA"/>
    <w:rsid w:val="00BF3F36"/>
    <w:rsid w:val="00C118BD"/>
    <w:rsid w:val="00C15CB8"/>
    <w:rsid w:val="00C2691D"/>
    <w:rsid w:val="00C406F9"/>
    <w:rsid w:val="00C55383"/>
    <w:rsid w:val="00C57A40"/>
    <w:rsid w:val="00C67135"/>
    <w:rsid w:val="00C746DC"/>
    <w:rsid w:val="00C76666"/>
    <w:rsid w:val="00C8183B"/>
    <w:rsid w:val="00C82A97"/>
    <w:rsid w:val="00C830F3"/>
    <w:rsid w:val="00CA73F3"/>
    <w:rsid w:val="00CB5531"/>
    <w:rsid w:val="00CD3B80"/>
    <w:rsid w:val="00CD4337"/>
    <w:rsid w:val="00CD60B1"/>
    <w:rsid w:val="00CE00BB"/>
    <w:rsid w:val="00CF2FA6"/>
    <w:rsid w:val="00CF6803"/>
    <w:rsid w:val="00D00C04"/>
    <w:rsid w:val="00D14A92"/>
    <w:rsid w:val="00D21A0D"/>
    <w:rsid w:val="00D22494"/>
    <w:rsid w:val="00D361A0"/>
    <w:rsid w:val="00D5635D"/>
    <w:rsid w:val="00D624BB"/>
    <w:rsid w:val="00D64E54"/>
    <w:rsid w:val="00D67821"/>
    <w:rsid w:val="00D7419C"/>
    <w:rsid w:val="00DA2AD1"/>
    <w:rsid w:val="00DC7531"/>
    <w:rsid w:val="00DD0B71"/>
    <w:rsid w:val="00DE6B14"/>
    <w:rsid w:val="00DE6F34"/>
    <w:rsid w:val="00E329BF"/>
    <w:rsid w:val="00E37FD4"/>
    <w:rsid w:val="00E45B2A"/>
    <w:rsid w:val="00E45F00"/>
    <w:rsid w:val="00E53B55"/>
    <w:rsid w:val="00E61508"/>
    <w:rsid w:val="00E75817"/>
    <w:rsid w:val="00E80923"/>
    <w:rsid w:val="00E83ADB"/>
    <w:rsid w:val="00EA6A3C"/>
    <w:rsid w:val="00EE5986"/>
    <w:rsid w:val="00EF1036"/>
    <w:rsid w:val="00EF4AAB"/>
    <w:rsid w:val="00F00E5C"/>
    <w:rsid w:val="00F30C96"/>
    <w:rsid w:val="00F40C09"/>
    <w:rsid w:val="00F42BBD"/>
    <w:rsid w:val="00F743F0"/>
    <w:rsid w:val="00F827A8"/>
    <w:rsid w:val="00F93995"/>
    <w:rsid w:val="00FA0B75"/>
    <w:rsid w:val="00FA0E4A"/>
    <w:rsid w:val="00FB7AA4"/>
    <w:rsid w:val="00FC274F"/>
    <w:rsid w:val="00FD04FE"/>
    <w:rsid w:val="00FE5968"/>
    <w:rsid w:val="00FF03C0"/>
    <w:rsid w:val="00FF11B9"/>
    <w:rsid w:val="015B6D94"/>
    <w:rsid w:val="01B027E3"/>
    <w:rsid w:val="020F624C"/>
    <w:rsid w:val="040D714C"/>
    <w:rsid w:val="05C72C4A"/>
    <w:rsid w:val="05DA07B2"/>
    <w:rsid w:val="09FC1466"/>
    <w:rsid w:val="0E3C7F4D"/>
    <w:rsid w:val="0E4427F6"/>
    <w:rsid w:val="12C56181"/>
    <w:rsid w:val="12F62799"/>
    <w:rsid w:val="176A19F6"/>
    <w:rsid w:val="18B8594A"/>
    <w:rsid w:val="18D94A9E"/>
    <w:rsid w:val="1AB75491"/>
    <w:rsid w:val="1C153B20"/>
    <w:rsid w:val="1DEF5593"/>
    <w:rsid w:val="1E370D16"/>
    <w:rsid w:val="22FB6517"/>
    <w:rsid w:val="243604A3"/>
    <w:rsid w:val="245C59BF"/>
    <w:rsid w:val="2A0F630F"/>
    <w:rsid w:val="32142838"/>
    <w:rsid w:val="34057AE3"/>
    <w:rsid w:val="348435D2"/>
    <w:rsid w:val="378B7BB9"/>
    <w:rsid w:val="3A342760"/>
    <w:rsid w:val="3C4D4F50"/>
    <w:rsid w:val="3CC01142"/>
    <w:rsid w:val="3D331AA0"/>
    <w:rsid w:val="42570149"/>
    <w:rsid w:val="43561376"/>
    <w:rsid w:val="46C72F7F"/>
    <w:rsid w:val="4A832170"/>
    <w:rsid w:val="514F3773"/>
    <w:rsid w:val="51C11396"/>
    <w:rsid w:val="52B72CCB"/>
    <w:rsid w:val="568276C2"/>
    <w:rsid w:val="572B6588"/>
    <w:rsid w:val="57F4051E"/>
    <w:rsid w:val="5AF42E99"/>
    <w:rsid w:val="5BDD4642"/>
    <w:rsid w:val="632C5D2D"/>
    <w:rsid w:val="646F011E"/>
    <w:rsid w:val="64F1586B"/>
    <w:rsid w:val="68C3520E"/>
    <w:rsid w:val="69A12228"/>
    <w:rsid w:val="69D02B99"/>
    <w:rsid w:val="6E9359C0"/>
    <w:rsid w:val="7055726B"/>
    <w:rsid w:val="73031126"/>
    <w:rsid w:val="738E3B4F"/>
    <w:rsid w:val="73F800B2"/>
    <w:rsid w:val="74A40C7B"/>
    <w:rsid w:val="79425019"/>
    <w:rsid w:val="7AE37AAC"/>
    <w:rsid w:val="7C9420D8"/>
    <w:rsid w:val="7DDA22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7"/>
    <w:qFormat/>
    <w:uiPriority w:val="0"/>
    <w:rPr>
      <w:rFonts w:ascii="Calibri" w:hAnsi="Calibri" w:eastAsia="宋体" w:cs="Times New Roman"/>
      <w:szCs w:val="24"/>
    </w:rPr>
  </w:style>
  <w:style w:type="paragraph" w:styleId="3">
    <w:name w:val="Body Text"/>
    <w:basedOn w:val="1"/>
    <w:next w:val="1"/>
    <w:qFormat/>
    <w:uiPriority w:val="1"/>
    <w:rPr>
      <w:sz w:val="24"/>
    </w:rPr>
  </w:style>
  <w:style w:type="paragraph" w:styleId="4">
    <w:name w:val="Balloon Text"/>
    <w:basedOn w:val="1"/>
    <w:link w:val="18"/>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Emphasis"/>
    <w:basedOn w:val="8"/>
    <w:qFormat/>
    <w:uiPriority w:val="20"/>
  </w:style>
  <w:style w:type="paragraph" w:customStyle="1" w:styleId="10">
    <w:name w:val="文档正文"/>
    <w:basedOn w:val="1"/>
    <w:qFormat/>
    <w:uiPriority w:val="0"/>
    <w:pPr>
      <w:spacing w:line="480" w:lineRule="atLeast"/>
      <w:textAlignment w:val="baseline"/>
    </w:pPr>
    <w:rPr>
      <w:rFonts w:ascii="Arial" w:hAnsi="Arial" w:eastAsia="宋体" w:cs="Times New Roman"/>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paragraph" w:customStyle="1" w:styleId="13">
    <w:name w:val="正文文本1"/>
    <w:basedOn w:val="1"/>
    <w:qFormat/>
    <w:uiPriority w:val="0"/>
    <w:pPr>
      <w:spacing w:before="93"/>
    </w:pPr>
    <w:rPr>
      <w:rFonts w:ascii="仿宋_GB2312" w:hAnsi="仿宋_GB2312" w:eastAsia="仿宋_GB2312" w:cs="Times New Roman"/>
      <w:kern w:val="0"/>
      <w:sz w:val="30"/>
      <w:szCs w:val="20"/>
    </w:rPr>
  </w:style>
  <w:style w:type="character" w:customStyle="1" w:styleId="14">
    <w:name w:val="默认段落字体1"/>
    <w:qFormat/>
    <w:uiPriority w:val="0"/>
    <w:rPr>
      <w:sz w:val="22"/>
    </w:rPr>
  </w:style>
  <w:style w:type="paragraph" w:styleId="15">
    <w:name w:val="List Paragraph"/>
    <w:basedOn w:val="1"/>
    <w:qFormat/>
    <w:uiPriority w:val="99"/>
    <w:pPr>
      <w:ind w:firstLine="420" w:firstLineChars="200"/>
    </w:pPr>
  </w:style>
  <w:style w:type="paragraph" w:customStyle="1" w:styleId="1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7">
    <w:name w:val="称呼 Char"/>
    <w:basedOn w:val="8"/>
    <w:link w:val="2"/>
    <w:qFormat/>
    <w:uiPriority w:val="0"/>
    <w:rPr>
      <w:rFonts w:ascii="Calibri" w:hAnsi="Calibri" w:eastAsia="宋体" w:cs="Times New Roman"/>
      <w:szCs w:val="24"/>
    </w:rPr>
  </w:style>
  <w:style w:type="character" w:customStyle="1" w:styleId="18">
    <w:name w:val="批注框文本 Char"/>
    <w:basedOn w:val="8"/>
    <w:link w:val="4"/>
    <w:semiHidden/>
    <w:qFormat/>
    <w:uiPriority w:val="99"/>
    <w:rPr>
      <w:sz w:val="18"/>
      <w:szCs w:val="18"/>
    </w:rPr>
  </w:style>
  <w:style w:type="character" w:customStyle="1" w:styleId="19">
    <w:name w:val="font21"/>
    <w:basedOn w:val="8"/>
    <w:qFormat/>
    <w:uiPriority w:val="0"/>
    <w:rPr>
      <w:rFonts w:hint="eastAsia" w:ascii="宋体" w:hAnsi="宋体" w:eastAsia="宋体" w:cs="宋体"/>
      <w:color w:val="000000"/>
      <w:sz w:val="22"/>
      <w:szCs w:val="22"/>
      <w:u w:val="none"/>
    </w:rPr>
  </w:style>
  <w:style w:type="character" w:customStyle="1" w:styleId="20">
    <w:name w:val="NormalCharacter"/>
    <w:basedOn w:val="8"/>
    <w:link w:val="21"/>
    <w:semiHidden/>
    <w:qFormat/>
    <w:uiPriority w:val="0"/>
    <w:rPr>
      <w:rFonts w:ascii="楷体_GB2312" w:eastAsia="楷体_GB2312"/>
      <w:sz w:val="28"/>
    </w:rPr>
  </w:style>
  <w:style w:type="paragraph" w:customStyle="1" w:styleId="21">
    <w:name w:val="UserStyle_0"/>
    <w:basedOn w:val="1"/>
    <w:link w:val="20"/>
    <w:semiHidden/>
    <w:qFormat/>
    <w:uiPriority w:val="0"/>
    <w:pPr>
      <w:spacing w:line="540" w:lineRule="exact"/>
    </w:pPr>
    <w:rPr>
      <w:rFonts w:ascii="楷体_GB2312" w:hAnsi="Times New Roman" w:eastAsia="楷体_GB2312" w:cs="Times New Roman"/>
      <w:kern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BB91A-E125-47E2-A9EE-FF380F3C089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5647</Words>
  <Characters>6184</Characters>
  <Lines>40</Lines>
  <Paragraphs>11</Paragraphs>
  <TotalTime>8</TotalTime>
  <ScaleCrop>false</ScaleCrop>
  <LinksUpToDate>false</LinksUpToDate>
  <CharactersWithSpaces>6232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2024-01-31T02:32:00Z</dcterms:created>
  <dc:creator>薛永萍</dc:creator>
  <cp:lastModifiedBy>十七</cp:lastModifiedBy>
  <cp:lastPrinted>2023-02-20T03:15:00Z</cp:lastPrinted>
  <dcterms:modified xsi:type="dcterms:W3CDTF">2026-03-23T02:46:40Z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5EC7BAE967024D188B1642D24269376B_13</vt:lpwstr>
  </property>
  <property fmtid="{D5CDD505-2E9C-101B-9397-08002B2CF9AE}" pid="4" name="KSOTemplateDocerSaveRecord">
    <vt:lpwstr>eyJoZGlkIjoiZmE4MDlkNjgzYzNiMDg1MTk2MWU0MTIxMGZjNTA5MDYiLCJ1c2VySWQiOiIyNDE4NDQ2MDcifQ==</vt:lpwstr>
  </property>
</Properties>
</file>