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F9B7"/>
    <w:p w14:paraId="112DB40A"/>
    <w:p w14:paraId="0DF9628B"/>
    <w:p w14:paraId="42C17046"/>
    <w:p w14:paraId="598E8362">
      <w:pPr>
        <w:ind w:firstLine="1050" w:firstLineChars="500"/>
      </w:pPr>
    </w:p>
    <w:p w14:paraId="26455EE8">
      <w:pPr>
        <w:ind w:firstLine="1050" w:firstLineChars="500"/>
      </w:pPr>
    </w:p>
    <w:p w14:paraId="21A357BD">
      <w:pPr>
        <w:ind w:firstLine="1760" w:firstLineChars="400"/>
        <w:rPr>
          <w:rFonts w:ascii="黑体" w:hAnsi="黑体" w:eastAsia="黑体"/>
          <w:sz w:val="44"/>
          <w:szCs w:val="44"/>
        </w:rPr>
      </w:pPr>
    </w:p>
    <w:p w14:paraId="1382B6EF">
      <w:pPr>
        <w:ind w:firstLine="1760" w:firstLineChars="400"/>
        <w:rPr>
          <w:rFonts w:ascii="黑体" w:hAnsi="黑体" w:eastAsia="黑体"/>
          <w:sz w:val="44"/>
          <w:szCs w:val="44"/>
        </w:rPr>
      </w:pPr>
    </w:p>
    <w:p w14:paraId="5038A538">
      <w:pPr>
        <w:jc w:val="center"/>
        <w:rPr>
          <w:rFonts w:hint="eastAsia" w:ascii="黑体" w:hAnsi="黑体" w:eastAsia="黑体"/>
          <w:sz w:val="44"/>
          <w:szCs w:val="44"/>
        </w:rPr>
      </w:pPr>
      <w:r>
        <w:rPr>
          <w:rFonts w:hint="eastAsia" w:ascii="黑体" w:hAnsi="黑体" w:eastAsia="黑体"/>
          <w:sz w:val="44"/>
          <w:szCs w:val="44"/>
        </w:rPr>
        <w:t>汶川县民政局</w:t>
      </w:r>
    </w:p>
    <w:p w14:paraId="33442869">
      <w:pPr>
        <w:jc w:val="center"/>
        <w:rPr>
          <w:rFonts w:hint="default" w:ascii="黑体" w:hAnsi="黑体" w:eastAsia="黑体"/>
          <w:sz w:val="44"/>
          <w:szCs w:val="44"/>
          <w:lang w:val="en-US"/>
        </w:rPr>
      </w:pPr>
      <w:r>
        <w:rPr>
          <w:rFonts w:hint="eastAsia" w:ascii="黑体" w:hAnsi="黑体" w:eastAsia="黑体"/>
          <w:sz w:val="44"/>
          <w:szCs w:val="44"/>
          <w:lang w:eastAsia="zh-CN"/>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r>
        <w:rPr>
          <w:rFonts w:hint="eastAsia" w:ascii="黑体" w:hAnsi="黑体" w:eastAsia="黑体"/>
          <w:sz w:val="44"/>
          <w:szCs w:val="44"/>
          <w:lang w:val="en-US" w:eastAsia="zh-CN"/>
        </w:rPr>
        <w:t>公开编制说明（行政）</w:t>
      </w:r>
    </w:p>
    <w:p w14:paraId="117B56C3">
      <w:pPr>
        <w:ind w:firstLine="1760" w:firstLineChars="400"/>
        <w:rPr>
          <w:rFonts w:ascii="黑体" w:hAnsi="黑体" w:eastAsia="黑体"/>
          <w:sz w:val="44"/>
          <w:szCs w:val="44"/>
        </w:rPr>
      </w:pPr>
    </w:p>
    <w:p w14:paraId="419E66A7">
      <w:pPr>
        <w:ind w:firstLine="1760" w:firstLineChars="400"/>
        <w:rPr>
          <w:rFonts w:ascii="黑体" w:hAnsi="黑体" w:eastAsia="黑体"/>
          <w:sz w:val="44"/>
          <w:szCs w:val="44"/>
        </w:rPr>
      </w:pPr>
    </w:p>
    <w:p w14:paraId="2C63CA40">
      <w:pPr>
        <w:ind w:firstLine="1760" w:firstLineChars="400"/>
        <w:rPr>
          <w:rFonts w:ascii="黑体" w:hAnsi="黑体" w:eastAsia="黑体"/>
          <w:sz w:val="44"/>
          <w:szCs w:val="44"/>
        </w:rPr>
      </w:pPr>
    </w:p>
    <w:p w14:paraId="3D2BC519">
      <w:pPr>
        <w:ind w:firstLine="1760" w:firstLineChars="400"/>
        <w:rPr>
          <w:rFonts w:ascii="黑体" w:hAnsi="黑体" w:eastAsia="黑体"/>
          <w:sz w:val="44"/>
          <w:szCs w:val="44"/>
        </w:rPr>
      </w:pPr>
    </w:p>
    <w:p w14:paraId="3899EE19">
      <w:pPr>
        <w:ind w:firstLine="1760" w:firstLineChars="400"/>
        <w:rPr>
          <w:rFonts w:ascii="黑体" w:hAnsi="黑体" w:eastAsia="黑体"/>
          <w:sz w:val="44"/>
          <w:szCs w:val="44"/>
        </w:rPr>
      </w:pPr>
    </w:p>
    <w:p w14:paraId="56C7BC4B">
      <w:pPr>
        <w:ind w:firstLine="1760" w:firstLineChars="400"/>
        <w:rPr>
          <w:rFonts w:ascii="黑体" w:hAnsi="黑体" w:eastAsia="黑体"/>
          <w:sz w:val="44"/>
          <w:szCs w:val="44"/>
        </w:rPr>
      </w:pPr>
    </w:p>
    <w:p w14:paraId="26679822">
      <w:pPr>
        <w:ind w:firstLine="1760" w:firstLineChars="400"/>
        <w:rPr>
          <w:rFonts w:ascii="黑体" w:hAnsi="黑体" w:eastAsia="黑体"/>
          <w:sz w:val="44"/>
          <w:szCs w:val="44"/>
        </w:rPr>
      </w:pPr>
    </w:p>
    <w:p w14:paraId="6A4AA173">
      <w:pPr>
        <w:ind w:firstLine="1760" w:firstLineChars="400"/>
        <w:rPr>
          <w:rFonts w:ascii="黑体" w:hAnsi="黑体" w:eastAsia="黑体"/>
          <w:sz w:val="44"/>
          <w:szCs w:val="44"/>
        </w:rPr>
      </w:pPr>
    </w:p>
    <w:p w14:paraId="34E55D0C">
      <w:pPr>
        <w:ind w:firstLine="1760" w:firstLineChars="400"/>
        <w:rPr>
          <w:rFonts w:ascii="黑体" w:hAnsi="黑体" w:eastAsia="黑体"/>
          <w:sz w:val="44"/>
          <w:szCs w:val="44"/>
        </w:rPr>
      </w:pPr>
    </w:p>
    <w:p w14:paraId="5662A25A">
      <w:pPr>
        <w:ind w:firstLine="1760" w:firstLineChars="400"/>
        <w:rPr>
          <w:rFonts w:ascii="黑体" w:hAnsi="黑体" w:eastAsia="黑体"/>
          <w:sz w:val="44"/>
          <w:szCs w:val="44"/>
        </w:rPr>
      </w:pPr>
    </w:p>
    <w:p w14:paraId="412FB81A">
      <w:pPr>
        <w:jc w:val="center"/>
        <w:rPr>
          <w:rFonts w:ascii="黑体" w:hAnsi="黑体" w:eastAsia="黑体"/>
          <w:sz w:val="32"/>
          <w:szCs w:val="32"/>
        </w:rPr>
      </w:pP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14:paraId="0B224307">
      <w:pPr>
        <w:ind w:firstLine="1760" w:firstLineChars="400"/>
        <w:rPr>
          <w:rFonts w:ascii="黑体" w:hAnsi="黑体" w:eastAsia="黑体"/>
          <w:sz w:val="44"/>
          <w:szCs w:val="44"/>
        </w:rPr>
      </w:pPr>
    </w:p>
    <w:p w14:paraId="47118103">
      <w:pPr>
        <w:ind w:firstLine="1760" w:firstLineChars="400"/>
        <w:rPr>
          <w:rFonts w:ascii="黑体" w:hAnsi="黑体" w:eastAsia="黑体"/>
          <w:sz w:val="44"/>
          <w:szCs w:val="44"/>
        </w:rPr>
      </w:pPr>
    </w:p>
    <w:p w14:paraId="4EDCA201">
      <w:pPr>
        <w:ind w:firstLine="1760" w:firstLineChars="400"/>
        <w:rPr>
          <w:rFonts w:ascii="黑体" w:hAnsi="黑体" w:eastAsia="黑体"/>
          <w:sz w:val="44"/>
          <w:szCs w:val="44"/>
        </w:rPr>
      </w:pPr>
    </w:p>
    <w:p w14:paraId="4A7E9899">
      <w:pPr>
        <w:ind w:firstLine="1760" w:firstLineChars="400"/>
        <w:rPr>
          <w:rFonts w:ascii="黑体" w:hAnsi="黑体" w:eastAsia="黑体"/>
          <w:sz w:val="44"/>
          <w:szCs w:val="44"/>
        </w:rPr>
      </w:pPr>
    </w:p>
    <w:p w14:paraId="672EFA9C">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35B799F">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E013BEA">
      <w:pPr>
        <w:keepNext w:val="0"/>
        <w:keepLines w:val="0"/>
        <w:pageBreakBefore w:val="0"/>
        <w:kinsoku/>
        <w:wordWrap/>
        <w:overflowPunct/>
        <w:topLinePunct w:val="0"/>
        <w:autoSpaceDE/>
        <w:autoSpaceDN/>
        <w:bidi w:val="0"/>
        <w:spacing w:line="560" w:lineRule="exact"/>
        <w:rPr>
          <w:rFonts w:ascii="黑体" w:hAnsi="黑体" w:eastAsia="黑体"/>
          <w:sz w:val="44"/>
          <w:szCs w:val="44"/>
        </w:rPr>
      </w:pPr>
    </w:p>
    <w:p w14:paraId="4AE27613">
      <w:pPr>
        <w:keepNext w:val="0"/>
        <w:keepLines w:val="0"/>
        <w:pageBreakBefore w:val="0"/>
        <w:kinsoku/>
        <w:wordWrap/>
        <w:overflowPunct/>
        <w:topLinePunct w:val="0"/>
        <w:autoSpaceDE/>
        <w:autoSpaceDN/>
        <w:bidi w:val="0"/>
        <w:spacing w:line="560" w:lineRule="exact"/>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14:paraId="3659CBB2">
      <w:pPr>
        <w:keepNext w:val="0"/>
        <w:keepLines w:val="0"/>
        <w:pageBreakBefore w:val="0"/>
        <w:kinsoku/>
        <w:wordWrap/>
        <w:overflowPunct/>
        <w:topLinePunct w:val="0"/>
        <w:autoSpaceDE/>
        <w:autoSpaceDN/>
        <w:bidi w:val="0"/>
        <w:spacing w:line="560" w:lineRule="exact"/>
        <w:ind w:firstLine="3080" w:firstLineChars="700"/>
        <w:rPr>
          <w:rFonts w:ascii="黑体" w:hAnsi="黑体" w:eastAsia="黑体"/>
          <w:sz w:val="44"/>
          <w:szCs w:val="44"/>
        </w:rPr>
      </w:pPr>
    </w:p>
    <w:p w14:paraId="7B0E95A0">
      <w:pPr>
        <w:pStyle w:val="21"/>
        <w:keepNext w:val="0"/>
        <w:keepLines w:val="0"/>
        <w:pageBreakBefore w:val="0"/>
        <w:numPr>
          <w:ilvl w:val="0"/>
          <w:numId w:val="1"/>
        </w:numPr>
        <w:kinsoku/>
        <w:wordWrap/>
        <w:overflowPunct/>
        <w:topLinePunct w:val="0"/>
        <w:autoSpaceDE/>
        <w:autoSpaceDN/>
        <w:bidi w:val="0"/>
        <w:spacing w:line="560" w:lineRule="exact"/>
        <w:ind w:firstLineChars="0"/>
        <w:rPr>
          <w:rFonts w:ascii="黑体" w:hAnsi="黑体" w:eastAsia="黑体"/>
          <w:sz w:val="32"/>
          <w:szCs w:val="32"/>
        </w:rPr>
      </w:pPr>
      <w:r>
        <w:rPr>
          <w:rFonts w:hint="eastAsia" w:ascii="黑体" w:hAnsi="黑体" w:eastAsia="黑体"/>
          <w:sz w:val="32"/>
          <w:szCs w:val="32"/>
        </w:rPr>
        <w:t>基本职能及主要工作</w:t>
      </w:r>
    </w:p>
    <w:p w14:paraId="2AF7FA5B">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（一）部门职能简介</w:t>
      </w:r>
    </w:p>
    <w:p w14:paraId="63783E52">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202</w:t>
      </w:r>
      <w:r>
        <w:rPr>
          <w:rFonts w:hint="eastAsia" w:ascii="楷体" w:hAnsi="楷体" w:eastAsia="楷体" w:cs="楷体"/>
          <w:sz w:val="32"/>
          <w:szCs w:val="32"/>
          <w:lang w:val="en-US" w:eastAsia="zh-CN"/>
        </w:rPr>
        <w:t>6</w:t>
      </w:r>
      <w:r>
        <w:rPr>
          <w:rFonts w:hint="eastAsia" w:ascii="楷体" w:hAnsi="楷体" w:eastAsia="楷体" w:cs="楷体"/>
          <w:sz w:val="32"/>
          <w:szCs w:val="32"/>
        </w:rPr>
        <w:t>年重点工作</w:t>
      </w:r>
    </w:p>
    <w:p w14:paraId="6FA0ACB9">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二、部门预算单位构成</w:t>
      </w:r>
    </w:p>
    <w:p w14:paraId="102CCA3A">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三、收支预算情况说明</w:t>
      </w:r>
    </w:p>
    <w:p w14:paraId="59E4E6B3">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（一）收入预算情况</w:t>
      </w:r>
    </w:p>
    <w:p w14:paraId="68926FA3">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（二）支出预算情况</w:t>
      </w:r>
    </w:p>
    <w:p w14:paraId="6F3892D2">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四、财政拨款收支预算情况说明</w:t>
      </w:r>
    </w:p>
    <w:p w14:paraId="0C9F78DF">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五、一般公共预算当年拨款情况说明</w:t>
      </w:r>
    </w:p>
    <w:p w14:paraId="2FEBBDF0">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楷体" w:hAnsi="楷体" w:eastAsia="楷体" w:cs="楷体"/>
          <w:sz w:val="32"/>
          <w:szCs w:val="32"/>
        </w:rPr>
        <w:t>（一）一般公共预算当年拨款规模变化情况</w:t>
      </w:r>
      <w:r>
        <w:rPr>
          <w:rFonts w:ascii="楷体" w:hAnsi="楷体" w:eastAsia="楷体" w:cs="楷体"/>
          <w:sz w:val="32"/>
          <w:szCs w:val="32"/>
        </w:rPr>
        <w:br w:type="textWrapping"/>
      </w:r>
      <w:r>
        <w:rPr>
          <w:rFonts w:hint="eastAsia" w:ascii="楷体" w:hAnsi="楷体" w:eastAsia="楷体" w:cs="楷体"/>
          <w:sz w:val="32"/>
          <w:szCs w:val="32"/>
        </w:rPr>
        <w:t>（二）一般公共预算当年拨款结构情况</w:t>
      </w:r>
      <w:r>
        <w:rPr>
          <w:rFonts w:ascii="楷体" w:hAnsi="楷体" w:eastAsia="楷体" w:cs="楷体"/>
          <w:sz w:val="32"/>
          <w:szCs w:val="32"/>
        </w:rPr>
        <w:br w:type="textWrapping"/>
      </w:r>
      <w:r>
        <w:rPr>
          <w:rFonts w:hint="eastAsia" w:ascii="楷体" w:hAnsi="楷体" w:eastAsia="楷体" w:cs="楷体"/>
          <w:sz w:val="32"/>
          <w:szCs w:val="32"/>
        </w:rPr>
        <w:t>（三）一般公共预算当年拨款具体使用情况</w:t>
      </w:r>
      <w:r>
        <w:rPr>
          <w:rFonts w:ascii="楷体" w:hAnsi="楷体" w:eastAsia="楷体" w:cs="楷体"/>
          <w:kern w:val="0"/>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tbl>
      <w:tblPr>
        <w:tblStyle w:val="12"/>
        <w:tblpPr w:leftFromText="30" w:rightFromText="230" w:vertAnchor="text" w:tblpXSpec="right" w:tblpYSpec="center"/>
        <w:tblW w:w="95" w:type="dxa"/>
        <w:tblCellSpacing w:w="15" w:type="dxa"/>
        <w:tblInd w:w="0" w:type="dxa"/>
        <w:tblLayout w:type="fixed"/>
        <w:tblCellMar>
          <w:top w:w="15" w:type="dxa"/>
          <w:left w:w="15" w:type="dxa"/>
          <w:bottom w:w="15" w:type="dxa"/>
          <w:right w:w="15" w:type="dxa"/>
        </w:tblCellMar>
      </w:tblPr>
      <w:tblGrid>
        <w:gridCol w:w="95"/>
      </w:tblGrid>
      <w:tr w14:paraId="2FF931F9">
        <w:tblPrEx>
          <w:tblCellMar>
            <w:top w:w="15" w:type="dxa"/>
            <w:left w:w="15" w:type="dxa"/>
            <w:bottom w:w="15" w:type="dxa"/>
            <w:right w:w="15" w:type="dxa"/>
          </w:tblCellMar>
        </w:tblPrEx>
        <w:trPr>
          <w:tblCellSpacing w:w="15" w:type="dxa"/>
        </w:trPr>
        <w:tc>
          <w:tcPr>
            <w:tcW w:w="35" w:type="dxa"/>
            <w:vAlign w:val="center"/>
          </w:tcPr>
          <w:p w14:paraId="2DB4088B">
            <w:pPr>
              <w:keepNext w:val="0"/>
              <w:keepLines w:val="0"/>
              <w:pageBreakBefore w:val="0"/>
              <w:widowControl/>
              <w:kinsoku/>
              <w:wordWrap/>
              <w:overflowPunct/>
              <w:topLinePunct w:val="0"/>
              <w:autoSpaceDE/>
              <w:autoSpaceDN/>
              <w:bidi w:val="0"/>
              <w:spacing w:line="560" w:lineRule="exact"/>
              <w:jc w:val="center"/>
              <w:rPr>
                <w:rFonts w:ascii="??" w:hAnsi="??" w:cs="宋体"/>
                <w:kern w:val="0"/>
                <w:sz w:val="12"/>
                <w:szCs w:val="12"/>
              </w:rPr>
            </w:pPr>
          </w:p>
        </w:tc>
      </w:tr>
    </w:tbl>
    <w:p w14:paraId="129F6AE3">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rPr>
          <w:rFonts w:hint="eastAsia" w:hAnsi="仿宋_GB2312" w:cs="仿宋_GB2312"/>
          <w:b/>
          <w:bCs/>
          <w:sz w:val="32"/>
          <w:szCs w:val="32"/>
        </w:rPr>
      </w:pPr>
    </w:p>
    <w:p w14:paraId="582EDAA5">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rPr>
          <w:rFonts w:hint="eastAsia" w:hAnsi="仿宋_GB2312" w:cs="仿宋_GB2312"/>
          <w:b/>
          <w:bCs/>
          <w:sz w:val="32"/>
          <w:szCs w:val="32"/>
        </w:rPr>
      </w:pPr>
    </w:p>
    <w:p w14:paraId="1FC6CB85">
      <w:pPr>
        <w:keepNext w:val="0"/>
        <w:keepLines w:val="0"/>
        <w:pageBreakBefore w:val="0"/>
        <w:kinsoku/>
        <w:wordWrap/>
        <w:overflowPunct/>
        <w:topLinePunct w:val="0"/>
        <w:autoSpaceDE/>
        <w:autoSpaceDN/>
        <w:bidi w:val="0"/>
        <w:spacing w:line="560" w:lineRule="exact"/>
        <w:ind w:firstLine="482" w:firstLineChars="150"/>
        <w:rPr>
          <w:rFonts w:ascii="仿宋_GB2312" w:hAnsi="仿宋" w:eastAsia="仿宋_GB2312"/>
          <w:sz w:val="32"/>
        </w:rPr>
      </w:pPr>
      <w:r>
        <w:rPr>
          <w:rFonts w:hint="eastAsia" w:ascii="黑体" w:hAnsi="黑体" w:eastAsia="黑体" w:cs="黑体"/>
          <w:b/>
          <w:bCs/>
          <w:sz w:val="32"/>
          <w:szCs w:val="32"/>
        </w:rPr>
        <w:t>一、基本职能及主要工作</w:t>
      </w:r>
      <w:r>
        <w:rPr>
          <w:rFonts w:hAnsi="仿宋_GB2312" w:cs="仿宋_GB2312"/>
          <w:sz w:val="32"/>
          <w:szCs w:val="32"/>
        </w:rPr>
        <w:br w:type="textWrapping"/>
      </w:r>
      <w:r>
        <w:rPr>
          <w:rFonts w:hint="eastAsia" w:hAnsi="仿宋_GB2312" w:cs="仿宋_GB2312"/>
          <w:sz w:val="32"/>
          <w:szCs w:val="32"/>
        </w:rPr>
        <w:t>　</w:t>
      </w:r>
      <w:r>
        <w:rPr>
          <w:rFonts w:hint="eastAsia" w:ascii="仿宋_GB2312" w:hAnsi="仿宋" w:eastAsia="仿宋_GB2312"/>
          <w:sz w:val="32"/>
        </w:rPr>
        <w:t>汶川县民政局内设机构</w:t>
      </w:r>
      <w:r>
        <w:rPr>
          <w:rFonts w:hint="eastAsia" w:ascii="仿宋_GB2312" w:hAnsi="仿宋" w:eastAsia="仿宋_GB2312"/>
          <w:sz w:val="32"/>
          <w:lang w:val="en-US" w:eastAsia="zh-CN"/>
        </w:rPr>
        <w:t>5</w:t>
      </w:r>
      <w:r>
        <w:rPr>
          <w:rFonts w:hint="eastAsia" w:ascii="仿宋_GB2312" w:hAnsi="仿宋" w:eastAsia="仿宋_GB2312"/>
          <w:sz w:val="32"/>
        </w:rPr>
        <w:t>个，</w:t>
      </w:r>
      <w:r>
        <w:rPr>
          <w:rFonts w:hint="eastAsia" w:ascii="仿宋_GB2312" w:hAnsi="仿宋" w:eastAsia="仿宋_GB2312"/>
          <w:sz w:val="32"/>
          <w:lang w:val="en-US" w:eastAsia="zh-CN"/>
        </w:rPr>
        <w:t>26</w:t>
      </w:r>
      <w:r>
        <w:rPr>
          <w:rFonts w:hint="eastAsia" w:ascii="仿宋_GB2312" w:hAnsi="仿宋" w:eastAsia="仿宋_GB2312"/>
          <w:sz w:val="32"/>
        </w:rPr>
        <w:t>人，内设有办公室</w:t>
      </w:r>
      <w:r>
        <w:rPr>
          <w:rFonts w:hint="eastAsia" w:ascii="仿宋_GB2312" w:hAnsi="仿宋" w:eastAsia="仿宋_GB2312"/>
          <w:sz w:val="32"/>
          <w:lang w:eastAsia="zh-CN"/>
        </w:rPr>
        <w:t>、</w:t>
      </w:r>
      <w:r>
        <w:rPr>
          <w:rFonts w:hint="eastAsia" w:ascii="仿宋_GB2312" w:hAnsi="仿宋" w:eastAsia="仿宋_GB2312"/>
          <w:sz w:val="32"/>
        </w:rPr>
        <w:t>社会救助股、</w:t>
      </w:r>
      <w:r>
        <w:rPr>
          <w:rFonts w:hint="eastAsia" w:ascii="仿宋_GB2312" w:hAnsi="仿宋" w:eastAsia="仿宋_GB2312"/>
          <w:sz w:val="32"/>
          <w:lang w:eastAsia="zh-CN"/>
        </w:rPr>
        <w:t>老龄和养老服务</w:t>
      </w:r>
      <w:r>
        <w:rPr>
          <w:rFonts w:hint="eastAsia" w:ascii="仿宋_GB2312" w:hAnsi="仿宋" w:eastAsia="仿宋_GB2312"/>
          <w:sz w:val="32"/>
        </w:rPr>
        <w:t>股、</w:t>
      </w:r>
      <w:r>
        <w:rPr>
          <w:rFonts w:hint="eastAsia" w:ascii="仿宋_GB2312" w:hAnsi="仿宋" w:eastAsia="仿宋_GB2312"/>
          <w:sz w:val="32"/>
          <w:lang w:eastAsia="zh-CN"/>
        </w:rPr>
        <w:t>慈善和儿童保障</w:t>
      </w:r>
      <w:r>
        <w:rPr>
          <w:rFonts w:hint="eastAsia" w:ascii="仿宋_GB2312" w:hAnsi="仿宋" w:eastAsia="仿宋_GB2312"/>
          <w:sz w:val="32"/>
        </w:rPr>
        <w:t>股、社会事务</w:t>
      </w:r>
      <w:r>
        <w:rPr>
          <w:rFonts w:hint="eastAsia" w:ascii="仿宋_GB2312" w:hAnsi="仿宋" w:eastAsia="仿宋_GB2312"/>
          <w:sz w:val="32"/>
          <w:lang w:eastAsia="zh-CN"/>
        </w:rPr>
        <w:t>和</w:t>
      </w:r>
      <w:r>
        <w:rPr>
          <w:rFonts w:hint="eastAsia" w:ascii="仿宋_GB2312" w:hAnsi="仿宋" w:eastAsia="仿宋_GB2312"/>
          <w:sz w:val="32"/>
        </w:rPr>
        <w:t>区划地名股。</w:t>
      </w:r>
    </w:p>
    <w:p w14:paraId="1C8C1394">
      <w:pPr>
        <w:keepNext w:val="0"/>
        <w:keepLines w:val="0"/>
        <w:pageBreakBefore w:val="0"/>
        <w:numPr>
          <w:ilvl w:val="0"/>
          <w:numId w:val="0"/>
        </w:numPr>
        <w:kinsoku/>
        <w:wordWrap/>
        <w:overflowPunct/>
        <w:topLinePunct w:val="0"/>
        <w:autoSpaceDE/>
        <w:autoSpaceDN/>
        <w:bidi w:val="0"/>
        <w:spacing w:line="560" w:lineRule="exact"/>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lang w:val="en-US" w:eastAsia="zh-CN"/>
        </w:rPr>
        <w:t>1.</w:t>
      </w:r>
      <w:r>
        <w:rPr>
          <w:rFonts w:hint="eastAsia" w:ascii="仿宋_GB2312" w:hAnsi="宋体" w:eastAsia="仿宋_GB2312" w:cs="宋体"/>
          <w:b/>
          <w:sz w:val="32"/>
          <w:szCs w:val="32"/>
        </w:rPr>
        <w:t>办公室</w:t>
      </w:r>
    </w:p>
    <w:p w14:paraId="45BAE761">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rPr>
      </w:pPr>
      <w:r>
        <w:rPr>
          <w:rFonts w:hint="eastAsia" w:ascii="仿宋_GB2312" w:hAnsi="仿宋" w:eastAsia="仿宋_GB2312"/>
          <w:sz w:val="32"/>
        </w:rPr>
        <w:t>负责机关日常运转，承担文秘、信息、宣传、政务公开、信访、综治维稳、会务、机要、保密、档案、安全、后勤等工作。组织起草综合性材料。负责人大政协建议提案、领导重要批示件督办工作。组织拟订民政事业发展规划编制和执行情况的监督检查工作。负责局机关和所属单位机构编制、人事管理、干部培训等工作。负责局机关离退休干部服务管理工作。负责民政法制宣传、教育和培训。负责监督检查政策的执行情况；承担相关行政复议、行政应诉和重要文稿的起草、审核工作。承担机关有关规范性文件合法性审核工作。指导监督党建和党风廉政建设工作。负责全县民政业务综合统计工作。</w:t>
      </w:r>
    </w:p>
    <w:p w14:paraId="4690F175">
      <w:pPr>
        <w:keepNext w:val="0"/>
        <w:keepLines w:val="0"/>
        <w:pageBreakBefore w:val="0"/>
        <w:numPr>
          <w:ilvl w:val="0"/>
          <w:numId w:val="2"/>
        </w:numPr>
        <w:kinsoku/>
        <w:wordWrap/>
        <w:overflowPunct/>
        <w:topLinePunct w:val="0"/>
        <w:autoSpaceDE/>
        <w:autoSpaceDN/>
        <w:bidi w:val="0"/>
        <w:spacing w:line="56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社会救助股</w:t>
      </w:r>
    </w:p>
    <w:p w14:paraId="5B784816">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rPr>
      </w:pPr>
      <w:r>
        <w:rPr>
          <w:rFonts w:hint="eastAsia" w:ascii="仿宋_GB2312" w:hAnsi="仿宋" w:eastAsia="仿宋_GB2312"/>
          <w:sz w:val="32"/>
        </w:rPr>
        <w:t>拟订全县社会救助规划、政策措施并监督实施，统筹推进社会救助体系建设，负责城乡居民最低生活保障、特困人员供养、特困人员救助供养、残疾人两项补贴、临时救助和生活无着流浪乞讨人员救助工作。承办中央和省、州、县级财政困难群众救助补助资金分配和监管工作。参与拟订医疗、住房、教育、就业、司法等救助相关办法。指导开展最低生活保障、特困人员供养、临时救助等社会救助工作中居民家庭经济状况核对工作。指导并监督生活无着流浪乞讨人员救助管理机构管理工作，协调跨县（市）生活无着流浪乞讨人员救助事务，指导开展家庭暴力受害人临时庇护救助工作。负责二十世纪六十年代初精简退职老职工生活困难救济工作。</w:t>
      </w:r>
    </w:p>
    <w:p w14:paraId="1243E582">
      <w:pPr>
        <w:keepNext w:val="0"/>
        <w:keepLines w:val="0"/>
        <w:pageBreakBefore w:val="0"/>
        <w:kinsoku/>
        <w:wordWrap/>
        <w:overflowPunct/>
        <w:topLinePunct w:val="0"/>
        <w:autoSpaceDE/>
        <w:autoSpaceDN/>
        <w:bidi w:val="0"/>
        <w:spacing w:line="560" w:lineRule="exact"/>
        <w:ind w:firstLine="643" w:firstLineChars="200"/>
        <w:rPr>
          <w:rFonts w:ascii="仿宋_GB2312" w:hAnsi="楷体" w:eastAsia="仿宋_GB2312" w:cs="仿宋_GB2312"/>
          <w:b/>
          <w:bCs/>
          <w:sz w:val="32"/>
          <w:szCs w:val="32"/>
        </w:rPr>
      </w:pPr>
      <w:r>
        <w:rPr>
          <w:rFonts w:hint="eastAsia" w:ascii="仿宋_GB2312" w:hAnsi="楷体" w:eastAsia="仿宋_GB2312" w:cs="仿宋_GB2312"/>
          <w:b/>
          <w:bCs/>
          <w:sz w:val="32"/>
          <w:szCs w:val="32"/>
          <w:lang w:val="en-US" w:eastAsia="zh-CN"/>
        </w:rPr>
        <w:t>3</w:t>
      </w:r>
      <w:r>
        <w:rPr>
          <w:rFonts w:ascii="仿宋_GB2312" w:hAnsi="楷体" w:eastAsia="仿宋_GB2312" w:cs="仿宋_GB2312"/>
          <w:b/>
          <w:bCs/>
          <w:sz w:val="32"/>
          <w:szCs w:val="32"/>
        </w:rPr>
        <w:t>.</w:t>
      </w:r>
      <w:r>
        <w:rPr>
          <w:rFonts w:hint="eastAsia" w:ascii="仿宋_GB2312" w:hAnsi="楷体" w:eastAsia="仿宋_GB2312" w:cs="仿宋_GB2312"/>
          <w:b/>
          <w:bCs/>
          <w:sz w:val="32"/>
          <w:szCs w:val="32"/>
          <w:lang w:eastAsia="zh-CN"/>
        </w:rPr>
        <w:t>老龄和养老服务</w:t>
      </w:r>
      <w:r>
        <w:rPr>
          <w:rFonts w:hint="eastAsia" w:ascii="仿宋_GB2312" w:hAnsi="楷体" w:eastAsia="仿宋_GB2312" w:cs="仿宋_GB2312"/>
          <w:b/>
          <w:bCs/>
          <w:sz w:val="32"/>
          <w:szCs w:val="32"/>
        </w:rPr>
        <w:t>股</w:t>
      </w:r>
    </w:p>
    <w:p w14:paraId="65F5DB56">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负责社会组织监督管理政策实施，按照权限依法对社会组织进行登记管理和执法监督，引导社会组织健康有序发展。负责本级社会组织年检、培训、信息管理和执法监督工作。负责全县城乡养老服务体系建设规划、政策、标准和婚姻管理政策等并组织实施。负责全县老年人福利补贴制度和老年人权益保障政策并组织实施。承担老年人福利和特殊困难老年人救助、帮扶和关爱工作，协调推进农村留守老年人关爱服务工作。指导并监督养老服务、老年人福利、婚姻登记、等机构（机关）管理工作。承担城乡老年社会组织管理工作，组织开展老年人教育和敬老、孝老、爱老宣传工作。推进婚俗改革。承担全县婚姻登记信息管理工作。承担养老服务机构安全生产监督管理工作。负责殡葬管理政策、殡葬服务规范等并组织实施，承担殡葬服务机构日常监督管理工作，推进殡葬改革。</w:t>
      </w:r>
    </w:p>
    <w:p w14:paraId="539B406A">
      <w:pPr>
        <w:keepNext w:val="0"/>
        <w:keepLines w:val="0"/>
        <w:pageBreakBefore w:val="0"/>
        <w:kinsoku/>
        <w:wordWrap/>
        <w:overflowPunct/>
        <w:topLinePunct w:val="0"/>
        <w:autoSpaceDE/>
        <w:autoSpaceDN/>
        <w:bidi w:val="0"/>
        <w:spacing w:line="560" w:lineRule="exact"/>
        <w:ind w:firstLine="643" w:firstLineChars="200"/>
        <w:jc w:val="left"/>
        <w:textAlignment w:val="bottom"/>
        <w:rPr>
          <w:rFonts w:ascii="仿宋_GB2312" w:hAnsi="楷体" w:eastAsia="仿宋_GB2312" w:cs="仿宋_GB2312"/>
          <w:b/>
          <w:kern w:val="0"/>
          <w:sz w:val="32"/>
          <w:szCs w:val="32"/>
        </w:rPr>
      </w:pPr>
      <w:r>
        <w:rPr>
          <w:rFonts w:hint="eastAsia" w:ascii="仿宋_GB2312" w:hAnsi="楷体" w:eastAsia="仿宋_GB2312" w:cs="仿宋_GB2312"/>
          <w:b/>
          <w:kern w:val="0"/>
          <w:sz w:val="32"/>
          <w:szCs w:val="32"/>
          <w:lang w:val="en-US" w:eastAsia="zh-CN"/>
        </w:rPr>
        <w:t>4</w:t>
      </w:r>
      <w:r>
        <w:rPr>
          <w:rFonts w:ascii="仿宋_GB2312" w:hAnsi="楷体" w:eastAsia="仿宋_GB2312" w:cs="仿宋_GB2312"/>
          <w:b/>
          <w:kern w:val="0"/>
          <w:sz w:val="32"/>
          <w:szCs w:val="32"/>
        </w:rPr>
        <w:t>.</w:t>
      </w:r>
      <w:r>
        <w:rPr>
          <w:rFonts w:hint="eastAsia" w:ascii="仿宋_GB2312" w:hAnsi="楷体" w:eastAsia="仿宋_GB2312" w:cs="仿宋_GB2312"/>
          <w:b/>
          <w:kern w:val="0"/>
          <w:sz w:val="32"/>
          <w:szCs w:val="32"/>
        </w:rPr>
        <w:t>慈善和儿童保障股</w:t>
      </w:r>
    </w:p>
    <w:p w14:paraId="53FE764A">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负责全县儿童福利、孤弃儿童保障、儿童收养、儿童救助保护政策和标准并组织实施。健全农村留守儿童关爱服务体系和困境儿童保障制度。指导并监督儿童福利、收养登记、流浪未成年人救助保护机构管理工作。负责全县残疾人和其他特殊困难群体福利事业发展规划、政策、标准并组织实施。拟订社会福利机构管理办法、残疾人权益保护政策并组织实施。牵头推进精神障碍社区康复工作。承担儿童福利、流浪</w:t>
      </w:r>
    </w:p>
    <w:p w14:paraId="5944D73A">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未成年人救助保护机构安全生产监督管理工作。拟订促进慈善事业发展政策和慈善信托、慈善组织及其活动管理办法，指导社会捐助工作。拟订社会工作、志愿服务政策和标准，组织推进社会工作人才队伍和志愿者队伍建设，推动社会工作和志愿服务健康发展。</w:t>
      </w:r>
    </w:p>
    <w:p w14:paraId="3D17C48A">
      <w:pPr>
        <w:keepNext w:val="0"/>
        <w:keepLines w:val="0"/>
        <w:pageBreakBefore w:val="0"/>
        <w:numPr>
          <w:ilvl w:val="0"/>
          <w:numId w:val="0"/>
        </w:numPr>
        <w:kinsoku/>
        <w:wordWrap/>
        <w:overflowPunct/>
        <w:topLinePunct w:val="0"/>
        <w:autoSpaceDE/>
        <w:autoSpaceDN/>
        <w:bidi w:val="0"/>
        <w:spacing w:line="560" w:lineRule="exact"/>
        <w:ind w:firstLine="643" w:firstLineChars="200"/>
        <w:jc w:val="left"/>
        <w:textAlignment w:val="bottom"/>
        <w:rPr>
          <w:rFonts w:hint="eastAsia" w:ascii="仿宋_GB2312" w:hAnsi="楷体" w:eastAsia="仿宋_GB2312" w:cs="仿宋_GB2312"/>
          <w:b/>
          <w:kern w:val="0"/>
          <w:sz w:val="32"/>
          <w:szCs w:val="32"/>
          <w:lang w:val="en-US" w:eastAsia="zh-CN"/>
        </w:rPr>
      </w:pPr>
      <w:r>
        <w:rPr>
          <w:rFonts w:hint="eastAsia" w:ascii="仿宋_GB2312" w:hAnsi="楷体" w:eastAsia="仿宋_GB2312" w:cs="仿宋_GB2312"/>
          <w:b/>
          <w:kern w:val="0"/>
          <w:sz w:val="32"/>
          <w:szCs w:val="32"/>
          <w:lang w:val="en-US" w:eastAsia="zh-CN"/>
        </w:rPr>
        <w:t>5.社会服务和区划地名股</w:t>
      </w:r>
    </w:p>
    <w:p w14:paraId="5F9320C5">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负责提出行政区划、地名管理、行政区域界线管理总体方案和体制改革建议；负责行政区域的设立、撤销调整及政府驻地迁移和行政区划名称的审核申报；推行城乡地名标牌国家标准，规范、管理全县地名标志的设置；开展实施地名工作，组织地名调查；组织、协调和县、乡（镇）行政区域界线的勘定。</w:t>
      </w:r>
    </w:p>
    <w:p w14:paraId="2AC66395">
      <w:pPr>
        <w:keepNext w:val="0"/>
        <w:keepLines w:val="0"/>
        <w:pageBreakBefore w:val="0"/>
        <w:numPr>
          <w:ilvl w:val="0"/>
          <w:numId w:val="3"/>
        </w:numPr>
        <w:kinsoku/>
        <w:wordWrap/>
        <w:overflowPunct/>
        <w:topLinePunct w:val="0"/>
        <w:autoSpaceDE/>
        <w:autoSpaceDN/>
        <w:bidi w:val="0"/>
        <w:snapToGrid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民政局</w:t>
      </w:r>
      <w:r>
        <w:rPr>
          <w:rFonts w:ascii="楷体" w:hAnsi="楷体" w:eastAsia="楷体" w:cs="楷体"/>
          <w:sz w:val="32"/>
          <w:szCs w:val="32"/>
        </w:rPr>
        <w:t>20</w:t>
      </w:r>
      <w:r>
        <w:rPr>
          <w:rFonts w:hint="eastAsia" w:ascii="楷体" w:hAnsi="楷体" w:eastAsia="楷体" w:cs="楷体"/>
          <w:sz w:val="32"/>
          <w:szCs w:val="32"/>
          <w:lang w:val="en-US" w:eastAsia="zh-CN"/>
        </w:rPr>
        <w:t>26</w:t>
      </w:r>
      <w:r>
        <w:rPr>
          <w:rFonts w:hint="eastAsia" w:ascii="楷体" w:hAnsi="楷体" w:eastAsia="楷体" w:cs="楷体"/>
          <w:sz w:val="32"/>
          <w:szCs w:val="32"/>
        </w:rPr>
        <w:t>年重点工作</w:t>
      </w:r>
    </w:p>
    <w:p w14:paraId="79A8DFA8">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1.切实兜牢兜准兜实民生底线。全面履行社会救助兜底保障政治责任，落实落细各项兜底保障政策，强化低收入人口动态监测，加强残疾人服务保障。</w:t>
      </w:r>
    </w:p>
    <w:p w14:paraId="4EA25328">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2.抓实整治殡葬领域腐败乱象专项行动。围绕“殡葬服务工作人员作风建设、殡葬服务机构乱收费、殡葬服务商垄断服务、公益性墓地违规销售”等重点问题开展专项整治，推进殡葬领域问题清仓见底，确保殡葬行业风清气正。</w:t>
      </w:r>
    </w:p>
    <w:p w14:paraId="66305263">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3.推动老龄与养老工作高质量发展。发挥综合协调、督促指导老龄工作牵头职能，推进积极应对人口老龄化重点任务，健全养老服务体系，持续优化养老服务供给。</w:t>
      </w:r>
    </w:p>
    <w:p w14:paraId="1B79690B">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4.促进社会事务提质增效。加强困境儿童、流动儿童和留守儿童关爱服务，推进社会组织健康有序发展，优化婚姻管理服务。加快推进乡村著名行动，加大地名保护名录申报。</w:t>
      </w:r>
    </w:p>
    <w:p w14:paraId="2E16765D">
      <w:pPr>
        <w:keepNext w:val="0"/>
        <w:keepLines w:val="0"/>
        <w:pageBreakBefore w:val="0"/>
        <w:kinsoku/>
        <w:wordWrap/>
        <w:overflowPunct/>
        <w:topLinePunct w:val="0"/>
        <w:autoSpaceDE/>
        <w:autoSpaceDN/>
        <w:bidi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二、部门预算单位构成</w:t>
      </w:r>
    </w:p>
    <w:p w14:paraId="7FCC544B">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1、机构人员情况。</w:t>
      </w:r>
    </w:p>
    <w:p w14:paraId="2EDBFB3E">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编制数：行政编制数9人，其中：政府机关人员7人，工勤人员2人；事业编制17人，其中：事业干部编制15人，工勤人员2人。</w:t>
      </w:r>
    </w:p>
    <w:p w14:paraId="61BDF404">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 2025年底在职人数25人，其中行政编制6人，机关工勤人员3人；2025年末民政事务中心在职人数16人，含殡葬服务中心3人，民政事务中心7人，福利中心事业编制6人。</w:t>
      </w:r>
    </w:p>
    <w:p w14:paraId="44A27BBE">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lang w:val="en-US" w:eastAsia="zh-CN"/>
        </w:rPr>
      </w:pPr>
      <w:r>
        <w:rPr>
          <w:rFonts w:hint="eastAsia" w:ascii="仿宋_GB2312" w:hAnsi="仿宋" w:eastAsia="仿宋_GB2312"/>
          <w:sz w:val="32"/>
          <w:lang w:val="en-US" w:eastAsia="zh-CN"/>
        </w:rPr>
        <w:t>2、民政局下属预算二级单位0个，其中行政单位0个，参照公务员法管理的事业单位0个，其他事业单位0个。</w:t>
      </w:r>
    </w:p>
    <w:p w14:paraId="4CC9460C">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 w:eastAsia="仿宋_GB2312"/>
          <w:sz w:val="32"/>
          <w:lang w:val="en-US" w:eastAsia="zh-CN"/>
        </w:rPr>
      </w:pPr>
      <w:r>
        <w:rPr>
          <w:rFonts w:hint="eastAsia" w:ascii="黑体" w:hAnsi="黑体" w:eastAsia="黑体" w:cs="黑体"/>
          <w:sz w:val="32"/>
          <w:szCs w:val="32"/>
        </w:rPr>
        <w:t>三、收支预算情况说明</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按照综合预算的原则，民政局所有收入和支出均纳入部门预算管理。收入为：一般公共预算拨款收入1491.76万元</w:t>
      </w:r>
      <w:r>
        <w:rPr>
          <w:rFonts w:hint="eastAsia" w:ascii="仿宋_GB2312" w:hAnsi="仿宋" w:eastAsia="仿宋_GB2312"/>
          <w:color w:val="auto"/>
          <w:sz w:val="32"/>
          <w:highlight w:val="none"/>
          <w:lang w:val="en-US" w:eastAsia="zh-CN"/>
        </w:rPr>
        <w:t>（其中：一般公共预算1380.18万元，上年结转111.59万元）</w:t>
      </w:r>
      <w:r>
        <w:rPr>
          <w:rFonts w:hint="eastAsia" w:ascii="仿宋_GB2312" w:hAnsi="仿宋" w:eastAsia="仿宋_GB2312"/>
          <w:sz w:val="32"/>
          <w:lang w:val="en-US" w:eastAsia="zh-CN"/>
        </w:rPr>
        <w:t>；支出包括：社会保障和就业支出1350.39万元，卫生健康支出14.61万元，住房保障支出15.17万元。民政局2026年收支总预算1491.76万元,比2025年收支预算总数增加264.77万元，主要原因 ：一是本年度未有上年结转数，上年结转111.59万元；二是因机构改革，增加卧龙预算项目。</w:t>
      </w:r>
    </w:p>
    <w:p w14:paraId="0C356006">
      <w:pPr>
        <w:keepNext w:val="0"/>
        <w:keepLines w:val="0"/>
        <w:pageBreakBefore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（一）收入预算情况</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 xml:space="preserve"> 民政局2026年收入预算1380.18万元，其中：一般公共预算拨款收入1380.18万元，占100%。      </w:t>
      </w:r>
    </w:p>
    <w:p w14:paraId="7BAA43A9">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 w:eastAsia="仿宋_GB2312"/>
          <w:sz w:val="32"/>
          <w:lang w:val="en-US" w:eastAsia="zh-CN"/>
        </w:rPr>
      </w:pPr>
      <w:r>
        <w:rPr>
          <w:rFonts w:hint="eastAsia" w:ascii="楷体" w:hAnsi="楷体" w:eastAsia="楷体" w:cs="楷体"/>
          <w:sz w:val="32"/>
          <w:szCs w:val="32"/>
        </w:rPr>
        <w:t>（二）支出预算情况</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w:t>
      </w:r>
      <w:r>
        <w:rPr>
          <w:rFonts w:hint="eastAsia" w:ascii="仿宋_GB2312" w:hAnsi="仿宋" w:eastAsia="仿宋_GB2312"/>
          <w:sz w:val="32"/>
          <w:lang w:val="en-US" w:eastAsia="zh-CN"/>
        </w:rPr>
        <w:t xml:space="preserve"> 民政局2026年支出预算1491.76万元，其中：基本支出199.41万元，占13.37%；项目支出1292.35万元，占86.63%。</w:t>
      </w:r>
      <w:r>
        <w:rPr>
          <w:rFonts w:hint="eastAsia" w:ascii="仿宋_GB2312" w:hAnsi="仿宋" w:eastAsia="仿宋_GB2312"/>
          <w:sz w:val="32"/>
          <w:lang w:val="en-US" w:eastAsia="zh-CN"/>
        </w:rPr>
        <w:br w:type="textWrapping"/>
      </w:r>
      <w:r>
        <w:rPr>
          <w:rFonts w:hint="eastAsia" w:ascii="仿宋_GB2312" w:hAnsi="仿宋_GB2312" w:eastAsia="仿宋_GB2312" w:cs="仿宋_GB2312"/>
          <w:b/>
          <w:bCs/>
          <w:sz w:val="32"/>
          <w:szCs w:val="32"/>
        </w:rPr>
        <w:t>　</w:t>
      </w:r>
      <w:r>
        <w:rPr>
          <w:rFonts w:hint="eastAsia" w:ascii="黑体" w:hAnsi="黑体" w:eastAsia="黑体" w:cs="黑体"/>
          <w:sz w:val="32"/>
          <w:szCs w:val="32"/>
        </w:rPr>
        <w:t>　四、财政拨款收支预算情况说明</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民政局2026年财政拨款收支总预算1491.76万元,比2025年收支预算总数增加264.77万元，主要原因 ：一是本年度未有上年结转数，上年结转111.59万元；二是因机构改革，增加卧龙预算项目。</w:t>
      </w:r>
    </w:p>
    <w:p w14:paraId="4CAB1568">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 w:eastAsia="仿宋_GB2312"/>
          <w:sz w:val="32"/>
          <w:lang w:val="en-US" w:eastAsia="zh-CN"/>
        </w:rPr>
      </w:pPr>
      <w:r>
        <w:rPr>
          <w:rFonts w:hint="eastAsia" w:ascii="仿宋_GB2312" w:hAnsi="仿宋" w:eastAsia="仿宋_GB2312"/>
          <w:sz w:val="32"/>
          <w:lang w:val="en-US" w:eastAsia="zh-CN"/>
        </w:rPr>
        <w:t>收入包括：本年一般公共预算拨款收入1380.18万元。</w:t>
      </w:r>
      <w:r>
        <w:rPr>
          <w:rFonts w:hint="eastAsia" w:ascii="仿宋_GB2312" w:hAnsi="仿宋" w:eastAsia="仿宋_GB2312"/>
          <w:sz w:val="32"/>
          <w:lang w:val="en-US" w:eastAsia="zh-CN"/>
        </w:rPr>
        <w:br w:type="textWrapping"/>
      </w:r>
      <w:r>
        <w:rPr>
          <w:rFonts w:hint="eastAsia" w:ascii="仿宋_GB2312" w:hAnsi="仿宋" w:eastAsia="仿宋_GB2312"/>
          <w:sz w:val="32"/>
          <w:lang w:val="en-US" w:eastAsia="zh-CN"/>
        </w:rPr>
        <w:t>　　支出包括：社会保障和就业支出1350.39万元，卫生健康支出14.61万元，住房保障支出15.17万元。</w:t>
      </w:r>
    </w:p>
    <w:p w14:paraId="0D5AB7AA">
      <w:pPr>
        <w:keepNext w:val="0"/>
        <w:keepLines w:val="0"/>
        <w:pageBreakBefore w:val="0"/>
        <w:kinsoku/>
        <w:wordWrap/>
        <w:overflowPunct/>
        <w:topLinePunct w:val="0"/>
        <w:autoSpaceDE/>
        <w:autoSpaceDN/>
        <w:bidi w:val="0"/>
        <w:spacing w:line="560" w:lineRule="exact"/>
        <w:ind w:firstLine="640" w:firstLineChars="200"/>
        <w:jc w:val="left"/>
        <w:rPr>
          <w:rFonts w:hint="eastAsia" w:ascii="仿宋_GB2312" w:hAnsi="仿宋" w:eastAsia="仿宋_GB2312"/>
          <w:sz w:val="32"/>
          <w:lang w:val="en-US" w:eastAsia="zh-CN"/>
        </w:rPr>
      </w:pPr>
      <w:r>
        <w:rPr>
          <w:rFonts w:hint="eastAsia" w:ascii="黑体" w:hAnsi="黑体" w:eastAsia="黑体" w:cs="黑体"/>
          <w:sz w:val="32"/>
          <w:szCs w:val="32"/>
        </w:rPr>
        <w:t>五、一般公共预算当年拨款情况说明</w:t>
      </w:r>
      <w:r>
        <w:rPr>
          <w:rFonts w:ascii="黑体" w:hAnsi="黑体" w:eastAsia="黑体" w:cs="黑体"/>
          <w:sz w:val="32"/>
          <w:szCs w:val="32"/>
        </w:rPr>
        <w:br w:type="textWrapping"/>
      </w:r>
      <w:r>
        <w:rPr>
          <w:rFonts w:hint="eastAsia" w:ascii="仿宋_GB2312" w:hAnsi="仿宋_GB2312" w:eastAsia="仿宋_GB2312" w:cs="仿宋_GB2312"/>
          <w:sz w:val="32"/>
          <w:szCs w:val="32"/>
        </w:rPr>
        <w:t>　　</w:t>
      </w:r>
      <w:r>
        <w:rPr>
          <w:rFonts w:hint="eastAsia" w:ascii="楷体" w:hAnsi="楷体" w:eastAsia="楷体" w:cs="楷体"/>
          <w:sz w:val="32"/>
          <w:szCs w:val="32"/>
        </w:rPr>
        <w:t>（一）一般公共预算当年拨款规模变化情况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民政局2026年一般公共预算1491.76万元,比2025年收支预算总数增加264.77万元，主要原因 ：一是本年度未有上年结转数，上年结转111.59万元；二是因机构改革，增加卧龙预算项目。</w:t>
      </w:r>
    </w:p>
    <w:p w14:paraId="7E3DB6B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_GB2312" w:eastAsia="仿宋_GB2312" w:cs="仿宋_GB2312"/>
          <w:sz w:val="32"/>
          <w:szCs w:val="32"/>
        </w:rPr>
        <w:t>（二）</w:t>
      </w:r>
      <w:r>
        <w:rPr>
          <w:rFonts w:hint="eastAsia" w:ascii="楷体" w:hAnsi="楷体" w:eastAsia="楷体" w:cs="楷体"/>
          <w:sz w:val="32"/>
          <w:szCs w:val="32"/>
        </w:rPr>
        <w:t>一般公共预算当年拨款结构情况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社会保障和就业支出1350.39万元，占97.84%；卫生健康支出14.61万元，占1.06%；住房保障支出15.17万元，占1.1%。</w:t>
      </w:r>
      <w:r>
        <w:rPr>
          <w:rFonts w:hint="eastAsia" w:ascii="仿宋_GB2312" w:hAnsi="仿宋" w:eastAsia="仿宋_GB2312"/>
          <w:sz w:val="32"/>
          <w:lang w:val="en-US" w:eastAsia="zh-CN"/>
        </w:rPr>
        <w:br w:type="textWrapping"/>
      </w:r>
      <w:r>
        <w:rPr>
          <w:rFonts w:hint="eastAsia" w:ascii="仿宋_GB2312" w:hAnsi="仿宋_GB2312" w:eastAsia="仿宋_GB2312" w:cs="仿宋_GB2312"/>
          <w:sz w:val="32"/>
          <w:szCs w:val="32"/>
        </w:rPr>
        <w:t>　　</w:t>
      </w:r>
      <w:r>
        <w:rPr>
          <w:rFonts w:hint="eastAsia" w:ascii="楷体" w:hAnsi="楷体" w:eastAsia="楷体" w:cs="楷体"/>
          <w:sz w:val="32"/>
          <w:szCs w:val="32"/>
        </w:rPr>
        <w:t>（三）一般公共预算当年拨款具体使用情况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1.社会保障和就业支出208（类）民政管理事务02（款）行政运行01（项）2025年预算数140.41万元，主要用于行政单位的支出。</w:t>
      </w:r>
    </w:p>
    <w:p w14:paraId="7A417F42">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2.社会保障和就业支出208（类）民政管理事务02（款）其他民政管理事务支出99（项）2025年预算数58万元，指其他用于民政管理事务的支出。</w:t>
      </w:r>
    </w:p>
    <w:p w14:paraId="278B772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3.社会保障和就业支出208（类）行政事业单位养老支出05（款）机关事业单位基本养老保险缴费支出05（项）2026年预算数20.15万元，指机关事业单位实施养老保险制度由单位缴纳的基本养老保险费支出；</w:t>
      </w:r>
    </w:p>
    <w:p w14:paraId="4513682D">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4.社会保障和就业支出208（类）行政事业单位养老支出05（类）机关事业单位职业年金缴费06（项）2026年预算数10.07万元，指机关事业单位实施养老保险制度由单位实际缴纳的职业年金支出。</w:t>
      </w:r>
    </w:p>
    <w:p w14:paraId="72A6BF26">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5.社会保障和就业支出208（类）社会福利10（款）儿童福利01（项）2025年预算数7.78万元，指对儿童提供便利的福利服务方面的支出；</w:t>
      </w:r>
    </w:p>
    <w:p w14:paraId="4C080BE0">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 w:eastAsia="仿宋_GB2312"/>
          <w:sz w:val="32"/>
          <w:lang w:val="en-US" w:eastAsia="zh-CN"/>
        </w:rPr>
      </w:pPr>
      <w:r>
        <w:rPr>
          <w:rFonts w:hint="eastAsia" w:ascii="仿宋_GB2312" w:hAnsi="仿宋" w:eastAsia="仿宋_GB2312"/>
          <w:sz w:val="32"/>
          <w:lang w:val="en-US" w:eastAsia="zh-CN"/>
        </w:rPr>
        <w:t>6.社会保障和就业支出208（类）社会福利10（款）老年福利02（项）2025年预算数268.05万元；指对老人提供便利的福利服务方面的支出；</w:t>
      </w:r>
    </w:p>
    <w:p w14:paraId="06E97FE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7.社会保障和就业支出208（类）社会福利10（款）殡葬04（项）2026年预算数12.29万元，指反映殡葬管理和殡葬服务方面的支出，包括民政部门直属的殡仪馆、公墓、殡葬管理服务机构的支出；社会福利事业指反映民政部门举办的社会福利事业单位的支出，以及对集体社会福利事业单位的补助费。</w:t>
      </w:r>
    </w:p>
    <w:p w14:paraId="0B4DCF00">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8.社会保障和就业支出208（类）社会福利10（款） 其</w:t>
      </w:r>
    </w:p>
    <w:p w14:paraId="25F4F68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他社会福利支出99（项）2026年预算数178.84万元。指其他用于社会福利方面的支出。</w:t>
      </w:r>
    </w:p>
    <w:p w14:paraId="6F6A6A2A">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9.社会保障和就业支出208（类）残疾人事业11（款）残疾人生活和护理补贴07（项）2026年预算数82.24万元，指困难残疾人生活补贴和重度残疾人护理补贴的指出。</w:t>
      </w:r>
    </w:p>
    <w:p w14:paraId="7BA926E4">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10.社会保障和就业支出208（类）最低生活保障19（类）城市最低生活保障金支出01（项）2026年预算数120万元，指城市最低生活保障对象的最低生活保障支出；</w:t>
      </w:r>
    </w:p>
    <w:p w14:paraId="603AB639">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11.社会保障和就业支出208（类）最低生活保障19（类）农村最低生活保障金支出02（项）2025年预算数250万元，指农村最低生活保障对象的最低生活保障支出。</w:t>
      </w:r>
    </w:p>
    <w:p w14:paraId="66A1ABC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12.社会保障和就业支出208（类）临时救助20（类）临时救助支出01（项）2026年预算数17万元，指城乡生活困难居民的临时救助等支出。</w:t>
      </w:r>
    </w:p>
    <w:p w14:paraId="13FD89A5">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13.社会保障和就业支出208（类）临时救助20（类）流浪乞讨人员救助02（项）2026年预算数1万元，指生活无着的流浪乞讨人员的救助支出和救助管理机构的运转支出。</w:t>
      </w:r>
    </w:p>
    <w:p w14:paraId="1AAF8722">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14.社会保障和就业支出208（类）人员救助供养21（类）农村特困人员救助供养支出02（项）2026年预算数178.47万元，指农村特困人员救助供养支出；</w:t>
      </w:r>
    </w:p>
    <w:p w14:paraId="02FCE7D8">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15.社会保障和就业支出208（类）其他生活救助25（类）其他城市生活救助01（项）2026年预算数1.3万元，指反映除最低生活保障、临时救助、特困人员救助供养外，用于城市生活困难居民生活救助的其他支出，包括用于除优抚对象、失业人员之外城市生活困难居民的价格临时补贴支出；　</w:t>
      </w:r>
    </w:p>
    <w:p w14:paraId="572059FC">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 w:eastAsia="仿宋_GB2312"/>
          <w:sz w:val="32"/>
          <w:lang w:val="en-US" w:eastAsia="zh-CN"/>
        </w:rPr>
      </w:pPr>
      <w:r>
        <w:rPr>
          <w:rFonts w:hint="eastAsia" w:ascii="仿宋_GB2312" w:hAnsi="仿宋" w:eastAsia="仿宋_GB2312"/>
          <w:sz w:val="32"/>
          <w:lang w:val="en-US" w:eastAsia="zh-CN"/>
        </w:rPr>
        <w:t>16.住房保障支出221（类）住房改革支出02（款）住房公积金01（项），2026年预算数15.17万元主要用于：单位对应由单位支付的职工住房公积金的支出。</w:t>
      </w:r>
    </w:p>
    <w:p w14:paraId="3393807F">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黑体" w:hAnsi="黑体" w:eastAsia="黑体" w:cs="黑体"/>
          <w:sz w:val="32"/>
          <w:szCs w:val="32"/>
        </w:rPr>
        <w:t>六、一般公共预算基本支出情况说明</w:t>
      </w:r>
      <w:r>
        <w:rPr>
          <w:rFonts w:ascii="黑体" w:hAnsi="黑体" w:eastAsia="黑体" w:cs="黑体"/>
          <w:sz w:val="32"/>
          <w:szCs w:val="32"/>
        </w:rPr>
        <w:br w:type="textWrapping"/>
      </w:r>
      <w:r>
        <w:rPr>
          <w:rFonts w:hint="eastAsia" w:cs="仿宋_GB2312"/>
          <w:sz w:val="32"/>
          <w:szCs w:val="32"/>
        </w:rPr>
        <w:t>　　</w:t>
      </w:r>
      <w:r>
        <w:rPr>
          <w:rFonts w:hint="eastAsia" w:ascii="仿宋_GB2312" w:hAnsi="仿宋" w:eastAsia="仿宋_GB2312"/>
          <w:sz w:val="32"/>
          <w:lang w:val="en-US" w:eastAsia="zh-CN"/>
        </w:rPr>
        <w:t>民政局2026年一般公共预算基本支出199.41元，其中：人员经费176.18万元，主要包括：基本工资、津贴补贴、奖金、其他社会保障缴费、绩效工资、机关事业单位基本养老保险缴费、职业年金缴费、其他工资福利支出、离休费、奖励金、住房公积金、其他对个人和家庭的补助支出。</w:t>
      </w:r>
    </w:p>
    <w:p w14:paraId="20D6A2C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公用经费23.23万元，主要包括：办公费、印刷费、手续费、水费、电费、邮电费、差旅费、维修（护）费、租赁费、会议费、培训费、劳务费、工会经费、福利费、其他交通工具运行维护费、其他商品和服务支出。</w:t>
      </w:r>
      <w:r>
        <w:rPr>
          <w:rFonts w:hint="eastAsia" w:ascii="仿宋_GB2312" w:hAnsi="仿宋" w:eastAsia="仿宋_GB2312"/>
          <w:sz w:val="32"/>
          <w:lang w:val="en-US" w:eastAsia="zh-CN"/>
        </w:rPr>
        <w:br w:type="textWrapping"/>
      </w:r>
      <w:r>
        <w:rPr>
          <w:rFonts w:hint="eastAsia" w:cs="仿宋_GB2312"/>
          <w:b/>
          <w:bCs/>
          <w:sz w:val="32"/>
          <w:szCs w:val="32"/>
        </w:rPr>
        <w:t>　　</w:t>
      </w:r>
      <w:r>
        <w:rPr>
          <w:rFonts w:hint="eastAsia" w:ascii="黑体" w:hAnsi="黑体" w:eastAsia="黑体" w:cs="黑体"/>
          <w:sz w:val="32"/>
          <w:szCs w:val="32"/>
        </w:rPr>
        <w:t>七、“三公”经费财政拨款预算安排情况说明</w:t>
      </w:r>
      <w:r>
        <w:rPr>
          <w:rFonts w:ascii="黑体" w:hAnsi="黑体" w:eastAsia="黑体" w:cs="黑体"/>
          <w:sz w:val="32"/>
          <w:szCs w:val="32"/>
        </w:rPr>
        <w:br w:type="textWrapping"/>
      </w:r>
      <w:r>
        <w:rPr>
          <w:rFonts w:hint="eastAsia" w:cs="仿宋_GB2312"/>
          <w:sz w:val="32"/>
          <w:szCs w:val="32"/>
        </w:rPr>
        <w:t>　</w:t>
      </w:r>
      <w:r>
        <w:rPr>
          <w:rFonts w:cs="仿宋_GB2312"/>
          <w:sz w:val="32"/>
          <w:szCs w:val="32"/>
        </w:rPr>
        <w:t xml:space="preserve">  </w:t>
      </w:r>
      <w:r>
        <w:rPr>
          <w:rFonts w:hint="eastAsia" w:ascii="仿宋_GB2312" w:hAnsi="仿宋" w:eastAsia="仿宋_GB2312"/>
          <w:sz w:val="32"/>
          <w:lang w:val="en-US" w:eastAsia="zh-CN"/>
        </w:rPr>
        <w:t>民政局2026年“三公”经费财政拨款预算数12.18万元，其中：公务接待费0.18万元，公务用车购置及运行维护费 12万。</w:t>
      </w:r>
    </w:p>
    <w:p w14:paraId="029AF3E3">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（一）民政局2026年未安排因公出国（境）经费。与2025年持平，无变化。　　      　　      </w:t>
      </w:r>
    </w:p>
    <w:p w14:paraId="23EF8775">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（二）2026年公务接待费0.18万元。与2025年持平，无变化.</w:t>
      </w:r>
    </w:p>
    <w:p w14:paraId="73D10C32">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（三）2026年公务用车购置及运行维护费12万元。其中公务用车购置0万元，与2025年持平，无变化；公务车运行维护费12万元.比2025年增加4万元，主要原因：增加公务用车1辆。</w:t>
      </w:r>
    </w:p>
    <w:p w14:paraId="5ADE673C">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cs="仿宋_GB2312"/>
          <w:b/>
          <w:bCs/>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政府性基金预算支出情况说明</w:t>
      </w:r>
    </w:p>
    <w:p w14:paraId="1363530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cs="仿宋_GB2312"/>
          <w:b/>
          <w:bCs/>
          <w:sz w:val="32"/>
          <w:szCs w:val="32"/>
        </w:rPr>
      </w:pPr>
      <w:r>
        <w:rPr>
          <w:rFonts w:hint="eastAsia" w:ascii="仿宋_GB2312" w:hAnsi="仿宋" w:eastAsia="仿宋_GB2312" w:cs="Times New Roman"/>
          <w:kern w:val="2"/>
          <w:sz w:val="32"/>
          <w:szCs w:val="22"/>
          <w:lang w:val="en-US" w:eastAsia="zh-CN" w:bidi="ar-SA"/>
        </w:rPr>
        <w:t xml:space="preserve"> 民政局及下属民政事务中心2026年安排政府性基金预算拨款0万元。民政局2025年安排政府性基金预算拨款0万元，无变化。　</w:t>
      </w:r>
      <w:r>
        <w:rPr>
          <w:rFonts w:hint="eastAsia" w:cs="仿宋_GB2312"/>
          <w:b/>
          <w:bCs/>
          <w:sz w:val="32"/>
          <w:szCs w:val="32"/>
        </w:rPr>
        <w:t>　</w:t>
      </w:r>
    </w:p>
    <w:p w14:paraId="0F49BC46">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hint="eastAsia" w:ascii="黑体" w:hAnsi="黑体" w:eastAsia="黑体" w:cs="黑体"/>
          <w:sz w:val="32"/>
          <w:szCs w:val="32"/>
        </w:rPr>
        <w:t>九、其他重要事项的情况说明</w:t>
      </w:r>
      <w:r>
        <w:rPr>
          <w:rFonts w:ascii="黑体" w:hAnsi="黑体" w:eastAsia="黑体" w:cs="黑体"/>
          <w:sz w:val="32"/>
          <w:szCs w:val="32"/>
        </w:rPr>
        <w:br w:type="textWrapping"/>
      </w:r>
      <w:r>
        <w:rPr>
          <w:rFonts w:hint="eastAsia" w:cs="仿宋_GB2312"/>
          <w:sz w:val="32"/>
          <w:szCs w:val="32"/>
        </w:rPr>
        <w:t>　　</w:t>
      </w:r>
      <w:r>
        <w:rPr>
          <w:rFonts w:hint="eastAsia" w:ascii="仿宋_GB2312" w:hAnsi="仿宋" w:eastAsia="仿宋_GB2312" w:cs="Times New Roman"/>
          <w:kern w:val="2"/>
          <w:sz w:val="32"/>
          <w:szCs w:val="22"/>
          <w:lang w:val="en-US" w:eastAsia="zh-CN" w:bidi="ar-SA"/>
        </w:rPr>
        <w:t>（一）机关运行经费</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民政局及下属民政事务中心2026年机关运行经费财政拨款预算为1491.76万元,比2025年预算增加264.77万元。原因为：因机构改革，增加卧龙预算项目。</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（二）政府采购情况</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2026年民政局及下属民政事务中心未安排政府采购预算。较上年相比，无变化。</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（三）国有资产占有使用情况</w:t>
      </w:r>
    </w:p>
    <w:p w14:paraId="6C7341D8">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hint="eastAsia" w:ascii="仿宋_GB2312" w:hAnsi="仿宋" w:eastAsia="仿宋_GB2312" w:cs="Times New Roman"/>
          <w:kern w:val="2"/>
          <w:sz w:val="32"/>
          <w:szCs w:val="22"/>
          <w:lang w:val="en-US" w:eastAsia="zh-CN" w:bidi="ar-SA"/>
        </w:rPr>
        <w:t>2025年民政局国有资产国有资产1376.12万元。较上年相比，无变化。截至2025年12月31日我单位资产总额（账面净值，下同）865.08万元，较上年增长0%。负债总额183.02万元，较上年增长0%。净资产682.06万元，较上年增长0%。我单位国有资产865.08万元，占100.00%；事业单位国有资产0.00万元，占0.00%。流动资产183.31万元，较上年增长0%，占资产总额21.19%；固定资产434.28万元，较上年增长0%，占资产总额50.20%。</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（四）绩效目标设置情况</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2026年部门整体申报资金共计1380.18万元（含特定目标类16个），资金用于承办中央和省、州、县级财政困难群众救助补助资金分配和监管工作</w:t>
      </w:r>
      <w:r>
        <w:rPr>
          <w:rFonts w:hint="eastAsia" w:hAnsi="仿宋" w:cs="Times New Roman"/>
          <w:kern w:val="2"/>
          <w:sz w:val="32"/>
          <w:szCs w:val="22"/>
          <w:lang w:val="en-US" w:eastAsia="zh-CN" w:bidi="ar-SA"/>
        </w:rPr>
        <w:t>，</w:t>
      </w:r>
      <w:r>
        <w:rPr>
          <w:rFonts w:hint="eastAsia" w:ascii="仿宋_GB2312" w:hAnsi="仿宋" w:eastAsia="仿宋_GB2312" w:cs="Times New Roman"/>
          <w:kern w:val="2"/>
          <w:sz w:val="32"/>
          <w:szCs w:val="22"/>
          <w:lang w:val="en-US" w:eastAsia="zh-CN" w:bidi="ar-SA"/>
        </w:rPr>
        <w:t>参与拟订医疗、住房、教育、就业、司法等救助相关办法</w:t>
      </w:r>
      <w:r>
        <w:rPr>
          <w:rFonts w:hint="eastAsia" w:hAnsi="仿宋" w:cs="Times New Roman"/>
          <w:kern w:val="2"/>
          <w:sz w:val="32"/>
          <w:szCs w:val="22"/>
          <w:lang w:val="en-US" w:eastAsia="zh-CN" w:bidi="ar-SA"/>
        </w:rPr>
        <w:t>和保障机构正常运转</w:t>
      </w:r>
      <w:r>
        <w:rPr>
          <w:rFonts w:hint="eastAsia" w:ascii="仿宋_GB2312" w:hAnsi="仿宋" w:eastAsia="仿宋_GB2312" w:cs="Times New Roman"/>
          <w:kern w:val="2"/>
          <w:sz w:val="32"/>
          <w:szCs w:val="22"/>
          <w:lang w:val="en-US" w:eastAsia="zh-CN" w:bidi="ar-SA"/>
        </w:rPr>
        <w:t>等</w:t>
      </w:r>
      <w:r>
        <w:rPr>
          <w:rFonts w:hint="eastAsia" w:hAnsi="仿宋" w:cs="Times New Roman"/>
          <w:kern w:val="2"/>
          <w:sz w:val="32"/>
          <w:szCs w:val="22"/>
          <w:lang w:val="en-US" w:eastAsia="zh-CN" w:bidi="ar-SA"/>
        </w:rPr>
        <w:t>，</w:t>
      </w:r>
      <w:r>
        <w:rPr>
          <w:rFonts w:hint="eastAsia" w:ascii="仿宋_GB2312" w:hAnsi="仿宋" w:eastAsia="仿宋_GB2312" w:cs="Times New Roman"/>
          <w:kern w:val="2"/>
          <w:sz w:val="32"/>
          <w:szCs w:val="22"/>
          <w:lang w:val="en-US" w:eastAsia="zh-CN" w:bidi="ar-SA"/>
        </w:rPr>
        <w:t>均按绩效管理要求设置绩效目标。</w:t>
      </w:r>
    </w:p>
    <w:p w14:paraId="34B740F2">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仿宋_GB2312" w:hAnsi="仿宋" w:eastAsia="仿宋_GB2312" w:cs="Times New Roman"/>
          <w:kern w:val="2"/>
          <w:sz w:val="32"/>
          <w:szCs w:val="22"/>
          <w:lang w:val="en-US" w:eastAsia="zh-CN" w:bidi="ar-SA"/>
        </w:rPr>
        <w:t>2026年共申报特定目标类16个，涉及资金1180.76万元，资金主要用于福利院</w:t>
      </w:r>
      <w:r>
        <w:rPr>
          <w:rFonts w:hint="eastAsia" w:hAnsi="仿宋" w:cs="Times New Roman"/>
          <w:kern w:val="2"/>
          <w:sz w:val="32"/>
          <w:szCs w:val="22"/>
          <w:lang w:val="en-US" w:eastAsia="zh-CN" w:bidi="ar-SA"/>
        </w:rPr>
        <w:t>、困难残疾人生活补贴、困难群众生活救助</w:t>
      </w:r>
      <w:r>
        <w:rPr>
          <w:rFonts w:hint="eastAsia" w:ascii="仿宋_GB2312" w:hAnsi="仿宋" w:eastAsia="仿宋_GB2312" w:cs="Times New Roman"/>
          <w:kern w:val="2"/>
          <w:sz w:val="32"/>
          <w:szCs w:val="22"/>
          <w:lang w:val="en-US" w:eastAsia="zh-CN" w:bidi="ar-SA"/>
        </w:rPr>
        <w:t>等均按照</w:t>
      </w:r>
      <w:bookmarkStart w:id="0" w:name="_GoBack"/>
      <w:bookmarkEnd w:id="0"/>
      <w:r>
        <w:rPr>
          <w:rFonts w:hint="eastAsia" w:ascii="仿宋_GB2312" w:hAnsi="仿宋" w:eastAsia="仿宋_GB2312" w:cs="Times New Roman"/>
          <w:kern w:val="2"/>
          <w:sz w:val="32"/>
          <w:szCs w:val="22"/>
          <w:lang w:val="en-US" w:eastAsia="zh-CN" w:bidi="ar-SA"/>
        </w:rPr>
        <w:t>绩效要求设置绩效目标。　　</w:t>
      </w:r>
    </w:p>
    <w:p w14:paraId="2E2DD71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hint="eastAsia" w:ascii="黑体" w:hAnsi="黑体" w:eastAsia="黑体" w:cs="黑体"/>
          <w:sz w:val="32"/>
          <w:szCs w:val="32"/>
        </w:rPr>
        <w:t>十、名词解释</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kern w:val="2"/>
          <w:sz w:val="32"/>
          <w:szCs w:val="22"/>
          <w:lang w:val="en-US" w:eastAsia="zh-CN" w:bidi="ar-SA"/>
        </w:rPr>
        <w:t>（一）财政拨款收入：指由财政拨款形成的部门收入。按现行管理制度，部门预算中反映的财政拨款仅包括一般公共预算拨款和政府性基金预算拨款。</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（二）事业收入：指所属事业单位开展专业业务活动及辅助活动所取得的收入。</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（三）事业单位经营收入：指所属事业单位在专业业务活动及其辅助活动之外开展非独立核算经营活动取得的收入。</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（四）其他收入：指除上述“财政拨款收入”、“事业收入”、“事业单位经营收入”等以外的收入，主要是所属行政事业单位按规定动用的售房收入、存款利息收入等。</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（六）上年结转：指所属行政事业单位以前年度尚未完成、结转至本年按原规定用途继续使用的资金和以前年度已完成项目剩余资金经批准用于新用途使用的资金。</w:t>
      </w:r>
    </w:p>
    <w:p w14:paraId="65E1B3C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7C2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CB8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298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A2E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3EC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8A4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06CC297"/>
    <w:multiLevelType w:val="singleLevel"/>
    <w:tmpl w:val="506CC297"/>
    <w:lvl w:ilvl="0" w:tentative="0">
      <w:start w:val="2"/>
      <w:numFmt w:val="decimal"/>
      <w:lvlText w:val="%1."/>
      <w:lvlJc w:val="left"/>
      <w:pPr>
        <w:tabs>
          <w:tab w:val="left" w:pos="312"/>
        </w:tabs>
      </w:pPr>
    </w:lvl>
  </w:abstractNum>
  <w:abstractNum w:abstractNumId="2">
    <w:nsid w:val="79DF8D42"/>
    <w:multiLevelType w:val="singleLevel"/>
    <w:tmpl w:val="79DF8D42"/>
    <w:lvl w:ilvl="0" w:tentative="0">
      <w:start w:val="2"/>
      <w:numFmt w:val="chineseCounting"/>
      <w:suff w:val="nothing"/>
      <w:lvlText w:val="（%1）"/>
      <w:lvlJc w:val="left"/>
      <w:rPr>
        <w:rFonts w:hint="eastAsia"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gyYTU1YzNhODY1ZWY0NjQzYTkwZTcyODRhYTEifQ=="/>
  </w:docVars>
  <w:rsids>
    <w:rsidRoot w:val="00352854"/>
    <w:rsid w:val="00085137"/>
    <w:rsid w:val="000D5387"/>
    <w:rsid w:val="00173C40"/>
    <w:rsid w:val="00352854"/>
    <w:rsid w:val="003762A5"/>
    <w:rsid w:val="00394AE3"/>
    <w:rsid w:val="00405E6B"/>
    <w:rsid w:val="004879F6"/>
    <w:rsid w:val="00531489"/>
    <w:rsid w:val="005B3165"/>
    <w:rsid w:val="00641AF6"/>
    <w:rsid w:val="006455F6"/>
    <w:rsid w:val="00665CE7"/>
    <w:rsid w:val="00771A31"/>
    <w:rsid w:val="007B3677"/>
    <w:rsid w:val="008F1B72"/>
    <w:rsid w:val="008F63EB"/>
    <w:rsid w:val="00987B5A"/>
    <w:rsid w:val="0099768B"/>
    <w:rsid w:val="00AB74E4"/>
    <w:rsid w:val="00B00EB0"/>
    <w:rsid w:val="00C8183B"/>
    <w:rsid w:val="00D22494"/>
    <w:rsid w:val="00DC233E"/>
    <w:rsid w:val="00ED2EF6"/>
    <w:rsid w:val="00EE61A6"/>
    <w:rsid w:val="00F35110"/>
    <w:rsid w:val="00F40C09"/>
    <w:rsid w:val="00F743F0"/>
    <w:rsid w:val="00FF11B9"/>
    <w:rsid w:val="0120705A"/>
    <w:rsid w:val="018A12E5"/>
    <w:rsid w:val="01A95FFF"/>
    <w:rsid w:val="02843A23"/>
    <w:rsid w:val="02F62234"/>
    <w:rsid w:val="03153382"/>
    <w:rsid w:val="03C37E1C"/>
    <w:rsid w:val="04090CD3"/>
    <w:rsid w:val="044821DB"/>
    <w:rsid w:val="04A43A7D"/>
    <w:rsid w:val="05DC6461"/>
    <w:rsid w:val="05F51C89"/>
    <w:rsid w:val="06431298"/>
    <w:rsid w:val="067C324D"/>
    <w:rsid w:val="06B02057"/>
    <w:rsid w:val="06FD08ED"/>
    <w:rsid w:val="070B5967"/>
    <w:rsid w:val="0797664C"/>
    <w:rsid w:val="079B0FC2"/>
    <w:rsid w:val="07D478A0"/>
    <w:rsid w:val="07D6380A"/>
    <w:rsid w:val="080C528C"/>
    <w:rsid w:val="08D2200C"/>
    <w:rsid w:val="09063A89"/>
    <w:rsid w:val="093920B1"/>
    <w:rsid w:val="0A002AA2"/>
    <w:rsid w:val="0A35627A"/>
    <w:rsid w:val="0A454540"/>
    <w:rsid w:val="0AD02EE4"/>
    <w:rsid w:val="0B275F39"/>
    <w:rsid w:val="0B426A51"/>
    <w:rsid w:val="0B703B78"/>
    <w:rsid w:val="0BAE0408"/>
    <w:rsid w:val="0DD724A4"/>
    <w:rsid w:val="0E046798"/>
    <w:rsid w:val="0E2A4B52"/>
    <w:rsid w:val="0E9E6F0A"/>
    <w:rsid w:val="0EB33357"/>
    <w:rsid w:val="0F017011"/>
    <w:rsid w:val="0F706693"/>
    <w:rsid w:val="10A61E74"/>
    <w:rsid w:val="10C367E7"/>
    <w:rsid w:val="11D905A1"/>
    <w:rsid w:val="124D44D7"/>
    <w:rsid w:val="127B3FD7"/>
    <w:rsid w:val="12D64824"/>
    <w:rsid w:val="13427DB4"/>
    <w:rsid w:val="139B245F"/>
    <w:rsid w:val="13DA623E"/>
    <w:rsid w:val="14C72BF2"/>
    <w:rsid w:val="159E6571"/>
    <w:rsid w:val="15C07DB6"/>
    <w:rsid w:val="17006E4C"/>
    <w:rsid w:val="17884C35"/>
    <w:rsid w:val="17CA0E95"/>
    <w:rsid w:val="181F2ACE"/>
    <w:rsid w:val="18214926"/>
    <w:rsid w:val="183C7BDA"/>
    <w:rsid w:val="185C36C6"/>
    <w:rsid w:val="18D81640"/>
    <w:rsid w:val="19256F64"/>
    <w:rsid w:val="1984103F"/>
    <w:rsid w:val="19FB0CBC"/>
    <w:rsid w:val="1A3C2456"/>
    <w:rsid w:val="1B293607"/>
    <w:rsid w:val="1B70342C"/>
    <w:rsid w:val="1BBB6955"/>
    <w:rsid w:val="1BE703B4"/>
    <w:rsid w:val="1C1F7EE7"/>
    <w:rsid w:val="1D294EAB"/>
    <w:rsid w:val="1D513320"/>
    <w:rsid w:val="1D61352C"/>
    <w:rsid w:val="1D8334A3"/>
    <w:rsid w:val="1DAD0CA0"/>
    <w:rsid w:val="1E562BC0"/>
    <w:rsid w:val="1E5933F2"/>
    <w:rsid w:val="1EFA027C"/>
    <w:rsid w:val="205C739A"/>
    <w:rsid w:val="20623915"/>
    <w:rsid w:val="209A3CD8"/>
    <w:rsid w:val="20F55121"/>
    <w:rsid w:val="21E33A3A"/>
    <w:rsid w:val="221C5C74"/>
    <w:rsid w:val="23580A55"/>
    <w:rsid w:val="2358689B"/>
    <w:rsid w:val="23923F53"/>
    <w:rsid w:val="23A53AF3"/>
    <w:rsid w:val="246A4BC9"/>
    <w:rsid w:val="24C525F3"/>
    <w:rsid w:val="24DC39BD"/>
    <w:rsid w:val="25615AC5"/>
    <w:rsid w:val="259737EF"/>
    <w:rsid w:val="25E526B3"/>
    <w:rsid w:val="27054F28"/>
    <w:rsid w:val="27966355"/>
    <w:rsid w:val="279C1181"/>
    <w:rsid w:val="283C5EAB"/>
    <w:rsid w:val="28563B5D"/>
    <w:rsid w:val="28BF4190"/>
    <w:rsid w:val="28F0166F"/>
    <w:rsid w:val="28F565E6"/>
    <w:rsid w:val="296B1496"/>
    <w:rsid w:val="29922D2F"/>
    <w:rsid w:val="2A264194"/>
    <w:rsid w:val="2B8D76C1"/>
    <w:rsid w:val="2C7F7EFE"/>
    <w:rsid w:val="2CE04EE3"/>
    <w:rsid w:val="2CEC48F9"/>
    <w:rsid w:val="2D6D0957"/>
    <w:rsid w:val="2E096542"/>
    <w:rsid w:val="2EC0254A"/>
    <w:rsid w:val="2EE44923"/>
    <w:rsid w:val="2F302AD6"/>
    <w:rsid w:val="2F3F2FA2"/>
    <w:rsid w:val="2F7E4D69"/>
    <w:rsid w:val="301727FF"/>
    <w:rsid w:val="30597904"/>
    <w:rsid w:val="31FB23F3"/>
    <w:rsid w:val="32122BC8"/>
    <w:rsid w:val="329F26D5"/>
    <w:rsid w:val="33070EF5"/>
    <w:rsid w:val="331210F9"/>
    <w:rsid w:val="335355A3"/>
    <w:rsid w:val="335E702D"/>
    <w:rsid w:val="335F1932"/>
    <w:rsid w:val="34361221"/>
    <w:rsid w:val="34614EE1"/>
    <w:rsid w:val="3462451E"/>
    <w:rsid w:val="34CE54F3"/>
    <w:rsid w:val="35025485"/>
    <w:rsid w:val="351062D9"/>
    <w:rsid w:val="35375951"/>
    <w:rsid w:val="35BC359E"/>
    <w:rsid w:val="3638548F"/>
    <w:rsid w:val="368C2F70"/>
    <w:rsid w:val="36DA27D3"/>
    <w:rsid w:val="37386C54"/>
    <w:rsid w:val="37642438"/>
    <w:rsid w:val="38722F2C"/>
    <w:rsid w:val="38752CC1"/>
    <w:rsid w:val="391E1FCF"/>
    <w:rsid w:val="394432A0"/>
    <w:rsid w:val="396D303A"/>
    <w:rsid w:val="39ED01CA"/>
    <w:rsid w:val="39F360A1"/>
    <w:rsid w:val="3AC40F07"/>
    <w:rsid w:val="3B212C76"/>
    <w:rsid w:val="3C0555B2"/>
    <w:rsid w:val="3C1D293A"/>
    <w:rsid w:val="3C4F7E7F"/>
    <w:rsid w:val="3C776471"/>
    <w:rsid w:val="3CB43B15"/>
    <w:rsid w:val="3D0B5AA3"/>
    <w:rsid w:val="3D1B75AF"/>
    <w:rsid w:val="3D397094"/>
    <w:rsid w:val="3DD36438"/>
    <w:rsid w:val="3E7661A6"/>
    <w:rsid w:val="3F3A387A"/>
    <w:rsid w:val="3FED763F"/>
    <w:rsid w:val="3FF07F1B"/>
    <w:rsid w:val="419A2E85"/>
    <w:rsid w:val="41E748AD"/>
    <w:rsid w:val="42944487"/>
    <w:rsid w:val="42DB10D1"/>
    <w:rsid w:val="430D559B"/>
    <w:rsid w:val="43100A85"/>
    <w:rsid w:val="43153A43"/>
    <w:rsid w:val="44810FA7"/>
    <w:rsid w:val="47875847"/>
    <w:rsid w:val="484F72F8"/>
    <w:rsid w:val="48684DE7"/>
    <w:rsid w:val="48961A2D"/>
    <w:rsid w:val="4A0362EE"/>
    <w:rsid w:val="4A0E0C4A"/>
    <w:rsid w:val="4A273284"/>
    <w:rsid w:val="4A2D016F"/>
    <w:rsid w:val="4A3D5A9C"/>
    <w:rsid w:val="4A752DC2"/>
    <w:rsid w:val="4B17358F"/>
    <w:rsid w:val="4B92472D"/>
    <w:rsid w:val="4B9776B9"/>
    <w:rsid w:val="4C1E07C4"/>
    <w:rsid w:val="4CF001F5"/>
    <w:rsid w:val="4CFD1581"/>
    <w:rsid w:val="4E787A5D"/>
    <w:rsid w:val="4E8A3DE2"/>
    <w:rsid w:val="4EDC5909"/>
    <w:rsid w:val="4FAD5FDA"/>
    <w:rsid w:val="51330760"/>
    <w:rsid w:val="519F72C4"/>
    <w:rsid w:val="51E241AA"/>
    <w:rsid w:val="52A03B53"/>
    <w:rsid w:val="52EB2D77"/>
    <w:rsid w:val="534C7CBE"/>
    <w:rsid w:val="54505185"/>
    <w:rsid w:val="548C7821"/>
    <w:rsid w:val="54C4406A"/>
    <w:rsid w:val="551408A9"/>
    <w:rsid w:val="55966B73"/>
    <w:rsid w:val="55A83F6F"/>
    <w:rsid w:val="56012B90"/>
    <w:rsid w:val="581F1113"/>
    <w:rsid w:val="582D0FFC"/>
    <w:rsid w:val="588157DF"/>
    <w:rsid w:val="5904518A"/>
    <w:rsid w:val="59070080"/>
    <w:rsid w:val="59660F53"/>
    <w:rsid w:val="59845CE3"/>
    <w:rsid w:val="5A7A3D42"/>
    <w:rsid w:val="5A7D0131"/>
    <w:rsid w:val="5B2B4C1B"/>
    <w:rsid w:val="5B331E68"/>
    <w:rsid w:val="5C2515ED"/>
    <w:rsid w:val="5C535134"/>
    <w:rsid w:val="5C5C6276"/>
    <w:rsid w:val="5DA57E46"/>
    <w:rsid w:val="5E4A6753"/>
    <w:rsid w:val="5E5E5DCD"/>
    <w:rsid w:val="5EF46DA9"/>
    <w:rsid w:val="5EF92676"/>
    <w:rsid w:val="5FD30547"/>
    <w:rsid w:val="603F2479"/>
    <w:rsid w:val="613F2044"/>
    <w:rsid w:val="61EE5A12"/>
    <w:rsid w:val="62D376AD"/>
    <w:rsid w:val="62FE3F34"/>
    <w:rsid w:val="6319633A"/>
    <w:rsid w:val="63932504"/>
    <w:rsid w:val="653B354D"/>
    <w:rsid w:val="657A4592"/>
    <w:rsid w:val="66540655"/>
    <w:rsid w:val="66EA271B"/>
    <w:rsid w:val="67017E99"/>
    <w:rsid w:val="674008CC"/>
    <w:rsid w:val="677F0F4C"/>
    <w:rsid w:val="68053890"/>
    <w:rsid w:val="68632C80"/>
    <w:rsid w:val="696F366A"/>
    <w:rsid w:val="69F53822"/>
    <w:rsid w:val="6B7E089C"/>
    <w:rsid w:val="6BD0487D"/>
    <w:rsid w:val="6BE01A56"/>
    <w:rsid w:val="6C225294"/>
    <w:rsid w:val="6CFE15C0"/>
    <w:rsid w:val="6CFE290D"/>
    <w:rsid w:val="6D0B19EF"/>
    <w:rsid w:val="6DA05D38"/>
    <w:rsid w:val="6DD16869"/>
    <w:rsid w:val="6E3D27C7"/>
    <w:rsid w:val="6F8E2F19"/>
    <w:rsid w:val="70931BF1"/>
    <w:rsid w:val="70954B78"/>
    <w:rsid w:val="71265769"/>
    <w:rsid w:val="71B1539A"/>
    <w:rsid w:val="71E05943"/>
    <w:rsid w:val="721C67E8"/>
    <w:rsid w:val="727E4B3C"/>
    <w:rsid w:val="72DF33CA"/>
    <w:rsid w:val="72ED2380"/>
    <w:rsid w:val="74456B11"/>
    <w:rsid w:val="748A7DE8"/>
    <w:rsid w:val="74D77CB0"/>
    <w:rsid w:val="750F550D"/>
    <w:rsid w:val="755503F6"/>
    <w:rsid w:val="76723652"/>
    <w:rsid w:val="76B90464"/>
    <w:rsid w:val="76C375E1"/>
    <w:rsid w:val="779C7F16"/>
    <w:rsid w:val="78947487"/>
    <w:rsid w:val="79DE4E5E"/>
    <w:rsid w:val="7A0F45D4"/>
    <w:rsid w:val="7A2B7A72"/>
    <w:rsid w:val="7A723F85"/>
    <w:rsid w:val="7A7D2440"/>
    <w:rsid w:val="7AB427C6"/>
    <w:rsid w:val="7BBA5457"/>
    <w:rsid w:val="7C5C31FB"/>
    <w:rsid w:val="7D1C7505"/>
    <w:rsid w:val="7D63127E"/>
    <w:rsid w:val="7DAB2803"/>
    <w:rsid w:val="7DD2022C"/>
    <w:rsid w:val="7DDE7F6E"/>
    <w:rsid w:val="7E6B2452"/>
    <w:rsid w:val="7EBC51B6"/>
    <w:rsid w:val="7EC30AC6"/>
    <w:rsid w:val="7F3E760D"/>
    <w:rsid w:val="7F4A646E"/>
    <w:rsid w:val="7FB273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99"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Body Text"/>
    <w:basedOn w:val="1"/>
    <w:next w:val="4"/>
    <w:link w:val="16"/>
    <w:autoRedefine/>
    <w:qFormat/>
    <w:uiPriority w:val="99"/>
    <w:pPr>
      <w:spacing w:beforeLines="30"/>
    </w:pPr>
    <w:rPr>
      <w:rFonts w:ascii="仿宋_GB2312" w:eastAsia="仿宋_GB2312"/>
      <w:kern w:val="0"/>
      <w:sz w:val="30"/>
    </w:rPr>
  </w:style>
  <w:style w:type="paragraph" w:styleId="4">
    <w:name w:val="Body Text First Indent"/>
    <w:basedOn w:val="3"/>
    <w:next w:val="5"/>
    <w:autoRedefine/>
    <w:unhideWhenUsed/>
    <w:qFormat/>
    <w:uiPriority w:val="99"/>
    <w:pPr>
      <w:ind w:firstLine="420" w:firstLineChars="100"/>
    </w:pPr>
  </w:style>
  <w:style w:type="paragraph" w:styleId="5">
    <w:name w:val="Body Text Indent 2"/>
    <w:basedOn w:val="1"/>
    <w:autoRedefine/>
    <w:qFormat/>
    <w:uiPriority w:val="99"/>
    <w:pPr>
      <w:spacing w:line="480" w:lineRule="auto"/>
      <w:ind w:left="420" w:leftChars="200"/>
    </w:pPr>
  </w:style>
  <w:style w:type="paragraph" w:styleId="6">
    <w:name w:val="Block Text"/>
    <w:basedOn w:val="1"/>
    <w:autoRedefine/>
    <w:qFormat/>
    <w:uiPriority w:val="0"/>
    <w:pPr>
      <w:ind w:left="1440" w:leftChars="700" w:right="700" w:rightChars="700"/>
    </w:pPr>
  </w:style>
  <w:style w:type="paragraph" w:styleId="7">
    <w:name w:val="Date"/>
    <w:next w:val="1"/>
    <w:autoRedefine/>
    <w:qFormat/>
    <w:uiPriority w:val="0"/>
    <w:pPr>
      <w:widowControl w:val="0"/>
      <w:ind w:left="2500" w:leftChars="2500"/>
      <w:jc w:val="both"/>
    </w:pPr>
    <w:rPr>
      <w:rFonts w:ascii="Times New Roman" w:hAnsi="Times New Roman" w:eastAsia="宋体" w:cs="Times New Roman"/>
      <w:kern w:val="2"/>
      <w:sz w:val="21"/>
      <w:szCs w:val="24"/>
      <w:lang w:val="en-US" w:eastAsia="zh-CN" w:bidi="ar-SA"/>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0"/>
    <w:pPr>
      <w:ind w:left="400" w:leftChars="200" w:hanging="200" w:hangingChars="200"/>
    </w:pPr>
    <w:rPr>
      <w:rFonts w:eastAsia="仿宋"/>
      <w:sz w:val="32"/>
      <w:szCs w:val="24"/>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locked/>
    <w:uiPriority w:val="99"/>
    <w:rPr>
      <w:b/>
    </w:rPr>
  </w:style>
  <w:style w:type="character" w:styleId="15">
    <w:name w:val="Emphasis"/>
    <w:basedOn w:val="13"/>
    <w:autoRedefine/>
    <w:qFormat/>
    <w:uiPriority w:val="99"/>
    <w:rPr>
      <w:rFonts w:cs="Times New Roman"/>
    </w:rPr>
  </w:style>
  <w:style w:type="character" w:customStyle="1" w:styleId="16">
    <w:name w:val="正文文本 Char"/>
    <w:basedOn w:val="13"/>
    <w:link w:val="3"/>
    <w:semiHidden/>
    <w:qFormat/>
    <w:uiPriority w:val="99"/>
    <w:rPr>
      <w:rFonts w:ascii="Calibri" w:hAnsi="Calibri"/>
    </w:rPr>
  </w:style>
  <w:style w:type="character" w:customStyle="1" w:styleId="17">
    <w:name w:val="页脚 Char"/>
    <w:basedOn w:val="13"/>
    <w:link w:val="8"/>
    <w:autoRedefine/>
    <w:semiHidden/>
    <w:qFormat/>
    <w:locked/>
    <w:uiPriority w:val="99"/>
    <w:rPr>
      <w:rFonts w:cs="Times New Roman"/>
      <w:sz w:val="18"/>
      <w:szCs w:val="18"/>
    </w:rPr>
  </w:style>
  <w:style w:type="character" w:customStyle="1" w:styleId="18">
    <w:name w:val="页眉 Char"/>
    <w:basedOn w:val="13"/>
    <w:link w:val="9"/>
    <w:semiHidden/>
    <w:qFormat/>
    <w:locked/>
    <w:uiPriority w:val="99"/>
    <w:rPr>
      <w:rFonts w:cs="Times New Roman"/>
      <w:sz w:val="18"/>
      <w:szCs w:val="18"/>
    </w:rPr>
  </w:style>
  <w:style w:type="paragraph" w:customStyle="1" w:styleId="19">
    <w:name w:val="正文文本1"/>
    <w:basedOn w:val="1"/>
    <w:qFormat/>
    <w:uiPriority w:val="99"/>
    <w:pPr>
      <w:spacing w:before="93"/>
    </w:pPr>
    <w:rPr>
      <w:rFonts w:ascii="仿宋_GB2312" w:hAnsi="仿宋_GB2312" w:eastAsia="仿宋_GB2312"/>
      <w:kern w:val="0"/>
      <w:sz w:val="30"/>
      <w:szCs w:val="20"/>
    </w:rPr>
  </w:style>
  <w:style w:type="character" w:customStyle="1" w:styleId="20">
    <w:name w:val="默认段落字体1"/>
    <w:autoRedefine/>
    <w:qFormat/>
    <w:uiPriority w:val="99"/>
    <w:rPr>
      <w:sz w:val="22"/>
    </w:rPr>
  </w:style>
  <w:style w:type="paragraph" w:styleId="21">
    <w:name w:val="List Paragraph"/>
    <w:basedOn w:val="1"/>
    <w:qFormat/>
    <w:uiPriority w:val="99"/>
    <w:pPr>
      <w:ind w:firstLine="420" w:firstLineChars="200"/>
    </w:pPr>
  </w:style>
  <w:style w:type="paragraph" w:customStyle="1" w:styleId="22">
    <w:name w:val="正文首行缩进 21"/>
    <w:basedOn w:val="23"/>
    <w:autoRedefine/>
    <w:unhideWhenUsed/>
    <w:qFormat/>
    <w:uiPriority w:val="0"/>
    <w:pPr>
      <w:spacing w:beforeLines="0" w:afterLines="0"/>
    </w:pPr>
    <w:rPr>
      <w:rFonts w:hint="eastAsia" w:eastAsia="宋体"/>
      <w:sz w:val="21"/>
    </w:rPr>
  </w:style>
  <w:style w:type="paragraph" w:customStyle="1" w:styleId="23">
    <w:name w:val="正文文本缩进1"/>
    <w:basedOn w:val="1"/>
    <w:next w:val="22"/>
    <w:unhideWhenUsed/>
    <w:qFormat/>
    <w:uiPriority w:val="0"/>
    <w:pPr>
      <w:spacing w:beforeLines="0" w:afterLines="0" w:line="540" w:lineRule="exact"/>
      <w:ind w:firstLine="200" w:firstLineChars="200"/>
      <w:textAlignment w:val="baseline"/>
    </w:pPr>
    <w:rPr>
      <w:rFonts w:hint="eastAsia" w:eastAsia="仿宋_GB2312"/>
      <w:kern w:val="0"/>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5317</Words>
  <Characters>5892</Characters>
  <Lines>31</Lines>
  <Paragraphs>8</Paragraphs>
  <TotalTime>0</TotalTime>
  <ScaleCrop>false</ScaleCrop>
  <LinksUpToDate>false</LinksUpToDate>
  <CharactersWithSpaces>5988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2019-03-12T08:05:00Z</dcterms:created>
  <dc:creator>薛永萍</dc:creator>
  <cp:lastModifiedBy>阿晋</cp:lastModifiedBy>
  <cp:lastPrinted>2026-03-17T06:31:00Z</cp:lastPrinted>
  <dcterms:modified xsi:type="dcterms:W3CDTF">2026-03-19T02:48:05Z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CE18A2BE8B9547ACBC6C22561C71442A_13</vt:lpwstr>
  </property>
  <property fmtid="{D5CDD505-2E9C-101B-9397-08002B2CF9AE}" pid="4" name="KSOTemplateDocerSaveRecord">
    <vt:lpwstr>eyJoZGlkIjoiMmI5YjgyYTU1YzNhODY1ZWY0NjQzYTkwZTcyODRhYTEiLCJ1c2VySWQiOiI0MTE4MTIzMTUifQ==</vt:lpwstr>
  </property>
</Properties>
</file>