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700" w:lineRule="exact"/>
        <w:jc w:val="center"/>
        <w:textAlignment w:val="auto"/>
        <w:rPr>
          <w:rFonts w:ascii="Times New Roman" w:eastAsia="方正小标宋简体" w:cs="Times New Roman" w:hAnsi="Times New Roman" w:hint="eastAsia"/>
          <w:color w:val="auto"/>
          <w:sz w:val="44"/>
          <w:lang w:val="en-US" w:eastAsia="zh-CN"/>
          <w:highlight w:val="auto"/>
        </w:rPr>
      </w:pPr>
      <w:bookmarkStart w:id="0" w:name="_GoBack"/>
      <w:bookmarkEnd w:id="0"/>
      <w:r>
        <w:rPr>
          <w:rFonts w:ascii="Times New Roman" w:eastAsia="方正小标宋简体" w:cs="Times New Roman" w:hAnsi="Times New Roman" w:hint="eastAsia"/>
          <w:color w:val="auto"/>
          <w:sz w:val="44"/>
          <w:lang w:val="en-US" w:eastAsia="zh-CN"/>
          <w:highlight w:val="auto"/>
        </w:rPr>
        <w:t>关于</w:t>
      </w:r>
      <w:r>
        <w:rPr>
          <w:rFonts w:ascii="Times New Roman" w:eastAsia="方正小标宋简体" w:cs="Times New Roman" w:hAnsi="Times New Roman" w:hint="eastAsia"/>
          <w:color w:val="auto"/>
          <w:sz w:val="44"/>
          <w:lang w:eastAsia="zh-CN"/>
          <w:highlight w:val="auto"/>
        </w:rPr>
        <w:t>无人机探测和反制设备测试及验证（四川·阿坝）</w:t>
      </w:r>
      <w:r>
        <w:rPr>
          <w:rFonts w:ascii="Times New Roman" w:eastAsia="方正小标宋简体" w:cs="Times New Roman" w:hAnsi="Times New Roman" w:hint="eastAsia"/>
          <w:color w:val="auto"/>
          <w:sz w:val="44"/>
          <w:lang w:val="en-US" w:eastAsia="zh-CN"/>
          <w:highlight w:val="auto"/>
        </w:rPr>
        <w:t>项目地块</w:t>
      </w:r>
      <w:r>
        <w:rPr>
          <w:rFonts w:ascii="Times New Roman" w:eastAsia="方正小标宋简体" w:cs="Times New Roman" w:hAnsi="Times New Roman" w:hint="eastAsia"/>
          <w:color w:val="auto"/>
          <w:sz w:val="44"/>
          <w:lang w:eastAsia="zh-CN"/>
          <w:highlight w:val="auto"/>
        </w:rPr>
        <w:t>规划控制指标</w:t>
      </w:r>
      <w:r>
        <w:rPr>
          <w:rFonts w:ascii="Times New Roman" w:eastAsia="方正小标宋简体" w:cs="Times New Roman" w:hAnsi="Times New Roman" w:hint="eastAsia"/>
          <w:color w:val="auto"/>
          <w:sz w:val="44"/>
          <w:lang w:val="en-US" w:eastAsia="zh-CN"/>
          <w:highlight w:val="auto"/>
        </w:rPr>
        <w:t>论证情况的公示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700" w:lineRule="exact"/>
        <w:jc w:val="center"/>
        <w:textAlignment w:val="auto"/>
        <w:rPr>
          <w:rFonts w:ascii="Times New Roman" w:eastAsia="方正小标宋简体" w:cs="Times New Roman" w:hAnsi="Times New Roman"/>
          <w:color w:val="auto"/>
          <w:sz w:val="44"/>
          <w:lang w:val="en-US" w:eastAsia="zh-CN"/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jc w:val="both"/>
        <w:textAlignment w:val="auto"/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yellow"/>
        </w:rPr>
      </w:pP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eastAsia="zh-CN"/>
          <w:highlight w:val="auto"/>
        </w:rPr>
        <w:t>本项目地块暂无法定详细规划覆盖，存在特定选址要求，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  <w:t>依据《自然资源部关于印发〈城镇开发边界管理办法（试行）〉的通知》（自然资规〔2026〕1号）第九条、四川省自然资源厅办公室</w:t>
      </w:r>
      <w:r>
        <w:rPr>
          <w:rFonts w:ascii="方正仿宋_GB2312" w:eastAsia="方正仿宋_GB2312" w:cs="方正仿宋_GB2312" w:hint="eastAsia"/>
          <w:color w:val="auto"/>
          <w:sz w:val="32"/>
          <w:szCs w:val="22"/>
          <w:lang w:eastAsia="zh-CN"/>
          <w:highlight w:val="auto"/>
        </w:rPr>
        <w:t>《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  <w:t>关于印发〈</w:t>
      </w:r>
      <w:r>
        <w:rPr>
          <w:rFonts w:ascii="方正仿宋_GB2312" w:eastAsia="方正仿宋_GB2312" w:cs="方正仿宋_GB2312" w:hint="eastAsia"/>
          <w:color w:val="auto"/>
          <w:sz w:val="32"/>
          <w:szCs w:val="22"/>
          <w:lang w:eastAsia="zh-CN"/>
          <w:highlight w:val="auto"/>
        </w:rPr>
        <w:t>四川省规划条件管理工作指引（试行）〉的通知》（〔2026〕275号）</w:t>
      </w:r>
      <w:r>
        <w:rPr>
          <w:rFonts w:ascii="方正仿宋_GB2312" w:eastAsia="方正仿宋_GB2312" w:cs="方正仿宋_GB2312" w:hint="eastAsia"/>
          <w:color w:val="auto"/>
          <w:sz w:val="32"/>
          <w:szCs w:val="22"/>
          <w:lang w:val="en-US" w:eastAsia="zh-CN"/>
          <w:highlight w:val="auto"/>
        </w:rPr>
        <w:t>第七条，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  <w:t>为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eastAsia="zh-CN"/>
          <w:highlight w:val="auto"/>
        </w:rPr>
        <w:t>保障项目依法办理规划许可，特开展本次地块规划条件论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  <w:t>证。汶川县自然资源局于8月7日召开了专家评审会，会议审查通过了地块用地性质及规划控制指标论证，现将主要情况公示如下：</w:t>
      </w:r>
    </w:p>
    <w:p>
      <w:pPr>
        <w:pStyle w:val="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left="0" w:firstLineChars="200" w:firstLine="64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textAlignment w:val="auto"/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  <w:t xml:space="preserve">  本项目选址汶川县漩口镇双庙村，已列入《促进五区协同发展牵引性重大项目名单（第一批）》（川重办发〔2026〕1 号），并完成汶川县发改局备案（川投资备[2606-513221-04-01-975419]）。项目紧扣国家“十五五”规划及低空经济发展与安全管控相关政策，契合四川省产业发展战略；对照《产业结构调整指导目录》（2024年本）、《自然资源要素支撑产业高质量发展指导目录（2024年本）》，项目建设符合国家产业及供地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textAlignment w:val="auto"/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</w:pPr>
    </w:p>
    <w:p>
      <w:pPr>
        <w:pStyle w:val="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left="0" w:firstLineChars="200" w:firstLine="640"/>
        <w:jc w:val="left"/>
        <w:textAlignment w:val="auto"/>
        <w:rPr>
          <w:rFonts w:ascii="宋体" w:cs="宋体" w:hAnsi="宋体"/>
          <w:lang w:val="en-US" w:eastAsia="zh-CN"/>
        </w:rPr>
      </w:pPr>
      <w:r>
        <w:rPr>
          <w:rFonts w:ascii="宋体" w:cs="宋体" w:hAnsi="宋体" w:hint="eastAsia"/>
          <w:lang w:val="en-US" w:eastAsia="zh-CN"/>
        </w:rPr>
        <w:t>主要内容</w:t>
      </w:r>
    </w:p>
    <w:p>
      <w:pPr>
        <w:pStyle w:val="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left="-203" w:firstLine="643"/>
        <w:textAlignment w:val="auto"/>
        <w:rPr>
          <w:rFonts w:ascii="方正仿宋_GB2312" w:eastAsia="方正仿宋_GB2312" w:cs="方正仿宋_GB2312" w:hint="eastAsia"/>
          <w:lang w:val="en-US" w:eastAsia="zh-CN"/>
        </w:rPr>
      </w:pPr>
      <w:r>
        <w:rPr>
          <w:rFonts w:ascii="方正仿宋_GB2312" w:eastAsia="方正仿宋_GB2312" w:cs="方正仿宋_GB2312" w:hint="eastAsia"/>
          <w:lang w:val="en-US" w:eastAsia="zh-CN"/>
        </w:rPr>
        <w:t xml:space="preserve">用地性质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left="0" w:firstLine="640"/>
        <w:textAlignment w:val="auto"/>
        <w:rPr>
          <w:rFonts w:ascii="方正仿宋_GB2312" w:eastAsia="方正仿宋_GB2312" w:cs="方正仿宋_GB2312"/>
          <w:color w:val="auto"/>
          <w:kern w:val="2"/>
          <w:sz w:val="32"/>
          <w:szCs w:val="32"/>
          <w:lang w:eastAsia="zh-CN"/>
          <w:highlight w:val="auto"/>
        </w:rPr>
      </w:pPr>
      <w:r>
        <w:rPr>
          <w:rFonts w:ascii="方正仿宋_GB2312" w:eastAsia="方正仿宋_GB2312" w:cs="方正仿宋_GB2312"/>
          <w:color w:val="auto"/>
          <w:kern w:val="2"/>
          <w:sz w:val="32"/>
          <w:szCs w:val="32"/>
          <w:lang w:eastAsia="zh-CN"/>
          <w:highlight w:val="auto"/>
        </w:rPr>
        <w:t>本项目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  <w:t>用地范围</w:t>
      </w:r>
      <w:r>
        <w:rPr>
          <w:rFonts w:ascii="方正仿宋_GB2312" w:eastAsia="方正仿宋_GB2312" w:cs="方正仿宋_GB2312"/>
          <w:color w:val="auto"/>
          <w:kern w:val="2"/>
          <w:sz w:val="32"/>
          <w:szCs w:val="32"/>
          <w:lang w:eastAsia="zh-CN"/>
          <w:highlight w:val="auto"/>
        </w:rPr>
        <w:t>共涉及11个地块，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  <w:t>项目</w:t>
      </w:r>
      <w:r>
        <w:rPr>
          <w:rFonts w:ascii="方正仿宋_GB2312" w:eastAsia="方正仿宋_GB2312" w:cs="方正仿宋_GB2312"/>
          <w:color w:val="auto"/>
          <w:kern w:val="2"/>
          <w:sz w:val="32"/>
          <w:szCs w:val="32"/>
          <w:lang w:eastAsia="zh-CN"/>
          <w:highlight w:val="auto"/>
        </w:rPr>
        <w:t>定位为立足四川、服务全国、辐射国际的低空安全核心基础设施，打造集技术研发、测试评估、标准研制、认证服务、演训孵化于一体的国家级综合测试验证平台。参照《科研建筑设计标准》（JGJ91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eastAsia="zh-CN"/>
          <w:highlight w:val="auto"/>
        </w:rPr>
        <w:t>—</w:t>
      </w:r>
      <w:r>
        <w:rPr>
          <w:rFonts w:ascii="方正仿宋_GB2312" w:eastAsia="方正仿宋_GB2312" w:cs="方正仿宋_GB2312"/>
          <w:color w:val="auto"/>
          <w:kern w:val="2"/>
          <w:sz w:val="32"/>
          <w:szCs w:val="32"/>
          <w:lang w:eastAsia="zh-CN"/>
          <w:highlight w:val="auto"/>
        </w:rPr>
        <w:t>2019），项目属于山地野外装备露天测试场地，仅开展样机数据采集、算法验证，不涉及量产加工。依据《国土空间调查、规划、用途管制用地用海分类指南（2026年版）》（征求意见稿）0802科研用地定义，结合项目功能、建设内容及使用特点，11个地块用地性质统一确定为0802科研用地。</w:t>
      </w:r>
    </w:p>
    <w:p>
      <w:pPr>
        <w:pStyle w:val="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left="-203" w:firstLine="643"/>
        <w:textAlignment w:val="auto"/>
        <w:rPr>
          <w:rFonts w:ascii="方正仿宋_GB2312" w:eastAsia="方正仿宋_GB2312" w:cs="方正仿宋_GB2312" w:hint="eastAsia"/>
          <w:lang w:val="en-US" w:eastAsia="zh-CN"/>
          <w:highlight w:val="auto"/>
        </w:rPr>
      </w:pPr>
      <w:r>
        <w:rPr>
          <w:rFonts w:ascii="方正仿宋_GB2312" w:eastAsia="方正仿宋_GB2312" w:cs="方正仿宋_GB2312" w:hint="eastAsia"/>
          <w:lang w:val="en-US" w:eastAsia="zh-CN"/>
          <w:highlight w:val="auto"/>
        </w:rPr>
        <w:t xml:space="preserve">地块红线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firstLineChars="200" w:firstLine="640"/>
        <w:textAlignment w:val="auto"/>
        <w:rPr>
          <w:rFonts w:ascii="方正仿宋_GB2312" w:eastAsia="方正仿宋_GB2312" w:cs="方正仿宋_GB2312" w:hint="eastAsia"/>
          <w:sz w:val="32"/>
          <w:szCs w:val="32"/>
          <w:lang w:val="en-US" w:eastAsia="zh-CN"/>
          <w:highlight w:val="auto"/>
        </w:rPr>
      </w:pPr>
      <w:r>
        <w:rPr>
          <w:rFonts w:ascii="方正仿宋_GB2312" w:eastAsia="方正仿宋_GB2312" w:cs="方正仿宋_GB2312" w:hint="eastAsia"/>
          <w:sz w:val="32"/>
          <w:szCs w:val="32"/>
          <w:lang w:val="en-US" w:eastAsia="zh-CN"/>
          <w:highlight w:val="auto"/>
        </w:rPr>
        <w:t>经现场踏勘，项目地块已划定相对完整的闭合用地边界，获取了用地拐点平面坐标、高程及四至权属界线等基础资料。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firstLineChars="200" w:firstLine="440"/>
        <w:jc w:val="center"/>
        <w:textAlignment w:val="auto"/>
        <w:rPr>
          <w:color w:val="auto"/>
          <w:highlight w:val="auto"/>
        </w:rPr>
      </w:pPr>
      <w:r>
        <w:rPr>
          <w:color w:val="auto"/>
          <w:highlight w:val="auto"/>
        </w:rPr>
        <w:drawing>
          <wp:inline distT="0" distB="0" distL="114300" distR="114300">
            <wp:extent cx="4391659" cy="4766310"/>
            <wp:effectExtent l="14287" t="14287" r="14253" b="14310"/>
            <wp:docPr id="1" name="图片 7" descr="F:/#2026.07.13#汶川无人机探测及验证基底建设项目指标论证方案/03出图/CAD图--出规划图则用地红线图/用地红线图/用地红线图jpg/0810/底图--红线_01.jpg底图--红线_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7 3"/>
                    <pic:cNvPicPr/>
                  </pic:nvPicPr>
                  <pic:blipFill>
                    <a:blip r:embed="rId2"/>
                    <a:srcRect t="182" b="1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91659" cy="4766310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240" w:lineRule="auto"/>
        <w:ind w:firstLine="0"/>
        <w:jc w:val="center"/>
        <w:textAlignment w:val="auto"/>
        <w:rPr>
          <w:rFonts w:ascii="仿宋_GB2312" w:eastAsia="仿宋_GB2312" w:cs="仿宋_GB2312" w:hint="eastAsia"/>
          <w:b/>
          <w:bCs/>
          <w:color w:val="auto"/>
          <w:sz w:val="28"/>
          <w:szCs w:val="28"/>
          <w:lang w:val="en-US" w:eastAsia="zh-CN"/>
          <w:highlight w:val="auto"/>
        </w:rPr>
      </w:pPr>
      <w:r>
        <w:rPr>
          <w:rFonts w:ascii="仿宋_GB2312" w:eastAsia="仿宋_GB2312" w:cs="仿宋_GB2312" w:hint="eastAsia"/>
          <w:b/>
          <w:bCs/>
          <w:color w:val="auto"/>
          <w:sz w:val="28"/>
          <w:szCs w:val="28"/>
          <w:lang w:val="en-US" w:eastAsia="zh-CN"/>
          <w:highlight w:val="auto"/>
        </w:rPr>
        <w:t>项目用地红线分布图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firstLineChars="200" w:firstLine="440"/>
        <w:jc w:val="both"/>
        <w:textAlignment w:val="auto"/>
        <w:rPr>
          <w:color w:val="auto"/>
          <w:highlight w:val="auto"/>
        </w:rPr>
        <w:sectPr>
          <w:pgSz w:w="16838" w:h="11906" w:orient="landscape"/>
          <w:pgMar w:top="1800" w:right="1440" w:bottom="1800" w:left="1440" w:header="851" w:footer="992" w:gutter="0"/>
          <w:docGrid w:type="lines" w:linePitch="312" w:charSpace="0"/>
        </w:sectPr>
      </w:pPr>
    </w:p>
    <w:tbl>
      <w:tblPr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7"/>
        <w:gridCol w:w="4688"/>
        <w:gridCol w:w="4688"/>
      </w:tblGrid>
      <w:tr>
        <w:trPr>
          <w:trHeight w:val="3464"/>
        </w:trPr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方正仿宋_GB2312" w:eastAsia="方正仿宋_GB2312" w:cs="方正仿宋_GB2312" w:hint="eastAsia"/>
                <w:vertAlign w:val="baseline"/>
                <w:lang w:val="en-US" w:eastAsia="zh-CN"/>
                <w:highlight w:val="yellow"/>
              </w:rPr>
            </w:pPr>
            <w:r>
              <w:rPr>
                <w:rFonts w:asci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  <w:highlight w:val="auto"/>
              </w:rPr>
              <w:drawing>
                <wp:inline distT="0" distB="0" distL="114300" distR="114300">
                  <wp:extent cx="2757170" cy="2343785"/>
                  <wp:effectExtent l="0" t="0" r="11" b="4"/>
                  <wp:docPr id="4" name="图片 86" descr="1_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图片 86 6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57170" cy="23437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方正仿宋_GB2312" w:eastAsia="方正仿宋_GB2312" w:cs="方正仿宋_GB2312" w:hint="eastAsia"/>
                <w:vertAlign w:val="baseline"/>
                <w:lang w:val="en-US" w:eastAsia="zh-CN"/>
                <w:highlight w:val="yellow"/>
              </w:rPr>
            </w:pPr>
            <w:r>
              <w:rPr>
                <w:rFonts w:asci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  <w:highlight w:val="auto"/>
              </w:rPr>
              <w:drawing>
                <wp:inline distT="0" distB="0" distL="114300" distR="114300">
                  <wp:extent cx="2732405" cy="2322195"/>
                  <wp:effectExtent l="0" t="0" r="10" b="36"/>
                  <wp:docPr id="7" name="图片 87" descr="2_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图片 87 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32405" cy="23221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方正仿宋_GB2312" w:eastAsia="方正仿宋_GB2312" w:cs="方正仿宋_GB2312" w:hint="eastAsia"/>
                <w:vertAlign w:val="baseline"/>
                <w:lang w:val="en-US" w:eastAsia="zh-CN"/>
                <w:highlight w:val="yellow"/>
              </w:rPr>
            </w:pPr>
            <w:r>
              <w:rPr>
                <w:rFonts w:asci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  <w:highlight w:val="auto"/>
              </w:rPr>
              <w:drawing>
                <wp:inline distT="0" distB="0" distL="114300" distR="114300">
                  <wp:extent cx="2662554" cy="2263139"/>
                  <wp:effectExtent l="0" t="0" r="23" b="34"/>
                  <wp:docPr id="10" name="图片 88" descr="34_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图片 88 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662554" cy="22631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7"/>
        </w:trPr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  <w:t>XK-01-0802/2026-08地块红线图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  <w:t>XK-02-0802/2026-08地块红线图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  <w:t>XK-03/04-0802/2026-08地块红线图</w:t>
            </w:r>
          </w:p>
        </w:tc>
      </w:tr>
      <w:tr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方正仿宋_GB2312" w:eastAsia="方正仿宋_GB2312" w:cs="方正仿宋_GB2312" w:hint="eastAsia"/>
                <w:vertAlign w:val="baseline"/>
                <w:lang w:val="en-US" w:eastAsia="zh-CN"/>
                <w:highlight w:val="yellow"/>
              </w:rPr>
            </w:pPr>
            <w:r>
              <w:rPr>
                <w:rFonts w:asci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  <w:highlight w:val="auto"/>
              </w:rPr>
              <w:drawing>
                <wp:inline distT="0" distB="0" distL="114300" distR="114300">
                  <wp:extent cx="2738754" cy="2327910"/>
                  <wp:effectExtent l="0" t="0" r="23" b="36"/>
                  <wp:docPr id="13" name="图片 89" descr="5_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图片 89 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38754" cy="23279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color w:val="auto"/>
                <w:sz w:val="22"/>
                <w:szCs w:val="22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  <w:highlight w:val="auto"/>
              </w:rPr>
              <w:drawing>
                <wp:inline distT="0" distB="0" distL="114300" distR="114300">
                  <wp:extent cx="2738754" cy="2327910"/>
                  <wp:effectExtent l="0" t="0" r="22" b="36"/>
                  <wp:docPr id="16" name="图片 1" descr="6_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图片 1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38754" cy="23279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color w:val="auto"/>
                <w:sz w:val="22"/>
                <w:szCs w:val="22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  <w:highlight w:val="auto"/>
              </w:rPr>
              <w:drawing>
                <wp:inline distT="0" distB="0" distL="114300" distR="114300">
                  <wp:extent cx="2738754" cy="2327910"/>
                  <wp:effectExtent l="0" t="0" r="22" b="36"/>
                  <wp:docPr id="19" name="图片 2" descr="7_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图片 2 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38754" cy="23279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方正仿宋_GB2312" w:eastAsia="方正仿宋_GB2312" w:cs="方正仿宋_GB2312" w:hint="eastAsia"/>
                <w:vertAlign w:val="baseline"/>
                <w:lang w:val="en-US" w:eastAsia="zh-CN"/>
                <w:highlight w:val="yellow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  <w:t>XK-05-0802/2026-08地块红线图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  <w:t>XK-06-0802/2026-08地块红线图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  <w:t>XK-07-0802/2026-08地块红线图</w:t>
            </w:r>
          </w:p>
        </w:tc>
      </w:tr>
      <w:tr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color w:val="auto"/>
                <w:sz w:val="22"/>
                <w:szCs w:val="22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  <w:highlight w:val="auto"/>
              </w:rPr>
              <w:drawing>
                <wp:inline distT="0" distB="0" distL="114300" distR="114300">
                  <wp:extent cx="2738754" cy="2327910"/>
                  <wp:effectExtent l="0" t="0" r="23" b="36"/>
                  <wp:docPr id="22" name="图片 3" descr="8_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图片 3 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38754" cy="23279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color w:val="auto"/>
                <w:sz w:val="22"/>
                <w:szCs w:val="22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  <w:highlight w:val="auto"/>
              </w:rPr>
              <w:drawing>
                <wp:inline distT="0" distB="0" distL="114300" distR="114300">
                  <wp:extent cx="2738754" cy="2306320"/>
                  <wp:effectExtent l="0" t="0" r="22" b="28"/>
                  <wp:docPr id="25" name="图片 4" descr="9_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图片 4 2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38754" cy="2306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color w:val="auto"/>
                <w:sz w:val="22"/>
                <w:szCs w:val="22"/>
                <w:lang w:val="en-US" w:eastAsia="zh-CN" w:bidi="ar-SA"/>
                <w:highlight w:val="auto"/>
              </w:rPr>
            </w:pPr>
            <w:r>
              <w:rPr>
                <w:rFonts w:ascii="仿宋_GB2312" w:eastAsia="仿宋_GB2312" w:cs="仿宋_GB2312" w:hint="eastAsia"/>
                <w:color w:val="auto"/>
                <w:sz w:val="22"/>
                <w:szCs w:val="22"/>
                <w:lang w:val="en-US" w:eastAsia="zh-CN"/>
                <w:highlight w:val="auto"/>
              </w:rPr>
              <w:drawing>
                <wp:inline distT="0" distB="0" distL="114300" distR="114300">
                  <wp:extent cx="2658110" cy="2259330"/>
                  <wp:effectExtent l="0" t="0" r="9" b="35"/>
                  <wp:docPr id="28" name="图片 5" descr="1011_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图片 5 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658110" cy="2259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  <w:t>XK-08-0802/2026-08地块红线图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vertAlign w:val="baseline"/>
                <w:lang w:val="en-US" w:eastAsia="zh-CN" w:bidi="ar-SA"/>
                <w:highlight w:val="auto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  <w:t>XK-09-0802/2026-08地块红线图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 w:cs="仿宋_GB2312" w:hint="eastAsia"/>
                <w:color w:val="auto"/>
                <w:sz w:val="22"/>
                <w:szCs w:val="22"/>
                <w:lang w:val="en-US" w:eastAsia="zh-CN" w:bidi="ar-SA"/>
                <w:highlight w:val="auto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auto"/>
                <w:sz w:val="22"/>
                <w:szCs w:val="22"/>
                <w:lang w:val="en-US" w:eastAsia="zh-CN"/>
                <w:highlight w:val="auto"/>
              </w:rPr>
              <w:t>XK-10/11-0802/2026-08地块红线图</w:t>
            </w:r>
          </w:p>
        </w:tc>
      </w:tr>
    </w:tbl>
    <w:p>
      <w:pPr>
        <w:pStyle w:val="1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left="-203" w:firstLine="643"/>
        <w:textAlignment w:val="auto"/>
        <w:rPr>
          <w:rFonts w:ascii="方正仿宋_GB2312" w:eastAsia="方正仿宋_GB2312" w:cs="方正仿宋_GB2312" w:hint="eastAsia"/>
          <w:lang w:val="en-US" w:eastAsia="zh-CN"/>
          <w:highlight w:val="auto"/>
        </w:rPr>
      </w:pPr>
      <w:r>
        <w:rPr>
          <w:rFonts w:ascii="方正仿宋_GB2312" w:eastAsia="方正仿宋_GB2312" w:cs="方正仿宋_GB2312" w:hint="eastAsia"/>
          <w:lang w:val="en-US" w:eastAsia="zh-CN"/>
          <w:highlight w:val="auto"/>
        </w:rPr>
        <w:t>地块控制指标</w:t>
      </w:r>
    </w:p>
    <w:p>
      <w:pPr>
        <w:pStyle w:val="3"/>
        <w:keepNext/>
        <w:keepLines/>
        <w:pageBreakBefore w:val="0"/>
        <w:widowControl w:val="0"/>
        <w:numPr>
          <w:ilvl w:val="0"/>
          <w:numId w:val="3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17" w:firstLine="643"/>
        <w:textAlignment w:val="auto"/>
        <w:rPr>
          <w:rFonts w:hint="eastAsia"/>
          <w:lang w:val="en-US" w:eastAsia="zh-CN"/>
          <w:highlight w:val="auto"/>
        </w:rPr>
      </w:pPr>
      <w:r>
        <w:rPr>
          <w:rFonts w:hint="eastAsia"/>
          <w:lang w:val="en-US" w:eastAsia="zh-CN"/>
          <w:highlight w:val="auto"/>
        </w:rPr>
        <w:t xml:space="preserve">相关案例参考   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jc w:val="both"/>
        <w:textAlignment w:val="auto"/>
        <w:rPr>
          <w:rFonts w:ascii="仿宋_GB2312" w:eastAsia="仿宋_GB2312" w:cs="仿宋_GB2312"/>
          <w:color w:val="auto"/>
          <w:sz w:val="32"/>
          <w:szCs w:val="32"/>
          <w:lang w:val="en-US" w:eastAsia="zh-CN"/>
          <w:highlight w:val="auto"/>
        </w:rPr>
      </w:pP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  <w:highlight w:val="auto"/>
        </w:rPr>
        <w:t>本次选取广元、达州、绵阳、宜宾等省内多地已批复的0802科研用地规划调整论证项目开展对标分析，梳理各地在容积率、建筑密度、建筑高度、绿地率等核心管控指标的取值逻辑与实践做法，为本地块指标拟定提供参考依据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  <w:highlight w:val="auto"/>
        </w:rPr>
        <w:t>。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  <w:highlight w:val="auto"/>
        </w:rPr>
        <w:t>从省内同类项目管控实践看，科研用地指标呈现差异化管控特征：布局于产业功能区内的科研项目，容积率上限可至4.0，而位于城市片区、兼具研发办公配套属性的科研地块，绿地率多按≥30%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  <w:highlight w:val="auto"/>
        </w:rPr>
        <w:t>、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  <w:highlight w:val="auto"/>
        </w:rPr>
        <w:t>35%控制，建筑密度一般≤30%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  <w:highlight w:val="auto"/>
        </w:rPr>
        <w:t>或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  <w:highlight w:val="auto"/>
        </w:rPr>
        <w:t>40%；建筑高度、建筑密度不采取全域统一刚性数值，需结合地块区位条件、城市风貌管控、净空限制、上位规划要求、项目产业功能定位及建设方案综合研判确定。由此可见，0802科研用地并无全省统一固化的指标标准，指标取值应立足地块实际，兼顾规划刚性约束与项目落地实施需求。本次结合本项目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  <w:highlight w:val="auto"/>
        </w:rPr>
        <w:t>选址于乡村地区的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  <w:highlight w:val="auto"/>
        </w:rPr>
        <w:t>区位属性、用地规模、功能业态，借鉴上述同类案例管控经验，科学拟定本地块各项规划控制指标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firstLineChars="200" w:firstLine="560"/>
        <w:jc w:val="center"/>
        <w:textAlignment w:val="auto"/>
        <w:rPr>
          <w:rFonts w:ascii="方正仿宋_GB2312" w:eastAsia="方正仿宋_GB2312" w:cs="方正仿宋_GB2312"/>
          <w:b/>
          <w:bCs/>
          <w:color w:val="auto"/>
          <w:kern w:val="2"/>
          <w:sz w:val="28"/>
          <w:szCs w:val="28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28"/>
          <w:szCs w:val="28"/>
          <w:lang w:val="en-US" w:eastAsia="zh-CN" w:bidi="ar-SA"/>
          <w:highlight w:val="auto"/>
        </w:rPr>
        <w:t>表1  相关案例控制性指标参考情况表</w:t>
      </w:r>
    </w:p>
    <w:tbl>
      <w:tblPr>
        <w:jc w:val="left"/>
        <w:tblInd w:w="0" w:type="dxa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3695"/>
        <w:gridCol w:w="891"/>
        <w:gridCol w:w="1116"/>
        <w:gridCol w:w="1079"/>
        <w:gridCol w:w="1040"/>
        <w:gridCol w:w="1076"/>
        <w:gridCol w:w="1079"/>
        <w:gridCol w:w="910"/>
        <w:gridCol w:w="910"/>
        <w:gridCol w:w="705"/>
        <w:gridCol w:w="778"/>
      </w:tblGrid>
      <w:tr>
        <w:trPr>
          <w:trHeight w:val="60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项目名称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用地性质代码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用地性质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用地面积（m²）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容积率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建筑密度（%）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建筑高度（m）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绿地率（%）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建筑后退红线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配套车位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配套设施</w:t>
            </w:r>
          </w:p>
        </w:tc>
      </w:tr>
      <w:tr>
        <w:trPr>
          <w:trHeight w:val="49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德阳市罗江区LJ-1-3-34 用地详细规划调整必要性论证报告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40135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≤1.5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≤30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≥30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</w:tr>
      <w:tr>
        <w:trPr>
          <w:trHeight w:val="614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广元市万源片区控制性详细规划（V.A）-a-03-06局部地块规划调整论证方案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4060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1.2-3.0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≤40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≤48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≥30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</w:tr>
      <w:tr>
        <w:trPr>
          <w:trHeight w:val="49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叙州区樟海镇隆兴农村教育基地建设项目用地性质及规划指标论证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11233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≤2.5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≤30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≥35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</w:tr>
      <w:tr>
        <w:trPr>
          <w:trHeight w:val="735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绵阳科技城集中发展区核心区（安昌河以北）控制性详细规划修编（W-04）-69街区局部规划优化方案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362000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≤2.0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≤40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≥35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</w:tr>
      <w:tr>
        <w:trPr>
          <w:trHeight w:val="774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《绵阳市游仙镇中心片区控制性详细规划（修编）》局部（E（03.C）-h-03街区）优化调整方案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23923.59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1.5-4.0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≤40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</w:tr>
    </w:tbl>
    <w:p>
      <w:pPr>
        <w:rPr>
          <w:rFonts w:ascii="方正仿宋_GB2312" w:eastAsia="方正仿宋_GB2312" w:cs="方正仿宋_GB2312" w:hint="eastAsia"/>
          <w:lang w:val="en-US" w:eastAsia="zh-CN"/>
          <w:highlight w:val="yellow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17" w:firstLine="643"/>
        <w:textAlignment w:val="auto"/>
        <w:rPr>
          <w:rFonts w:hint="eastAsia"/>
          <w:lang w:val="en-US" w:eastAsia="zh-CN"/>
          <w:highlight w:val="auto"/>
        </w:rPr>
      </w:pPr>
      <w:r>
        <w:rPr>
          <w:rFonts w:hint="eastAsia"/>
          <w:lang w:val="en-US" w:eastAsia="zh-CN"/>
          <w:highlight w:val="auto"/>
        </w:rPr>
        <w:t xml:space="preserve"> 地块</w:t>
      </w:r>
      <w:r>
        <w:rPr>
          <w:lang w:val="en-US" w:eastAsia="zh-CN"/>
          <w:highlight w:val="auto"/>
        </w:rPr>
        <w:t>控制指标一览表</w:t>
      </w:r>
      <w:r>
        <w:rPr>
          <w:rFonts w:hint="eastAsia"/>
          <w:lang w:val="en-US" w:eastAsia="zh-CN"/>
          <w:highlight w:val="auto"/>
        </w:rPr>
        <w:t xml:space="preserve">  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jc w:val="both"/>
        <w:textAlignment w:val="auto"/>
        <w:rPr>
          <w:rFonts w:ascii="仿宋_GB2312" w:eastAsia="仿宋_GB2312" w:cs="仿宋_GB2312"/>
          <w:color w:val="auto"/>
          <w:sz w:val="32"/>
          <w:szCs w:val="32"/>
          <w:lang w:val="en-US" w:eastAsia="zh-CN"/>
          <w:highlight w:val="auto"/>
        </w:rPr>
      </w:pP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  <w:highlight w:val="auto"/>
        </w:rPr>
        <w:t>本次规划条件论证以《四川省城乡规划条例》《阿坝藏族羌族自治州实施〈四川省城乡规划条例〉的补充规定》（2016 年）为主要依据，参照《建筑工程建筑面积计算规范》（GB/T 50353—2013）等技术标准，结合同类项目实践案例及项目建设实际需求开展指标测算与确定，具体地块规划控制指标如下：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firstLineChars="200" w:firstLine="560"/>
        <w:jc w:val="center"/>
        <w:textAlignment w:val="auto"/>
        <w:rPr>
          <w:rFonts w:ascii="方正仿宋_GB2312" w:eastAsia="方正仿宋_GB2312" w:cs="方正仿宋_GB2312" w:hint="eastAsia"/>
          <w:b/>
          <w:bCs/>
          <w:color w:val="auto"/>
          <w:kern w:val="2"/>
          <w:sz w:val="28"/>
          <w:szCs w:val="28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28"/>
          <w:szCs w:val="28"/>
          <w:lang w:val="en-US" w:eastAsia="zh-CN" w:bidi="ar-SA"/>
          <w:highlight w:val="auto"/>
        </w:rPr>
        <w:t>表2 论证后地块控制指标一览表</w:t>
      </w:r>
    </w:p>
    <w:tbl>
      <w:tblPr>
        <w:jc w:val="left"/>
        <w:tblInd w:w="0" w:type="dxa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930"/>
        <w:gridCol w:w="1076"/>
        <w:gridCol w:w="1079"/>
        <w:gridCol w:w="1321"/>
        <w:gridCol w:w="1374"/>
        <w:gridCol w:w="1450"/>
        <w:gridCol w:w="871"/>
        <w:gridCol w:w="1748"/>
        <w:gridCol w:w="1298"/>
        <w:gridCol w:w="770"/>
      </w:tblGrid>
      <w:tr>
        <w:trPr>
          <w:trHeight w:val="23"/>
          <w:tblHeader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地块编码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用地性质代码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用地性质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8"/>
                <w:rFonts w:ascii="仿宋_GB2312" w:eastAsia="仿宋_GB2312" w:cs="仿宋_GB2312" w:hint="eastAsia"/>
                <w:color w:val="auto"/>
                <w:sz w:val="21"/>
                <w:szCs w:val="21"/>
                <w:lang w:val="en-US" w:eastAsia="zh-CN"/>
              </w:rPr>
              <w:t>用地面积（m</w:t>
            </w:r>
            <w:r>
              <w:rPr>
                <w:rStyle w:val="19"/>
                <w:rFonts w:ascii="仿宋_GB2312" w:eastAsia="仿宋_GB2312" w:cs="仿宋_GB2312" w:hint="eastAsia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Style w:val="18"/>
                <w:rFonts w:ascii="仿宋_GB2312" w:eastAsia="仿宋_GB2312" w:cs="仿宋_GB2312" w:hint="eastAsia"/>
                <w:color w:val="auto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容积率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建筑密度（%）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建筑高度（m）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绿地率（%）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建筑退距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  <w:highlight w:val="auto"/>
              </w:rPr>
              <w:t>红线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配套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车位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配套设施</w:t>
            </w:r>
          </w:p>
        </w:tc>
      </w:tr>
      <w:tr>
        <w:trPr>
          <w:trHeight w:val="23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XK-01-0802/2026-08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500.00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rPr>
          <w:trHeight w:val="23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XK-02-0802/2026-08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287.85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rPr>
          <w:trHeight w:val="23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XK-03-0802/2026-08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2052.05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≤2.5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≤45%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≤30m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≥10%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后退规划道路红线不小于3m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rPr>
          <w:trHeight w:val="23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XK-04-0802/2026-08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846.00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rPr>
          <w:trHeight w:val="23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XK-05-0802/2026-08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500.00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rPr>
          <w:trHeight w:val="23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XK-06-0802/2026-08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1488.00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rPr>
          <w:trHeight w:val="23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XK-07-0802/2026-08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812.00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≤0.6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≤45%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≤12m（层数不超3F）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后退规划道路红线不小于3m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公厕</w:t>
            </w:r>
          </w:p>
        </w:tc>
      </w:tr>
      <w:tr>
        <w:trPr>
          <w:trHeight w:val="23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XK-10-0802/2026-08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1089.00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rPr>
          <w:trHeight w:val="90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XK-11-0802/2026-08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1089.00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≤1.2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≤50%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≤18m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≥10%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后退规划道路红线不小于3m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rPr>
          <w:trHeight w:val="512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XK-08-0802/2026-08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1115.60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≤3.0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≤45%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≤48m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≥10%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后退规划道路红线不小于3m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根据方案合理性确定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rPr>
          <w:trHeight w:val="23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XK-09-0802/2026-08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0802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科研用地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9590.10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≤3.0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≤45%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≤48m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≥10%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后退规划道路红线不小于3m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textAlignment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仿宋_GB2312" w:eastAsia="仿宋_GB2312" w:cs="仿宋_GB2312" w:hint="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88" w:lineRule="auto"/>
              <w:jc w:val="center"/>
              <w:rPr>
                <w:rFonts w:ascii="仿宋_GB2312" w:eastAsia="仿宋_GB2312" w:cs="仿宋_GB2312" w:hint="eastAsia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>
      <w:pPr>
        <w:pStyle w:val="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left="-203" w:firstLine="643"/>
        <w:jc w:val="left"/>
        <w:textAlignment w:val="auto"/>
        <w:rPr>
          <w:rFonts w:ascii="方正仿宋_GB2312" w:eastAsia="方正仿宋_GB2312" w:cs="方正仿宋_GB2312"/>
          <w:lang w:val="en-US" w:eastAsia="zh-CN"/>
          <w:highlight w:val="auto"/>
        </w:rPr>
      </w:pPr>
      <w:r>
        <w:rPr>
          <w:rFonts w:ascii="方正仿宋_GB2312" w:eastAsia="方正仿宋_GB2312" w:cs="方正仿宋_GB2312" w:hint="eastAsia"/>
          <w:lang w:val="en-US" w:eastAsia="zh-CN"/>
          <w:highlight w:val="auto"/>
        </w:rPr>
        <w:t>地</w:t>
      </w:r>
      <w:r>
        <w:rPr>
          <w:rFonts w:ascii="方正仿宋_GB2312" w:eastAsia="方正仿宋_GB2312" w:cs="方正仿宋_GB2312"/>
          <w:lang w:val="en-US" w:eastAsia="zh-CN"/>
          <w:highlight w:val="auto"/>
        </w:rPr>
        <w:t>块</w:t>
      </w:r>
      <w:r>
        <w:rPr>
          <w:rFonts w:ascii="方正仿宋_GB2312" w:eastAsia="方正仿宋_GB2312" w:cs="方正仿宋_GB2312" w:hint="eastAsia"/>
          <w:lang w:val="en-US" w:eastAsia="zh-CN"/>
          <w:highlight w:val="auto"/>
        </w:rPr>
        <w:t xml:space="preserve">图则         </w:t>
      </w:r>
    </w:p>
    <w:tbl>
      <w:tblPr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2"/>
        <w:gridCol w:w="7032"/>
      </w:tblGrid>
      <w:tr>
        <w:trPr>
          <w:trHeight w:val="4833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4356100" cy="3079750"/>
                  <wp:effectExtent l="0" t="0" r="3" b="16"/>
                  <wp:docPr id="31" name="图片 6" descr="12_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图片 6 3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356100" cy="30797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4356100" cy="3079114"/>
                  <wp:effectExtent l="0" t="0" r="3" b="15"/>
                  <wp:docPr id="34" name="图片 7" descr="34_01(1)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图片 7 3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356100" cy="30791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81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firstLine="0"/>
              <w:jc w:val="center"/>
              <w:textAlignment w:val="auto"/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 w:hint="eastAsia"/>
                <w:color w:val="auto"/>
                <w:sz w:val="32"/>
                <w:szCs w:val="32"/>
                <w:lang w:val="en-US" w:eastAsia="zh-CN"/>
                <w:highlight w:val="auto"/>
              </w:rPr>
              <w:t>XK-</w:t>
            </w:r>
            <w:r>
              <w:rPr>
                <w:rFonts w:ascii="Times New Roman" w:eastAsia="仿宋_GB2312" w:cs="Times New Roman" w:hAnsi="Times New Roman"/>
                <w:color w:val="auto"/>
                <w:sz w:val="32"/>
                <w:szCs w:val="32"/>
                <w:lang w:val="en-US" w:eastAsia="zh-CN"/>
                <w:highlight w:val="auto"/>
              </w:rPr>
              <w:t>01/02-0802/2026-08用地分图图则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 w:hint="eastAsia"/>
                <w:color w:val="auto"/>
                <w:sz w:val="32"/>
                <w:szCs w:val="32"/>
                <w:lang w:val="en-US" w:eastAsia="zh-CN"/>
                <w:highlight w:val="auto"/>
              </w:rPr>
              <w:t>XK-</w:t>
            </w:r>
            <w:r>
              <w:rPr>
                <w:rFonts w:ascii="Times New Roman" w:eastAsia="仿宋_GB2312" w:cs="Times New Roman" w:hAnsi="Times New Roman"/>
                <w:color w:val="auto"/>
                <w:sz w:val="32"/>
                <w:szCs w:val="32"/>
                <w:lang w:val="en-US" w:eastAsia="zh-CN"/>
                <w:highlight w:val="auto"/>
              </w:rPr>
              <w:t>03/04-0802/2026-08用地分图图则</w:t>
            </w:r>
          </w:p>
        </w:tc>
      </w:tr>
      <w:t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4356100" cy="3079114"/>
                  <wp:effectExtent l="0" t="0" r="3" b="15"/>
                  <wp:docPr id="37" name="图片 8" descr="567_01(1)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图片 8 3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356100" cy="30791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4359910" cy="3079750"/>
                  <wp:effectExtent l="0" t="0" r="3" b="16"/>
                  <wp:docPr id="40" name="图片 9" descr="89_01(1)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图片 9 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359910" cy="30797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 w:hint="eastAsia"/>
                <w:color w:val="auto"/>
                <w:sz w:val="32"/>
                <w:szCs w:val="32"/>
                <w:lang w:val="en-US" w:eastAsia="zh-CN"/>
                <w:highlight w:val="auto"/>
              </w:rPr>
              <w:t>XK-</w:t>
            </w:r>
            <w:r>
              <w:rPr>
                <w:rFonts w:ascii="Times New Roman" w:eastAsia="仿宋_GB2312" w:cs="Times New Roman" w:hAnsi="Times New Roman"/>
                <w:color w:val="auto"/>
                <w:sz w:val="32"/>
                <w:szCs w:val="32"/>
                <w:lang w:val="en-US" w:eastAsia="zh-CN"/>
                <w:highlight w:val="auto"/>
              </w:rPr>
              <w:t>05/06/07-0802/2026-08用地分图图则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 w:eastAsia="仿宋_GB2312" w:cs="Times New Roman" w:hAnsi="Times New Roman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 w:hint="eastAsia"/>
                <w:color w:val="auto"/>
                <w:sz w:val="32"/>
                <w:szCs w:val="32"/>
                <w:lang w:val="en-US" w:eastAsia="zh-CN"/>
                <w:highlight w:val="auto"/>
              </w:rPr>
              <w:t>XK-</w:t>
            </w:r>
            <w:r>
              <w:rPr>
                <w:rFonts w:ascii="Times New Roman" w:eastAsia="仿宋_GB2312" w:cs="Times New Roman" w:hAnsi="Times New Roman"/>
                <w:color w:val="auto"/>
                <w:sz w:val="32"/>
                <w:szCs w:val="32"/>
                <w:lang w:val="en-US" w:eastAsia="zh-CN"/>
                <w:highlight w:val="auto"/>
              </w:rPr>
              <w:t>08/09-0802/2026-08用地分图图则</w:t>
            </w:r>
          </w:p>
        </w:tc>
      </w:tr>
      <w:tr>
        <w:tc>
          <w:tcPr>
            <w:tcW w:w="141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 w:eastAsia="仿宋_GB2312" w:cs="Times New Roman" w:hAnsi="Times New Roman"/>
                <w:color w:val="auto"/>
                <w:sz w:val="32"/>
                <w:szCs w:val="32"/>
                <w:lang w:val="en-US" w:eastAsia="zh-CN"/>
                <w:highlight w:val="auto"/>
              </w:rPr>
            </w:pPr>
            <w:r>
              <w:rPr>
                <w:rFonts w:ascii="Times New Roman" w:eastAsia="仿宋_GB2312" w:cs="Times New Roman" w:hAnsi="Times New Roman"/>
                <w:color w:val="auto"/>
                <w:sz w:val="32"/>
                <w:szCs w:val="32"/>
                <w:lang w:val="en-US" w:eastAsia="zh-CN"/>
                <w:highlight w:val="auto"/>
              </w:rPr>
              <w:drawing>
                <wp:inline distT="0" distB="0" distL="114300" distR="114300">
                  <wp:extent cx="6550024" cy="4629785"/>
                  <wp:effectExtent l="0" t="0" r="28" b="39"/>
                  <wp:docPr id="43" name="图片 10" descr="1011_01(1)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" name="图片 10 4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550024" cy="46297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141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auto"/>
                <w:sz w:val="32"/>
                <w:szCs w:val="32"/>
                <w:lang w:val="en-US" w:eastAsia="zh-CN"/>
                <w:highlight w:val="auto"/>
              </w:rPr>
            </w:pPr>
            <w:r>
              <w:rPr>
                <w:rFonts w:ascii="Times New Roman" w:eastAsia="仿宋_GB2312" w:cs="Times New Roman" w:hAnsi="Times New Roman" w:hint="eastAsia"/>
                <w:color w:val="auto"/>
                <w:sz w:val="32"/>
                <w:szCs w:val="32"/>
                <w:lang w:val="en-US" w:eastAsia="zh-CN"/>
                <w:highlight w:val="auto"/>
              </w:rPr>
              <w:t>XK-</w:t>
            </w:r>
            <w:r>
              <w:rPr>
                <w:rFonts w:ascii="Times New Roman" w:eastAsia="仿宋_GB2312" w:cs="Times New Roman" w:hAnsi="Times New Roman"/>
                <w:color w:val="auto"/>
                <w:sz w:val="32"/>
                <w:szCs w:val="32"/>
                <w:lang w:val="en-US" w:eastAsia="zh-CN"/>
                <w:highlight w:val="auto"/>
              </w:rPr>
              <w:t>10/11-0802/2026-08用地分图图则</w:t>
            </w:r>
          </w:p>
        </w:tc>
      </w:tr>
    </w:tbl>
    <w:p>
      <w:pPr>
        <w:rPr>
          <w:rFonts w:ascii="方正仿宋_GB2312" w:eastAsia="方正仿宋_GB2312" w:cs="方正仿宋_GB2312" w:hint="eastAsia"/>
          <w:lang w:val="en-US" w:eastAsia="zh-CN"/>
          <w:highlight w:val="yellow"/>
        </w:rPr>
        <w:sectPr>
          <w:pgSz w:w="16838" w:h="11906" w:orient="landscape"/>
          <w:pgMar w:top="1800" w:right="1440" w:bottom="1800" w:left="1440" w:header="851" w:footer="992" w:gutter="0"/>
          <w:docGrid w:type="lines" w:linePitch="312" w:charSpace="0"/>
        </w:sectPr>
      </w:pPr>
    </w:p>
    <w:p>
      <w:pPr>
        <w:pStyle w:val="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left="-203" w:firstLine="643"/>
        <w:jc w:val="left"/>
        <w:textAlignment w:val="auto"/>
        <w:rPr>
          <w:rFonts w:ascii="方正仿宋_GB2312" w:eastAsia="方正仿宋_GB2312" w:cs="方正仿宋_GB2312"/>
          <w:lang w:val="en-US" w:eastAsia="zh-CN"/>
          <w:highlight w:val="auto"/>
        </w:rPr>
      </w:pPr>
      <w:r>
        <w:rPr>
          <w:rFonts w:ascii="方正仿宋_GB2312" w:eastAsia="方正仿宋_GB2312" w:cs="方正仿宋_GB2312"/>
          <w:lang w:val="en-US" w:eastAsia="zh-CN"/>
          <w:highlight w:val="auto"/>
        </w:rPr>
        <w:t>地块规划引导</w:t>
      </w:r>
      <w:r>
        <w:rPr>
          <w:rFonts w:ascii="方正仿宋_GB2312" w:eastAsia="方正仿宋_GB2312" w:cs="方正仿宋_GB2312" w:hint="eastAsia"/>
          <w:lang w:val="en-US" w:eastAsia="zh-CN"/>
          <w:highlight w:val="auto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textAlignment w:val="auto"/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32"/>
          <w:szCs w:val="32"/>
          <w:lang w:val="en-US" w:eastAsia="zh-CN" w:bidi="ar-SA"/>
          <w:highlight w:val="auto"/>
        </w:rPr>
        <w:t>交通组织：</w:t>
      </w:r>
      <w:r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  <w:t>结合项目功能实行差异化交通组织，各地块设置独立主出入口对接外部产业道路，不设置内部绕行通道，停车位按设施类型分类配套。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textAlignment w:val="auto"/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32"/>
          <w:szCs w:val="32"/>
          <w:lang w:val="en-US" w:eastAsia="zh-CN" w:bidi="ar-SA"/>
          <w:highlight w:val="auto"/>
        </w:rPr>
        <w:t>供燃气工程：</w:t>
      </w:r>
      <w:r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  <w:t>仅配套构筑物及附属房屋供气，露天试验平台不布设燃气管网；就近接驳漩口镇市政DN200燃气管网，采用DN150管道接入，满足办公、生活及辅助工艺用气。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textAlignment w:val="auto"/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32"/>
          <w:szCs w:val="32"/>
          <w:lang w:val="en-US" w:eastAsia="zh-CN" w:bidi="ar-SA"/>
          <w:highlight w:val="auto"/>
        </w:rPr>
        <w:t>给水工程：</w:t>
      </w:r>
      <w:r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  <w:t>XK-01-0802/2026-08至XK-09-0802/2026-08地块纳入漩口镇市政供水范围，由漩口镇新水厂供水，敷设DN100给水主管，水压0.30MPa，场内环状供水，配套泵房、蓄水池，用水处于镇区供水承载力内；XK-10-0802/2026-08、XK-11-0802/2026-08地块远离市政管网，结合地形建设高位水池，配套DN100进水管，水压0.30MPa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jc w:val="both"/>
        <w:textAlignment w:val="auto"/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32"/>
          <w:szCs w:val="32"/>
          <w:lang w:val="en-US" w:eastAsia="zh-CN" w:bidi="ar-SA"/>
          <w:highlight w:val="auto"/>
        </w:rPr>
        <w:t>排水工程：</w:t>
      </w:r>
      <w:r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  <w:t>场内分别建设雨水管网、污水管网，采用生活污水和雨水分流制。在XK-08-0802/2026-08、XK-09-0802/2026-08地块配套建设化粪池1座沿规划道路敷设DN300污水管，地块污水经化粪池预处理达标后接入市政污水管网，送入漩口镇污水处理厂集中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textAlignment w:val="auto"/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32"/>
          <w:szCs w:val="32"/>
          <w:lang w:val="en-US" w:eastAsia="zh-CN" w:bidi="ar-SA"/>
          <w:highlight w:val="auto"/>
        </w:rPr>
        <w:t>供电工程：</w:t>
      </w:r>
      <w:r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  <w:t>项目统一布设电力管网，10kV电源引自市政电网，在XK-07-0802/2026-08地块设置高低压配电房，配套变压器、高压柜及0.4kV柴油发电机组作为备用电源，放射式向各地块供电；采用分级配电模式，线缆选用无卤低烟阻燃型，室外电缆埋地敷设，跨道路处钢管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textAlignment w:val="auto"/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32"/>
          <w:szCs w:val="32"/>
          <w:lang w:val="en-US" w:eastAsia="zh-CN" w:bidi="ar-SA"/>
          <w:highlight w:val="auto"/>
        </w:rPr>
        <w:t>通信工程：</w:t>
      </w:r>
      <w:r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  <w:t>在XK-03-0802/2026-08设置1座5G基站，针对受山体阻隔的二阶段远端地块，于XK-11-0802/2026-08增设1座5G基站，电信管网接入漩口镇市政管网，多孔排管敷设，预留6～12孔管孔。核心建筑布设应急通信终端及备用设备，构建“有线+无线+应急备用”三重通信保障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jc w:val="both"/>
        <w:textAlignment w:val="auto"/>
        <w:rPr>
          <w:rFonts w:ascii="方正仿宋_GB2312" w:eastAsia="方正仿宋_GB2312" w:cs="方正仿宋_GB2312" w:hint="eastAsia"/>
          <w:b/>
          <w:bCs/>
          <w:color w:val="auto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32"/>
          <w:szCs w:val="32"/>
          <w:lang w:val="en-US" w:eastAsia="zh-CN" w:bidi="ar-SA"/>
          <w:highlight w:val="auto"/>
        </w:rPr>
        <w:t>消防：</w:t>
      </w:r>
      <w:r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  <w:t>落实消防规范，设置环形消防通道、登高面，保障消防水源，完善防火分区、疏散、防排烟及各类消防设施；管控危化品，配套防火隔离、消防水池等设施，建立森林防火巡查应急机制。XK-08-0802/2026-08、XK-09-0802/2026-08高层公共建筑按二级耐火等级设计，满足高层建筑消防管控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jc w:val="both"/>
        <w:textAlignment w:val="auto"/>
        <w:rPr>
          <w:rFonts w:ascii="方正仿宋_GB2312" w:eastAsia="方正仿宋_GB2312" w:cs="方正仿宋_GB2312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32"/>
          <w:szCs w:val="32"/>
          <w:lang w:val="en-US" w:eastAsia="zh-CN" w:bidi="ar-SA"/>
          <w:highlight w:val="auto"/>
        </w:rPr>
        <w:t>抗震：</w:t>
      </w:r>
      <w:r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  <w:t>项目临近北川－映秀全新世活动断裂带，断裂迹线不穿越地块，全部满足60m避让距离。XK-07-0802/2026-08位于断裂100m范围内，为1～2层丙、丁类低层分散建筑，建议抗震措施提高一度；XK-03-0802/2026-08等配套重要建筑位于断裂避让约200m处，为震后需快速恢复运营工程，建议扩大断裂探测范围，落实抗震设防，必要时开展场地地震安全性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jc w:val="both"/>
        <w:textAlignment w:val="auto"/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方正仿宋_GB2312" w:eastAsia="方正仿宋_GB2312" w:cs="方正仿宋_GB2312" w:hint="eastAsia"/>
          <w:b/>
          <w:bCs/>
          <w:color w:val="auto"/>
          <w:kern w:val="2"/>
          <w:sz w:val="32"/>
          <w:szCs w:val="32"/>
          <w:lang w:val="en-US" w:eastAsia="zh-CN" w:bidi="ar-SA"/>
          <w:highlight w:val="auto"/>
        </w:rPr>
        <w:t>建筑风貌：</w:t>
      </w:r>
      <w:r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  <w:t>项目地处川西生态管控区，属低影响生态友好型科研开发项目。建筑体量色彩契合川西山地风貌，与周边景观协调；场地依山就势建设，保护原生地貌，严控开发强度与硬化率，配套绿化修复、水土保持、边坡防护工程。</w:t>
      </w:r>
    </w:p>
    <w:p>
      <w:pPr>
        <w:pStyle w:val="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left="0" w:firstLineChars="200" w:firstLine="640"/>
        <w:jc w:val="left"/>
        <w:textAlignment w:val="auto"/>
        <w:rPr>
          <w:rFonts w:ascii="宋体" w:cs="宋体" w:hAnsi="宋体" w:hint="eastAsia"/>
          <w:lang w:val="en-US" w:eastAsia="zh-CN"/>
        </w:rPr>
      </w:pPr>
      <w:r>
        <w:rPr>
          <w:rFonts w:ascii="宋体" w:cs="宋体" w:hAnsi="宋体" w:hint="eastAsia"/>
          <w:lang w:val="en-US" w:eastAsia="zh-CN"/>
        </w:rPr>
        <w:t xml:space="preserve">结论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440"/>
        <w:jc w:val="both"/>
        <w:textAlignment w:val="auto"/>
        <w:rPr>
          <w:rFonts w:ascii="方正仿宋_GB2312" w:eastAsia="方正仿宋_GB2312" w:cs="方正仿宋_GB2312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宋体" w:cs="宋体" w:hAnsi="宋体" w:hint="eastAsia"/>
          <w:lang w:val="en-US" w:eastAsia="zh-CN"/>
        </w:rPr>
        <w:t xml:space="preserve"> </w:t>
      </w:r>
      <w:r>
        <w:rPr>
          <w:rFonts w:ascii="方正仿宋_GB2312" w:eastAsia="方正仿宋_GB2312" w:cs="方正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  <w:highlight w:val="auto"/>
        </w:rPr>
        <w:t xml:space="preserve"> 本项目符合国家产业及供地政策，结合低空安防测试基地工艺特点、地块功能及技术规范，分露天试验平台、配套构筑物及附属房屋两类开展规划指标论证。露天试验平台以露天硬化、轻型构架为主，永久建筑少，指标结合具体建设方案合理确定；配套建筑地块按科研用地管控容积率、建筑密度、建筑高度、绿地率等指标。拟定指标兼顾产业实际与空间管控，契合项目建设特点，符合国土空间管控要求，具备合理性与可实施性。项目建设不得突破指标限值，下阶段需结合行业规范、试验工艺深化设计；妥善协调与周边地块关系，重视边坡、地质灾害隐患，依托规划道路优化人车交通组织，完善场地排水、防洪设施，保障建设安全。</w:t>
      </w:r>
    </w:p>
    <w:p>
      <w:pPr>
        <w:pStyle w:val="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0" w:firstLineChars="200" w:firstLine="640"/>
        <w:jc w:val="left"/>
        <w:textAlignment w:val="auto"/>
        <w:rPr>
          <w:rFonts w:ascii="宋体" w:cs="宋体" w:hAnsi="宋体"/>
          <w:lang w:val="en-US" w:eastAsia="zh-CN"/>
        </w:rPr>
      </w:pPr>
      <w:r>
        <w:rPr>
          <w:rFonts w:ascii="宋体" w:cs="宋体" w:hAnsi="宋体" w:hint="eastAsia"/>
          <w:lang w:val="en-US" w:eastAsia="zh-CN"/>
        </w:rPr>
        <w:t>公示说明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firstLineChars="200" w:firstLine="640"/>
        <w:jc w:val="both"/>
        <w:textAlignment w:val="auto"/>
        <w:rPr>
          <w:rFonts w:ascii="方正仿宋_GB2312" w:eastAsia="方正仿宋_GB2312" w:cs="方正仿宋_GB2312" w:hint="eastAsia"/>
          <w:b/>
          <w:bCs/>
          <w:kern w:val="44"/>
          <w:sz w:val="32"/>
          <w:szCs w:val="48"/>
          <w:lang w:val="en-US" w:eastAsia="zh-CN"/>
        </w:rPr>
      </w:pPr>
      <w:r>
        <w:rPr>
          <w:rFonts w:ascii="方正仿宋_GB2312" w:eastAsia="方正仿宋_GB2312" w:cs="方正仿宋_GB2312" w:hint="eastAsia"/>
          <w:b/>
          <w:bCs/>
          <w:kern w:val="44"/>
          <w:sz w:val="32"/>
          <w:szCs w:val="48"/>
          <w:lang w:val="en-US" w:eastAsia="zh-CN"/>
        </w:rPr>
        <w:t>1.公示地点：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  <w:t>汶川县人民政府网站、汶川县自然资源局、漩口镇人民政府。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firstLineChars="200" w:firstLine="640"/>
        <w:jc w:val="both"/>
        <w:textAlignment w:val="auto"/>
        <w:rPr>
          <w:rFonts w:ascii="方正仿宋_GB2312" w:eastAsia="方正仿宋_GB2312" w:cs="方正仿宋_GB2312"/>
          <w:b/>
          <w:bCs/>
          <w:kern w:val="44"/>
          <w:sz w:val="32"/>
          <w:szCs w:val="48"/>
          <w:lang w:val="en-US" w:eastAsia="zh-CN"/>
        </w:rPr>
      </w:pPr>
      <w:r>
        <w:rPr>
          <w:rFonts w:ascii="方正仿宋_GB2312" w:eastAsia="方正仿宋_GB2312" w:cs="方正仿宋_GB2312" w:hint="eastAsia"/>
          <w:b/>
          <w:bCs/>
          <w:kern w:val="44"/>
          <w:sz w:val="32"/>
          <w:szCs w:val="48"/>
          <w:lang w:val="en-US" w:eastAsia="zh-CN"/>
        </w:rPr>
        <w:t>2.公示时间：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val="en-US" w:eastAsia="zh-CN"/>
          <w:highlight w:val="auto"/>
        </w:rPr>
        <w:t>2026年8月11日—2026年8月20日。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firstLineChars="200" w:firstLine="640"/>
        <w:jc w:val="both"/>
        <w:textAlignment w:val="auto"/>
        <w:rPr>
          <w:lang w:val="en-US" w:eastAsia="zh-CN"/>
        </w:rPr>
      </w:pPr>
      <w:r>
        <w:rPr>
          <w:rFonts w:ascii="方正仿宋_GB2312" w:eastAsia="方正仿宋_GB2312" w:cs="方正仿宋_GB2312" w:hint="eastAsia"/>
          <w:b/>
          <w:bCs/>
          <w:kern w:val="44"/>
          <w:sz w:val="32"/>
          <w:szCs w:val="48"/>
          <w:lang w:val="en-US" w:eastAsia="zh-CN"/>
        </w:rPr>
        <w:t>3.</w:t>
      </w:r>
      <w:r>
        <w:rPr>
          <w:rFonts w:ascii="方正仿宋_GB2312" w:eastAsia="方正仿宋_GB2312" w:cs="方正仿宋_GB2312"/>
          <w:b/>
          <w:bCs/>
          <w:kern w:val="44"/>
          <w:sz w:val="32"/>
          <w:szCs w:val="48"/>
          <w:lang w:val="en-US" w:eastAsia="zh-CN"/>
        </w:rPr>
        <w:t>意见反馈渠道</w:t>
      </w:r>
      <w:r>
        <w:rPr>
          <w:rFonts w:ascii="方正仿宋_GB2312" w:eastAsia="方正仿宋_GB2312" w:cs="方正仿宋_GB2312" w:hint="eastAsia"/>
          <w:b/>
          <w:bCs/>
          <w:kern w:val="44"/>
          <w:sz w:val="32"/>
          <w:szCs w:val="48"/>
          <w:lang w:val="en-US" w:eastAsia="zh-CN"/>
        </w:rPr>
        <w:t>：</w:t>
      </w:r>
      <w:r>
        <w:rPr>
          <w:rFonts w:ascii="方正仿宋_GB2312" w:eastAsia="方正仿宋_GB2312" w:cs="方正仿宋_GB2312" w:hint="eastAsia"/>
          <w:color w:val="auto"/>
          <w:kern w:val="2"/>
          <w:sz w:val="32"/>
          <w:szCs w:val="32"/>
          <w:lang w:eastAsia="zh-CN"/>
          <w:highlight w:val="auto"/>
        </w:rPr>
        <w:t>公示期间，任何单位、组织和个人均可就公示内容提出书面意见或建议，个人提交反馈意见的应当提供真实姓名（须由提交人签名）、有效身份证明复印件、住址及联系方式，单位或组织提交反馈意见的应当加盖公章，提交单位法定代表人、委托代理人的有效身份证明复印件，并注明联系人及联系方式。请通过以下渠道书面反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textAlignment w:val="auto"/>
        <w:rPr>
          <w:rFonts w:eastAsia="方正仿宋_GBK"/>
          <w:sz w:val="32"/>
          <w:szCs w:val="32"/>
          <w:lang w:val="en-US" w:eastAsia="zh-CN"/>
        </w:rPr>
      </w:pPr>
      <w:r>
        <w:rPr>
          <w:rFonts w:eastAsia="方正仿宋_GBK"/>
          <w:sz w:val="32"/>
          <w:szCs w:val="32"/>
        </w:rPr>
        <w:t>联系地址：</w:t>
      </w:r>
      <w:r>
        <w:rPr>
          <w:rFonts w:eastAsia="方正仿宋_GBK" w:hint="eastAsia"/>
          <w:sz w:val="32"/>
          <w:szCs w:val="32"/>
          <w:lang w:val="en-US" w:eastAsia="zh-CN"/>
        </w:rPr>
        <w:t>汶川县自然资源局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textAlignment w:val="auto"/>
        <w:rPr>
          <w:rFonts w:eastAsia="方正仿宋_GBK"/>
          <w:sz w:val="32"/>
          <w:szCs w:val="32"/>
          <w:lang w:val="en-US" w:eastAsia="zh-CN"/>
        </w:rPr>
      </w:pPr>
      <w:r>
        <w:rPr>
          <w:rFonts w:eastAsia="方正仿宋_GBK"/>
          <w:sz w:val="32"/>
          <w:szCs w:val="32"/>
        </w:rPr>
        <w:t>联系人：</w:t>
      </w:r>
      <w:r>
        <w:rPr>
          <w:rFonts w:eastAsia="方正仿宋_GBK" w:hint="eastAsia"/>
          <w:sz w:val="32"/>
          <w:szCs w:val="32"/>
          <w:lang w:val="en-US" w:eastAsia="zh-CN"/>
        </w:rPr>
        <w:t>陈帅</w:t>
      </w:r>
      <w:r>
        <w:rPr>
          <w:rFonts w:eastAsia="方正仿宋_GBK"/>
          <w:sz w:val="32"/>
          <w:szCs w:val="32"/>
        </w:rPr>
        <w:t>，联系电话：</w:t>
      </w:r>
      <w:r>
        <w:rPr>
          <w:rFonts w:eastAsia="方正仿宋_GBK" w:hint="eastAsia"/>
          <w:sz w:val="32"/>
          <w:szCs w:val="32"/>
          <w:lang w:val="en-US" w:eastAsia="zh-CN"/>
        </w:rPr>
        <w:t>18200222585</w:t>
      </w:r>
      <w:r>
        <w:rPr>
          <w:rFonts w:eastAsia="方正仿宋_GBK"/>
          <w:sz w:val="32"/>
          <w:szCs w:val="32"/>
        </w:rPr>
        <w:t>，邮编：</w:t>
      </w:r>
      <w:r>
        <w:rPr>
          <w:rFonts w:eastAsia="方正仿宋_GBK" w:hint="eastAsia"/>
          <w:sz w:val="32"/>
          <w:szCs w:val="32"/>
          <w:lang w:val="en-US" w:eastAsia="zh-CN"/>
        </w:rPr>
        <w:t>623000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Chars="200" w:firstLine="640"/>
        <w:textAlignment w:val="auto"/>
        <w:rPr>
          <w:lang w:val="en-US" w:eastAsia="zh-CN"/>
        </w:rPr>
      </w:pPr>
      <w:r>
        <w:rPr>
          <w:rFonts w:eastAsia="方正仿宋_GBK"/>
          <w:sz w:val="32"/>
          <w:szCs w:val="32"/>
        </w:rPr>
        <w:t>特此公示。</w:t>
      </w: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2312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panose1 w:val="02010600030101010101"/>
    <w:charset w:val="50"/>
    <w:family w:val="auto"/>
    <w:pitch w:val="variable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7366DBE9"/>
    <w:multiLevelType w:val="singleLevel"/>
    <w:tmpl w:val="7366DBE9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abstractNum w:abstractNumId="1">
    <w:nsid w:val="1F9C7956"/>
    <w:multiLevelType w:val="singleLevel"/>
    <w:tmpl w:val="1F9C7956"/>
    <w:lvl w:ilvl="0">
      <w:start w:val="1"/>
      <w:numFmt w:val="chineseCounting"/>
      <w:lvlRestart w:val="0"/>
      <w:suff w:val="nothing"/>
      <w:lvlText w:val="（%1）"/>
      <w:lvlJc w:val="left"/>
      <w:pPr>
        <w:ind w:left="-203" w:firstLine="203"/>
      </w:pPr>
      <w:rPr>
        <w:rFonts w:hint="eastAsia"/>
      </w:rPr>
    </w:lvl>
  </w:abstractNum>
  <w:abstractNum w:abstractNumId="2">
    <w:nsid w:val="7169597F"/>
    <w:multiLevelType w:val="singleLevel"/>
    <w:tmpl w:val="7169597F"/>
    <w:lvl w:ilvl="0">
      <w:start w:val="1"/>
      <w:numFmt w:val="decimal"/>
      <w:lvlRestart w:val="0"/>
      <w:suff w:val="nothing"/>
      <w:lvlText w:val="%1."/>
      <w:lvlJc w:val="left"/>
      <w:pPr>
        <w:ind w:left="17" w:hanging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1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autoSpaceDE w:val="0"/>
      <w:autoSpaceDN w:val="0"/>
      <w:spacing w:after="160" w:line="278" w:lineRule="auto"/>
    </w:pPr>
    <w:rPr>
      <w:rFonts w:ascii="仿宋" w:eastAsia="仿宋" w:cs="仿宋"/>
      <w:sz w:val="22"/>
      <w:szCs w:val="22"/>
      <w:lang w:val="en-US" w:bidi="ar-SA"/>
    </w:rPr>
  </w:style>
  <w:style w:type="paragraph" w:styleId="1">
    <w:name w:val="heading 1"/>
    <w:basedOn w:val="0"/>
    <w:next w:val="0"/>
    <w:pPr>
      <w:spacing w:before="0" w:beforeAutospacing="1" w:after="0" w:afterAutospacing="1"/>
      <w:jc w:val="left"/>
      <w:outlineLvl w:val="0"/>
    </w:pPr>
    <w:rPr>
      <w:rFonts w:ascii="宋体" w:eastAsia="微软雅黑" w:cs="宋体" w:hAnsi="宋体"/>
      <w:b/>
      <w:bCs/>
      <w:kern w:val="44"/>
      <w:sz w:val="32"/>
      <w:szCs w:val="48"/>
      <w:lang w:eastAsia="zh-CN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beforeAutospacing="0" w:after="26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7">
    <w:name w:val="font41"/>
    <w:rPr>
      <w:rFonts w:ascii="微软雅黑" w:eastAsia="微软雅黑" w:cs="微软雅黑"/>
      <w:b/>
      <w:bCs/>
      <w:color w:val="000000"/>
      <w:sz w:val="22"/>
      <w:szCs w:val="22"/>
      <w:u w:val="none"/>
      <w:vertAlign w:val="superscript"/>
    </w:rPr>
  </w:style>
  <w:style w:type="character" w:customStyle="1" w:styleId="18">
    <w:name w:val="font31"/>
    <w:basedOn w:val="10"/>
    <w:rPr>
      <w:rFonts w:ascii="微软雅黑" w:eastAsia="微软雅黑" w:cs="微软雅黑"/>
      <w:b/>
      <w:bCs/>
      <w:color w:val="000000"/>
      <w:sz w:val="22"/>
      <w:szCs w:val="22"/>
      <w:u w:val="none"/>
    </w:rPr>
  </w:style>
  <w:style w:type="character" w:customStyle="1" w:styleId="19">
    <w:name w:val="font71"/>
    <w:basedOn w:val="10"/>
    <w:rPr>
      <w:rFonts w:ascii="微软雅黑" w:eastAsia="微软雅黑" w:cs="微软雅黑"/>
      <w:b/>
      <w:bCs/>
      <w:color w:val="000000"/>
      <w:sz w:val="22"/>
      <w:szCs w:val="22"/>
      <w:u w:val="none"/>
      <w:vertAlign w:val="superscript"/>
    </w:rPr>
  </w:style>
  <w:style w:type="character" w:customStyle="1" w:styleId="20">
    <w:name w:val="font11"/>
    <w:basedOn w:val="10"/>
    <w:rPr>
      <w:rFonts w:ascii="黑体" w:eastAsia="黑体" w:cs="黑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image" Target="media/5.jpeg"/><Relationship Id="rId4" Type="http://schemas.openxmlformats.org/officeDocument/2006/relationships/image" Target="media/8.jpeg"/><Relationship Id="rId5" Type="http://schemas.openxmlformats.org/officeDocument/2006/relationships/image" Target="media/11.jpeg"/><Relationship Id="rId6" Type="http://schemas.openxmlformats.org/officeDocument/2006/relationships/image" Target="media/14.jpeg"/><Relationship Id="rId7" Type="http://schemas.openxmlformats.org/officeDocument/2006/relationships/image" Target="media/17.jpeg"/><Relationship Id="rId8" Type="http://schemas.openxmlformats.org/officeDocument/2006/relationships/image" Target="media/20.jpeg"/><Relationship Id="rId9" Type="http://schemas.openxmlformats.org/officeDocument/2006/relationships/image" Target="media/23.jpeg"/><Relationship Id="rId10" Type="http://schemas.openxmlformats.org/officeDocument/2006/relationships/image" Target="media/26.jpeg"/><Relationship Id="rId11" Type="http://schemas.openxmlformats.org/officeDocument/2006/relationships/image" Target="media/29.jpeg"/><Relationship Id="rId12" Type="http://schemas.openxmlformats.org/officeDocument/2006/relationships/image" Target="media/32.jpeg"/><Relationship Id="rId13" Type="http://schemas.openxmlformats.org/officeDocument/2006/relationships/image" Target="media/35.jpeg"/><Relationship Id="rId14" Type="http://schemas.openxmlformats.org/officeDocument/2006/relationships/image" Target="media/38.jpeg"/><Relationship Id="rId15" Type="http://schemas.openxmlformats.org/officeDocument/2006/relationships/image" Target="media/41.jpeg"/><Relationship Id="rId16" Type="http://schemas.openxmlformats.org/officeDocument/2006/relationships/image" Target="media/44.jpeg"/><Relationship Id="rId17" Type="http://schemas.openxmlformats.org/officeDocument/2006/relationships/styles" Target="styles.xml"/><Relationship Id="rId18" Type="http://schemas.openxmlformats.org/officeDocument/2006/relationships/numbering" Target="numbering.xml"/><Relationship Id="rId1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</TotalTime>
  <Application>Yozo_Office27021597764231179</Application>
  <Pages>15</Pages>
  <Words>3666</Words>
  <Characters>4745</Characters>
  <Lines>380</Lines>
  <Paragraphs>247</Paragraphs>
  <CharactersWithSpaces>4790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ASUS</dc:creator>
  <cp:lastModifiedBy>Administrator</cp:lastModifiedBy>
  <cp:revision>0</cp:revision>
  <dcterms:created xsi:type="dcterms:W3CDTF">2026-08-10T02:32:00Z</dcterms:created>
  <dcterms:modified xsi:type="dcterms:W3CDTF">2026-08-11T07:35:19Z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eyJoZGlkIjoiZDE4MTU0MjU4NDExMzJiMTEyMmY1MTk3NmUwZGFmZWQiLCJ1c2VySWQiOiIzNzc5NDkzMTEifQ==</vt:lpwstr>
  </property>
  <property fmtid="{D5CDD505-2E9C-101B-9397-08002B2CF9AE}" pid="4" name="ICV">
    <vt:lpwstr>91C26B4F7C81473193318C36020BD76A_13</vt:lpwstr>
  </property>
</Properties>
</file>