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adjustRightInd w:val="0"/>
        <w:snapToGrid w:val="0"/>
        <w:spacing w:line="360" w:lineRule="auto"/>
        <w:jc w:val="center"/>
        <w:outlineLvl w:val="0"/>
        <w:rPr>
          <w:rFonts w:hint="eastAsia" w:ascii="黑体" w:hAnsi="黑体" w:eastAsia="黑体"/>
          <w:color w:val="000000"/>
          <w:sz w:val="72"/>
          <w:szCs w:val="72"/>
        </w:rPr>
      </w:pPr>
    </w:p>
    <w:p>
      <w:pPr>
        <w:adjustRightInd w:val="0"/>
        <w:snapToGrid w:val="0"/>
        <w:spacing w:line="360" w:lineRule="auto"/>
        <w:jc w:val="center"/>
        <w:outlineLvl w:val="0"/>
        <w:rPr>
          <w:rFonts w:hint="eastAsia" w:ascii="黑体" w:hAnsi="黑体" w:eastAsia="黑体"/>
          <w:color w:val="000000"/>
          <w:sz w:val="72"/>
          <w:szCs w:val="72"/>
        </w:rPr>
      </w:pPr>
      <w:r>
        <w:rPr>
          <w:rFonts w:hint="eastAsia" w:ascii="黑体" w:hAnsi="黑体" w:eastAsia="黑体"/>
          <w:color w:val="000000"/>
          <w:sz w:val="72"/>
          <w:szCs w:val="72"/>
        </w:rPr>
        <w:t>2019年度</w:t>
      </w:r>
    </w:p>
    <w:p>
      <w:pPr>
        <w:adjustRightInd w:val="0"/>
        <w:snapToGrid w:val="0"/>
        <w:spacing w:line="360" w:lineRule="auto"/>
        <w:jc w:val="center"/>
        <w:outlineLvl w:val="0"/>
        <w:rPr>
          <w:rFonts w:hint="eastAsia" w:ascii="黑体" w:hAnsi="黑体" w:eastAsia="黑体"/>
          <w:color w:val="000000"/>
          <w:sz w:val="72"/>
          <w:szCs w:val="72"/>
        </w:rPr>
      </w:pPr>
      <w:r>
        <w:rPr>
          <w:rFonts w:hint="eastAsia" w:ascii="黑体" w:hAnsi="黑体" w:eastAsia="黑体"/>
          <w:color w:val="000000"/>
          <w:sz w:val="72"/>
          <w:szCs w:val="72"/>
        </w:rPr>
        <w:t>四川省阿坝州汶川县供销合作社联合社部门决算</w:t>
      </w:r>
    </w:p>
    <w:p>
      <w:pPr>
        <w:adjustRightInd w:val="0"/>
        <w:snapToGrid w:val="0"/>
        <w:spacing w:line="360" w:lineRule="auto"/>
        <w:jc w:val="center"/>
        <w:outlineLvl w:val="0"/>
        <w:rPr>
          <w:rFonts w:hint="eastAsia" w:ascii="黑体" w:hAnsi="黑体" w:eastAsia="黑体"/>
          <w:color w:val="000000"/>
          <w:sz w:val="72"/>
          <w:szCs w:val="7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widowControl/>
        <w:jc w:val="center"/>
        <w:rPr>
          <w:rFonts w:hint="eastAsia" w:ascii="黑体" w:hAnsi="黑体" w:eastAsia="黑体"/>
          <w:color w:val="000000"/>
          <w:sz w:val="48"/>
          <w:szCs w:val="48"/>
        </w:rPr>
      </w:pPr>
      <w:r>
        <w:rPr>
          <w:rFonts w:hint="eastAsia" w:ascii="黑体" w:hAnsi="黑体" w:eastAsia="黑体"/>
          <w:color w:val="000000"/>
          <w:sz w:val="48"/>
          <w:szCs w:val="48"/>
        </w:rPr>
        <w:t>目录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8"/>
        <w:adjustRightInd w:val="0"/>
        <w:snapToGrid w:val="0"/>
        <w:spacing w:before="0" w:line="440" w:lineRule="exact"/>
        <w:jc w:val="left"/>
        <w:rPr>
          <w:rFonts w:hint="eastAsia"/>
          <w:sz w:val="24"/>
        </w:rPr>
      </w:pPr>
      <w:r>
        <w:rPr>
          <w:rFonts w:hint="eastAsia"/>
          <w:sz w:val="24"/>
        </w:rPr>
        <w:t>第一部分 部门概况</w:t>
      </w:r>
    </w:p>
    <w:p>
      <w:pPr>
        <w:pStyle w:val="8"/>
        <w:adjustRightInd w:val="0"/>
        <w:snapToGrid w:val="0"/>
        <w:spacing w:before="0" w:line="440" w:lineRule="exact"/>
        <w:jc w:val="left"/>
        <w:rPr>
          <w:rFonts w:hint="eastAsia"/>
          <w:sz w:val="24"/>
        </w:rPr>
      </w:pPr>
      <w:r>
        <w:rPr>
          <w:rFonts w:hint="eastAsia"/>
          <w:sz w:val="24"/>
        </w:rPr>
        <w:t>一、基本职能及主要工作</w:t>
      </w:r>
    </w:p>
    <w:p>
      <w:pPr>
        <w:pStyle w:val="8"/>
        <w:adjustRightInd w:val="0"/>
        <w:snapToGrid w:val="0"/>
        <w:spacing w:before="0" w:line="440" w:lineRule="exact"/>
        <w:jc w:val="left"/>
        <w:rPr>
          <w:rFonts w:hint="eastAsia"/>
          <w:sz w:val="24"/>
        </w:rPr>
      </w:pPr>
      <w:r>
        <w:rPr>
          <w:rFonts w:hint="eastAsia"/>
          <w:sz w:val="24"/>
        </w:rPr>
        <w:t>二、机构设置</w:t>
      </w:r>
    </w:p>
    <w:p>
      <w:pPr>
        <w:pStyle w:val="8"/>
        <w:adjustRightInd w:val="0"/>
        <w:snapToGrid w:val="0"/>
        <w:spacing w:before="0" w:line="440" w:lineRule="exact"/>
        <w:jc w:val="left"/>
        <w:rPr>
          <w:rFonts w:hint="eastAsia"/>
          <w:sz w:val="24"/>
        </w:rPr>
      </w:pPr>
      <w:r>
        <w:rPr>
          <w:rFonts w:hint="eastAsia"/>
          <w:sz w:val="24"/>
        </w:rPr>
        <w:t>第二部分度部门决算情况说明</w:t>
      </w:r>
    </w:p>
    <w:p>
      <w:pPr>
        <w:pStyle w:val="8"/>
        <w:adjustRightInd w:val="0"/>
        <w:snapToGrid w:val="0"/>
        <w:spacing w:before="0" w:line="440" w:lineRule="exact"/>
        <w:jc w:val="left"/>
        <w:rPr>
          <w:rFonts w:hint="eastAsia"/>
          <w:sz w:val="24"/>
        </w:rPr>
      </w:pPr>
      <w:r>
        <w:rPr>
          <w:rFonts w:hint="eastAsia"/>
          <w:sz w:val="24"/>
        </w:rPr>
        <w:t>一、收入支出决算总体情况说明</w:t>
      </w:r>
    </w:p>
    <w:p>
      <w:pPr>
        <w:pStyle w:val="8"/>
        <w:adjustRightInd w:val="0"/>
        <w:snapToGrid w:val="0"/>
        <w:spacing w:before="0" w:line="440" w:lineRule="exact"/>
        <w:jc w:val="left"/>
        <w:rPr>
          <w:rFonts w:hint="eastAsia"/>
          <w:sz w:val="24"/>
        </w:rPr>
      </w:pPr>
      <w:r>
        <w:rPr>
          <w:rFonts w:hint="eastAsia"/>
          <w:sz w:val="24"/>
        </w:rPr>
        <w:t>二、收入决算情况说明</w:t>
      </w:r>
    </w:p>
    <w:p>
      <w:pPr>
        <w:pStyle w:val="8"/>
        <w:adjustRightInd w:val="0"/>
        <w:snapToGrid w:val="0"/>
        <w:spacing w:before="0" w:line="440" w:lineRule="exact"/>
        <w:jc w:val="left"/>
        <w:rPr>
          <w:rFonts w:hint="eastAsia"/>
          <w:sz w:val="24"/>
        </w:rPr>
      </w:pPr>
      <w:r>
        <w:rPr>
          <w:rFonts w:hint="eastAsia"/>
          <w:sz w:val="24"/>
        </w:rPr>
        <w:t>三、支出决算情况说明</w:t>
      </w:r>
    </w:p>
    <w:p>
      <w:pPr>
        <w:pStyle w:val="8"/>
        <w:adjustRightInd w:val="0"/>
        <w:snapToGrid w:val="0"/>
        <w:spacing w:before="0" w:line="440" w:lineRule="exact"/>
        <w:jc w:val="left"/>
        <w:rPr>
          <w:rFonts w:hint="eastAsia"/>
          <w:sz w:val="24"/>
        </w:rPr>
      </w:pPr>
      <w:r>
        <w:rPr>
          <w:rFonts w:hint="eastAsia"/>
          <w:sz w:val="24"/>
        </w:rPr>
        <w:t>四、财政拨款收入支出决算总体情况说明</w:t>
      </w:r>
    </w:p>
    <w:p>
      <w:pPr>
        <w:pStyle w:val="8"/>
        <w:adjustRightInd w:val="0"/>
        <w:snapToGrid w:val="0"/>
        <w:spacing w:before="0" w:line="440" w:lineRule="exact"/>
        <w:jc w:val="left"/>
        <w:rPr>
          <w:rFonts w:hint="eastAsia"/>
          <w:sz w:val="24"/>
        </w:rPr>
      </w:pPr>
      <w:r>
        <w:rPr>
          <w:rFonts w:hint="eastAsia"/>
          <w:sz w:val="24"/>
        </w:rPr>
        <w:t>五、一般公共预算财政拨款支出决算情况说明</w:t>
      </w:r>
    </w:p>
    <w:p>
      <w:pPr>
        <w:pStyle w:val="8"/>
        <w:adjustRightInd w:val="0"/>
        <w:snapToGrid w:val="0"/>
        <w:spacing w:before="0" w:line="440" w:lineRule="exact"/>
        <w:jc w:val="left"/>
        <w:rPr>
          <w:rFonts w:hint="eastAsia"/>
          <w:sz w:val="24"/>
        </w:rPr>
      </w:pPr>
      <w:r>
        <w:rPr>
          <w:rFonts w:hint="eastAsia"/>
          <w:sz w:val="24"/>
        </w:rPr>
        <w:t>六、一般公共预算财政拨款基本支出决算情况说明</w:t>
      </w:r>
    </w:p>
    <w:p>
      <w:pPr>
        <w:pStyle w:val="8"/>
        <w:adjustRightInd w:val="0"/>
        <w:snapToGrid w:val="0"/>
        <w:spacing w:before="0" w:line="440" w:lineRule="exact"/>
        <w:jc w:val="left"/>
        <w:rPr>
          <w:rFonts w:hint="eastAsia"/>
          <w:sz w:val="24"/>
        </w:rPr>
      </w:pPr>
      <w:r>
        <w:rPr>
          <w:rFonts w:hint="eastAsia"/>
          <w:sz w:val="24"/>
        </w:rPr>
        <w:t>七、“三公”经费财政拨款支出决算情况说明</w:t>
      </w:r>
    </w:p>
    <w:p>
      <w:pPr>
        <w:pStyle w:val="8"/>
        <w:adjustRightInd w:val="0"/>
        <w:snapToGrid w:val="0"/>
        <w:spacing w:before="0" w:line="440" w:lineRule="exact"/>
        <w:jc w:val="left"/>
        <w:rPr>
          <w:rFonts w:hint="eastAsia"/>
          <w:sz w:val="24"/>
        </w:rPr>
      </w:pPr>
      <w:r>
        <w:rPr>
          <w:rFonts w:hint="eastAsia"/>
          <w:sz w:val="24"/>
        </w:rPr>
        <w:t>八、政府性基金预算支出决算情况说明</w:t>
      </w:r>
    </w:p>
    <w:p>
      <w:pPr>
        <w:pStyle w:val="8"/>
        <w:adjustRightInd w:val="0"/>
        <w:snapToGrid w:val="0"/>
        <w:spacing w:before="0" w:line="440" w:lineRule="exact"/>
        <w:jc w:val="left"/>
        <w:rPr>
          <w:rFonts w:hint="eastAsia"/>
          <w:sz w:val="24"/>
        </w:rPr>
      </w:pPr>
      <w:r>
        <w:rPr>
          <w:rFonts w:hint="eastAsia"/>
          <w:sz w:val="24"/>
        </w:rPr>
        <w:t>九、 国有资本经营预算支出决算情况说明</w:t>
      </w:r>
    </w:p>
    <w:p>
      <w:pPr>
        <w:pStyle w:val="8"/>
        <w:adjustRightInd w:val="0"/>
        <w:snapToGrid w:val="0"/>
        <w:spacing w:before="0" w:line="440" w:lineRule="exact"/>
        <w:jc w:val="left"/>
        <w:rPr>
          <w:rFonts w:hint="eastAsia"/>
          <w:sz w:val="24"/>
        </w:rPr>
      </w:pPr>
      <w:r>
        <w:rPr>
          <w:rFonts w:hint="eastAsia"/>
          <w:sz w:val="24"/>
        </w:rPr>
        <w:t>十、其他重要事项的情况说明</w:t>
      </w:r>
      <w:r>
        <w:rPr>
          <w:rFonts w:hint="eastAsia"/>
          <w:sz w:val="24"/>
        </w:rPr>
        <w:tab/>
      </w:r>
    </w:p>
    <w:p>
      <w:pPr>
        <w:pStyle w:val="8"/>
        <w:adjustRightInd w:val="0"/>
        <w:snapToGrid w:val="0"/>
        <w:spacing w:before="0" w:line="440" w:lineRule="exact"/>
        <w:jc w:val="left"/>
        <w:rPr>
          <w:rFonts w:hint="eastAsia"/>
          <w:sz w:val="24"/>
        </w:rPr>
      </w:pPr>
      <w:r>
        <w:rPr>
          <w:rFonts w:hint="eastAsia"/>
          <w:sz w:val="24"/>
        </w:rPr>
        <w:t>第三部分 名词解释</w:t>
      </w:r>
    </w:p>
    <w:p>
      <w:pPr>
        <w:pStyle w:val="8"/>
        <w:adjustRightInd w:val="0"/>
        <w:snapToGrid w:val="0"/>
        <w:spacing w:before="0" w:line="440" w:lineRule="exact"/>
        <w:jc w:val="left"/>
        <w:rPr>
          <w:rFonts w:hint="eastAsia"/>
          <w:sz w:val="24"/>
        </w:rPr>
      </w:pPr>
      <w:r>
        <w:rPr>
          <w:rFonts w:hint="eastAsia"/>
          <w:sz w:val="24"/>
        </w:rPr>
        <w:t>第四部分 附件</w:t>
      </w:r>
    </w:p>
    <w:p>
      <w:pPr>
        <w:pStyle w:val="8"/>
        <w:adjustRightInd w:val="0"/>
        <w:snapToGrid w:val="0"/>
        <w:spacing w:before="0" w:line="440" w:lineRule="exact"/>
        <w:jc w:val="left"/>
        <w:rPr>
          <w:rFonts w:hint="eastAsia"/>
          <w:sz w:val="24"/>
        </w:rPr>
      </w:pPr>
      <w:r>
        <w:rPr>
          <w:rFonts w:hint="eastAsia"/>
          <w:sz w:val="24"/>
        </w:rPr>
        <w:t>附件1</w:t>
      </w:r>
    </w:p>
    <w:p>
      <w:pPr>
        <w:pStyle w:val="8"/>
        <w:adjustRightInd w:val="0"/>
        <w:snapToGrid w:val="0"/>
        <w:spacing w:before="0" w:line="440" w:lineRule="exact"/>
        <w:jc w:val="left"/>
        <w:rPr>
          <w:rFonts w:hint="eastAsia"/>
          <w:sz w:val="24"/>
        </w:rPr>
      </w:pPr>
      <w:r>
        <w:rPr>
          <w:rFonts w:hint="eastAsia"/>
          <w:sz w:val="24"/>
        </w:rPr>
        <w:t>附件2</w:t>
      </w:r>
    </w:p>
    <w:p>
      <w:pPr>
        <w:pStyle w:val="8"/>
        <w:adjustRightInd w:val="0"/>
        <w:snapToGrid w:val="0"/>
        <w:spacing w:before="0" w:line="440" w:lineRule="exact"/>
        <w:jc w:val="left"/>
        <w:rPr>
          <w:rFonts w:hint="eastAsia"/>
          <w:sz w:val="24"/>
        </w:rPr>
      </w:pPr>
      <w:r>
        <w:rPr>
          <w:rFonts w:hint="eastAsia"/>
          <w:sz w:val="24"/>
        </w:rPr>
        <w:t>第五部分 附表</w:t>
      </w:r>
    </w:p>
    <w:p>
      <w:pPr>
        <w:pStyle w:val="8"/>
        <w:adjustRightInd w:val="0"/>
        <w:snapToGrid w:val="0"/>
        <w:spacing w:before="0" w:line="440" w:lineRule="exact"/>
        <w:jc w:val="left"/>
        <w:rPr>
          <w:rFonts w:hint="eastAsia"/>
          <w:sz w:val="24"/>
        </w:rPr>
      </w:pPr>
      <w:r>
        <w:rPr>
          <w:rFonts w:hint="eastAsia"/>
          <w:sz w:val="24"/>
        </w:rPr>
        <w:t>一、收入支出决算总表</w:t>
      </w:r>
    </w:p>
    <w:p>
      <w:pPr>
        <w:pStyle w:val="8"/>
        <w:adjustRightInd w:val="0"/>
        <w:snapToGrid w:val="0"/>
        <w:spacing w:before="0" w:line="440" w:lineRule="exact"/>
        <w:jc w:val="left"/>
        <w:rPr>
          <w:rFonts w:hint="eastAsia"/>
          <w:sz w:val="24"/>
        </w:rPr>
      </w:pPr>
      <w:r>
        <w:rPr>
          <w:rFonts w:hint="eastAsia"/>
          <w:sz w:val="24"/>
        </w:rPr>
        <w:t>二、收入决算表</w:t>
      </w:r>
    </w:p>
    <w:p>
      <w:pPr>
        <w:pStyle w:val="8"/>
        <w:adjustRightInd w:val="0"/>
        <w:snapToGrid w:val="0"/>
        <w:spacing w:before="0" w:line="440" w:lineRule="exact"/>
        <w:jc w:val="left"/>
        <w:rPr>
          <w:rFonts w:hint="eastAsia"/>
          <w:sz w:val="24"/>
        </w:rPr>
      </w:pPr>
      <w:r>
        <w:rPr>
          <w:rFonts w:hint="eastAsia"/>
          <w:sz w:val="24"/>
        </w:rPr>
        <w:t>三、支出决算表</w:t>
      </w:r>
    </w:p>
    <w:p>
      <w:pPr>
        <w:pStyle w:val="8"/>
        <w:adjustRightInd w:val="0"/>
        <w:snapToGrid w:val="0"/>
        <w:spacing w:before="0" w:line="440" w:lineRule="exact"/>
        <w:jc w:val="left"/>
        <w:rPr>
          <w:rFonts w:hint="eastAsia"/>
          <w:sz w:val="24"/>
        </w:rPr>
      </w:pPr>
      <w:r>
        <w:rPr>
          <w:rFonts w:hint="eastAsia"/>
          <w:sz w:val="24"/>
        </w:rPr>
        <w:t>四、财政拨款收入支出决算总表</w:t>
      </w:r>
    </w:p>
    <w:p>
      <w:pPr>
        <w:pStyle w:val="8"/>
        <w:adjustRightInd w:val="0"/>
        <w:snapToGrid w:val="0"/>
        <w:spacing w:before="0" w:line="440" w:lineRule="exact"/>
        <w:jc w:val="left"/>
        <w:rPr>
          <w:rFonts w:hint="eastAsia"/>
          <w:sz w:val="24"/>
        </w:rPr>
      </w:pPr>
      <w:r>
        <w:rPr>
          <w:rFonts w:hint="eastAsia"/>
          <w:sz w:val="24"/>
        </w:rPr>
        <w:t>五、财政拨款支出决算明细表</w:t>
      </w:r>
    </w:p>
    <w:p>
      <w:pPr>
        <w:pStyle w:val="8"/>
        <w:adjustRightInd w:val="0"/>
        <w:snapToGrid w:val="0"/>
        <w:spacing w:before="0" w:line="440" w:lineRule="exact"/>
        <w:jc w:val="left"/>
        <w:rPr>
          <w:rFonts w:hint="eastAsia"/>
          <w:sz w:val="24"/>
        </w:rPr>
      </w:pPr>
      <w:r>
        <w:rPr>
          <w:rFonts w:hint="eastAsia"/>
          <w:sz w:val="24"/>
        </w:rPr>
        <w:t>六、一般公共预算财政拨款支出决算表</w:t>
      </w:r>
    </w:p>
    <w:p>
      <w:pPr>
        <w:pStyle w:val="8"/>
        <w:adjustRightInd w:val="0"/>
        <w:snapToGrid w:val="0"/>
        <w:spacing w:before="0" w:line="440" w:lineRule="exact"/>
        <w:jc w:val="left"/>
        <w:rPr>
          <w:rFonts w:hint="eastAsia"/>
          <w:sz w:val="24"/>
        </w:rPr>
      </w:pPr>
      <w:r>
        <w:rPr>
          <w:rFonts w:hint="eastAsia"/>
          <w:sz w:val="24"/>
        </w:rPr>
        <w:t>七、一般公共预算财政拨款支出决算明细表</w:t>
      </w:r>
    </w:p>
    <w:p>
      <w:pPr>
        <w:pStyle w:val="8"/>
        <w:adjustRightInd w:val="0"/>
        <w:snapToGrid w:val="0"/>
        <w:spacing w:before="0" w:line="440" w:lineRule="exact"/>
        <w:jc w:val="left"/>
        <w:rPr>
          <w:rFonts w:hint="eastAsia"/>
          <w:sz w:val="24"/>
        </w:rPr>
      </w:pPr>
      <w:r>
        <w:rPr>
          <w:rFonts w:hint="eastAsia"/>
          <w:sz w:val="24"/>
        </w:rPr>
        <w:t>八、一般公共预算财政拨款基本支出决算表</w:t>
      </w:r>
    </w:p>
    <w:p>
      <w:pPr>
        <w:pStyle w:val="8"/>
        <w:adjustRightInd w:val="0"/>
        <w:snapToGrid w:val="0"/>
        <w:spacing w:before="0" w:line="440" w:lineRule="exact"/>
        <w:jc w:val="left"/>
        <w:rPr>
          <w:rFonts w:hint="eastAsia"/>
          <w:sz w:val="24"/>
        </w:rPr>
      </w:pPr>
      <w:r>
        <w:rPr>
          <w:rFonts w:hint="eastAsia"/>
          <w:sz w:val="24"/>
        </w:rPr>
        <w:t>九、一般公共预算财政拨款项目支出决算表</w:t>
      </w:r>
    </w:p>
    <w:p>
      <w:pPr>
        <w:pStyle w:val="8"/>
        <w:adjustRightInd w:val="0"/>
        <w:snapToGrid w:val="0"/>
        <w:spacing w:before="0" w:line="440" w:lineRule="exact"/>
        <w:jc w:val="left"/>
        <w:rPr>
          <w:rFonts w:hint="eastAsia"/>
          <w:sz w:val="24"/>
        </w:rPr>
      </w:pPr>
      <w:r>
        <w:rPr>
          <w:rFonts w:hint="eastAsia"/>
          <w:sz w:val="24"/>
        </w:rPr>
        <w:t>十、一般公共预算财政拨款“三公”经费支出决算表</w:t>
      </w:r>
    </w:p>
    <w:p>
      <w:pPr>
        <w:pStyle w:val="8"/>
        <w:adjustRightInd w:val="0"/>
        <w:snapToGrid w:val="0"/>
        <w:spacing w:before="0" w:line="440" w:lineRule="exact"/>
        <w:jc w:val="left"/>
        <w:rPr>
          <w:rFonts w:hint="eastAsia"/>
          <w:sz w:val="24"/>
        </w:rPr>
      </w:pPr>
      <w:r>
        <w:rPr>
          <w:rFonts w:hint="eastAsia"/>
          <w:sz w:val="24"/>
        </w:rPr>
        <w:t>十一、政府性基金预算财政拨款收入支出决算表</w:t>
      </w:r>
    </w:p>
    <w:p>
      <w:pPr>
        <w:pStyle w:val="8"/>
        <w:adjustRightInd w:val="0"/>
        <w:snapToGrid w:val="0"/>
        <w:spacing w:before="0" w:line="440" w:lineRule="exact"/>
        <w:jc w:val="left"/>
        <w:rPr>
          <w:rFonts w:hint="eastAsia"/>
          <w:sz w:val="24"/>
        </w:rPr>
      </w:pPr>
      <w:r>
        <w:rPr>
          <w:rFonts w:hint="eastAsia"/>
          <w:sz w:val="24"/>
        </w:rPr>
        <w:t>十二、政府性基金预算财政拨款“三公”经费支出决算表</w:t>
      </w:r>
    </w:p>
    <w:p>
      <w:pPr>
        <w:pStyle w:val="8"/>
        <w:adjustRightInd w:val="0"/>
        <w:snapToGrid w:val="0"/>
        <w:spacing w:before="0" w:line="440" w:lineRule="exact"/>
        <w:jc w:val="left"/>
        <w:rPr>
          <w:rFonts w:hint="eastAsia"/>
          <w:sz w:val="24"/>
        </w:rPr>
      </w:pPr>
      <w:r>
        <w:rPr>
          <w:rFonts w:hint="eastAsia"/>
          <w:sz w:val="24"/>
        </w:rPr>
        <w:t>十三、国有资本经营预算支出决算表</w:t>
      </w:r>
    </w:p>
    <w:p>
      <w:pPr>
        <w:pStyle w:val="8"/>
        <w:adjustRightInd w:val="0"/>
        <w:snapToGrid w:val="0"/>
        <w:spacing w:before="0" w:line="440" w:lineRule="exact"/>
        <w:jc w:val="left"/>
        <w:rPr>
          <w:rFonts w:hint="eastAsia"/>
          <w:sz w:val="24"/>
        </w:rPr>
      </w:pPr>
    </w:p>
    <w:p>
      <w:pPr>
        <w:pStyle w:val="8"/>
        <w:adjustRightInd w:val="0"/>
        <w:snapToGrid w:val="0"/>
        <w:spacing w:before="0" w:line="440" w:lineRule="exact"/>
        <w:jc w:val="left"/>
        <w:rPr>
          <w:rFonts w:hint="eastAsia"/>
          <w:sz w:val="24"/>
        </w:rPr>
      </w:pPr>
    </w:p>
    <w:p>
      <w:pPr>
        <w:pStyle w:val="8"/>
        <w:adjustRightInd w:val="0"/>
        <w:snapToGrid w:val="0"/>
        <w:spacing w:before="0" w:line="440" w:lineRule="exact"/>
        <w:jc w:val="left"/>
        <w:rPr>
          <w:rFonts w:hint="eastAsia"/>
          <w:sz w:val="24"/>
        </w:rPr>
      </w:pPr>
    </w:p>
    <w:p>
      <w:pPr>
        <w:pStyle w:val="8"/>
        <w:adjustRightInd w:val="0"/>
        <w:snapToGrid w:val="0"/>
        <w:spacing w:before="0" w:line="440" w:lineRule="exact"/>
        <w:jc w:val="left"/>
        <w:rPr>
          <w:rFonts w:hint="eastAsia"/>
          <w:sz w:val="24"/>
        </w:rPr>
      </w:pPr>
    </w:p>
    <w:p>
      <w:pPr>
        <w:pStyle w:val="8"/>
        <w:adjustRightInd w:val="0"/>
        <w:snapToGrid w:val="0"/>
        <w:spacing w:before="0" w:line="440" w:lineRule="exact"/>
        <w:jc w:val="left"/>
        <w:rPr>
          <w:rFonts w:hint="eastAsia"/>
          <w:sz w:val="24"/>
        </w:rPr>
      </w:pPr>
    </w:p>
    <w:p>
      <w:pPr>
        <w:pStyle w:val="8"/>
        <w:adjustRightInd w:val="0"/>
        <w:snapToGrid w:val="0"/>
        <w:spacing w:before="0" w:line="440" w:lineRule="exact"/>
        <w:jc w:val="left"/>
        <w:rPr>
          <w:rFonts w:hint="eastAsia"/>
          <w:sz w:val="24"/>
        </w:rPr>
      </w:pPr>
    </w:p>
    <w:p>
      <w:pPr>
        <w:pStyle w:val="8"/>
        <w:adjustRightInd w:val="0"/>
        <w:snapToGrid w:val="0"/>
        <w:spacing w:before="0" w:line="440" w:lineRule="exact"/>
        <w:jc w:val="left"/>
        <w:rPr>
          <w:rFonts w:hint="eastAsia"/>
          <w:sz w:val="24"/>
        </w:rPr>
      </w:pPr>
    </w:p>
    <w:p>
      <w:pPr>
        <w:pStyle w:val="8"/>
        <w:adjustRightInd w:val="0"/>
        <w:snapToGrid w:val="0"/>
        <w:spacing w:before="0" w:line="440" w:lineRule="exact"/>
        <w:jc w:val="left"/>
        <w:rPr>
          <w:rFonts w:hint="eastAsia"/>
          <w:sz w:val="24"/>
        </w:rPr>
      </w:pPr>
    </w:p>
    <w:p>
      <w:pPr>
        <w:pStyle w:val="8"/>
        <w:adjustRightInd w:val="0"/>
        <w:snapToGrid w:val="0"/>
        <w:spacing w:before="0" w:line="440" w:lineRule="exact"/>
        <w:jc w:val="left"/>
        <w:rPr>
          <w:rFonts w:hint="eastAsia"/>
          <w:sz w:val="24"/>
        </w:rPr>
      </w:pPr>
    </w:p>
    <w:p>
      <w:pPr>
        <w:pStyle w:val="8"/>
        <w:adjustRightInd w:val="0"/>
        <w:snapToGrid w:val="0"/>
        <w:spacing w:before="0" w:line="440" w:lineRule="exact"/>
        <w:jc w:val="left"/>
        <w:rPr>
          <w:rFonts w:hint="eastAsia"/>
          <w:sz w:val="24"/>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一、基本职能及主要工作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（一）主要职能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根据2005年度供销社县联社机关全额纳入财政预算，取得事业单位法人资格证之规定，主要职责是：</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贯彻执行中央和地方各级党委、政府有关供销合作社的方针、政策，拟订全县供销合作社发展规划并组织实施，指导全县供销合作社系统的改革和发展。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2.按照政府授权，对农业生产资料、烟花爆竹等重要商品经营进行组织、协调和管理，参与组织、储备、调动有关救灾物资工作。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3.履行对所属企业、基层社的监督管理、指导、协调、服务和教育培训。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积极推进新农村现代流通网络建设。加快构建新型农村社会化服务基层体系。完善、规范发展农资、日用消费品、农产品购销、再生资源、烟花爆竹现代经营网络，开拓城乡市场；积极发展系统农村专业合作经济组织，负责牵头全县专业合作社建设的规范发展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5.组织协调供销社与政府有关部门及其他社会组织的关系，维护供销社的合法权益；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6.监督管理社有资产，确保社有资产保值增值，对参股控股企业行使出资人的职权。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7.承办县委、县人民政府和省、州供销社交办或委托的其它工作。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（二）2019年重点工作完成情况。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2019年供销社工作开展情况及主要事业成效如下：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经济指标完成较好。截止目前，全系统实现经营服务总值5780.85万元。其中：实现购进总额2478.4万元，实现销售总额3302.45万元。截止目前，全县工商注册农民专合社706家。其中：其中：国家级示范社1个，省级示范社10个，州级示范社7个，县级示范社12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农资供应保障有力。汶川县惠万家农业服务有限公司截止目前销售各类肥料1591吨，农药10吨，地膜17吨。储备各类肥料820吨，农药8吨，地膜15吨。确保了春耕农业生产需要。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专合组织健康发展。截止目前，全县工商注册农民专合社已达到715家。其中：国家级示范社1个，省级示范社10个，州级示范社7个，县级示范社12个。其中养殖业200多家，种植业400多家，其他30余家。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深入推进供销合作社综合改革。一是认真落实省社、州社要求，积极谋划和推进“两中心一体系”建设，建成了绵虒、漩口、威州三个乡镇供销社和为农服务中心、农村电商体验服务中心。二是2018年四川省阿坝州汶川县土地托管新建项目该项目纳入川青甘高原物流产业园区统一规划、统一建设，已于2019年2月动工，预计2020年6月底完工。三是按照中农发〔2019〕3号、川农领办〔2019〕18号、阿州农领办〔2019〕11号文件要求，积极配合县委农工办开展农民合作社“空壳社”专项治理工作735家专合社中，确定了173家专合社作为第一批“空壳社”予以清理，对剩余77家未办理“三证合一”手续的合作社进行再一步核实。力争通过开展专项清理工作，促进合作社依法规范健康发展，夯实乡村产业发展的组织基础，为推进脱贫攻坚和乡村振兴战略实施营造良好环境。四是加强“四川扶贫”集体商标推广运用。会同县脱领办制定了《汶川县脱贫攻坚领导小组办公室关于做好“四川扶贫”集体商标推广运用工作的通知》，进一步加强“四川扶贫”集体商标推广运用。会同县脱领办制定了《汶川县脱贫攻坚领导小组办公室关于做好“四川扶贫”集体商标推广运用工作的通知》，进一步加强了“四川扶贫”集体商标的推广运用，目前，有10个专合社、企业注册了“四川扶贫”集体商标，用标产品31个。有2个企业、2个用标产品正在申报中。五是拓宽专合社农产品销售渠道。组织召开了汶川县召开了与省供销社“四川消费扶贫网”农产品产销对接会议，30余家专合社和涉农企业参加了会议，威州供销社通过四川消费扶贫网，销售甜樱桃150斤，青红脆李9000斤。六是抓住东西部扶贫协作机遇，积极对接浙江金华市供销社，销售汶川农产品，通过其直属企业金华农产品展示销售有限公司销售汶川甜樱桃1200斤。五是积极组织企业参加“四川省供销社-澳门供应商联合会名优农产品采购洽谈会。汶川供销社农村电商体验服务中心与创新（澳门）蔬果有限公司现场签约代理意向合同。六是2019年通过线上线下销售甜樱桃1.2万斤，青红脆李25万斤，西梅0.5万斤，杏子1万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二、机构设置</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1．机构情况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2019年度，纳入本部门决算汇编范围的独立核算单位共1个。</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2．人员情况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供销社总编制 9 名,其中:行政编制 0 名,参照公务员法管理的事业编制 8 名，事业工勤编制 1名。在职人员总数7名，其中：行政人员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名，参照公务员法管理的事业人员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名，工勤人员1 名，其他事业人员 0 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2019年度部门决算情况说明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2019年度收入162.59万元，上年度收入772.84万元，减少610.25万元。主要原因为2018年年末项目结转和结余资金629.20万元；2019年项目支出款184.85万元，质保金9.35万元（2019年末财政统筹）；产业发展（土地托管前期经费）10万元；农业生产支持补贴15万元。财政收回存量资金（土地托管资金）410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2019年度支出367.59万元元，上年支出149.41万元，支出比上年增加218.18万元。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drawing>
          <wp:anchor distT="0" distB="0" distL="114300" distR="114300" simplePos="0" relativeHeight="251663360" behindDoc="0" locked="0" layoutInCell="1" allowOverlap="1">
            <wp:simplePos x="0" y="0"/>
            <wp:positionH relativeFrom="column">
              <wp:posOffset>247015</wp:posOffset>
            </wp:positionH>
            <wp:positionV relativeFrom="paragraph">
              <wp:posOffset>118745</wp:posOffset>
            </wp:positionV>
            <wp:extent cx="5036185" cy="2287270"/>
            <wp:effectExtent l="4445" t="4445" r="7620" b="1333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本年收入合计万元，其中：一般公共预算财政拨款收入162.59万元，占100%；政府性基金预算财政拨款收入0万元；上级补助收入0万元；事业收入0万元；经营收入0万元；附属单位上缴收入0万元；其他收入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70528" behindDoc="0" locked="0" layoutInCell="1" allowOverlap="1">
            <wp:simplePos x="0" y="0"/>
            <wp:positionH relativeFrom="column">
              <wp:posOffset>371475</wp:posOffset>
            </wp:positionH>
            <wp:positionV relativeFrom="paragraph">
              <wp:posOffset>220345</wp:posOffset>
            </wp:positionV>
            <wp:extent cx="4695190" cy="1862455"/>
            <wp:effectExtent l="4445" t="4445" r="5715" b="19050"/>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2019年本年支出合计367.59万元，其中：基本支出135.29万元，占36.80%；项目支出232.30万元，占63.20%。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drawing>
          <wp:anchor distT="0" distB="0" distL="114300" distR="114300" simplePos="0" relativeHeight="251678720" behindDoc="0" locked="0" layoutInCell="1" allowOverlap="1">
            <wp:simplePos x="0" y="0"/>
            <wp:positionH relativeFrom="column">
              <wp:posOffset>330835</wp:posOffset>
            </wp:positionH>
            <wp:positionV relativeFrom="paragraph">
              <wp:posOffset>110490</wp:posOffset>
            </wp:positionV>
            <wp:extent cx="5009515" cy="2293620"/>
            <wp:effectExtent l="5080" t="4445" r="14605" b="6985"/>
            <wp:wrapSquare wrapText="bothSides"/>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黑体" w:hAnsi="黑体" w:eastAsia="黑体" w:cs="黑体"/>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2019年度收入162.59万元，上年度收入772.84万元，减少610.25万元。主要原因为2018年年末项目结转和结余资金629.20万元；2019年项目支出款184.85万元，质保金9.35万元（2019年末财政统筹）；产业发展（土地托管前期经费）10万元；农业生产支持补贴15万元。财政收回存量资金（土地托管资金）410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2019年度支出367.59万元元，上年支出149.41万元，支出比上年增加218.18万元。</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93056" behindDoc="0" locked="0" layoutInCell="1" allowOverlap="1">
            <wp:simplePos x="0" y="0"/>
            <wp:positionH relativeFrom="column">
              <wp:posOffset>405765</wp:posOffset>
            </wp:positionH>
            <wp:positionV relativeFrom="paragraph">
              <wp:posOffset>123825</wp:posOffset>
            </wp:positionV>
            <wp:extent cx="4845685" cy="2071370"/>
            <wp:effectExtent l="4445" t="4445" r="7620" b="1968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（一）一般公共预算财政拨款支出决算总体情况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2019年一般公共预算财政拨款支出367.59万元，占本年支出合计的100%。与2018年一般公共预算财政拨款支出149.41万元相比，一般公共预算财政拨款支出增加218.18万元，增长146.03%。</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804410" cy="2249805"/>
            <wp:effectExtent l="4445" t="4445" r="10795" b="1270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（二）一般公共预算财政拨款支出决算结构情况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一般公共预算财政拨款支出367.59万元，主要用于以下方面:社会保障和就业（类）支出12.98万元，占3.53%；卫生健康支出6.75万元，占1.84%；住房保障支出8.15万元，占2.22%；农林水支出47万元，占12.79%；商业服务业等支出292.26万元，占79.51%；其他支出0.45万元，占0.11%。</w:t>
      </w:r>
      <w:r>
        <w:rPr>
          <w:rFonts w:hint="eastAsia" w:ascii="仿宋_GB2312" w:hAnsi="仿宋_GB2312" w:eastAsia="仿宋_GB2312" w:cs="仿宋_GB2312"/>
          <w:sz w:val="32"/>
          <w:szCs w:val="32"/>
        </w:rPr>
        <w:drawing>
          <wp:anchor distT="0" distB="0" distL="114300" distR="114300" simplePos="0" relativeHeight="251708416" behindDoc="0" locked="0" layoutInCell="1" allowOverlap="1">
            <wp:simplePos x="0" y="0"/>
            <wp:positionH relativeFrom="column">
              <wp:posOffset>175895</wp:posOffset>
            </wp:positionH>
            <wp:positionV relativeFrom="paragraph">
              <wp:posOffset>86360</wp:posOffset>
            </wp:positionV>
            <wp:extent cx="5364480" cy="2329815"/>
            <wp:effectExtent l="4445" t="4445" r="22225" b="8890"/>
            <wp:wrapSquare wrapText="bothSides"/>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（三）一般公共预算财政拨款支出决算具体情况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1.社会保障和就业（类）2080505机关事业单位基本养老保险缴费、2080506机关事业单位职业年金: 支出决算为12.98万元，完成预算100%，决算数等于预算数。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2.卫生健康（类）2101101行政单位医疗:支出决算为6.75万元，完成预算100%，决算数等于预算数。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3.农林水支出（类） 2139999其他农林水支出：2130122农业生产支持补贴、2130603产业化发展：支出决算数为47万元，完成预算100%，决算数等于预算数。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4.商业服务业等支出（类） 2160201行政运行、2169901服务业基础设施建设：107.41万元，完成预算100%，决算数等于预算数。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5.住房保障支出（类） 2210201住房公积金：支出决算数为47万元，完成预算100%，决算数等于预算数。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6.其他支出（类） 2299901其他支出：支出决算数为0.45万元，完成预算100%，决算数等于预算数。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六、一般公共预算财政拨款基本支出决算情况说明</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2019年一般公共预算财政拨款基本支出135.29万元，其中：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116.28万元，主要包括：基本工资、津贴补贴、奖金、伙食补助费、绩效工资、机关事业单位基本养老保险缴费、职业年金缴费、其他社会保障缴费、医疗费补助、奖励金、住房公积金、其他对个人和家庭的补助支出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常公用经费19.01万元，主要包括：办公费、印刷费、咨询费、手续费、水费、电费、邮电费、取暖费、差旅费、会议费、培训费、公务接待费、劳务费、委托业务费、工会经费、福利费、公务用车运行维护费、其他商品和服务支出、办公设备购置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七、“三公”经费财政拨款支出决算情况说明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2019年“三公”经费财政拨款支出决算为0.30万元，完成预算100%。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2019年“三公”经费财政拨款支出决算中，因公出国（境）费支出决算0万元，占0%；公务用车购置及运行维护费支出决算0万元，占0%；公务接待费支出决算0.30万元，占100%。具体情况如下：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1.因公出国（境）经费支出0万元，完成预算0%。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2.公务用车购置及运行维护费支出0万元,完成预算100%。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其中：公务用车购置支出0万元。全年按规定更新购置公务用车0辆，金额0元。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公务用车运行维护费支出0万元。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3.公务接待费支出0.30万元，完成预算100%。公务接待费支出决算比2018年增加0.14万元，增长87.5%。因本年省社和州社调研次数比去年增多，接待8批次共计69人。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国内公务接待支出1.53万元，国内公务接待27批次，275人次（不包括陪同人员），共计支出1.53万元。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外事接待支出0万元，外事接待0批次，0人，共计支出0万元。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八、政府性基金预算支出决算情况说明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2019年政府性基金预算拨款支出0万元。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九、国有资本经营预算支出决算情况说明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2019年国有资本经营预算拨款支出0万元。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十、其他重要事项的情况说明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（一）机关运行经费支出情况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2019年，机关运行经费支出19.01万元，比2018年减少</w:t>
      </w:r>
      <w:r>
        <w:rPr>
          <w:rFonts w:hint="eastAsia" w:ascii="仿宋_GB2312" w:hAnsi="仿宋_GB2312" w:eastAsia="仿宋_GB2312" w:cs="仿宋_GB2312"/>
          <w:sz w:val="32"/>
          <w:szCs w:val="32"/>
          <w:lang w:val="en-US" w:eastAsia="zh-CN"/>
        </w:rPr>
        <w:t>7.04</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37.03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主要原因是单位按照厉行节约原则降低了各项支出费用，提高资金使用效率降低公共财政开支，制定机关运行经费预算支出定额标准和有关开支标准。在管理方式上，坚持公务卡结算制度，各</w:t>
      </w:r>
      <w:bookmarkStart w:id="0" w:name="_GoBack"/>
      <w:bookmarkEnd w:id="0"/>
      <w:r>
        <w:rPr>
          <w:rFonts w:hint="eastAsia" w:ascii="仿宋_GB2312" w:hAnsi="仿宋_GB2312" w:eastAsia="仿宋_GB2312" w:cs="仿宋_GB2312"/>
          <w:sz w:val="32"/>
          <w:szCs w:val="32"/>
        </w:rPr>
        <w:t>机关发生的各类公务支出，除按照规定实行财政直接支付或者银行转账以外，应当使用公务卡结算，强化支出方式的监管，防止浪费，杜绝财务违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（二）政府采购支出情况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2019年，政府采购支出总额0万元。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共有车辆0辆。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（四）预算绩效管理情况。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两中心一体系建设”开展了预算事前绩效评估，对项目编制了绩效目标，预算执行过程中，选取项目开展绩效监控，年终执行完毕后，对项目开展了绩效目标完成情况自评。</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1.项目绩效目标完成情况。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本部门在2019年度部门决算中反映“两中心一体系建设”项目绩效目标实际完成情况。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（1）项目绩效目标完成情况综述。项目全年预算数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184.85万元，执行数为184.85万元，完成预算的100%。</w:t>
      </w:r>
    </w:p>
    <w:tbl>
      <w:tblPr>
        <w:tblStyle w:val="11"/>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17"/>
              <w:pageBreakBefore w:val="0"/>
              <w:widowControl/>
              <w:kinsoku/>
              <w:wordWrap/>
              <w:overflowPunct/>
              <w:topLinePunct w:val="0"/>
              <w:bidi w:val="0"/>
              <w:ind w:left="0" w:leftChars="0"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kern w:val="0"/>
                <w:sz w:val="32"/>
                <w:szCs w:val="32"/>
              </w:rPr>
              <w:t>项目支出绩效目标完成情况表</w:t>
            </w:r>
            <w:r>
              <w:rPr>
                <w:rFonts w:hint="eastAsia" w:ascii="仿宋_GB2312" w:hAnsi="仿宋_GB2312" w:eastAsia="仿宋_GB2312" w:cs="仿宋_GB2312"/>
                <w:b/>
                <w:bCs/>
                <w:color w:val="000000"/>
                <w:kern w:val="0"/>
                <w:sz w:val="32"/>
                <w:szCs w:val="32"/>
              </w:rPr>
              <w:br w:type="textWrapping"/>
            </w: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两中心一体系建设</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汶川县供销联社（单位：万元）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184.85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184.85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ind w:firstLine="640" w:firstLineChars="200"/>
              <w:jc w:val="left"/>
              <w:rPr>
                <w:rFonts w:hint="eastAsia" w:ascii="仿宋_GB2312" w:hAnsi="仿宋_GB2312" w:eastAsia="仿宋_GB2312" w:cs="仿宋_GB2312"/>
                <w:color w:val="000000"/>
                <w:sz w:val="32"/>
                <w:szCs w:val="32"/>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ind w:firstLine="640" w:firstLineChars="200"/>
              <w:jc w:val="left"/>
              <w:rPr>
                <w:rFonts w:hint="eastAsia" w:ascii="仿宋_GB2312" w:hAnsi="仿宋_GB2312" w:eastAsia="仿宋_GB2312" w:cs="仿宋_GB2312"/>
                <w:color w:val="000000"/>
                <w:sz w:val="32"/>
                <w:szCs w:val="32"/>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wordWrap/>
              <w:overflowPunct/>
              <w:topLinePunct w:val="0"/>
              <w:bidi w:val="0"/>
              <w:ind w:firstLine="640" w:firstLineChars="200"/>
              <w:jc w:val="center"/>
              <w:rPr>
                <w:rFonts w:hint="eastAsia"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ind w:firstLine="640" w:firstLineChars="200"/>
              <w:jc w:val="left"/>
              <w:rPr>
                <w:rFonts w:hint="eastAsia" w:ascii="仿宋_GB2312" w:hAnsi="仿宋_GB2312" w:eastAsia="仿宋_GB2312" w:cs="仿宋_GB2312"/>
                <w:color w:val="000000"/>
                <w:sz w:val="32"/>
                <w:szCs w:val="32"/>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both"/>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rPr>
              <w:t>认真落实省社、州社要求，积极谋划和推进“两中心一体系”建设，建成了绵虒、漩口、威州三个乡镇供销社和为农服务中心、农村电商体验服务中心。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认真落实省社、州社要求，积极谋划和推进“两中心一体系”建设，建成了绵虒、漩口、威州三个乡镇供销社和为农服务中心、农村电商体验服务中心。</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ind w:firstLine="640" w:firstLineChars="200"/>
              <w:jc w:val="left"/>
              <w:rPr>
                <w:rFonts w:hint="eastAsia" w:ascii="仿宋_GB2312" w:hAnsi="仿宋_GB2312" w:eastAsia="仿宋_GB2312" w:cs="仿宋_GB2312"/>
                <w:color w:val="000000"/>
                <w:sz w:val="32"/>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both"/>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验收合格</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验收合格</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ind w:firstLine="640" w:firstLineChars="200"/>
              <w:jc w:val="left"/>
              <w:rPr>
                <w:rFonts w:hint="eastAsia" w:ascii="仿宋_GB2312" w:hAnsi="仿宋_GB2312" w:eastAsia="仿宋_GB2312" w:cs="仿宋_GB2312"/>
                <w:color w:val="000000"/>
                <w:sz w:val="32"/>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工作目标完成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发挥供销合作社农资流通主渠道作用，适应现代农业发展需要，改造提升农资配送中心、乡村农资供应网点和庄稼医院，加快农资物联网建设，构建连锁化、品牌化、专业化的农资供应保障体系，确保农资市场稳定。以民族地区、边远地区和粮食主产区为重点，完善农资分级储备机制。聚焦保障农业安全，积极推广使用有机肥、低残留农药和高标准农膜，构建农业绿色防控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积极培育农村电子商务市场主体，扩大电子商务在农业农村的应用，助推我县脱贫攻坚和农业产业转型升级，促进农业发展和农民增收致富。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发挥供销合作社农资流通主渠道作用，适应现代农业发展需要，改造提升农资配送中心、乡村农资供应网点和庄稼医院，加快农资物联网建设，构建连锁化、品牌化、专业化的农资供应保障体系，确保农资市场稳定。以民族地区、边远地区和粮食主产区为重点，完善农资分级储备机制。聚焦保障农业安全，积极推广使用有机肥、低残留农药和高标准农膜，构建农业绿色防控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积极培育农村电子商务市场主体，扩大电子商务在农业农村的应用，助推我县脱贫攻坚和农业产业转型升级，促进农业发展和农民增收致富。</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ind w:firstLine="640" w:firstLineChars="200"/>
              <w:jc w:val="left"/>
              <w:rPr>
                <w:rFonts w:hint="eastAsia" w:ascii="仿宋_GB2312" w:hAnsi="仿宋_GB2312" w:eastAsia="仿宋_GB2312" w:cs="仿宋_GB2312"/>
                <w:color w:val="000000"/>
                <w:sz w:val="32"/>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ind w:firstLine="640" w:firstLineChars="20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发挥供销合作社农资流通主渠道作用，适应现代农业发展需要，改造提升农资配送中心、乡村农资供应网点和庄稼医院，加快农资物联网建设，构建连锁化、品牌化、专业化的农资供应保障体系，确保农资市场稳定。以民族地区、边远地区和粮食主产区为重点，完善农资分级储备机制。聚焦保障农业安全，积极推广使用有机肥、低残留农药和高标准农膜，构建农业绿色防控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积极培育农村电子商务市场主体，扩大电子商务在农业农村的应用，助推我县脱贫攻坚和农业产业转型升级，促进农业发展和农民增收致富。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发挥供销合作社农资流通主渠道作用，适应现代农业发展需要，改造提升农资配送中心、乡村农资供应网点和庄稼医院，加快农资物联网建设，构建连锁化、品牌化、专业化的农资供应保障体系，确保农资市场稳定。以民族地区、边远地区和粮食主产区为重点，完善农资分级储备机制。聚焦保障农业安全，积极推广使用有机肥、低残留农药和高标准农膜，构建农业绿色防控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积极培育农村电子商务市场主体，扩大电子商务在农业农村的应用，助推我县脱贫攻坚和农业产业转型升级，促进农业发展和农民增收致富。</w:t>
            </w:r>
          </w:p>
        </w:tc>
      </w:tr>
    </w:tbl>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2.部门绩效评价结果。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1.项目绩效评价基本情况。评价项目1个,全年预算数为184.85万元。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强化预算管理。项目经费严格按照财政管理制度的要求，做到专款专用、规范管理、绩效引导，在保证项目工作按质按量按时完成的前提下严格将经费控制在预算内。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严格落实内控机制。项目实施全过程按照内控机制加强管理，项目实施前有预算，项目实施过程中有相关的管理制度和规范文件及过程监控，资金的支出有相关的资金管理要求，项目实施后，按照要求开展项目支出的绩效评价，项目达到了管理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第三部分名词解释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2.事业收入：指事业单位开展专业业务活动及辅助活动取得的收入。如…（二级预算单位事业收入情况）等。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3.经营收入：指事业单位在专业业务活动及其辅助活动之外开展非独立核算经营活动取得的收入。如…（二级预算单位经营收入情况）等。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4.其他收入：指单位取得的除上述收入以外的各项收入。主要是…（收入类型）等。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6.年初结转和结余：指以前年度尚未完成、结转到本年按有关规定继续使用的资金。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7.结余分配：指事业单位按照事业单位会计制度的规定从非财政补助结余中分配的事业基金和职工福利基金等。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10.项目支出：指在基本支出之外为完成特定行政任务和事业发展目标所发生的支出。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14.一般公共服务2010401行政运行：指用于职工工资、办公费等维持日常工作开展的开支。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15.社会保障和就业2080505机关事业单位基本养老保险缴费支出：指本单位职工应缴纳的基本养老保险缴费支出。2080506机关事业单位职业年金缴费支出：指本单位职工应缴纳的职业年金缴费支出。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16.医疗卫生和计划生育2101101行政单位医疗：指本单位职工应缴纳的机关医疗保险支出。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17.住房保障支出2210201住房公积金：指本单位应缴纳的住房公积金。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附件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部门2019年部门整体支出绩效评价报告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一、部门（单位）概况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（一）机构组成。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2019年度，纳入本部门决算汇编范围的独立核算单位共1个。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（二）机构职能。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贯彻执行中央和地方各级党委、政府有关供销合作社的方针、政策，拟订全县供销合作社发展规划并组织实施，指导全县供销合作社系统的改革和发展。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2.按照政府授权，对农业生产资料、烟花爆竹等重要商品经营进行组织、协调和管理，参与组织、储备、调动有关救灾物资工作。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3.履行对所属企业、基层社的监督管理、指导、协调、服务和教育培训。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积极推进新农村现代流通网络建设。加快构建新型农村社会化服务基层体系。完善、规范发展农资、日用消费品、农产品购销、再生资源、烟花爆竹现代经营网络，开拓城乡市场；积极发展系统农村专业合作经济组织，负责牵头全县专业合作社建设的规范发展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5.组织协调供销社与政府有关部门及其他社会组织的关系，维护供销社的合法权益；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6.监督管理社有资产，确保社有资产保值增值，对参股控股企业行使出资人的职权。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7.承办县委、县人民政府和省、州供销社交办或委托的其它工作。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（二）人员概况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2．人员情况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供销社总编制 9 名,其中:行政编制 0 名,参照公务员法管理的事业编制 8 名，事业工勤编制 1名。在职人员总数7名，其中：行政人员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名，参照公务员法管理的事业人员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 名，工勤人员1 名，其他事业人员 0 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二、部门财政资金收支情况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（一）部门财政资金收入情况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2019年度收入162.59万元，上年度收入772.84万元，减少610.25万元。主要原因为2018年年末项目结转和结余资金629.20万元；2019年项目支出款184.85万元，质保金9.35万元（2019年末财政统筹）；产业发展（土地托管前期经费）10万元；农业生产支持补贴15万元。财政收回存量资金（土地托管资金）410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2019年度支出367.59万元元，上年支出149.41万元，支出比上年增加218.18万元。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三、部门整体预算绩效管理情况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全县部门编制预算口径和要求，确保局机关正常运转、完成日常工作任务以及我局承担的重点工作，编制2019年预算。基本支出，是用于保障供销联社正常运转的日常支出，包括基本工资、津贴补贴等人员经费以及办公费、印刷费、水电费、办公设备购置等日常公用经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（二）专项预算管理。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（1）资金绩效分配情况。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项目申报严格按照申报规定，明确绩效目标，控制成本，提高效益。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（2）项目资金管理情况。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项目资金日常支出严格按照预算、用款标准，制度项目资金管理办法。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（3）绩效目标完成情况。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项目实施完成有利于改善传统管理模式，项目管理科学化、严密化、系统化，加强各部协调联系。提高效率、降低成本。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（三）结果应用情况。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绩效管理严格按照上级部门要求，开展自评工作，对评价结果及时总结上报。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四、评价结论及建议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（一）评价结论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预算执行情况良好，会计核算和账务管理较好，严格执行政府采购制度。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rPr>
        <w:t xml:space="preserve">二）存在问题。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项目资金的使用未严格按照全年工作计划和步骤支出，前期支出进度缓慢。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（三）改进建议。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1、制定合理的年度工作计划和年度经费支出预算，确保全年经费支出均衡。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2、加强对专项资金的管，建立和完善内部控制建设，形成系统的内部财务管理制度。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3.推进项目竣工验收，加强与财政部门的衔接，加快资金拨付。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744" w:firstLineChars="200"/>
        <w:textAlignment w:val="auto"/>
        <w:rPr>
          <w:rFonts w:hint="eastAsia" w:ascii="方正小标宋简体" w:hAnsi="方正小标宋简体" w:eastAsia="方正小标宋简体" w:cs="方正小标宋简体"/>
          <w:spacing w:val="-34"/>
          <w:sz w:val="44"/>
          <w:szCs w:val="44"/>
        </w:rPr>
      </w:pPr>
      <w:r>
        <w:rPr>
          <w:rFonts w:hint="eastAsia" w:ascii="方正小标宋简体" w:hAnsi="方正小标宋简体" w:eastAsia="方正小标宋简体" w:cs="方正小标宋简体"/>
          <w:spacing w:val="-34"/>
          <w:sz w:val="44"/>
          <w:szCs w:val="44"/>
        </w:rPr>
        <w:t>两中心一体系建设项目2019年绩效评价报告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一、项目概况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推进供销合作社综合改革。一是认真落实省社、州社要求，积极谋划和推进“两中心一体系”建设，建成了绵虒、漩口、威州三个乡镇供销社和为农服务中心、农村电商体验服务中心。二是2018年四川省阿坝州汶川县土地托管新建项目该项目纳入川青甘高原物流产业园区统一规划、统一建设，已于2019年2月动工，预计2020年6月底完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（二）项目绩效目标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充分发挥供销合作社农资流通主渠道作用，适应现代农业发展需要，改造提升农资配送中心、乡村农资供应网点和庄稼医院，加快农资物联网建设，构建连锁化、品牌化、专业化的农资供应保障体系，确保农资市场稳定。以民族地区、边远地区和粮食主产区为重点，完善农资分级储备机制。聚焦保障农业安全，积极推广使用有机肥、低残留农药和高标准农膜，构建农业绿色防控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2.积极培育农村电子商务市场主体，扩大电子商务在农业农村的应用，助推我县脱贫攻坚和农业产业转型升级，促进农业发展和农民增收致富。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二、项目资金申报及使用情况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“本部门在2019年度部门决算中反映“两中心一体系建设”项目绩效目标实际完成情况。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项目绩效目标完成情况综述。项目全年预算数184.85万元，执行数为184.85万元，完成预算的100%。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、评价结论及建议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（一）评价结论。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本部门在2019年度部门决算中反映“两中心一体系建设”项目绩效目标实际完成情况。项目全年预算数184.85万元，执行数为184.85万元，完成预算的100%。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（二）存在的问题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项目运营</w:t>
      </w:r>
      <w:r>
        <w:rPr>
          <w:rFonts w:hint="eastAsia" w:ascii="仿宋_GB2312" w:hAnsi="仿宋_GB2312" w:eastAsia="仿宋_GB2312" w:cs="仿宋_GB2312"/>
          <w:sz w:val="32"/>
          <w:szCs w:val="32"/>
        </w:rPr>
        <w:t>效益</w:t>
      </w:r>
      <w:r>
        <w:rPr>
          <w:rFonts w:hint="eastAsia" w:ascii="仿宋_GB2312" w:hAnsi="仿宋_GB2312" w:eastAsia="仿宋_GB2312" w:cs="仿宋_GB2312"/>
          <w:sz w:val="32"/>
          <w:szCs w:val="32"/>
          <w:lang w:eastAsia="zh-CN"/>
        </w:rPr>
        <w:t>有待进一步</w:t>
      </w:r>
      <w:r>
        <w:rPr>
          <w:rFonts w:hint="eastAsia" w:ascii="仿宋_GB2312" w:hAnsi="仿宋_GB2312" w:eastAsia="仿宋_GB2312" w:cs="仿宋_GB2312"/>
          <w:sz w:val="32"/>
          <w:szCs w:val="32"/>
        </w:rPr>
        <w:t>提高。</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（三）相关建议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合理的年度工作计划和年度经费支出预算，确保全年经费支出均衡，提高经费使用效益。建立和完善内部控制建设，形成系统的内部财务管理制度。加强对专项资金的管理，按工作要求加快专项资金使用进度，切实发挥资金效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第五部分 附表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五、财政拨款支出决算明细表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六、一般公共预算财政拨款支出决算表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七、一般公共预算财政拨款支出决算明细表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八、一般公共预算财政拨款基本支出决算表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九、一般公共预算财政拨款项目支出决算表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十、一般公共预算财政拨款“三公”经费支出决算表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十二、政府性基金预算财政拨款“三公”经费支出决算表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十三、国有资本经营预算支出决算表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2098" w:right="1474" w:bottom="1984"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0EC19"/>
    <w:multiLevelType w:val="singleLevel"/>
    <w:tmpl w:val="3800EC1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3446E"/>
    <w:rsid w:val="00332ACB"/>
    <w:rsid w:val="07D2022F"/>
    <w:rsid w:val="088A1557"/>
    <w:rsid w:val="0CC04479"/>
    <w:rsid w:val="1A8055E9"/>
    <w:rsid w:val="3A8343E8"/>
    <w:rsid w:val="446A7640"/>
    <w:rsid w:val="4608375E"/>
    <w:rsid w:val="5A53446E"/>
    <w:rsid w:val="69517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rPr>
      <w:szCs w:val="20"/>
    </w:rPr>
  </w:style>
  <w:style w:type="paragraph" w:styleId="6">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7">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paragraph" w:styleId="10">
    <w:name w:val="Normal (Web)"/>
    <w:basedOn w:val="1"/>
    <w:qFormat/>
    <w:uiPriority w:val="0"/>
    <w:pPr>
      <w:spacing w:before="100" w:beforeAutospacing="1" w:after="100" w:afterAutospacing="1"/>
      <w:jc w:val="left"/>
    </w:pPr>
    <w:rPr>
      <w:rFonts w:ascii="Calibri" w:hAnsi="Calibri"/>
      <w:kern w:val="0"/>
      <w:sz w:val="24"/>
    </w:rPr>
  </w:style>
  <w:style w:type="character" w:styleId="13">
    <w:name w:val="Strong"/>
    <w:basedOn w:val="12"/>
    <w:qFormat/>
    <w:uiPriority w:val="99"/>
    <w:rPr>
      <w:b/>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character" w:customStyle="1" w:styleId="15">
    <w:name w:val="标题 1 字符"/>
    <w:basedOn w:val="12"/>
    <w:link w:val="4"/>
    <w:qFormat/>
    <w:uiPriority w:val="9"/>
    <w:rPr>
      <w:b/>
      <w:bCs/>
      <w:kern w:val="44"/>
      <w:sz w:val="44"/>
      <w:szCs w:val="44"/>
    </w:rPr>
  </w:style>
  <w:style w:type="character" w:customStyle="1" w:styleId="16">
    <w:name w:val="标题 2 字符"/>
    <w:basedOn w:val="12"/>
    <w:link w:val="5"/>
    <w:qFormat/>
    <w:uiPriority w:val="9"/>
    <w:rPr>
      <w:rFonts w:asciiTheme="majorHAnsi" w:hAnsiTheme="majorHAnsi" w:eastAsiaTheme="majorEastAsia" w:cstheme="majorBidi"/>
      <w:b/>
      <w:bCs/>
      <w:sz w:val="32"/>
      <w:szCs w:val="32"/>
    </w:rPr>
  </w:style>
  <w:style w:type="paragraph" w:styleId="17">
    <w:name w:val="List Paragraph"/>
    <w:basedOn w:val="1"/>
    <w:qFormat/>
    <w:uiPriority w:val="34"/>
    <w:pPr>
      <w:ind w:firstLine="420" w:firstLineChars="200"/>
    </w:pPr>
  </w:style>
  <w:style w:type="paragraph" w:customStyle="1" w:styleId="1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379;&#38144;&#31038;-2019&#24180;&#37096;&#38376;&#20915;&#31639;&#20844;&#24320;12.15\&#26032;&#24314;%20XLSX%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379;&#38144;&#31038;-2019&#24180;&#37096;&#38376;&#20915;&#31639;&#20844;&#24320;12.15\&#26032;&#24314;%20XLSX%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379;&#38144;&#31038;-2019&#24180;&#37096;&#38376;&#20915;&#31639;&#20844;&#24320;12.15\&#26032;&#24314;%20XLSX%20&#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379;&#38144;&#31038;-2019&#24180;&#37096;&#38376;&#20915;&#31639;&#20844;&#24320;12.15\&#26032;&#24314;%20XLSX%20&#24037;&#20316;&#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379;&#38144;&#31038;-2019&#24180;&#37096;&#38376;&#20915;&#31639;&#20844;&#24320;12.15\&#26032;&#24314;%20XLSX%20&#24037;&#20316;&#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379;&#38144;&#31038;-2019&#24180;&#37096;&#38376;&#20915;&#31639;&#20844;&#24320;12.15\&#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'[新建 XLSX 工作表.xlsx]Sheet1'!$D$9</c:f>
              <c:strCache>
                <c:ptCount val="1"/>
                <c:pt idx="0">
                  <c:v>2019年度</c:v>
                </c:pt>
              </c:strCache>
            </c:strRef>
          </c:tx>
          <c:spPr>
            <a:solidFill>
              <a:schemeClr val="accent1"/>
            </a:solidFill>
            <a:ln>
              <a:noFill/>
            </a:ln>
            <a:effectLst/>
          </c:spPr>
          <c:invertIfNegative val="0"/>
          <c:dLbls>
            <c:delete val="1"/>
          </c:dLbls>
          <c:cat>
            <c:strRef>
              <c:f>'[新建 XLSX 工作表.xlsx]Sheet1'!$E$8:$F$8</c:f>
              <c:strCache>
                <c:ptCount val="2"/>
                <c:pt idx="0">
                  <c:v>收入</c:v>
                </c:pt>
                <c:pt idx="1">
                  <c:v>支出</c:v>
                </c:pt>
              </c:strCache>
            </c:strRef>
          </c:cat>
          <c:val>
            <c:numRef>
              <c:f>'[新建 XLSX 工作表.xlsx]Sheet1'!$E$9:$F$9</c:f>
              <c:numCache>
                <c:formatCode>General</c:formatCode>
                <c:ptCount val="2"/>
                <c:pt idx="0">
                  <c:v>162.59</c:v>
                </c:pt>
                <c:pt idx="1">
                  <c:v>367.59</c:v>
                </c:pt>
              </c:numCache>
            </c:numRef>
          </c:val>
        </c:ser>
        <c:ser>
          <c:idx val="1"/>
          <c:order val="1"/>
          <c:tx>
            <c:strRef>
              <c:f>'[新建 XLSX 工作表.xlsx]Sheet1'!$D$10</c:f>
              <c:strCache>
                <c:ptCount val="1"/>
                <c:pt idx="0">
                  <c:v>2018年度</c:v>
                </c:pt>
              </c:strCache>
            </c:strRef>
          </c:tx>
          <c:spPr>
            <a:solidFill>
              <a:schemeClr val="accent2"/>
            </a:solidFill>
            <a:ln>
              <a:noFill/>
            </a:ln>
            <a:effectLst/>
          </c:spPr>
          <c:invertIfNegative val="0"/>
          <c:dLbls>
            <c:delete val="1"/>
          </c:dLbls>
          <c:cat>
            <c:strRef>
              <c:f>'[新建 XLSX 工作表.xlsx]Sheet1'!$E$8:$F$8</c:f>
              <c:strCache>
                <c:ptCount val="2"/>
                <c:pt idx="0">
                  <c:v>收入</c:v>
                </c:pt>
                <c:pt idx="1">
                  <c:v>支出</c:v>
                </c:pt>
              </c:strCache>
            </c:strRef>
          </c:cat>
          <c:val>
            <c:numRef>
              <c:f>'[新建 XLSX 工作表.xlsx]Sheet1'!$E$10:$F$10</c:f>
              <c:numCache>
                <c:formatCode>General</c:formatCode>
                <c:ptCount val="2"/>
                <c:pt idx="0">
                  <c:v>772.84</c:v>
                </c:pt>
                <c:pt idx="1">
                  <c:v>149.41</c:v>
                </c:pt>
              </c:numCache>
            </c:numRef>
          </c:val>
        </c:ser>
        <c:dLbls>
          <c:showLegendKey val="0"/>
          <c:showVal val="1"/>
          <c:showCatName val="0"/>
          <c:showSerName val="0"/>
          <c:showPercent val="0"/>
          <c:showBubbleSize val="0"/>
        </c:dLbls>
        <c:gapWidth val="150"/>
        <c:overlap val="0"/>
        <c:axId val="809813966"/>
        <c:axId val="285858319"/>
      </c:barChart>
      <c:catAx>
        <c:axId val="80981396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5858319"/>
        <c:crosses val="autoZero"/>
        <c:auto val="1"/>
        <c:lblAlgn val="ctr"/>
        <c:lblOffset val="100"/>
        <c:noMultiLvlLbl val="0"/>
      </c:catAx>
      <c:valAx>
        <c:axId val="285858319"/>
        <c:scaling>
          <c:orientation val="minMax"/>
        </c:scaling>
        <c:delete val="0"/>
        <c:axPos val="l"/>
        <c:majorGridlines>
          <c:spPr>
            <a:ln w="9525" cap="flat" cmpd="sng" algn="ctr">
              <a:solidFill>
                <a:schemeClr val="tx1">
                  <a:lumMod val="15000"/>
                  <a:lumOff val="85000"/>
                </a:schemeClr>
              </a:solidFill>
              <a:round/>
            </a:ln>
            <a:effectLst/>
          </c:spPr>
        </c:majorGridlines>
        <c:title>
          <c:layout/>
          <c:overlay val="0"/>
          <c:spPr>
            <a:noFill/>
            <a:ln>
              <a:noFill/>
            </a:ln>
            <a:effectLst/>
          </c:spPr>
          <c:txPr>
            <a:bodyPr rot="-54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981396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'[新建 XLSX 工作表.xlsx]Sheet1'!$D$21</c:f>
              <c:strCache>
                <c:ptCount val="1"/>
                <c:pt idx="0">
                  <c:v>2019年度收入决算结构图</c:v>
                </c:pt>
              </c:strCache>
            </c:strRef>
          </c:tx>
          <c:spPr/>
          <c:explosion val="0"/>
          <c:dPt>
            <c:idx val="0"/>
            <c:bubble3D val="0"/>
            <c:spPr>
              <a:solidFill>
                <a:schemeClr val="accent1"/>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'[新建 XLSX 工作表.xlsx]Sheet1'!$E$21</c:f>
              <c:numCache>
                <c:formatCode>General</c:formatCode>
                <c:ptCount val="1"/>
                <c:pt idx="0">
                  <c:v>162.59</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工作表.xlsx]Sheet1'!$D$35:$D$36</c:f>
              <c:strCache>
                <c:ptCount val="2"/>
                <c:pt idx="0">
                  <c:v>基本支出</c:v>
                </c:pt>
                <c:pt idx="1">
                  <c:v>项目支出363.71</c:v>
                </c:pt>
              </c:strCache>
            </c:strRef>
          </c:cat>
          <c:val>
            <c:numRef>
              <c:f>'[新建 XLSX 工作表.xlsx]Sheet1'!$E$35:$E$36</c:f>
              <c:numCache>
                <c:formatCode>General</c:formatCode>
                <c:ptCount val="2"/>
                <c:pt idx="0">
                  <c:v>135.29</c:v>
                </c:pt>
                <c:pt idx="1">
                  <c:v>232.3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XLSX 工作表.xlsx]Sheet1'!$D$9</c:f>
              <c:strCache>
                <c:ptCount val="1"/>
                <c:pt idx="0">
                  <c:v>2019年度</c:v>
                </c:pt>
              </c:strCache>
            </c:strRef>
          </c:tx>
          <c:spPr>
            <a:solidFill>
              <a:schemeClr val="accent1"/>
            </a:solidFill>
            <a:ln>
              <a:noFill/>
            </a:ln>
            <a:effectLst/>
          </c:spPr>
          <c:invertIfNegative val="0"/>
          <c:dLbls>
            <c:delete val="1"/>
          </c:dLbls>
          <c:cat>
            <c:strRef>
              <c:f>'[新建 XLSX 工作表.xlsx]Sheet1'!$E$8:$F$8</c:f>
              <c:strCache>
                <c:ptCount val="2"/>
                <c:pt idx="0">
                  <c:v>收入</c:v>
                </c:pt>
                <c:pt idx="1">
                  <c:v>支出</c:v>
                </c:pt>
              </c:strCache>
            </c:strRef>
          </c:cat>
          <c:val>
            <c:numRef>
              <c:f>'[新建 XLSX 工作表.xlsx]Sheet1'!$E$9:$F$9</c:f>
              <c:numCache>
                <c:formatCode>General</c:formatCode>
                <c:ptCount val="2"/>
                <c:pt idx="0">
                  <c:v>162.59</c:v>
                </c:pt>
                <c:pt idx="1">
                  <c:v>367.59</c:v>
                </c:pt>
              </c:numCache>
            </c:numRef>
          </c:val>
        </c:ser>
        <c:ser>
          <c:idx val="1"/>
          <c:order val="1"/>
          <c:tx>
            <c:strRef>
              <c:f>'[新建 XLSX 工作表.xlsx]Sheet1'!$D$10</c:f>
              <c:strCache>
                <c:ptCount val="1"/>
                <c:pt idx="0">
                  <c:v>2018年度</c:v>
                </c:pt>
              </c:strCache>
            </c:strRef>
          </c:tx>
          <c:spPr>
            <a:solidFill>
              <a:schemeClr val="accent2"/>
            </a:solidFill>
            <a:ln>
              <a:noFill/>
            </a:ln>
            <a:effectLst/>
          </c:spPr>
          <c:invertIfNegative val="0"/>
          <c:dLbls>
            <c:delete val="1"/>
          </c:dLbls>
          <c:cat>
            <c:strRef>
              <c:f>'[新建 XLSX 工作表.xlsx]Sheet1'!$E$8:$F$8</c:f>
              <c:strCache>
                <c:ptCount val="2"/>
                <c:pt idx="0">
                  <c:v>收入</c:v>
                </c:pt>
                <c:pt idx="1">
                  <c:v>支出</c:v>
                </c:pt>
              </c:strCache>
            </c:strRef>
          </c:cat>
          <c:val>
            <c:numRef>
              <c:f>'[新建 XLSX 工作表.xlsx]Sheet1'!$E$10:$F$10</c:f>
              <c:numCache>
                <c:formatCode>General</c:formatCode>
                <c:ptCount val="2"/>
                <c:pt idx="0">
                  <c:v>772.84</c:v>
                </c:pt>
                <c:pt idx="1">
                  <c:v>149.41</c:v>
                </c:pt>
              </c:numCache>
            </c:numRef>
          </c:val>
        </c:ser>
        <c:dLbls>
          <c:showLegendKey val="0"/>
          <c:showVal val="1"/>
          <c:showCatName val="0"/>
          <c:showSerName val="0"/>
          <c:showPercent val="0"/>
          <c:showBubbleSize val="0"/>
        </c:dLbls>
        <c:gapWidth val="150"/>
        <c:overlap val="0"/>
        <c:axId val="809813966"/>
        <c:axId val="285858319"/>
      </c:barChart>
      <c:catAx>
        <c:axId val="80981396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5858319"/>
        <c:crosses val="autoZero"/>
        <c:auto val="1"/>
        <c:lblAlgn val="ctr"/>
        <c:lblOffset val="100"/>
        <c:noMultiLvlLbl val="0"/>
      </c:catAx>
      <c:valAx>
        <c:axId val="2858583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981396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delete val="1"/>
          </c:dLbls>
          <c:cat>
            <c:strRef>
              <c:f>'[新建 XLSX 工作表.xlsx]Sheet1'!$D$48:$D$49</c:f>
              <c:strCache>
                <c:ptCount val="2"/>
                <c:pt idx="0">
                  <c:v>2019年一般公共预算财政拨款支出</c:v>
                </c:pt>
                <c:pt idx="1">
                  <c:v>2018年一般公共预算财政拨款支出</c:v>
                </c:pt>
              </c:strCache>
            </c:strRef>
          </c:cat>
          <c:val>
            <c:numRef>
              <c:f>'[新建 XLSX 工作表.xlsx]Sheet1'!$E$48:$E$49</c:f>
              <c:numCache>
                <c:formatCode>General</c:formatCode>
                <c:ptCount val="2"/>
                <c:pt idx="0">
                  <c:v>367.59</c:v>
                </c:pt>
                <c:pt idx="1">
                  <c:v>149.41</c:v>
                </c:pt>
              </c:numCache>
            </c:numRef>
          </c:val>
        </c:ser>
        <c:dLbls>
          <c:showLegendKey val="0"/>
          <c:showVal val="0"/>
          <c:showCatName val="0"/>
          <c:showSerName val="0"/>
          <c:showPercent val="0"/>
          <c:showBubbleSize val="0"/>
        </c:dLbls>
        <c:gapWidth val="75"/>
        <c:overlap val="100"/>
        <c:axId val="324256762"/>
        <c:axId val="818866653"/>
      </c:barChart>
      <c:catAx>
        <c:axId val="3242567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8866653"/>
        <c:crosses val="autoZero"/>
        <c:auto val="1"/>
        <c:lblAlgn val="ctr"/>
        <c:lblOffset val="100"/>
        <c:noMultiLvlLbl val="0"/>
      </c:catAx>
      <c:valAx>
        <c:axId val="81886665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425676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工作表.xlsx]Sheet1'!$D$61:$D$65</c:f>
              <c:strCache>
                <c:ptCount val="5"/>
                <c:pt idx="0">
                  <c:v>商业服务业等支出</c:v>
                </c:pt>
                <c:pt idx="1">
                  <c:v>社会保障和就业（类</c:v>
                </c:pt>
                <c:pt idx="2">
                  <c:v>卫生健康支出</c:v>
                </c:pt>
                <c:pt idx="3">
                  <c:v>住房保障支出</c:v>
                </c:pt>
                <c:pt idx="4">
                  <c:v>农林水支出</c:v>
                </c:pt>
              </c:strCache>
            </c:strRef>
          </c:cat>
          <c:val>
            <c:numRef>
              <c:f>'[新建 XLSX 工作表.xlsx]Sheet1'!$E$61:$E$65</c:f>
              <c:numCache>
                <c:formatCode>General</c:formatCode>
                <c:ptCount val="5"/>
                <c:pt idx="0">
                  <c:v>292.26</c:v>
                </c:pt>
                <c:pt idx="1">
                  <c:v>12.98</c:v>
                </c:pt>
                <c:pt idx="2">
                  <c:v>6.75</c:v>
                </c:pt>
                <c:pt idx="3">
                  <c:v>8.15</c:v>
                </c:pt>
                <c:pt idx="4">
                  <c:v>47</c:v>
                </c:pt>
              </c:numCache>
            </c:numRef>
          </c:val>
        </c:ser>
        <c:dLbls>
          <c:showLegendKey val="0"/>
          <c:showVal val="1"/>
          <c:showCatName val="0"/>
          <c:showSerName val="0"/>
          <c:showPercent val="0"/>
          <c:showBubbleSize val="0"/>
        </c:dLbls>
        <c:gapWidth val="219"/>
        <c:overlap val="-27"/>
        <c:axId val="866083216"/>
        <c:axId val="372291651"/>
      </c:barChart>
      <c:catAx>
        <c:axId val="8660832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2291651"/>
        <c:crosses val="autoZero"/>
        <c:auto val="1"/>
        <c:lblAlgn val="ctr"/>
        <c:lblOffset val="100"/>
        <c:noMultiLvlLbl val="0"/>
      </c:catAx>
      <c:valAx>
        <c:axId val="3722916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60832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2020-10-16T05:28:00Z</dcterms:created>
  <dc:creator>Administrator</dc:creator>
  <cp:lastModifiedBy>Administrator</cp:lastModifiedBy>
  <dcterms:modified xsi:type="dcterms:W3CDTF">2020-10-16T07:07:31Z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