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仿宋_GB2312" w:eastAsia="仿宋_GB2312" w:cs="仿宋_GB2312" w:hint="eastAsia"/>
          <w:color w:val="000000"/>
          <w:sz w:val="72"/>
          <w:szCs w:val="72"/>
          <w:highlight w:val="auto"/>
        </w:rPr>
      </w:pPr>
      <w:bookmarkStart w:id="0" w:name="_Toc15306267"/>
    </w:p>
    <w:p>
      <w:pPr>
        <w:spacing w:line="600" w:lineRule="exact"/>
        <w:jc w:val="center"/>
        <w:outlineLvl w:val="0"/>
        <w:rPr>
          <w:rFonts w:ascii="仿宋_GB2312" w:eastAsia="仿宋_GB2312" w:cs="仿宋_GB2312" w:hint="eastAsia"/>
          <w:color w:val="000000"/>
          <w:sz w:val="72"/>
          <w:szCs w:val="72"/>
          <w:highlight w:val="auto"/>
        </w:rPr>
      </w:pPr>
    </w:p>
    <w:p>
      <w:pPr>
        <w:spacing w:line="600" w:lineRule="exact"/>
        <w:jc w:val="center"/>
        <w:outlineLvl w:val="0"/>
        <w:rPr>
          <w:rFonts w:ascii="仿宋_GB2312" w:eastAsia="仿宋_GB2312" w:cs="仿宋_GB2312" w:hint="eastAsia"/>
          <w:color w:val="000000"/>
          <w:sz w:val="72"/>
          <w:szCs w:val="72"/>
          <w:highlight w:val="auto"/>
        </w:rPr>
      </w:pPr>
    </w:p>
    <w:p>
      <w:pPr>
        <w:spacing w:line="600" w:lineRule="exact"/>
        <w:jc w:val="center"/>
        <w:outlineLvl w:val="0"/>
        <w:rPr>
          <w:rFonts w:ascii="仿宋_GB2312" w:eastAsia="仿宋_GB2312" w:cs="仿宋_GB2312" w:hint="eastAsia"/>
          <w:color w:val="000000"/>
          <w:sz w:val="72"/>
          <w:szCs w:val="72"/>
          <w:highlight w:val="auto"/>
        </w:rPr>
      </w:pPr>
    </w:p>
    <w:p>
      <w:pPr>
        <w:adjustRightInd w:val="0"/>
        <w:snapToGrid w:val="0"/>
        <w:spacing w:line="360" w:lineRule="auto"/>
        <w:jc w:val="center"/>
        <w:outlineLvl w:val="0"/>
        <w:rPr>
          <w:rFonts w:ascii="方正小标宋简体" w:eastAsia="方正小标宋简体" w:cs="方正小标宋简体" w:hint="eastAsia"/>
          <w:color w:val="000000"/>
          <w:sz w:val="72"/>
          <w:szCs w:val="72"/>
          <w:lang w:val="en-US" w:eastAsia="zh-CN"/>
          <w:highlight w:val="auto"/>
        </w:rPr>
      </w:pPr>
      <w:bookmarkStart w:id="1" w:name="_Toc20297148"/>
      <w:bookmarkStart w:id="2" w:name="_Toc15396597"/>
      <w:bookmarkStart w:id="3" w:name="_Toc15378441"/>
      <w:bookmarkStart w:id="4" w:name="_Toc15377193"/>
      <w:bookmarkStart w:id="5" w:name="_Toc15396475"/>
      <w:bookmarkStart w:id="6" w:name="_Toc15377425"/>
      <w:r>
        <w:rPr>
          <w:rFonts w:ascii="方正小标宋简体" w:eastAsia="方正小标宋简体" w:cs="方正小标宋简体" w:hint="eastAsia"/>
          <w:color w:val="000000"/>
          <w:sz w:val="72"/>
          <w:szCs w:val="72"/>
          <w:highlight w:val="auto"/>
        </w:rPr>
        <w:t>201</w:t>
      </w:r>
      <w:r>
        <w:rPr>
          <w:rFonts w:ascii="方正小标宋简体" w:eastAsia="方正小标宋简体" w:cs="方正小标宋简体" w:hint="eastAsia"/>
          <w:color w:val="000000"/>
          <w:sz w:val="72"/>
          <w:szCs w:val="72"/>
          <w:lang w:val="en-US" w:eastAsia="zh-CN"/>
          <w:highlight w:val="auto"/>
        </w:rPr>
        <w:t>9</w:t>
      </w:r>
      <w:r>
        <w:rPr>
          <w:rFonts w:ascii="方正小标宋简体" w:eastAsia="方正小标宋简体" w:cs="方正小标宋简体" w:hint="eastAsia"/>
          <w:color w:val="000000"/>
          <w:sz w:val="72"/>
          <w:szCs w:val="72"/>
          <w:highlight w:val="auto"/>
        </w:rPr>
        <w:t>年度</w:t>
      </w:r>
      <w:bookmarkStart w:id="7" w:name="_Toc15377426"/>
      <w:bookmarkStart w:id="8" w:name="_Toc15396598"/>
      <w:bookmarkStart w:id="9" w:name="_Toc15378442"/>
      <w:bookmarkStart w:id="10" w:name="_Toc15396476"/>
      <w:bookmarkStart w:id="11" w:name="_Toc15377194"/>
      <w:bookmarkStart w:id="12" w:name="_Toc20297149"/>
      <w:bookmarkEnd w:id="1"/>
      <w:bookmarkEnd w:id="2"/>
      <w:bookmarkEnd w:id="3"/>
      <w:bookmarkEnd w:id="4"/>
      <w:bookmarkEnd w:id="5"/>
      <w:bookmarkEnd w:id="6"/>
      <w:r>
        <w:rPr>
          <w:rFonts w:ascii="方正小标宋简体" w:eastAsia="方正小标宋简体" w:cs="方正小标宋简体" w:hint="eastAsia"/>
          <w:color w:val="000000"/>
          <w:sz w:val="72"/>
          <w:szCs w:val="72"/>
          <w:highlight w:val="auto"/>
        </w:rPr>
        <w:t>四川省</w:t>
      </w:r>
      <w:bookmarkEnd w:id="0"/>
      <w:bookmarkEnd w:id="7"/>
      <w:bookmarkEnd w:id="8"/>
      <w:bookmarkEnd w:id="9"/>
      <w:bookmarkEnd w:id="10"/>
      <w:bookmarkEnd w:id="11"/>
      <w:bookmarkEnd w:id="12"/>
      <w:r>
        <w:rPr>
          <w:rFonts w:ascii="方正小标宋简体" w:eastAsia="方正小标宋简体" w:cs="方正小标宋简体" w:hint="eastAsia"/>
          <w:color w:val="000000"/>
          <w:sz w:val="72"/>
          <w:szCs w:val="72"/>
          <w:highlight w:val="auto"/>
        </w:rPr>
        <w:t>阿坝州汶川县投资促进博览</w:t>
      </w:r>
      <w:r>
        <w:rPr>
          <w:rFonts w:ascii="方正小标宋简体" w:eastAsia="方正小标宋简体" w:cs="方正小标宋简体" w:hint="eastAsia"/>
          <w:color w:val="000000"/>
          <w:sz w:val="72"/>
          <w:szCs w:val="72"/>
          <w:lang w:val="en-US" w:eastAsia="zh-CN"/>
          <w:highlight w:val="auto"/>
        </w:rPr>
        <w:t>中心</w:t>
      </w:r>
    </w:p>
    <w:p>
      <w:pPr>
        <w:adjustRightInd w:val="0"/>
        <w:snapToGrid w:val="0"/>
        <w:spacing w:line="360" w:lineRule="auto"/>
        <w:jc w:val="center"/>
        <w:outlineLvl w:val="0"/>
        <w:rPr>
          <w:rFonts w:ascii="方正小标宋简体" w:eastAsia="方正小标宋简体" w:cs="方正小标宋简体" w:hint="eastAsia"/>
          <w:color w:val="000000"/>
          <w:sz w:val="72"/>
          <w:szCs w:val="72"/>
          <w:highlight w:val="auto"/>
        </w:rPr>
      </w:pPr>
      <w:r>
        <w:rPr>
          <w:rFonts w:ascii="方正小标宋简体" w:eastAsia="方正小标宋简体" w:cs="方正小标宋简体" w:hint="eastAsia"/>
          <w:color w:val="000000"/>
          <w:sz w:val="72"/>
          <w:szCs w:val="72"/>
          <w:highlight w:val="auto"/>
        </w:rPr>
        <w:t>部门决算</w:t>
      </w:r>
    </w:p>
    <w:p>
      <w:pPr>
        <w:widowControl/>
        <w:jc w:val="center"/>
        <w:rPr>
          <w:rFonts w:ascii="仿宋_GB2312" w:eastAsia="仿宋_GB2312" w:cs="仿宋_GB2312" w:hint="eastAsia"/>
          <w:color w:val="000000"/>
          <w:sz w:val="48"/>
          <w:szCs w:val="48"/>
          <w:highlight w:val="auto"/>
        </w:rPr>
      </w:pPr>
      <w:r>
        <w:rPr>
          <w:rFonts w:ascii="仿宋_GB2312" w:eastAsia="仿宋_GB2312" w:cs="仿宋_GB2312" w:hint="eastAsia"/>
          <w:color w:val="000000"/>
          <w:sz w:val="36"/>
          <w:szCs w:val="36"/>
          <w:highlight w:val="auto"/>
        </w:rPr>
        <w:br w:type="page"/>
      </w:r>
      <w:r>
        <w:rPr>
          <w:rFonts w:ascii="仿宋_GB2312" w:eastAsia="仿宋_GB2312" w:cs="仿宋_GB2312" w:hint="eastAsia"/>
          <w:color w:val="000000"/>
          <w:sz w:val="48"/>
          <w:szCs w:val="48"/>
          <w:highlight w:val="auto"/>
        </w:rPr>
        <w:t>目录</w:t>
      </w:r>
      <w:r>
        <w:rPr>
          <w:rFonts w:ascii="仿宋_GB2312" w:eastAsia="仿宋_GB2312" w:cs="仿宋_GB2312" w:hint="eastAsia"/>
          <w:color w:val="000000"/>
          <w:sz w:val="48"/>
          <w:szCs w:val="48"/>
          <w:highlight w:val="auto"/>
        </w:rPr>
        <w:fldChar w:fldCharType="begin"/>
      </w:r>
      <w:r>
        <w:rPr>
          <w:rFonts w:ascii="仿宋_GB2312" w:eastAsia="仿宋_GB2312" w:cs="仿宋_GB2312" w:hint="eastAsia"/>
          <w:color w:val="000000"/>
          <w:sz w:val="48"/>
          <w:szCs w:val="48"/>
          <w:highlight w:val="auto"/>
        </w:rPr>
        <w:instrText xml:space="preserve"> TOC \o "1-2" \h \z \u </w:instrText>
      </w:r>
      <w:r>
        <w:rPr>
          <w:rFonts w:ascii="仿宋_GB2312" w:eastAsia="仿宋_GB2312" w:cs="仿宋_GB2312" w:hint="eastAsia"/>
          <w:color w:val="000000"/>
          <w:sz w:val="48"/>
          <w:szCs w:val="48"/>
          <w:highlight w:val="auto"/>
        </w:rPr>
        <w:fldChar w:fldCharType="separate"/>
      </w:r>
    </w:p>
    <w:p>
      <w:pPr>
        <w:pStyle w:val="21"/>
        <w:tabs>
          <w:tab w:val="right" w:leader="dot" w:pos="8296"/>
        </w:tabs>
        <w:spacing w:line="360" w:lineRule="auto"/>
        <w:rPr>
          <w:rFonts w:ascii="仿宋_GB2312" w:eastAsia="仿宋_GB2312" w:cs="仿宋_GB2312" w:hint="eastAsia"/>
          <w:sz w:val="21"/>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"_Toc20297151" </w:instrText>
      </w:r>
      <w:r>
        <w:rPr>
          <w:rFonts w:ascii="仿宋_GB2312" w:eastAsia="仿宋_GB2312" w:cs="仿宋_GB2312" w:hint="eastAsia"/>
          <w:highlight w:val="auto"/>
        </w:rPr>
        <w:fldChar w:fldCharType="separate"/>
      </w:r>
      <w:r>
        <w:rPr>
          <w:rFonts w:ascii="仿宋_GB2312" w:eastAsia="仿宋_GB2312" w:cs="仿宋_GB2312" w:hint="eastAsia"/>
          <w:sz w:val="21"/>
          <w:szCs w:val="21"/>
          <w:highlight w:val="auto"/>
        </w:rPr>
        <w:t>第一部分 部门概况</w:t>
        <w:tab/>
      </w:r>
      <w:r>
        <w:rPr>
          <w:rFonts w:ascii="仿宋_GB2312" w:eastAsia="仿宋_GB2312" w:cs="仿宋_GB2312" w:hint="eastAsia"/>
          <w:sz w:val="21"/>
          <w:szCs w:val="21"/>
          <w:highlight w:val="auto"/>
        </w:rPr>
        <w:fldChar w:fldCharType="begin"/>
      </w:r>
      <w:r>
        <w:rPr>
          <w:rFonts w:ascii="仿宋_GB2312" w:eastAsia="仿宋_GB2312" w:cs="仿宋_GB2312" w:hint="eastAsia"/>
          <w:sz w:val="21"/>
          <w:szCs w:val="21"/>
          <w:highlight w:val="auto"/>
        </w:rPr>
        <w:instrText xml:space="preserve"> PAGEREF _Toc20297151 \h </w:instrText>
      </w:r>
      <w:r>
        <w:rPr>
          <w:rFonts w:ascii="仿宋_GB2312" w:eastAsia="仿宋_GB2312" w:cs="仿宋_GB2312" w:hint="eastAsia"/>
          <w:sz w:val="21"/>
          <w:szCs w:val="21"/>
          <w:highlight w:val="auto"/>
        </w:rPr>
        <w:fldChar w:fldCharType="separate"/>
      </w:r>
      <w:r>
        <w:rPr>
          <w:rFonts w:ascii="仿宋_GB2312" w:eastAsia="仿宋_GB2312" w:cs="仿宋_GB2312" w:hint="eastAsia"/>
          <w:sz w:val="21"/>
          <w:szCs w:val="21"/>
          <w:highlight w:val="auto"/>
        </w:rPr>
        <w:t>1</w:t>
      </w:r>
      <w:r>
        <w:rPr>
          <w:rFonts w:ascii="仿宋_GB2312" w:eastAsia="仿宋_GB2312" w:cs="仿宋_GB2312" w:hint="eastAsia"/>
          <w:sz w:val="21"/>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480" w:lineRule="exact"/>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"_Toc20297152"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一、基本职能及主要工作</w:t>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_Toc20297152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1</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"_Toc20297153"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二、机构设置</w:t>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_Toc20297153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6</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1"/>
        <w:tabs>
          <w:tab w:val="right" w:leader="dot" w:pos="8296"/>
        </w:tabs>
        <w:spacing w:line="360" w:lineRule="auto"/>
        <w:rPr>
          <w:rFonts w:ascii="仿宋_GB2312" w:eastAsia="仿宋_GB2312" w:cs="仿宋_GB2312" w:hint="eastAsia"/>
          <w:sz w:val="21"/>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"_Toc20297154" </w:instrText>
      </w:r>
      <w:r>
        <w:rPr>
          <w:rFonts w:ascii="仿宋_GB2312" w:eastAsia="仿宋_GB2312" w:cs="仿宋_GB2312" w:hint="eastAsia"/>
          <w:highlight w:val="auto"/>
        </w:rPr>
        <w:fldChar w:fldCharType="separate"/>
      </w:r>
      <w:r>
        <w:rPr>
          <w:rFonts w:ascii="仿宋_GB2312" w:eastAsia="仿宋_GB2312" w:cs="仿宋_GB2312" w:hint="eastAsia"/>
          <w:sz w:val="21"/>
          <w:szCs w:val="21"/>
          <w:highlight w:val="auto"/>
        </w:rPr>
        <w:t>第二部分 201</w:t>
      </w:r>
      <w:r>
        <w:rPr>
          <w:rFonts w:ascii="仿宋_GB2312" w:eastAsia="仿宋_GB2312" w:cs="仿宋_GB2312" w:hint="eastAsia"/>
          <w:sz w:val="21"/>
          <w:szCs w:val="21"/>
          <w:lang w:val="en-US" w:eastAsia="zh-CN"/>
          <w:highlight w:val="auto"/>
        </w:rPr>
        <w:t>9</w:t>
      </w:r>
      <w:r>
        <w:rPr>
          <w:rFonts w:ascii="仿宋_GB2312" w:eastAsia="仿宋_GB2312" w:cs="仿宋_GB2312" w:hint="eastAsia"/>
          <w:sz w:val="21"/>
          <w:szCs w:val="21"/>
          <w:highlight w:val="auto"/>
        </w:rPr>
        <w:t>年度部门决算情况说明</w:t>
        <w:tab/>
      </w:r>
      <w:r>
        <w:rPr>
          <w:rFonts w:ascii="仿宋_GB2312" w:eastAsia="仿宋_GB2312" w:cs="仿宋_GB2312" w:hint="eastAsia"/>
          <w:sz w:val="21"/>
          <w:szCs w:val="21"/>
          <w:highlight w:val="auto"/>
        </w:rPr>
        <w:fldChar w:fldCharType="begin"/>
      </w:r>
      <w:r>
        <w:rPr>
          <w:rFonts w:ascii="仿宋_GB2312" w:eastAsia="仿宋_GB2312" w:cs="仿宋_GB2312" w:hint="eastAsia"/>
          <w:sz w:val="21"/>
          <w:szCs w:val="21"/>
          <w:highlight w:val="auto"/>
        </w:rPr>
        <w:instrText xml:space="preserve"> PAGEREF _Toc20297154 \h </w:instrText>
      </w:r>
      <w:r>
        <w:rPr>
          <w:rFonts w:ascii="仿宋_GB2312" w:eastAsia="仿宋_GB2312" w:cs="仿宋_GB2312" w:hint="eastAsia"/>
          <w:sz w:val="21"/>
          <w:szCs w:val="21"/>
          <w:highlight w:val="auto"/>
        </w:rPr>
        <w:fldChar w:fldCharType="separate"/>
      </w:r>
      <w:r>
        <w:rPr>
          <w:rFonts w:ascii="仿宋_GB2312" w:eastAsia="仿宋_GB2312" w:cs="仿宋_GB2312" w:hint="eastAsia"/>
          <w:sz w:val="21"/>
          <w:szCs w:val="21"/>
          <w:highlight w:val="auto"/>
        </w:rPr>
        <w:t>7</w:t>
      </w:r>
      <w:r>
        <w:rPr>
          <w:rFonts w:ascii="仿宋_GB2312" w:eastAsia="仿宋_GB2312" w:cs="仿宋_GB2312" w:hint="eastAsia"/>
          <w:sz w:val="21"/>
          <w:szCs w:val="21"/>
          <w:highlight w:val="auto"/>
        </w:rPr>
        <w:fldChar w:fldCharType="end"/>
      </w:r>
      <w:r>
        <w:rPr>
          <w:rFonts w:ascii="仿宋_GB2312" w:eastAsia="仿宋_GB2312" w:cs="仿宋_GB2312" w:hint="eastAsia"/>
          <w:highlight w:val="auto"/>
        </w:rPr>
        <w:fldChar w:fldCharType="end"/>
      </w:r>
    </w:p>
    <w:p>
      <w:pPr>
        <w:pStyle w:val="22"/>
        <w:tabs>
          <w:tab w:val="left" w:pos="1260"/>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"_Toc20297155" </w:instrText>
      </w:r>
      <w:r>
        <w:rPr>
          <w:rFonts w:ascii="仿宋_GB2312" w:eastAsia="仿宋_GB2312" w:cs="仿宋_GB2312" w:hint="eastAsia"/>
          <w:highlight w:val="auto"/>
        </w:rPr>
        <w:fldChar w:fldCharType="separate"/>
      </w:r>
      <w:r>
        <w:rPr>
          <w:rFonts w:ascii="仿宋_GB2312" w:eastAsia="仿宋_GB2312" w:cs="仿宋_GB2312" w:hint="eastAsia"/>
          <w:bCs/>
          <w:szCs w:val="21"/>
          <w:highlight w:val="auto"/>
        </w:rPr>
        <w:t>一、</w:t>
      </w:r>
      <w:r>
        <w:rPr>
          <w:rFonts w:ascii="仿宋_GB2312" w:eastAsia="仿宋_GB2312" w:cs="仿宋_GB2312" w:hint="eastAsia"/>
          <w:szCs w:val="21"/>
          <w:highlight w:val="auto"/>
        </w:rPr>
        <w:tab/>
        <w:t>收</w:t>
      </w:r>
      <w:r>
        <w:rPr>
          <w:rFonts w:ascii="仿宋_GB2312" w:eastAsia="仿宋_GB2312" w:cs="仿宋_GB2312" w:hint="eastAsia"/>
          <w:bCs/>
          <w:szCs w:val="21"/>
          <w:highlight w:val="auto"/>
        </w:rPr>
        <w:t>入支出决算总体情况说明</w:t>
      </w:r>
      <w:r>
        <w:rPr>
          <w:rFonts w:ascii="仿宋_GB2312" w:eastAsia="仿宋_GB2312" w:cs="仿宋_GB2312" w:hint="eastAsia"/>
          <w:szCs w:val="21"/>
          <w:highlight w:val="auto"/>
        </w:rPr>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_Toc20297155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7</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left" w:pos="1260"/>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"_Toc20297156" </w:instrText>
      </w:r>
      <w:r>
        <w:rPr>
          <w:rFonts w:ascii="仿宋_GB2312" w:eastAsia="仿宋_GB2312" w:cs="仿宋_GB2312" w:hint="eastAsia"/>
          <w:highlight w:val="auto"/>
        </w:rPr>
        <w:fldChar w:fldCharType="separate"/>
      </w:r>
      <w:r>
        <w:rPr>
          <w:rFonts w:ascii="仿宋_GB2312" w:eastAsia="仿宋_GB2312" w:cs="仿宋_GB2312" w:hint="eastAsia"/>
          <w:bCs/>
          <w:szCs w:val="21"/>
          <w:highlight w:val="auto"/>
        </w:rPr>
        <w:t>二、</w:t>
      </w:r>
      <w:r>
        <w:rPr>
          <w:rFonts w:ascii="仿宋_GB2312" w:eastAsia="仿宋_GB2312" w:cs="仿宋_GB2312" w:hint="eastAsia"/>
          <w:szCs w:val="21"/>
          <w:highlight w:val="auto"/>
        </w:rPr>
        <w:tab/>
        <w:t>收</w:t>
      </w:r>
      <w:r>
        <w:rPr>
          <w:rFonts w:ascii="仿宋_GB2312" w:eastAsia="仿宋_GB2312" w:cs="仿宋_GB2312" w:hint="eastAsia"/>
          <w:bCs/>
          <w:szCs w:val="21"/>
          <w:highlight w:val="auto"/>
        </w:rPr>
        <w:t>入决算情况说明</w:t>
      </w:r>
      <w:r>
        <w:rPr>
          <w:rFonts w:ascii="仿宋_GB2312" w:eastAsia="仿宋_GB2312" w:cs="仿宋_GB2312" w:hint="eastAsia"/>
          <w:szCs w:val="21"/>
          <w:highlight w:val="auto"/>
        </w:rPr>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_Toc20297156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7</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left" w:pos="1260"/>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"_Toc20297158" </w:instrText>
      </w:r>
      <w:r>
        <w:rPr>
          <w:rFonts w:ascii="仿宋_GB2312" w:eastAsia="仿宋_GB2312" w:cs="仿宋_GB2312" w:hint="eastAsia"/>
          <w:highlight w:val="auto"/>
        </w:rPr>
        <w:fldChar w:fldCharType="separate"/>
      </w:r>
      <w:r>
        <w:rPr>
          <w:rFonts w:ascii="仿宋_GB2312" w:eastAsia="仿宋_GB2312" w:cs="仿宋_GB2312" w:hint="eastAsia"/>
          <w:bCs/>
          <w:szCs w:val="21"/>
          <w:highlight w:val="auto"/>
        </w:rPr>
        <w:t>三、</w:t>
      </w:r>
      <w:r>
        <w:rPr>
          <w:rFonts w:ascii="仿宋_GB2312" w:eastAsia="仿宋_GB2312" w:cs="仿宋_GB2312" w:hint="eastAsia"/>
          <w:szCs w:val="21"/>
          <w:highlight w:val="auto"/>
        </w:rPr>
        <w:tab/>
        <w:t>支</w:t>
      </w:r>
      <w:r>
        <w:rPr>
          <w:rFonts w:ascii="仿宋_GB2312" w:eastAsia="仿宋_GB2312" w:cs="仿宋_GB2312" w:hint="eastAsia"/>
          <w:bCs/>
          <w:szCs w:val="21"/>
          <w:highlight w:val="auto"/>
        </w:rPr>
        <w:t>出决算情况说明</w:t>
      </w:r>
      <w:r>
        <w:rPr>
          <w:rFonts w:ascii="仿宋_GB2312" w:eastAsia="仿宋_GB2312" w:cs="仿宋_GB2312" w:hint="eastAsia"/>
          <w:szCs w:val="21"/>
          <w:highlight w:val="auto"/>
        </w:rPr>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_Toc20297158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7</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"_Toc20297159"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四、财</w:t>
      </w:r>
      <w:r>
        <w:rPr>
          <w:rFonts w:ascii="仿宋_GB2312" w:eastAsia="仿宋_GB2312" w:cs="仿宋_GB2312" w:hint="eastAsia"/>
          <w:bCs/>
          <w:szCs w:val="21"/>
          <w:highlight w:val="auto"/>
        </w:rPr>
        <w:t>政拨款收入支出决算总体情况说明</w:t>
      </w:r>
      <w:r>
        <w:rPr>
          <w:rFonts w:ascii="仿宋_GB2312" w:eastAsia="仿宋_GB2312" w:cs="仿宋_GB2312" w:hint="eastAsia"/>
          <w:szCs w:val="21"/>
          <w:highlight w:val="auto"/>
        </w:rPr>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_Toc20297159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7</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"_Toc20297160"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五、</w:t>
      </w:r>
      <w:r>
        <w:rPr>
          <w:rFonts w:ascii="仿宋_GB2312" w:eastAsia="仿宋_GB2312" w:cs="仿宋_GB2312" w:hint="eastAsia"/>
          <w:b/>
          <w:szCs w:val="21"/>
          <w:highlight w:val="auto"/>
        </w:rPr>
        <w:t>一</w:t>
      </w:r>
      <w:r>
        <w:rPr>
          <w:rFonts w:ascii="仿宋_GB2312" w:eastAsia="仿宋_GB2312" w:cs="仿宋_GB2312" w:hint="eastAsia"/>
          <w:bCs/>
          <w:szCs w:val="21"/>
          <w:highlight w:val="auto"/>
        </w:rPr>
        <w:t>般公共预算财政拨款支出决算情况说明</w:t>
      </w:r>
      <w:r>
        <w:rPr>
          <w:rFonts w:ascii="仿宋_GB2312" w:eastAsia="仿宋_GB2312" w:cs="仿宋_GB2312" w:hint="eastAsia"/>
          <w:szCs w:val="21"/>
          <w:highlight w:val="auto"/>
        </w:rPr>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_Toc20297160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7</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"_Toc20297161"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六</w:t>
      </w:r>
      <w:r>
        <w:rPr>
          <w:rFonts w:ascii="仿宋_GB2312" w:eastAsia="仿宋_GB2312" w:cs="仿宋_GB2312" w:hint="eastAsia"/>
          <w:b/>
          <w:szCs w:val="21"/>
          <w:highlight w:val="auto"/>
        </w:rPr>
        <w:t>、一</w:t>
      </w:r>
      <w:r>
        <w:rPr>
          <w:rFonts w:ascii="仿宋_GB2312" w:eastAsia="仿宋_GB2312" w:cs="仿宋_GB2312" w:hint="eastAsia"/>
          <w:bCs/>
          <w:szCs w:val="21"/>
          <w:highlight w:val="auto"/>
        </w:rPr>
        <w:t>般公共预算财政拨款基本支出决算情况说明</w:t>
      </w:r>
      <w:r>
        <w:rPr>
          <w:rFonts w:ascii="仿宋_GB2312" w:eastAsia="仿宋_GB2312" w:cs="仿宋_GB2312" w:hint="eastAsia"/>
          <w:szCs w:val="21"/>
          <w:highlight w:val="auto"/>
        </w:rPr>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_Toc20297161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9</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"_Toc20297162"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七、</w:t>
      </w:r>
      <w:r>
        <w:rPr>
          <w:rFonts w:ascii="仿宋_GB2312" w:eastAsia="仿宋_GB2312" w:cs="仿宋_GB2312" w:hint="eastAsia"/>
          <w:b/>
          <w:bCs/>
          <w:szCs w:val="21"/>
          <w:highlight w:val="auto"/>
        </w:rPr>
        <w:t>“</w:t>
      </w:r>
      <w:r>
        <w:rPr>
          <w:rFonts w:ascii="仿宋_GB2312" w:eastAsia="仿宋_GB2312" w:cs="仿宋_GB2312" w:hint="eastAsia"/>
          <w:bCs/>
          <w:szCs w:val="21"/>
          <w:highlight w:val="auto"/>
        </w:rPr>
        <w:t>三公”经费财政拨款支出决算情况说明</w:t>
      </w:r>
      <w:r>
        <w:rPr>
          <w:rFonts w:ascii="仿宋_GB2312" w:eastAsia="仿宋_GB2312" w:cs="仿宋_GB2312" w:hint="eastAsia"/>
          <w:szCs w:val="21"/>
          <w:highlight w:val="auto"/>
        </w:rPr>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_Toc20297162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9</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"_Toc20297163"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八、</w:t>
      </w:r>
      <w:r>
        <w:rPr>
          <w:rFonts w:ascii="仿宋_GB2312" w:eastAsia="仿宋_GB2312" w:cs="仿宋_GB2312" w:hint="eastAsia"/>
          <w:bCs/>
          <w:szCs w:val="21"/>
          <w:highlight w:val="auto"/>
        </w:rPr>
        <w:t>政府性基金预算支出决算情况说明</w:t>
      </w:r>
      <w:r>
        <w:rPr>
          <w:rFonts w:ascii="仿宋_GB2312" w:eastAsia="仿宋_GB2312" w:cs="仿宋_GB2312" w:hint="eastAsia"/>
          <w:szCs w:val="21"/>
          <w:highlight w:val="auto"/>
        </w:rPr>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_Toc20297163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10</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"_Toc20297164" </w:instrText>
      </w:r>
      <w:r>
        <w:rPr>
          <w:rFonts w:ascii="仿宋_GB2312" w:eastAsia="仿宋_GB2312" w:cs="仿宋_GB2312" w:hint="eastAsia"/>
          <w:highlight w:val="auto"/>
        </w:rPr>
        <w:fldChar w:fldCharType="separate"/>
      </w:r>
      <w:r>
        <w:rPr>
          <w:rFonts w:ascii="仿宋_GB2312" w:eastAsia="仿宋_GB2312" w:cs="仿宋_GB2312" w:hint="eastAsia"/>
          <w:bCs/>
          <w:szCs w:val="21"/>
          <w:highlight w:val="auto"/>
        </w:rPr>
        <w:t>九、 国有资本经营预算支出决算情况说明</w:t>
      </w:r>
      <w:r>
        <w:rPr>
          <w:rFonts w:ascii="仿宋_GB2312" w:eastAsia="仿宋_GB2312" w:cs="仿宋_GB2312" w:hint="eastAsia"/>
          <w:szCs w:val="21"/>
          <w:highlight w:val="auto"/>
        </w:rPr>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_Toc20297164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10</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"_Toc20297165" </w:instrText>
      </w:r>
      <w:r>
        <w:rPr>
          <w:rFonts w:ascii="仿宋_GB2312" w:eastAsia="仿宋_GB2312" w:cs="仿宋_GB2312" w:hint="eastAsia"/>
          <w:highlight w:val="auto"/>
        </w:rPr>
        <w:fldChar w:fldCharType="separate"/>
      </w:r>
      <w:r>
        <w:rPr>
          <w:rFonts w:ascii="仿宋_GB2312" w:eastAsia="仿宋_GB2312" w:cs="仿宋_GB2312" w:hint="eastAsia"/>
          <w:bCs/>
          <w:szCs w:val="21"/>
          <w:highlight w:val="auto"/>
        </w:rPr>
        <w:t>十、 预算绩效情况说明</w:t>
      </w:r>
      <w:r>
        <w:rPr>
          <w:rFonts w:ascii="仿宋_GB2312" w:eastAsia="仿宋_GB2312" w:cs="仿宋_GB2312" w:hint="eastAsia"/>
          <w:szCs w:val="21"/>
          <w:highlight w:val="auto"/>
        </w:rPr>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_Toc20297165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10</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"_Toc20297166"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十</w:t>
      </w:r>
      <w:r>
        <w:rPr>
          <w:rFonts w:ascii="仿宋_GB2312" w:eastAsia="仿宋_GB2312" w:cs="仿宋_GB2312" w:hint="eastAsia"/>
          <w:b/>
          <w:bCs/>
          <w:szCs w:val="21"/>
          <w:highlight w:val="auto"/>
        </w:rPr>
        <w:t>一、</w:t>
      </w:r>
      <w:r>
        <w:rPr>
          <w:rFonts w:ascii="仿宋_GB2312" w:eastAsia="仿宋_GB2312" w:cs="仿宋_GB2312" w:hint="eastAsia"/>
          <w:bCs/>
          <w:szCs w:val="21"/>
          <w:highlight w:val="auto"/>
        </w:rPr>
        <w:t>其他重要事项的情况说明</w:t>
      </w:r>
      <w:r>
        <w:rPr>
          <w:rFonts w:ascii="仿宋_GB2312" w:eastAsia="仿宋_GB2312" w:cs="仿宋_GB2312" w:hint="eastAsia"/>
          <w:szCs w:val="21"/>
          <w:highlight w:val="auto"/>
        </w:rPr>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_Toc20297166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11</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1"/>
        <w:tabs>
          <w:tab w:val="right" w:leader="dot" w:pos="8296"/>
        </w:tabs>
        <w:spacing w:line="360" w:lineRule="auto"/>
        <w:rPr>
          <w:rFonts w:ascii="仿宋_GB2312" w:eastAsia="仿宋_GB2312" w:cs="仿宋_GB2312" w:hint="eastAsia"/>
          <w:sz w:val="21"/>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"_Toc20297167" </w:instrText>
      </w:r>
      <w:r>
        <w:rPr>
          <w:rFonts w:ascii="仿宋_GB2312" w:eastAsia="仿宋_GB2312" w:cs="仿宋_GB2312" w:hint="eastAsia"/>
          <w:highlight w:val="auto"/>
        </w:rPr>
        <w:fldChar w:fldCharType="separate"/>
      </w:r>
      <w:r>
        <w:rPr>
          <w:rFonts w:ascii="仿宋_GB2312" w:eastAsia="仿宋_GB2312" w:cs="仿宋_GB2312" w:hint="eastAsia"/>
          <w:bCs/>
          <w:kern w:val="44"/>
          <w:sz w:val="21"/>
          <w:szCs w:val="21"/>
          <w:highlight w:val="auto"/>
        </w:rPr>
        <w:t>第三部分</w:t>
      </w:r>
      <w:r>
        <w:rPr>
          <w:rFonts w:ascii="仿宋_GB2312" w:eastAsia="仿宋_GB2312" w:cs="仿宋_GB2312" w:hint="eastAsia"/>
          <w:b/>
          <w:sz w:val="21"/>
          <w:szCs w:val="21"/>
          <w:highlight w:val="auto"/>
        </w:rPr>
        <w:t xml:space="preserve"> 名</w:t>
      </w:r>
      <w:r>
        <w:rPr>
          <w:rFonts w:ascii="仿宋_GB2312" w:eastAsia="仿宋_GB2312" w:cs="仿宋_GB2312" w:hint="eastAsia"/>
          <w:bCs/>
          <w:kern w:val="44"/>
          <w:sz w:val="21"/>
          <w:szCs w:val="21"/>
          <w:highlight w:val="auto"/>
        </w:rPr>
        <w:t>词解释</w:t>
      </w:r>
      <w:r>
        <w:rPr>
          <w:rFonts w:ascii="仿宋_GB2312" w:eastAsia="仿宋_GB2312" w:cs="仿宋_GB2312" w:hint="eastAsia"/>
          <w:sz w:val="21"/>
          <w:szCs w:val="21"/>
          <w:highlight w:val="auto"/>
        </w:rPr>
        <w:tab/>
      </w:r>
      <w:r>
        <w:rPr>
          <w:rFonts w:ascii="仿宋_GB2312" w:eastAsia="仿宋_GB2312" w:cs="仿宋_GB2312" w:hint="eastAsia"/>
          <w:sz w:val="21"/>
          <w:szCs w:val="21"/>
          <w:highlight w:val="auto"/>
        </w:rPr>
        <w:fldChar w:fldCharType="begin"/>
      </w:r>
      <w:r>
        <w:rPr>
          <w:rFonts w:ascii="仿宋_GB2312" w:eastAsia="仿宋_GB2312" w:cs="仿宋_GB2312" w:hint="eastAsia"/>
          <w:sz w:val="21"/>
          <w:szCs w:val="21"/>
          <w:highlight w:val="auto"/>
        </w:rPr>
        <w:instrText xml:space="preserve"> PAGEREF _Toc20297167 \h </w:instrText>
      </w:r>
      <w:r>
        <w:rPr>
          <w:rFonts w:ascii="仿宋_GB2312" w:eastAsia="仿宋_GB2312" w:cs="仿宋_GB2312" w:hint="eastAsia"/>
          <w:sz w:val="21"/>
          <w:szCs w:val="21"/>
          <w:highlight w:val="auto"/>
        </w:rPr>
        <w:fldChar w:fldCharType="separate"/>
      </w:r>
      <w:r>
        <w:rPr>
          <w:rFonts w:ascii="仿宋_GB2312" w:eastAsia="仿宋_GB2312" w:cs="仿宋_GB2312" w:hint="eastAsia"/>
          <w:sz w:val="21"/>
          <w:szCs w:val="21"/>
          <w:highlight w:val="auto"/>
        </w:rPr>
        <w:t>12</w:t>
      </w:r>
      <w:r>
        <w:rPr>
          <w:rFonts w:ascii="仿宋_GB2312" w:eastAsia="仿宋_GB2312" w:cs="仿宋_GB2312" w:hint="eastAsia"/>
          <w:sz w:val="21"/>
          <w:szCs w:val="21"/>
          <w:highlight w:val="auto"/>
        </w:rPr>
        <w:fldChar w:fldCharType="end"/>
      </w:r>
      <w:r>
        <w:rPr>
          <w:rFonts w:ascii="仿宋_GB2312" w:eastAsia="仿宋_GB2312" w:cs="仿宋_GB2312" w:hint="eastAsia"/>
          <w:highlight w:val="auto"/>
        </w:rPr>
        <w:fldChar w:fldCharType="end"/>
      </w:r>
    </w:p>
    <w:p>
      <w:pPr>
        <w:pStyle w:val="21"/>
        <w:tabs>
          <w:tab w:val="right" w:leader="dot" w:pos="8296"/>
        </w:tabs>
        <w:spacing w:line="360" w:lineRule="auto"/>
        <w:rPr>
          <w:rFonts w:ascii="仿宋_GB2312" w:eastAsia="仿宋_GB2312" w:cs="仿宋_GB2312" w:hint="eastAsia"/>
          <w:sz w:val="21"/>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"_Toc20297168" </w:instrText>
      </w:r>
      <w:r>
        <w:rPr>
          <w:rFonts w:ascii="仿宋_GB2312" w:eastAsia="仿宋_GB2312" w:cs="仿宋_GB2312" w:hint="eastAsia"/>
          <w:highlight w:val="auto"/>
        </w:rPr>
        <w:fldChar w:fldCharType="separate"/>
      </w:r>
      <w:r>
        <w:rPr>
          <w:rFonts w:ascii="仿宋_GB2312" w:eastAsia="仿宋_GB2312" w:cs="仿宋_GB2312" w:hint="eastAsia"/>
          <w:sz w:val="21"/>
          <w:szCs w:val="21"/>
          <w:highlight w:val="auto"/>
        </w:rPr>
        <w:t>第</w:t>
      </w:r>
      <w:r>
        <w:rPr>
          <w:rFonts w:ascii="仿宋_GB2312" w:eastAsia="仿宋_GB2312" w:cs="仿宋_GB2312" w:hint="eastAsia"/>
          <w:bCs/>
          <w:kern w:val="44"/>
          <w:sz w:val="21"/>
          <w:szCs w:val="21"/>
          <w:highlight w:val="auto"/>
        </w:rPr>
        <w:t>四部分 附件</w:t>
      </w:r>
      <w:r>
        <w:rPr>
          <w:rFonts w:ascii="仿宋_GB2312" w:eastAsia="仿宋_GB2312" w:cs="仿宋_GB2312" w:hint="eastAsia"/>
          <w:sz w:val="21"/>
          <w:szCs w:val="21"/>
          <w:highlight w:val="auto"/>
        </w:rPr>
        <w:tab/>
      </w:r>
      <w:r>
        <w:rPr>
          <w:rFonts w:ascii="仿宋_GB2312" w:eastAsia="仿宋_GB2312" w:cs="仿宋_GB2312" w:hint="eastAsia"/>
          <w:sz w:val="21"/>
          <w:szCs w:val="21"/>
          <w:highlight w:val="auto"/>
        </w:rPr>
        <w:fldChar w:fldCharType="begin"/>
      </w:r>
      <w:r>
        <w:rPr>
          <w:rFonts w:ascii="仿宋_GB2312" w:eastAsia="仿宋_GB2312" w:cs="仿宋_GB2312" w:hint="eastAsia"/>
          <w:sz w:val="21"/>
          <w:szCs w:val="21"/>
          <w:highlight w:val="auto"/>
        </w:rPr>
        <w:instrText xml:space="preserve"> PAGEREF _Toc20297168 \h </w:instrText>
      </w:r>
      <w:r>
        <w:rPr>
          <w:rFonts w:ascii="仿宋_GB2312" w:eastAsia="仿宋_GB2312" w:cs="仿宋_GB2312" w:hint="eastAsia"/>
          <w:sz w:val="21"/>
          <w:szCs w:val="21"/>
          <w:highlight w:val="auto"/>
        </w:rPr>
        <w:fldChar w:fldCharType="separate"/>
      </w:r>
      <w:r>
        <w:rPr>
          <w:rFonts w:ascii="仿宋_GB2312" w:eastAsia="仿宋_GB2312" w:cs="仿宋_GB2312" w:hint="eastAsia"/>
          <w:sz w:val="21"/>
          <w:szCs w:val="21"/>
          <w:highlight w:val="auto"/>
        </w:rPr>
        <w:t>15</w:t>
      </w:r>
      <w:r>
        <w:rPr>
          <w:rFonts w:ascii="仿宋_GB2312" w:eastAsia="仿宋_GB2312" w:cs="仿宋_GB2312" w:hint="eastAsia"/>
          <w:sz w:val="21"/>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"_Toc20297169" </w:instrText>
      </w:r>
      <w:r>
        <w:rPr>
          <w:rFonts w:ascii="仿宋_GB2312" w:eastAsia="仿宋_GB2312" w:cs="仿宋_GB2312" w:hint="eastAsia"/>
          <w:highlight w:val="auto"/>
        </w:rPr>
        <w:fldChar w:fldCharType="separate"/>
      </w:r>
      <w:r>
        <w:rPr>
          <w:rFonts w:ascii="仿宋_GB2312" w:eastAsia="仿宋_GB2312" w:cs="仿宋_GB2312" w:hint="eastAsia"/>
          <w:kern w:val="44"/>
          <w:szCs w:val="21"/>
          <w:highlight w:val="auto"/>
        </w:rPr>
        <w:t>附件1</w:t>
      </w:r>
      <w:r>
        <w:rPr>
          <w:rFonts w:ascii="仿宋_GB2312" w:eastAsia="仿宋_GB2312" w:cs="仿宋_GB2312" w:hint="eastAsia"/>
          <w:szCs w:val="21"/>
          <w:highlight w:val="auto"/>
        </w:rPr>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_Toc20297169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15</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"_Toc20297171" </w:instrText>
      </w:r>
      <w:r>
        <w:rPr>
          <w:rFonts w:ascii="仿宋_GB2312" w:eastAsia="仿宋_GB2312" w:cs="仿宋_GB2312" w:hint="eastAsia"/>
          <w:highlight w:val="auto"/>
        </w:rPr>
        <w:fldChar w:fldCharType="separate"/>
      </w:r>
      <w:r>
        <w:rPr>
          <w:rFonts w:ascii="仿宋_GB2312" w:eastAsia="仿宋_GB2312" w:cs="仿宋_GB2312" w:hint="eastAsia"/>
          <w:kern w:val="44"/>
          <w:szCs w:val="21"/>
          <w:highlight w:val="auto"/>
        </w:rPr>
        <w:t>附件2</w:t>
      </w:r>
      <w:r>
        <w:rPr>
          <w:rFonts w:ascii="仿宋_GB2312" w:eastAsia="仿宋_GB2312" w:cs="仿宋_GB2312" w:hint="eastAsia"/>
          <w:szCs w:val="21"/>
          <w:highlight w:val="auto"/>
        </w:rPr>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_Toc20297171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17</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1"/>
        <w:tabs>
          <w:tab w:val="right" w:leader="dot" w:pos="8296"/>
        </w:tabs>
        <w:spacing w:line="360" w:lineRule="auto"/>
        <w:rPr>
          <w:rFonts w:ascii="仿宋_GB2312" w:eastAsia="仿宋_GB2312" w:cs="仿宋_GB2312" w:hint="eastAsia"/>
          <w:sz w:val="21"/>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"_Toc20297172" </w:instrText>
      </w:r>
      <w:r>
        <w:rPr>
          <w:rFonts w:ascii="仿宋_GB2312" w:eastAsia="仿宋_GB2312" w:cs="仿宋_GB2312" w:hint="eastAsia"/>
          <w:highlight w:val="auto"/>
        </w:rPr>
        <w:fldChar w:fldCharType="separate"/>
      </w:r>
      <w:r>
        <w:rPr>
          <w:rFonts w:ascii="仿宋_GB2312" w:eastAsia="仿宋_GB2312" w:cs="仿宋_GB2312" w:hint="eastAsia"/>
          <w:sz w:val="21"/>
          <w:szCs w:val="21"/>
          <w:highlight w:val="auto"/>
        </w:rPr>
        <w:t>第</w:t>
      </w:r>
      <w:r>
        <w:rPr>
          <w:rFonts w:ascii="仿宋_GB2312" w:eastAsia="仿宋_GB2312" w:cs="仿宋_GB2312" w:hint="eastAsia"/>
          <w:bCs/>
          <w:kern w:val="44"/>
          <w:sz w:val="21"/>
          <w:szCs w:val="21"/>
          <w:highlight w:val="auto"/>
        </w:rPr>
        <w:t>五部分 附表</w:t>
      </w:r>
      <w:r>
        <w:rPr>
          <w:rFonts w:ascii="仿宋_GB2312" w:eastAsia="仿宋_GB2312" w:cs="仿宋_GB2312" w:hint="eastAsia"/>
          <w:sz w:val="21"/>
          <w:szCs w:val="21"/>
          <w:highlight w:val="auto"/>
        </w:rPr>
        <w:tab/>
      </w:r>
      <w:r>
        <w:rPr>
          <w:rFonts w:ascii="仿宋_GB2312" w:eastAsia="仿宋_GB2312" w:cs="仿宋_GB2312" w:hint="eastAsia"/>
          <w:sz w:val="21"/>
          <w:szCs w:val="21"/>
          <w:highlight w:val="auto"/>
        </w:rPr>
        <w:fldChar w:fldCharType="begin"/>
      </w:r>
      <w:r>
        <w:rPr>
          <w:rFonts w:ascii="仿宋_GB2312" w:eastAsia="仿宋_GB2312" w:cs="仿宋_GB2312" w:hint="eastAsia"/>
          <w:sz w:val="21"/>
          <w:szCs w:val="21"/>
          <w:highlight w:val="auto"/>
        </w:rPr>
        <w:instrText xml:space="preserve"> PAGEREF _Toc20297172 \h </w:instrText>
      </w:r>
      <w:r>
        <w:rPr>
          <w:rFonts w:ascii="仿宋_GB2312" w:eastAsia="仿宋_GB2312" w:cs="仿宋_GB2312" w:hint="eastAsia"/>
          <w:sz w:val="21"/>
          <w:szCs w:val="21"/>
          <w:highlight w:val="auto"/>
        </w:rPr>
        <w:fldChar w:fldCharType="separate"/>
      </w:r>
      <w:r>
        <w:rPr>
          <w:rFonts w:ascii="仿宋_GB2312" w:eastAsia="仿宋_GB2312" w:cs="仿宋_GB2312" w:hint="eastAsia"/>
          <w:sz w:val="21"/>
          <w:szCs w:val="21"/>
          <w:highlight w:val="auto"/>
        </w:rPr>
        <w:t>18</w:t>
      </w:r>
      <w:r>
        <w:rPr>
          <w:rFonts w:ascii="仿宋_GB2312" w:eastAsia="仿宋_GB2312" w:cs="仿宋_GB2312" w:hint="eastAsia"/>
          <w:sz w:val="21"/>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"_Toc20297173"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一、收入支出决算总表</w:t>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_Toc20297173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18</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"_Toc20297174"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二、收入总表</w:t>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_Toc20297174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18</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"_Toc20297175"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三、支出总表</w:t>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_Toc20297175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18</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"_Toc20297176"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四、财政拨款收入支出决算总表</w:t>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_Toc20297176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18</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"_Toc20297177"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五、财政拨款支出决算明细表（政府经济分类科目）</w:t>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_Toc20297177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18</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"_Toc20297178"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六、一般公共预算财政拨款支出决算表</w:t>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_Toc20297178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18</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"_Toc20297179"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七、一般公共预算财政拨款支出决算明细表</w:t>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_Toc20297179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18</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"_Toc20297180"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八、一般公共预算财政拨款基本支出决算表</w:t>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_Toc20297180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18</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"_Toc20297181"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九、一般公共预算财政拨款项目支出决算表</w:t>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_Toc20297181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18</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"_Toc20297182"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十、一般公共预算财政拨款“三公”经费支出决算表</w:t>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_Toc20297182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18</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"_Toc20297183"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十一、政府性基金预算财政拨款收入支出决算表</w:t>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_Toc20297183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18</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1"/>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"_Toc20297184"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十二、政府性基金预算财政拨款“三公”经费支出决算表</w:t>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_Toc20297184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18</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pStyle w:val="22"/>
        <w:tabs>
          <w:tab w:val="right" w:leader="dot" w:pos="8296"/>
        </w:tabs>
        <w:spacing w:line="360" w:lineRule="auto"/>
        <w:rPr>
          <w:rFonts w:ascii="仿宋_GB2312" w:eastAsia="仿宋_GB2312" w:cs="仿宋_GB2312" w:hint="eastAsia"/>
          <w:szCs w:val="22"/>
          <w:highlight w:val="auto"/>
        </w:rPr>
      </w:pPr>
      <w:r>
        <w:rPr>
          <w:rFonts w:ascii="仿宋_GB2312" w:eastAsia="仿宋_GB2312" w:cs="仿宋_GB2312" w:hint="eastAsia"/>
          <w:highlight w:val="auto"/>
        </w:rPr>
        <w:fldChar w:fldCharType="begin"/>
      </w:r>
      <w:r>
        <w:rPr>
          <w:rFonts w:ascii="仿宋_GB2312" w:eastAsia="仿宋_GB2312" w:cs="仿宋_GB2312" w:hint="eastAsia"/>
          <w:highlight w:val="auto"/>
        </w:rPr>
        <w:instrText xml:space="preserve">HYPERLINK  \l "_Toc20297185" </w:instrText>
      </w:r>
      <w:r>
        <w:rPr>
          <w:rFonts w:ascii="仿宋_GB2312" w:eastAsia="仿宋_GB2312" w:cs="仿宋_GB2312" w:hint="eastAsia"/>
          <w:highlight w:val="auto"/>
        </w:rPr>
        <w:fldChar w:fldCharType="separate"/>
      </w:r>
      <w:r>
        <w:rPr>
          <w:rFonts w:ascii="仿宋_GB2312" w:eastAsia="仿宋_GB2312" w:cs="仿宋_GB2312" w:hint="eastAsia"/>
          <w:szCs w:val="21"/>
          <w:highlight w:val="auto"/>
        </w:rPr>
        <w:t>十三、国有资本经营预算支出决算表</w:t>
        <w:tab/>
      </w:r>
      <w:r>
        <w:rPr>
          <w:rFonts w:ascii="仿宋_GB2312" w:eastAsia="仿宋_GB2312" w:cs="仿宋_GB2312" w:hint="eastAsia"/>
          <w:szCs w:val="21"/>
          <w:highlight w:val="auto"/>
        </w:rPr>
        <w:fldChar w:fldCharType="begin"/>
      </w:r>
      <w:r>
        <w:rPr>
          <w:rFonts w:ascii="仿宋_GB2312" w:eastAsia="仿宋_GB2312" w:cs="仿宋_GB2312" w:hint="eastAsia"/>
          <w:szCs w:val="21"/>
          <w:highlight w:val="auto"/>
        </w:rPr>
        <w:instrText xml:space="preserve"> PAGEREF _Toc20297185 \h </w:instrText>
      </w:r>
      <w:r>
        <w:rPr>
          <w:rFonts w:ascii="仿宋_GB2312" w:eastAsia="仿宋_GB2312" w:cs="仿宋_GB2312" w:hint="eastAsia"/>
          <w:szCs w:val="21"/>
          <w:highlight w:val="auto"/>
        </w:rPr>
        <w:fldChar w:fldCharType="separate"/>
      </w:r>
      <w:r>
        <w:rPr>
          <w:rFonts w:ascii="仿宋_GB2312" w:eastAsia="仿宋_GB2312" w:cs="仿宋_GB2312" w:hint="eastAsia"/>
          <w:szCs w:val="21"/>
          <w:highlight w:val="auto"/>
        </w:rPr>
        <w:t>18</w:t>
      </w:r>
      <w:r>
        <w:rPr>
          <w:rFonts w:ascii="仿宋_GB2312" w:eastAsia="仿宋_GB2312" w:cs="仿宋_GB2312" w:hint="eastAsia"/>
          <w:szCs w:val="21"/>
          <w:highlight w:val="auto"/>
        </w:rPr>
        <w:fldChar w:fldCharType="end"/>
      </w:r>
      <w:r>
        <w:rPr>
          <w:rFonts w:ascii="仿宋_GB2312" w:eastAsia="仿宋_GB2312" w:cs="仿宋_GB2312" w:hint="eastAsia"/>
          <w:highlight w:val="auto"/>
        </w:rPr>
        <w:fldChar w:fldCharType="end"/>
      </w:r>
    </w:p>
    <w:p>
      <w:pPr>
        <w:widowControl/>
        <w:jc w:val="left"/>
        <w:rPr>
          <w:rFonts w:ascii="仿宋_GB2312" w:eastAsia="仿宋_GB2312" w:cs="仿宋_GB2312" w:hint="eastAsia"/>
          <w:color w:val="000000"/>
          <w:sz w:val="24"/>
          <w:highlight w:val="auto"/>
        </w:rPr>
      </w:pPr>
      <w:r>
        <w:rPr>
          <w:rFonts w:ascii="仿宋_GB2312" w:eastAsia="仿宋_GB2312" w:cs="仿宋_GB2312" w:hint="eastAsia"/>
          <w:color w:val="000000"/>
          <w:sz w:val="24"/>
          <w:highlight w:val="auto"/>
        </w:rPr>
        <w:fldChar w:fldCharType="end"/>
      </w:r>
    </w:p>
    <w:p>
      <w:pPr>
        <w:widowControl/>
        <w:jc w:val="left"/>
        <w:rPr>
          <w:rFonts w:ascii="仿宋_GB2312" w:eastAsia="仿宋_GB2312" w:cs="仿宋_GB2312" w:hint="eastAsia"/>
          <w:bCs/>
          <w:kern w:val="44"/>
          <w:sz w:val="44"/>
          <w:szCs w:val="44"/>
          <w:highlight w:val="auto"/>
        </w:rPr>
      </w:pPr>
      <w:bookmarkStart w:id="13" w:name="_Toc15377196"/>
      <w:r>
        <w:rPr>
          <w:rFonts w:ascii="仿宋_GB2312" w:eastAsia="仿宋_GB2312" w:cs="仿宋_GB2312" w:hint="eastAsia"/>
          <w:b/>
          <w:highlight w:val="auto"/>
        </w:rPr>
        <w:br w:type="page"/>
      </w:r>
    </w:p>
    <w:p>
      <w:pPr>
        <w:pStyle w:val="1"/>
        <w:jc w:val="center"/>
        <w:rPr>
          <w:rFonts w:ascii="仿宋_GB2312" w:eastAsia="仿宋_GB2312" w:cs="仿宋_GB2312" w:hint="eastAsia"/>
          <w:b w:val="0"/>
          <w:highlight w:val="auto"/>
        </w:rPr>
        <w:sectPr>
          <w:headerReference w:type="default" r:id="rId2"/>
          <w:footerReference w:type="default" r:id="rId3"/>
          <w:pgSz w:w="11906" w:h="16838"/>
          <w:pgMar w:top="1440" w:right="1800" w:bottom="1440" w:left="1800" w:header="851" w:footer="992" w:gutter="0"/>
          <w:pgNumType w:start="1"/>
          <w:titlePg/>
          <w:docGrid w:type="lines" w:linePitch="312" w:charSpace="0"/>
        </w:sectPr>
      </w:pPr>
      <w:bookmarkStart w:id="14" w:name="_Toc20297151"/>
    </w:p>
    <w:p>
      <w:pPr>
        <w:pStyle w:val="1"/>
        <w:jc w:val="center"/>
        <w:rPr>
          <w:rFonts w:ascii="仿宋_GB2312" w:eastAsia="仿宋_GB2312" w:cs="仿宋_GB2312" w:hint="eastAsia"/>
          <w:color w:val="000000"/>
          <w:sz w:val="32"/>
          <w:szCs w:val="32"/>
          <w:highlight w:val="auto"/>
        </w:rPr>
      </w:pPr>
      <w:r>
        <w:rPr>
          <w:rFonts w:ascii="黑体" w:eastAsia="黑体" w:cs="黑体" w:hint="eastAsia"/>
          <w:b w:val="0"/>
          <w:highlight w:val="auto"/>
        </w:rPr>
        <w:t xml:space="preserve">第一部分 </w:t>
      </w:r>
      <w:r>
        <w:rPr>
          <w:rStyle w:val="1Char"/>
          <w:rFonts w:ascii="黑体" w:eastAsia="黑体" w:cs="黑体" w:hint="eastAsia"/>
          <w:b w:val="0"/>
          <w:bCs w:val="0"/>
          <w:highlight w:val="auto"/>
        </w:rPr>
        <w:t>部门概况</w:t>
      </w:r>
      <w:bookmarkEnd w:id="13"/>
      <w:bookmarkEnd w:id="14"/>
    </w:p>
    <w:p>
      <w:pPr>
        <w:pStyle w:val="2"/>
        <w:rPr>
          <w:rStyle w:val="2Char"/>
          <w:rFonts w:ascii="黑体" w:eastAsia="黑体" w:cs="黑体" w:hint="eastAsia"/>
          <w:b w:val="0"/>
          <w:bCs w:val="0"/>
          <w:highlight w:val="auto"/>
        </w:rPr>
      </w:pPr>
      <w:bookmarkStart w:id="15" w:name="_Toc15377197"/>
      <w:bookmarkStart w:id="16" w:name="_Toc20297152"/>
      <w:r>
        <w:rPr>
          <w:rFonts w:ascii="黑体" w:eastAsia="黑体" w:cs="黑体" w:hint="eastAsia"/>
          <w:b w:val="0"/>
          <w:color w:val="000000"/>
          <w:highlight w:val="auto"/>
        </w:rPr>
        <w:t>一、基</w:t>
      </w:r>
      <w:r>
        <w:rPr>
          <w:rStyle w:val="2Char"/>
          <w:rFonts w:ascii="黑体" w:eastAsia="黑体" w:cs="黑体" w:hint="eastAsia"/>
          <w:b w:val="0"/>
          <w:bCs w:val="0"/>
          <w:highlight w:val="auto"/>
        </w:rPr>
        <w:t>本职能及主要工作</w:t>
      </w:r>
      <w:bookmarkEnd w:id="15"/>
      <w:bookmarkEnd w:id="16"/>
    </w:p>
    <w:p>
      <w:pPr>
        <w:pStyle w:val="16"/>
        <w:adjustRightInd w:val="0"/>
        <w:snapToGrid w:val="0"/>
        <w:spacing w:beforeLines="0" w:before="93" w:line="600" w:lineRule="exact"/>
        <w:ind w:firstLineChars="208" w:firstLine="669"/>
        <w:outlineLvl w:val="2"/>
        <w:rPr>
          <w:rFonts w:ascii="仿宋_GB2312" w:eastAsia="仿宋_GB2312" w:cs="仿宋_GB2312" w:hint="eastAsia"/>
          <w:b/>
          <w:bCs w:val="0"/>
          <w:color w:val="000000"/>
          <w:sz w:val="32"/>
          <w:szCs w:val="32"/>
          <w:highlight w:val="auto"/>
        </w:rPr>
      </w:pPr>
      <w:bookmarkStart w:id="17" w:name="_Toc15377198"/>
      <w:bookmarkStart w:id="18" w:name="_Toc15378445"/>
      <w:r>
        <w:rPr>
          <w:rFonts w:ascii="仿宋_GB2312" w:eastAsia="仿宋_GB2312" w:cs="仿宋_GB2312" w:hint="eastAsia"/>
          <w:b/>
          <w:bCs w:val="0"/>
          <w:color w:val="000000"/>
          <w:sz w:val="32"/>
          <w:szCs w:val="32"/>
          <w:highlight w:val="auto"/>
        </w:rPr>
        <w:t>（一）主要职能。</w:t>
      </w:r>
    </w:p>
    <w:p>
      <w:pPr>
        <w:pStyle w:val="16"/>
        <w:adjustRightInd w:val="0"/>
        <w:snapToGrid w:val="0"/>
        <w:spacing w:beforeLines="0" w:before="93" w:line="600" w:lineRule="exact"/>
        <w:ind w:firstLineChars="208" w:firstLine="669"/>
        <w:rPr>
          <w:rFonts w:ascii="仿宋_GB2312" w:eastAsia="仿宋_GB2312" w:cs="仿宋_GB2312" w:hint="eastAsia"/>
          <w:bCs/>
          <w:color w:val="000000"/>
          <w:sz w:val="32"/>
          <w:szCs w:val="32"/>
          <w:highlight w:val="auto"/>
        </w:rPr>
      </w:pPr>
      <w:bookmarkStart w:id="19" w:name="_Toc15378446"/>
      <w:bookmarkStart w:id="20" w:name="_Toc15377199"/>
      <w:bookmarkEnd w:id="17"/>
      <w:bookmarkEnd w:id="18"/>
      <w:r>
        <w:rPr>
          <w:rFonts w:ascii="仿宋_GB2312" w:eastAsia="仿宋_GB2312" w:cs="仿宋_GB2312" w:hint="eastAsia"/>
          <w:bCs/>
          <w:color w:val="000000"/>
          <w:sz w:val="32"/>
          <w:szCs w:val="32"/>
          <w:highlight w:val="auto"/>
        </w:rPr>
        <w:t>汶川县投资促进博览</w:t>
      </w:r>
      <w:r>
        <w:rPr>
          <w:rFonts w:ascii="仿宋_GB2312" w:eastAsia="仿宋_GB2312" w:cs="仿宋_GB2312" w:hint="eastAsia"/>
          <w:bCs/>
          <w:color w:val="000000"/>
          <w:sz w:val="32"/>
          <w:szCs w:val="32"/>
          <w:lang w:val="en-US" w:eastAsia="zh-CN"/>
          <w:highlight w:val="auto"/>
        </w:rPr>
        <w:t>中心</w:t>
      </w:r>
      <w:r>
        <w:rPr>
          <w:rFonts w:ascii="仿宋_GB2312" w:eastAsia="仿宋_GB2312" w:cs="仿宋_GB2312" w:hint="eastAsia"/>
          <w:bCs/>
          <w:color w:val="000000"/>
          <w:sz w:val="32"/>
          <w:szCs w:val="32"/>
          <w:highlight w:val="auto"/>
        </w:rPr>
        <w:t>为正科级财政全额拨款事业单位,主要负责招商引资、区域合作、对外交流和会展事务,负责贯彻执行国家和省、州对外开放的方针政策,参与研究拟订投资促进、区域经济合作的规划和有关规定;协调、指导和督促全县投资促进和区域经济合作工作;提出全县投资促进目标任务报县政府批准后分解下达并督促、检查落实情况;对全县投资促进工作和项目情况进行统计、分析、研究;负责全县重大经济合作活动的组织和协调;配合相关部门做好省内外其他区域经济合作工作;调查研究、收集信息,向县委县政府提供投资促进和区域经济合作的决策依据;负责对全县投资环境的宣传推介;建立完善投资促进和区域经济合作信息网络,提供相关咨询服务;帮助协调解决外来投资者反映的重大问题;承担全县招商引资工作领导小组日常事务。负责参加、举办各种专业性博览会、展览会、高层论坛、重大商务会议等会展活动,申办国际国内会展活动;收集整理会议展览信息,协调各种资源申办会展项目来汶举办为外地来汶举办的大中型会展活动提供配套政务服务;开展国际交流与合作,邀请接待国际组织和企业来汶考察和参加会展活动,促进汶川与国内外会议、展览界开展合作等工作。</w:t>
      </w:r>
    </w:p>
    <w:p>
      <w:pPr>
        <w:pStyle w:val="16"/>
        <w:adjustRightInd w:val="0"/>
        <w:snapToGrid w:val="0"/>
        <w:spacing w:beforeLines="0" w:before="93" w:line="600" w:lineRule="exact"/>
        <w:ind w:firstLineChars="208" w:firstLine="669"/>
        <w:outlineLvl w:val="2"/>
        <w:rPr>
          <w:rFonts w:ascii="仿宋_GB2312" w:eastAsia="仿宋_GB2312" w:cs="仿宋_GB2312" w:hint="eastAsia"/>
          <w:b/>
          <w:bCs w:val="0"/>
          <w:color w:val="000000"/>
          <w:sz w:val="32"/>
          <w:szCs w:val="32"/>
          <w:highlight w:val="auto"/>
        </w:rPr>
      </w:pPr>
      <w:r>
        <w:rPr>
          <w:rFonts w:ascii="仿宋_GB2312" w:eastAsia="仿宋_GB2312" w:cs="仿宋_GB2312" w:hint="eastAsia"/>
          <w:b/>
          <w:bCs w:val="0"/>
          <w:color w:val="000000"/>
          <w:sz w:val="32"/>
          <w:szCs w:val="32"/>
          <w:highlight w:val="auto"/>
        </w:rPr>
        <w:t>（二）201</w:t>
      </w:r>
      <w:r>
        <w:rPr>
          <w:rFonts w:cs="仿宋_GB2312" w:hint="eastAsia"/>
          <w:b/>
          <w:bCs w:val="0"/>
          <w:color w:val="000000"/>
          <w:sz w:val="32"/>
          <w:szCs w:val="32"/>
          <w:lang w:val="en-US" w:eastAsia="zh-CN"/>
          <w:highlight w:val="auto"/>
        </w:rPr>
        <w:t>9</w:t>
      </w:r>
      <w:r>
        <w:rPr>
          <w:rFonts w:ascii="仿宋_GB2312" w:eastAsia="仿宋_GB2312" w:cs="仿宋_GB2312" w:hint="eastAsia"/>
          <w:b/>
          <w:bCs w:val="0"/>
          <w:color w:val="000000"/>
          <w:sz w:val="32"/>
          <w:szCs w:val="32"/>
          <w:highlight w:val="auto"/>
        </w:rPr>
        <w:t>年重点工作完成情况。</w:t>
      </w:r>
      <w:bookmarkEnd w:id="19"/>
      <w:bookmarkEnd w:id="20"/>
    </w:p>
    <w:p>
      <w:pPr>
        <w:wordWrap/>
        <w:adjustRightInd/>
        <w:snapToGrid/>
        <w:spacing w:line="520" w:lineRule="exact"/>
        <w:ind w:right="0" w:firstLineChars="200" w:firstLine="640"/>
        <w:textAlignment w:val="auto"/>
        <w:outlineLvl w:val="9"/>
        <w:rPr>
          <w:rFonts w:ascii="楷体" w:eastAsia="楷体" w:cs="楷体" w:hint="eastAsia"/>
          <w:b/>
          <w:bCs/>
          <w:color w:val="FF0000"/>
          <w:sz w:val="32"/>
          <w:szCs w:val="32"/>
          <w:highlight w:val="auto"/>
        </w:rPr>
      </w:pPr>
      <w:r>
        <w:rPr>
          <w:rFonts w:ascii="楷体" w:eastAsia="楷体" w:cs="楷体" w:hint="eastAsia"/>
          <w:b/>
          <w:bCs/>
          <w:sz w:val="32"/>
          <w:szCs w:val="32"/>
          <w:lang w:val="en-US" w:eastAsia="zh-CN"/>
          <w:highlight w:val="auto"/>
        </w:rPr>
        <w:t>1.</w:t>
      </w:r>
      <w:r>
        <w:rPr>
          <w:rFonts w:ascii="楷体" w:eastAsia="楷体" w:cs="楷体" w:hint="eastAsia"/>
          <w:b/>
          <w:bCs/>
          <w:sz w:val="32"/>
          <w:szCs w:val="32"/>
          <w:lang w:eastAsia="zh-CN"/>
          <w:highlight w:val="auto"/>
        </w:rPr>
        <w:t>高质量完成招商引资工作，各项指标稳中有增</w:t>
      </w:r>
      <w:r>
        <w:rPr>
          <w:rFonts w:ascii="楷体" w:eastAsia="楷体" w:cs="楷体" w:hint="eastAsia"/>
          <w:b/>
          <w:bCs/>
          <w:sz w:val="32"/>
          <w:szCs w:val="32"/>
          <w:highlight w:val="auto"/>
        </w:rPr>
        <w:t>。</w:t>
      </w:r>
    </w:p>
    <w:p>
      <w:pPr>
        <w:wordWrap/>
        <w:adjustRightInd/>
        <w:snapToGrid/>
        <w:spacing w:line="520" w:lineRule="exact"/>
        <w:ind w:left="0" w:right="0" w:firstLineChars="200" w:firstLine="640"/>
        <w:textAlignment w:val="auto"/>
        <w:outlineLvl w:val="9"/>
        <w:rPr>
          <w:rFonts w:ascii="仿宋_GB2312" w:eastAsia="仿宋_GB2312" w:cs="仿宋_GB2312" w:hint="eastAsia"/>
          <w:b w:val="0"/>
          <w:bCs w:val="0"/>
          <w:sz w:val="32"/>
          <w:szCs w:val="32"/>
          <w:highlight w:val="auto"/>
        </w:rPr>
      </w:pPr>
      <w:r>
        <w:rPr>
          <w:rFonts w:ascii="仿宋_GB2312" w:eastAsia="仿宋_GB2312" w:cs="仿宋_GB2312" w:hint="eastAsia"/>
          <w:b w:val="0"/>
          <w:bCs w:val="0"/>
          <w:sz w:val="32"/>
          <w:szCs w:val="32"/>
          <w:highlight w:val="auto"/>
        </w:rPr>
        <w:t xml:space="preserve"> 2019年，我县压力空前，一产总量低且空间受限，三产基础不强，作为第二产业的工业短时间无法摆脱支柱作用的地位。为此，促进规上工业大项目落地尤为重要。我中心明确把“落地促建”作为2019年中心工作，坚持高质量完成招商引资工作，各项指标稳中有增。</w:t>
      </w:r>
    </w:p>
    <w:p>
      <w:pPr>
        <w:wordWrap/>
        <w:adjustRightInd/>
        <w:snapToGrid/>
        <w:spacing w:line="520" w:lineRule="exact"/>
        <w:ind w:left="0" w:right="0" w:firstLineChars="200" w:firstLine="640"/>
        <w:textAlignment w:val="auto"/>
        <w:outlineLvl w:val="9"/>
        <w:rPr>
          <w:rFonts w:ascii="仿宋_GB2312" w:eastAsia="仿宋_GB2312" w:cs="仿宋_GB2312" w:hint="eastAsia"/>
          <w:b w:val="0"/>
          <w:bCs w:val="0"/>
          <w:sz w:val="32"/>
          <w:szCs w:val="32"/>
          <w:highlight w:val="auto"/>
        </w:rPr>
      </w:pPr>
      <w:r>
        <w:rPr>
          <w:rFonts w:ascii="仿宋_GB2312" w:eastAsia="仿宋_GB2312" w:cs="仿宋_GB2312" w:hint="eastAsia"/>
          <w:b/>
          <w:bCs/>
          <w:sz w:val="32"/>
          <w:szCs w:val="32"/>
          <w:lang w:val="en-US" w:eastAsia="zh-CN"/>
          <w:highlight w:val="auto"/>
        </w:rPr>
        <w:t>(1)</w:t>
      </w:r>
      <w:r>
        <w:rPr>
          <w:rFonts w:ascii="仿宋_GB2312" w:eastAsia="仿宋_GB2312" w:cs="仿宋_GB2312" w:hint="eastAsia"/>
          <w:b/>
          <w:bCs/>
          <w:sz w:val="32"/>
          <w:szCs w:val="32"/>
          <w:highlight w:val="auto"/>
        </w:rPr>
        <w:t>到位资金稳步增长。</w:t>
      </w:r>
      <w:r>
        <w:rPr>
          <w:rFonts w:ascii="仿宋_GB2312" w:eastAsia="仿宋_GB2312" w:cs="仿宋_GB2312" w:hint="eastAsia"/>
          <w:b w:val="0"/>
          <w:bCs w:val="0"/>
          <w:sz w:val="32"/>
          <w:szCs w:val="32"/>
          <w:highlight w:val="auto"/>
        </w:rPr>
        <w:t>1-10月招商引资到位资金3.1亿元，完成州下达目标任务的43%，同比增长22%，其中国内省外到位资金3976万元，同比增长24.4%；省内到位资金27001万元，同比增长21.4%；</w:t>
      </w:r>
    </w:p>
    <w:p>
      <w:pPr>
        <w:wordWrap/>
        <w:adjustRightInd/>
        <w:snapToGrid/>
        <w:spacing w:line="520" w:lineRule="exact"/>
        <w:ind w:left="0" w:right="0" w:firstLineChars="200" w:firstLine="640"/>
        <w:textAlignment w:val="auto"/>
        <w:outlineLvl w:val="9"/>
        <w:rPr>
          <w:rFonts w:ascii="仿宋_GB2312" w:eastAsia="仿宋_GB2312" w:cs="仿宋_GB2312" w:hint="eastAsia"/>
          <w:b w:val="0"/>
          <w:bCs w:val="0"/>
          <w:sz w:val="32"/>
          <w:szCs w:val="32"/>
          <w:highlight w:val="auto"/>
        </w:rPr>
      </w:pPr>
      <w:r>
        <w:rPr>
          <w:rFonts w:ascii="仿宋_GB2312" w:eastAsia="仿宋_GB2312" w:cs="仿宋_GB2312" w:hint="eastAsia"/>
          <w:b/>
          <w:bCs/>
          <w:sz w:val="32"/>
          <w:szCs w:val="32"/>
          <w:lang w:val="en-US" w:eastAsia="zh-CN"/>
          <w:highlight w:val="auto"/>
        </w:rPr>
        <w:t>(2)</w:t>
      </w:r>
      <w:r>
        <w:rPr>
          <w:rFonts w:ascii="仿宋_GB2312" w:eastAsia="仿宋_GB2312" w:cs="仿宋_GB2312" w:hint="eastAsia"/>
          <w:b/>
          <w:bCs/>
          <w:sz w:val="32"/>
          <w:szCs w:val="32"/>
          <w:highlight w:val="auto"/>
        </w:rPr>
        <w:t>签约项目稳中求实。</w:t>
      </w:r>
      <w:r>
        <w:rPr>
          <w:rFonts w:ascii="仿宋_GB2312" w:eastAsia="仿宋_GB2312" w:cs="仿宋_GB2312" w:hint="eastAsia"/>
          <w:b w:val="0"/>
          <w:bCs w:val="0"/>
          <w:sz w:val="32"/>
          <w:szCs w:val="32"/>
          <w:highlight w:val="auto"/>
        </w:rPr>
        <w:t>新签约项目4个，分别是汶川县固体废弃物综合利用项目、募天营野奢营地项目、萝卜寨景区旅游项目、大禹文化生态旅游区项目，协议总投资7.2亿元，相较于去年，今年未签订大投资额度的意向性战略合作协议，以实实在在的项目为基础，力争签约就能落地；</w:t>
      </w:r>
    </w:p>
    <w:p>
      <w:pPr>
        <w:wordWrap/>
        <w:adjustRightInd/>
        <w:snapToGrid/>
        <w:spacing w:line="520" w:lineRule="exact"/>
        <w:ind w:left="0" w:right="0" w:firstLineChars="200" w:firstLine="640"/>
        <w:textAlignment w:val="auto"/>
        <w:outlineLvl w:val="9"/>
        <w:rPr>
          <w:rFonts w:ascii="仿宋_GB2312" w:eastAsia="仿宋_GB2312" w:cs="仿宋_GB2312" w:hint="eastAsia"/>
          <w:b w:val="0"/>
          <w:bCs w:val="0"/>
          <w:sz w:val="32"/>
          <w:szCs w:val="32"/>
          <w:highlight w:val="auto"/>
        </w:rPr>
      </w:pPr>
      <w:r>
        <w:rPr>
          <w:rFonts w:ascii="仿宋_GB2312" w:eastAsia="仿宋_GB2312" w:cs="仿宋_GB2312" w:hint="eastAsia"/>
          <w:b/>
          <w:bCs/>
          <w:sz w:val="32"/>
          <w:szCs w:val="32"/>
          <w:lang w:val="en-US" w:eastAsia="zh-CN"/>
          <w:highlight w:val="auto"/>
        </w:rPr>
        <w:t>(3)</w:t>
      </w:r>
      <w:r>
        <w:rPr>
          <w:rFonts w:ascii="仿宋_GB2312" w:eastAsia="仿宋_GB2312" w:cs="仿宋_GB2312" w:hint="eastAsia"/>
          <w:b/>
          <w:bCs/>
          <w:sz w:val="32"/>
          <w:szCs w:val="32"/>
          <w:highlight w:val="auto"/>
        </w:rPr>
        <w:t>落地项目大幅提升。</w:t>
      </w:r>
      <w:r>
        <w:rPr>
          <w:rFonts w:ascii="仿宋_GB2312" w:eastAsia="仿宋_GB2312" w:cs="仿宋_GB2312" w:hint="eastAsia"/>
          <w:b w:val="0"/>
          <w:bCs w:val="0"/>
          <w:sz w:val="32"/>
          <w:szCs w:val="32"/>
          <w:highlight w:val="auto"/>
        </w:rPr>
        <w:t>落地新项目</w:t>
      </w:r>
      <w:r>
        <w:rPr>
          <w:rFonts w:ascii="仿宋_GB2312" w:eastAsia="仿宋_GB2312" w:cs="仿宋_GB2312" w:hint="eastAsia"/>
          <w:b w:val="0"/>
          <w:bCs w:val="0"/>
          <w:sz w:val="32"/>
          <w:szCs w:val="32"/>
          <w:lang w:val="en-US" w:eastAsia="zh-CN"/>
          <w:highlight w:val="auto"/>
        </w:rPr>
        <w:t>3</w:t>
      </w:r>
      <w:r>
        <w:rPr>
          <w:rFonts w:ascii="仿宋_GB2312" w:eastAsia="仿宋_GB2312" w:cs="仿宋_GB2312" w:hint="eastAsia"/>
          <w:b w:val="0"/>
          <w:bCs w:val="0"/>
          <w:sz w:val="32"/>
          <w:szCs w:val="32"/>
          <w:highlight w:val="auto"/>
        </w:rPr>
        <w:t>个，分别是梦溪大爱心谷——渔子溪生态旅游目的地项目、大禹文化生态旅游区项目</w:t>
      </w:r>
      <w:r>
        <w:rPr>
          <w:rFonts w:ascii="仿宋_GB2312" w:eastAsia="仿宋_GB2312" w:cs="仿宋_GB2312" w:hint="eastAsia"/>
          <w:b w:val="0"/>
          <w:bCs w:val="0"/>
          <w:sz w:val="32"/>
          <w:szCs w:val="32"/>
          <w:lang w:eastAsia="zh-CN"/>
          <w:highlight w:val="auto"/>
        </w:rPr>
        <w:t>、</w:t>
      </w:r>
      <w:r>
        <w:rPr>
          <w:rFonts w:ascii="仿宋_GB2312" w:eastAsia="仿宋_GB2312" w:cs="仿宋_GB2312" w:hint="eastAsia"/>
          <w:b w:val="0"/>
          <w:bCs w:val="0"/>
          <w:sz w:val="32"/>
          <w:szCs w:val="32"/>
          <w:highlight w:val="auto"/>
        </w:rPr>
        <w:t>萝卜寨景区旅游项目</w:t>
      </w:r>
      <w:r>
        <w:rPr>
          <w:rFonts w:ascii="仿宋_GB2312" w:eastAsia="仿宋_GB2312" w:cs="仿宋_GB2312" w:hint="eastAsia"/>
          <w:b w:val="0"/>
          <w:bCs w:val="0"/>
          <w:sz w:val="32"/>
          <w:szCs w:val="32"/>
          <w:lang w:eastAsia="zh-CN"/>
          <w:highlight w:val="auto"/>
        </w:rPr>
        <w:t>，</w:t>
      </w:r>
      <w:r>
        <w:rPr>
          <w:rFonts w:ascii="仿宋_GB2312" w:eastAsia="仿宋_GB2312" w:cs="仿宋_GB2312" w:hint="eastAsia"/>
          <w:b w:val="0"/>
          <w:bCs w:val="0"/>
          <w:sz w:val="32"/>
          <w:szCs w:val="32"/>
          <w:highlight w:val="auto"/>
        </w:rPr>
        <w:t>总投资1</w:t>
      </w:r>
      <w:r>
        <w:rPr>
          <w:rFonts w:ascii="仿宋_GB2312" w:eastAsia="仿宋_GB2312" w:cs="仿宋_GB2312" w:hint="eastAsia"/>
          <w:b w:val="0"/>
          <w:bCs w:val="0"/>
          <w:sz w:val="32"/>
          <w:szCs w:val="32"/>
          <w:lang w:val="en-US" w:eastAsia="zh-CN"/>
          <w:highlight w:val="auto"/>
        </w:rPr>
        <w:t>7</w:t>
      </w:r>
      <w:r>
        <w:rPr>
          <w:rFonts w:ascii="仿宋_GB2312" w:eastAsia="仿宋_GB2312" w:cs="仿宋_GB2312" w:hint="eastAsia"/>
          <w:b w:val="0"/>
          <w:bCs w:val="0"/>
          <w:sz w:val="32"/>
          <w:szCs w:val="32"/>
          <w:highlight w:val="auto"/>
        </w:rPr>
        <w:t>亿元，与去年同期相同，协议总投资增加1</w:t>
      </w:r>
      <w:r>
        <w:rPr>
          <w:rFonts w:ascii="仿宋_GB2312" w:eastAsia="仿宋_GB2312" w:cs="仿宋_GB2312" w:hint="eastAsia"/>
          <w:b w:val="0"/>
          <w:bCs w:val="0"/>
          <w:sz w:val="32"/>
          <w:szCs w:val="32"/>
          <w:lang w:val="en-US" w:eastAsia="zh-CN"/>
          <w:highlight w:val="auto"/>
        </w:rPr>
        <w:t>4</w:t>
      </w:r>
      <w:r>
        <w:rPr>
          <w:rFonts w:ascii="仿宋_GB2312" w:eastAsia="仿宋_GB2312" w:cs="仿宋_GB2312" w:hint="eastAsia"/>
          <w:b w:val="0"/>
          <w:bCs w:val="0"/>
          <w:sz w:val="32"/>
          <w:szCs w:val="32"/>
          <w:highlight w:val="auto"/>
        </w:rPr>
        <w:t>.89亿元；</w:t>
      </w:r>
    </w:p>
    <w:p>
      <w:pPr>
        <w:wordWrap/>
        <w:adjustRightInd/>
        <w:snapToGrid/>
        <w:spacing w:line="520" w:lineRule="exact"/>
        <w:ind w:left="0" w:right="0" w:firstLineChars="200" w:firstLine="640"/>
        <w:textAlignment w:val="auto"/>
        <w:outlineLvl w:val="9"/>
        <w:rPr>
          <w:rFonts w:ascii="仿宋_GB2312" w:eastAsia="仿宋_GB2312" w:cs="仿宋_GB2312" w:hint="eastAsia"/>
          <w:b w:val="0"/>
          <w:bCs w:val="0"/>
          <w:sz w:val="32"/>
          <w:szCs w:val="32"/>
          <w:highlight w:val="auto"/>
        </w:rPr>
      </w:pPr>
      <w:r>
        <w:rPr>
          <w:rFonts w:ascii="仿宋_GB2312" w:eastAsia="仿宋_GB2312" w:cs="仿宋_GB2312" w:hint="eastAsia"/>
          <w:b/>
          <w:bCs/>
          <w:sz w:val="32"/>
          <w:szCs w:val="32"/>
          <w:lang w:val="en-US" w:eastAsia="zh-CN"/>
          <w:highlight w:val="auto"/>
        </w:rPr>
        <w:t>(4)</w:t>
      </w:r>
      <w:r>
        <w:rPr>
          <w:rFonts w:ascii="仿宋_GB2312" w:eastAsia="仿宋_GB2312" w:cs="仿宋_GB2312" w:hint="eastAsia"/>
          <w:b/>
          <w:bCs/>
          <w:sz w:val="32"/>
          <w:szCs w:val="32"/>
          <w:highlight w:val="auto"/>
        </w:rPr>
        <w:t>在谈项目力求务实。</w:t>
      </w:r>
      <w:r>
        <w:rPr>
          <w:rFonts w:ascii="仿宋_GB2312" w:eastAsia="仿宋_GB2312" w:cs="仿宋_GB2312" w:hint="eastAsia"/>
          <w:b w:val="0"/>
          <w:bCs w:val="0"/>
          <w:sz w:val="32"/>
          <w:szCs w:val="32"/>
          <w:highlight w:val="auto"/>
        </w:rPr>
        <w:t>在谈项目有龙溪阿尔沟综合旅游开发项目、川青甘高原物流园项目、中川华宇水磨旅游开发项目、年产100万立方米装配式建筑ALC板材项目、“踏云牧场”智慧康养项目等。相较于往年，集中力量对落地可能性较大、条件相对成熟的项目进行跟进，目前正在积极开展前期洽谈工作。</w:t>
      </w:r>
    </w:p>
    <w:p>
      <w:pPr>
        <w:wordWrap/>
        <w:adjustRightInd/>
        <w:snapToGrid/>
        <w:spacing w:line="520" w:lineRule="exact"/>
        <w:ind w:left="0" w:right="0" w:firstLineChars="200" w:firstLine="640"/>
        <w:textAlignment w:val="auto"/>
        <w:outlineLvl w:val="9"/>
        <w:rPr>
          <w:rFonts w:ascii="仿宋_GB2312" w:eastAsia="仿宋_GB2312" w:cs="仿宋_GB2312" w:hint="eastAsia"/>
          <w:b w:val="0"/>
          <w:bCs w:val="0"/>
          <w:sz w:val="32"/>
          <w:szCs w:val="32"/>
          <w:highlight w:val="auto"/>
        </w:rPr>
      </w:pPr>
      <w:r>
        <w:rPr>
          <w:rFonts w:ascii="仿宋_GB2312" w:eastAsia="仿宋_GB2312" w:cs="仿宋_GB2312" w:hint="eastAsia"/>
          <w:b/>
          <w:bCs/>
          <w:sz w:val="32"/>
          <w:szCs w:val="32"/>
          <w:lang w:val="en-US" w:eastAsia="zh-CN"/>
          <w:highlight w:val="auto"/>
        </w:rPr>
        <w:t>(5)</w:t>
      </w:r>
      <w:r>
        <w:rPr>
          <w:rFonts w:ascii="仿宋_GB2312" w:eastAsia="仿宋_GB2312" w:cs="仿宋_GB2312" w:hint="eastAsia"/>
          <w:b/>
          <w:bCs/>
          <w:sz w:val="32"/>
          <w:szCs w:val="32"/>
          <w:highlight w:val="auto"/>
        </w:rPr>
        <w:t>包装项目科学精准。</w:t>
      </w:r>
      <w:r>
        <w:rPr>
          <w:rFonts w:ascii="仿宋_GB2312" w:eastAsia="仿宋_GB2312" w:cs="仿宋_GB2312" w:hint="eastAsia"/>
          <w:b w:val="0"/>
          <w:bCs w:val="0"/>
          <w:sz w:val="32"/>
          <w:szCs w:val="32"/>
          <w:highlight w:val="auto"/>
        </w:rPr>
        <w:t>委托专业团队对我县招商引资储备项目进行深入论证，包装重点项目5个，提高了储备项目的科学性、可行性和吸引力，为切实做到精准招商奠定了基础；招标专业影视公司，拍摄制作了最新的阿尔沟旅游开发项目宣传片，进一步加大阿尔沟旅游开发项目的吸引力。</w:t>
      </w:r>
    </w:p>
    <w:p>
      <w:pPr>
        <w:wordWrap/>
        <w:adjustRightInd/>
        <w:snapToGrid/>
        <w:spacing w:line="520" w:lineRule="exact"/>
        <w:ind w:left="0" w:right="0" w:firstLineChars="200" w:firstLine="640"/>
        <w:textAlignment w:val="auto"/>
        <w:outlineLvl w:val="9"/>
        <w:rPr>
          <w:rFonts w:ascii="楷体" w:eastAsia="楷体" w:cs="楷体" w:hint="eastAsia"/>
          <w:b/>
          <w:bCs/>
          <w:sz w:val="32"/>
          <w:szCs w:val="32"/>
          <w:highlight w:val="auto"/>
        </w:rPr>
      </w:pPr>
      <w:r>
        <w:rPr>
          <w:rFonts w:ascii="楷体" w:eastAsia="楷体" w:cs="楷体" w:hint="eastAsia"/>
          <w:b/>
          <w:bCs/>
          <w:sz w:val="32"/>
          <w:szCs w:val="32"/>
          <w:lang w:val="en-US" w:eastAsia="zh-CN"/>
          <w:highlight w:val="auto"/>
        </w:rPr>
        <w:t>2.</w:t>
      </w:r>
      <w:r>
        <w:rPr>
          <w:rFonts w:ascii="楷体" w:eastAsia="楷体" w:cs="楷体" w:hint="eastAsia"/>
          <w:b/>
          <w:bCs/>
          <w:sz w:val="32"/>
          <w:szCs w:val="32"/>
          <w:lang w:eastAsia="zh-CN"/>
          <w:highlight w:val="auto"/>
        </w:rPr>
        <w:t>统筹推进展览展示工作，积极为县内企业（专合社、贫困户）搭建商务拓展平台。</w:t>
      </w:r>
    </w:p>
    <w:p>
      <w:pPr>
        <w:wordWrap/>
        <w:autoSpaceDE w:val="0"/>
        <w:adjustRightInd/>
        <w:snapToGrid/>
        <w:spacing w:line="520" w:lineRule="exact"/>
        <w:ind w:left="0" w:right="0" w:firstLineChars="200" w:firstLine="640"/>
        <w:textAlignment w:val="auto"/>
        <w:outlineLvl w:val="9"/>
        <w:rPr>
          <w:rFonts w:ascii="仿宋_GB2312" w:eastAsia="仿宋_GB2312" w:hint="eastAsia"/>
          <w:sz w:val="32"/>
          <w:szCs w:val="32"/>
          <w:highlight w:val="auto"/>
        </w:rPr>
      </w:pPr>
      <w:r>
        <w:rPr>
          <w:rFonts w:ascii="仿宋_GB2312" w:eastAsia="仿宋_GB2312" w:cs="仿宋_GB2312" w:hint="eastAsia"/>
          <w:b/>
          <w:bCs/>
          <w:sz w:val="32"/>
          <w:szCs w:val="32"/>
          <w:lang w:val="en-US" w:eastAsia="zh-CN"/>
          <w:highlight w:val="auto"/>
        </w:rPr>
        <w:t>(1)</w:t>
      </w:r>
      <w:r>
        <w:rPr>
          <w:rFonts w:ascii="仿宋_GB2312" w:eastAsia="仿宋_GB2312" w:cs="仿宋_GB2312" w:hint="eastAsia"/>
          <w:b/>
          <w:bCs/>
          <w:sz w:val="32"/>
          <w:szCs w:val="32"/>
          <w:lang w:eastAsia="zh-CN"/>
          <w:highlight w:val="auto"/>
        </w:rPr>
        <w:t>“走出去”展销汶川特色产品，“引进来”展示汶川良好形象。</w:t>
      </w:r>
      <w:r>
        <w:rPr>
          <w:rFonts w:ascii="仿宋_GB2312" w:eastAsia="仿宋_GB2312" w:cs="仿宋_GB2312" w:hint="eastAsia"/>
          <w:sz w:val="32"/>
          <w:szCs w:val="32"/>
          <w:lang w:eastAsia="zh-CN"/>
          <w:highlight w:val="auto"/>
        </w:rPr>
        <w:t>制定了</w:t>
      </w:r>
      <w:r>
        <w:rPr>
          <w:rFonts w:ascii="仿宋_GB2312" w:eastAsia="仿宋_GB2312" w:cs="仿宋_GB2312" w:hint="eastAsia"/>
          <w:sz w:val="32"/>
          <w:szCs w:val="32"/>
          <w:highlight w:val="auto"/>
        </w:rPr>
        <w:t>《</w:t>
      </w:r>
      <w:r>
        <w:rPr>
          <w:rFonts w:ascii="仿宋_GB2312" w:eastAsia="仿宋_GB2312" w:hint="eastAsia"/>
          <w:sz w:val="32"/>
          <w:szCs w:val="32"/>
          <w:highlight w:val="auto"/>
        </w:rPr>
        <w:t>汶川县商务发展促进专项资金使用方案</w:t>
      </w:r>
      <w:r>
        <w:rPr>
          <w:rFonts w:ascii="仿宋_GB2312" w:eastAsia="仿宋_GB2312" w:cs="仿宋_GB2312" w:hint="eastAsia"/>
          <w:sz w:val="32"/>
          <w:szCs w:val="32"/>
          <w:highlight w:val="auto"/>
        </w:rPr>
        <w:t>》</w:t>
      </w:r>
      <w:r>
        <w:rPr>
          <w:rFonts w:ascii="仿宋_GB2312" w:eastAsia="仿宋_GB2312" w:cs="仿宋_GB2312" w:hint="eastAsia"/>
          <w:sz w:val="32"/>
          <w:szCs w:val="32"/>
          <w:lang w:eastAsia="zh-CN"/>
          <w:highlight w:val="auto"/>
        </w:rPr>
        <w:t>，鼓励县内企业（专合社）对接市场。</w:t>
      </w:r>
      <w:r>
        <w:rPr>
          <w:rFonts w:ascii="仿宋_GB2312" w:eastAsia="仿宋_GB2312" w:cs="仿宋_GB2312" w:hint="eastAsia"/>
          <w:b/>
          <w:bCs/>
          <w:sz w:val="32"/>
          <w:szCs w:val="32"/>
          <w:lang w:eastAsia="zh-CN"/>
          <w:highlight w:val="auto"/>
        </w:rPr>
        <w:t>一是</w:t>
      </w:r>
      <w:r>
        <w:rPr>
          <w:rFonts w:ascii="仿宋_GB2312" w:eastAsia="仿宋_GB2312" w:cs="仿宋_GB2312" w:hint="eastAsia"/>
          <w:b/>
          <w:bCs/>
          <w:color w:val="auto"/>
          <w:sz w:val="32"/>
          <w:szCs w:val="32"/>
          <w:lang w:eastAsia="zh-CN"/>
          <w:highlight w:val="auto"/>
        </w:rPr>
        <w:t>通过对外展示展销力促商务发展。</w:t>
      </w:r>
      <w:r>
        <w:rPr>
          <w:rFonts w:ascii="仿宋_GB2312" w:eastAsia="仿宋_GB2312" w:hint="eastAsia"/>
          <w:sz w:val="32"/>
          <w:szCs w:val="32"/>
          <w:highlight w:val="auto"/>
        </w:rPr>
        <w:t>组织县内九寨茶业</w:t>
      </w:r>
      <w:r>
        <w:rPr>
          <w:rFonts w:ascii="仿宋_GB2312" w:eastAsia="仿宋_GB2312" w:hint="eastAsia"/>
          <w:sz w:val="32"/>
          <w:szCs w:val="32"/>
          <w:lang w:eastAsia="zh-CN"/>
          <w:highlight w:val="auto"/>
        </w:rPr>
        <w:t>有限公司</w:t>
      </w:r>
      <w:r>
        <w:rPr>
          <w:rFonts w:ascii="仿宋_GB2312" w:eastAsia="仿宋_GB2312" w:hint="eastAsia"/>
          <w:sz w:val="32"/>
          <w:szCs w:val="32"/>
          <w:highlight w:val="auto"/>
        </w:rPr>
        <w:t>等70余家企业、专合社、电商平台等参加了“</w:t>
      </w:r>
      <w:r>
        <w:rPr>
          <w:rFonts w:ascii="仿宋_GB2312" w:eastAsia="仿宋_GB2312" w:cs="仿宋_GB2312" w:hint="eastAsia"/>
          <w:sz w:val="32"/>
          <w:szCs w:val="32"/>
          <w:highlight w:val="auto"/>
        </w:rPr>
        <w:t>‘</w:t>
      </w:r>
      <w:r>
        <w:rPr>
          <w:rFonts w:ascii="仿宋_GB2312" w:eastAsia="仿宋_GB2312" w:hint="eastAsia"/>
          <w:sz w:val="32"/>
          <w:szCs w:val="32"/>
          <w:highlight w:val="auto"/>
        </w:rPr>
        <w:t>四川省扶贫产品</w:t>
      </w:r>
      <w:r>
        <w:rPr>
          <w:rFonts w:ascii="仿宋_GB2312" w:eastAsia="仿宋_GB2312" w:cs="仿宋_GB2312" w:hint="eastAsia"/>
          <w:sz w:val="32"/>
          <w:szCs w:val="32"/>
          <w:highlight w:val="auto"/>
        </w:rPr>
        <w:t>’</w:t>
      </w:r>
      <w:r>
        <w:rPr>
          <w:rFonts w:ascii="仿宋_GB2312" w:eastAsia="仿宋_GB2312" w:hint="eastAsia"/>
          <w:sz w:val="32"/>
          <w:szCs w:val="32"/>
          <w:highlight w:val="auto"/>
        </w:rPr>
        <w:t>2019新春大拜年.广州站活动”</w:t>
      </w:r>
      <w:r>
        <w:rPr>
          <w:rFonts w:eastAsia="仿宋_GB2312" w:hint="eastAsia"/>
          <w:sz w:val="32"/>
          <w:szCs w:val="32"/>
          <w:highlight w:val="auto"/>
        </w:rPr>
        <w:t>“扶贫产品东西部协作（浙江行）对接活动”“首届雨润新春年货购物节暨四川扶贫农特产订货展销会”“川货</w:t>
      </w:r>
      <w:r>
        <w:rPr>
          <w:rFonts w:ascii="仿宋_GB2312" w:eastAsia="仿宋_GB2312" w:hint="eastAsia"/>
          <w:kern w:val="0"/>
          <w:sz w:val="32"/>
          <w:szCs w:val="32"/>
          <w:highlight w:val="auto"/>
        </w:rPr>
        <w:t>国行暨第8届中国（广州）国际食品食材展览会”“第三届西博会暨阿坝州投资说明会”“第25届浙</w:t>
      </w:r>
      <w:r>
        <w:rPr>
          <w:rFonts w:ascii="仿宋_GB2312" w:eastAsia="仿宋_GB2312" w:hint="eastAsia"/>
          <w:color w:val="auto"/>
          <w:kern w:val="0"/>
          <w:sz w:val="32"/>
          <w:szCs w:val="32"/>
          <w:highlight w:val="auto"/>
        </w:rPr>
        <w:t>江</w:t>
      </w:r>
      <w:r>
        <w:rPr>
          <w:rFonts w:ascii="仿宋_GB2312" w:eastAsia="仿宋_GB2312" w:hint="eastAsia"/>
          <w:color w:val="auto"/>
          <w:kern w:val="0"/>
          <w:sz w:val="32"/>
          <w:szCs w:val="32"/>
        </w:rPr>
        <w:t>义乌</w:t>
      </w:r>
      <w:r>
        <w:rPr>
          <w:rFonts w:ascii="仿宋_GB2312" w:eastAsia="仿宋_GB2312" w:hint="eastAsia"/>
          <w:color w:val="auto"/>
          <w:kern w:val="0"/>
          <w:sz w:val="32"/>
          <w:szCs w:val="32"/>
          <w:highlight w:val="auto"/>
        </w:rPr>
        <w:t>国际博览会和</w:t>
      </w:r>
      <w:r>
        <w:rPr>
          <w:rFonts w:ascii="仿宋_GB2312" w:eastAsia="仿宋_GB2312" w:hint="eastAsia"/>
          <w:color w:val="auto"/>
          <w:kern w:val="0"/>
          <w:sz w:val="32"/>
          <w:szCs w:val="32"/>
        </w:rPr>
        <w:t>义乌</w:t>
      </w:r>
      <w:r>
        <w:rPr>
          <w:rFonts w:ascii="仿宋_GB2312" w:eastAsia="仿宋_GB2312" w:hint="eastAsia"/>
          <w:color w:val="auto"/>
          <w:kern w:val="0"/>
          <w:sz w:val="32"/>
          <w:szCs w:val="32"/>
          <w:highlight w:val="auto"/>
        </w:rPr>
        <w:t>森博会”等大型活动13次，</w:t>
      </w:r>
      <w:r>
        <w:rPr>
          <w:rFonts w:ascii="仿宋_GB2312" w:eastAsia="仿宋_GB2312" w:hint="eastAsia"/>
          <w:color w:val="auto"/>
          <w:kern w:val="0"/>
          <w:sz w:val="32"/>
          <w:szCs w:val="32"/>
          <w:lang w:eastAsia="zh-CN"/>
          <w:highlight w:val="auto"/>
        </w:rPr>
        <w:t>实现</w:t>
      </w:r>
      <w:r>
        <w:rPr>
          <w:rFonts w:ascii="仿宋_GB2312" w:eastAsia="仿宋_GB2312" w:hint="eastAsia"/>
          <w:color w:val="auto"/>
          <w:kern w:val="0"/>
          <w:sz w:val="32"/>
          <w:szCs w:val="32"/>
          <w:highlight w:val="auto"/>
        </w:rPr>
        <w:t>现场销售</w:t>
      </w:r>
      <w:r>
        <w:rPr>
          <w:rFonts w:ascii="仿宋_GB2312" w:eastAsia="仿宋_GB2312" w:hint="eastAsia"/>
          <w:color w:val="auto"/>
          <w:kern w:val="0"/>
          <w:sz w:val="32"/>
          <w:szCs w:val="32"/>
          <w:lang w:eastAsia="zh-CN"/>
          <w:highlight w:val="auto"/>
        </w:rPr>
        <w:t>额</w:t>
      </w:r>
      <w:r>
        <w:rPr>
          <w:rFonts w:ascii="仿宋_GB2312" w:eastAsia="仿宋_GB2312" w:hint="eastAsia"/>
          <w:color w:val="auto"/>
          <w:kern w:val="0"/>
          <w:sz w:val="32"/>
          <w:szCs w:val="32"/>
          <w:lang w:val="en-US" w:eastAsia="zh-CN"/>
          <w:highlight w:val="auto"/>
        </w:rPr>
        <w:t>580余</w:t>
      </w:r>
      <w:r>
        <w:rPr>
          <w:rFonts w:ascii="仿宋_GB2312" w:eastAsia="仿宋_GB2312" w:hint="eastAsia"/>
          <w:color w:val="auto"/>
          <w:kern w:val="0"/>
          <w:sz w:val="32"/>
          <w:szCs w:val="32"/>
          <w:highlight w:val="auto"/>
        </w:rPr>
        <w:t>万元，签订合作协议或意向性合作协议</w:t>
      </w:r>
      <w:r>
        <w:rPr>
          <w:rFonts w:ascii="仿宋_GB2312" w:eastAsia="仿宋_GB2312" w:hint="eastAsia"/>
          <w:color w:val="auto"/>
          <w:kern w:val="0"/>
          <w:sz w:val="32"/>
          <w:szCs w:val="32"/>
          <w:lang w:val="en-US" w:eastAsia="zh-CN"/>
          <w:highlight w:val="auto"/>
        </w:rPr>
        <w:t>7个，</w:t>
      </w:r>
      <w:r>
        <w:rPr>
          <w:rFonts w:ascii="仿宋_GB2312" w:eastAsia="仿宋_GB2312" w:hint="eastAsia"/>
          <w:color w:val="auto"/>
          <w:sz w:val="32"/>
          <w:szCs w:val="32"/>
          <w:highlight w:val="auto"/>
        </w:rPr>
        <w:t>进一步提升了“净土阿坝</w:t>
      </w:r>
      <w:r>
        <w:rPr>
          <w:rFonts w:ascii="仿宋_GB2312" w:eastAsia="仿宋_GB2312" w:cs="仿宋_GB2312" w:hint="eastAsia"/>
          <w:color w:val="auto"/>
          <w:sz w:val="32"/>
          <w:szCs w:val="32"/>
          <w:highlight w:val="auto"/>
        </w:rPr>
        <w:t>·</w:t>
      </w:r>
      <w:r>
        <w:rPr>
          <w:rFonts w:ascii="仿宋_GB2312" w:eastAsia="仿宋_GB2312" w:hint="eastAsia"/>
          <w:color w:val="auto"/>
          <w:sz w:val="32"/>
          <w:szCs w:val="32"/>
          <w:highlight w:val="auto"/>
        </w:rPr>
        <w:t>康养汶川”综合形象，为汶川特产打开销路、拓展市</w:t>
      </w:r>
      <w:r>
        <w:rPr>
          <w:rFonts w:ascii="仿宋_GB2312" w:eastAsia="仿宋_GB2312" w:hint="eastAsia"/>
          <w:sz w:val="32"/>
          <w:szCs w:val="32"/>
          <w:highlight w:val="auto"/>
        </w:rPr>
        <w:t>场迈出坚实步伐。</w:t>
      </w:r>
    </w:p>
    <w:p>
      <w:pPr>
        <w:wordWrap/>
        <w:autoSpaceDE w:val="0"/>
        <w:adjustRightInd/>
        <w:snapToGrid/>
        <w:spacing w:line="520" w:lineRule="exact"/>
        <w:ind w:left="0" w:right="0" w:firstLineChars="200" w:firstLine="640"/>
        <w:textAlignment w:val="auto"/>
        <w:outlineLvl w:val="9"/>
        <w:rPr>
          <w:rFonts w:ascii="仿宋_GB2312" w:eastAsia="仿宋_GB2312" w:hint="eastAsia"/>
          <w:sz w:val="32"/>
          <w:szCs w:val="32"/>
          <w:highlight w:val="auto"/>
        </w:rPr>
      </w:pPr>
      <w:r>
        <w:rPr>
          <w:rFonts w:ascii="仿宋_GB2312" w:eastAsia="仿宋_GB2312" w:hint="eastAsia"/>
          <w:sz w:val="32"/>
          <w:szCs w:val="32"/>
          <w:lang w:val="en-US" w:eastAsia="zh-CN"/>
          <w:highlight w:val="auto"/>
        </w:rPr>
        <w:t>(2</w:t>
      </w:r>
      <w:r>
        <w:rPr>
          <w:rFonts w:ascii="仿宋_GB2312" w:eastAsia="仿宋_GB2312" w:hint="eastAsia"/>
          <w:b/>
          <w:bCs/>
          <w:sz w:val="32"/>
          <w:szCs w:val="32"/>
          <w:lang w:val="en-US" w:eastAsia="zh-CN"/>
          <w:highlight w:val="auto"/>
        </w:rPr>
        <w:t>)</w:t>
      </w:r>
      <w:r>
        <w:rPr>
          <w:rFonts w:ascii="仿宋_GB2312" w:eastAsia="仿宋_GB2312" w:hint="eastAsia"/>
          <w:b/>
          <w:bCs/>
          <w:color w:val="auto"/>
          <w:sz w:val="32"/>
          <w:szCs w:val="32"/>
          <w:highlight w:val="auto"/>
        </w:rPr>
        <w:t>组织县内活动</w:t>
      </w:r>
      <w:r>
        <w:rPr>
          <w:rFonts w:ascii="仿宋_GB2312" w:eastAsia="仿宋_GB2312" w:hint="eastAsia"/>
          <w:b/>
          <w:bCs/>
          <w:color w:val="auto"/>
          <w:sz w:val="32"/>
          <w:szCs w:val="32"/>
          <w:lang w:eastAsia="zh-CN"/>
          <w:highlight w:val="auto"/>
        </w:rPr>
        <w:t>，帮助贫困户脱贫奔康。</w:t>
      </w:r>
      <w:r>
        <w:rPr>
          <w:rFonts w:ascii="仿宋_GB2312" w:eastAsia="仿宋_GB2312" w:hint="eastAsia"/>
          <w:b w:val="0"/>
          <w:bCs w:val="0"/>
          <w:sz w:val="32"/>
          <w:szCs w:val="32"/>
          <w:highlight w:val="auto"/>
        </w:rPr>
        <w:t>会</w:t>
      </w:r>
      <w:r>
        <w:rPr>
          <w:rFonts w:ascii="仿宋_GB2312" w:eastAsia="仿宋_GB2312" w:hint="eastAsia"/>
          <w:sz w:val="32"/>
          <w:szCs w:val="32"/>
          <w:highlight w:val="auto"/>
        </w:rPr>
        <w:t>同</w:t>
      </w:r>
      <w:r>
        <w:rPr>
          <w:rFonts w:ascii="仿宋_GB2312" w:eastAsia="仿宋_GB2312" w:hint="eastAsia"/>
          <w:sz w:val="32"/>
          <w:szCs w:val="32"/>
          <w:lang w:eastAsia="zh-CN"/>
          <w:highlight w:val="auto"/>
        </w:rPr>
        <w:t>县级相关部门</w:t>
      </w:r>
      <w:r>
        <w:rPr>
          <w:rFonts w:ascii="仿宋_GB2312" w:eastAsia="仿宋_GB2312" w:hint="eastAsia"/>
          <w:sz w:val="32"/>
          <w:szCs w:val="32"/>
          <w:highlight w:val="auto"/>
        </w:rPr>
        <w:t>承办“2019汶川马拉松赛和四川花卉（果类</w:t>
      </w:r>
      <w:r>
        <w:rPr>
          <w:rFonts w:ascii="仿宋_GB2312" w:eastAsia="仿宋_GB2312" w:hint="eastAsia"/>
          <w:color w:val="auto"/>
          <w:sz w:val="32"/>
          <w:szCs w:val="32"/>
          <w:highlight w:val="auto"/>
        </w:rPr>
        <w:t>）生态旅游节分会场暨汶川樱桃采摘节”</w:t>
      </w:r>
      <w:r>
        <w:rPr>
          <w:rFonts w:ascii="仿宋_GB2312" w:eastAsia="仿宋_GB2312" w:hint="eastAsia"/>
          <w:color w:val="auto"/>
          <w:sz w:val="32"/>
          <w:szCs w:val="32"/>
          <w:lang w:eastAsia="zh-CN"/>
          <w:highlight w:val="auto"/>
        </w:rPr>
        <w:t>，</w:t>
      </w:r>
      <w:r>
        <w:rPr>
          <w:rFonts w:ascii="仿宋_GB2312" w:eastAsia="仿宋_GB2312" w:hint="eastAsia"/>
          <w:color w:val="auto"/>
          <w:sz w:val="32"/>
          <w:szCs w:val="32"/>
          <w:highlight w:val="auto"/>
        </w:rPr>
        <w:t>组织县内专合社、电商、物流等30余家企业参加展示展销，以代销建档立卡贫困户的农副产品为主，切实为贫困户带来直接经济效益48余万元，</w:t>
      </w:r>
      <w:r>
        <w:rPr>
          <w:rFonts w:ascii="仿宋_GB2312" w:eastAsia="仿宋_GB2312" w:hint="eastAsia"/>
          <w:sz w:val="32"/>
          <w:szCs w:val="32"/>
          <w:highlight w:val="auto"/>
        </w:rPr>
        <w:t>有效</w:t>
      </w:r>
      <w:r>
        <w:rPr>
          <w:rFonts w:ascii="仿宋_GB2312" w:eastAsia="仿宋_GB2312" w:hint="eastAsia"/>
          <w:sz w:val="32"/>
          <w:szCs w:val="32"/>
          <w:lang w:eastAsia="zh-CN"/>
          <w:highlight w:val="auto"/>
        </w:rPr>
        <w:t>帮助贫困户脱贫增收。</w:t>
      </w:r>
    </w:p>
    <w:p>
      <w:pPr>
        <w:wordWrap/>
        <w:autoSpaceDE w:val="0"/>
        <w:adjustRightInd/>
        <w:snapToGrid/>
        <w:spacing w:line="520" w:lineRule="exact"/>
        <w:ind w:left="0" w:right="0" w:firstLineChars="200" w:firstLine="640"/>
        <w:textAlignment w:val="auto"/>
        <w:outlineLvl w:val="9"/>
        <w:rPr>
          <w:rFonts w:ascii="仿宋_GB2312" w:eastAsia="仿宋_GB2312" w:cs="仿宋_GB2312" w:hint="eastAsia"/>
          <w:color w:val="auto"/>
          <w:sz w:val="32"/>
          <w:szCs w:val="32"/>
          <w:lang w:eastAsia="zh-CN"/>
          <w:highlight w:val="auto"/>
        </w:rPr>
      </w:pPr>
      <w:r>
        <w:rPr>
          <w:rFonts w:ascii="仿宋_GB2312" w:eastAsia="仿宋_GB2312" w:hint="eastAsia"/>
          <w:b/>
          <w:bCs/>
          <w:sz w:val="32"/>
          <w:szCs w:val="32"/>
          <w:lang w:val="en-US" w:eastAsia="zh-CN"/>
          <w:highlight w:val="auto"/>
        </w:rPr>
        <w:t>(3)</w:t>
      </w:r>
      <w:r>
        <w:rPr>
          <w:rFonts w:ascii="仿宋_GB2312" w:eastAsia="仿宋_GB2312" w:hint="eastAsia"/>
          <w:b/>
          <w:bCs/>
          <w:sz w:val="32"/>
          <w:szCs w:val="32"/>
          <w:lang w:eastAsia="zh-CN"/>
          <w:highlight w:val="auto"/>
        </w:rPr>
        <w:t>严谨灵活推进消费扶贫项目，项目完成进度和资金拨付进度均为</w:t>
      </w:r>
      <w:r>
        <w:rPr>
          <w:rFonts w:ascii="仿宋_GB2312" w:eastAsia="仿宋_GB2312" w:hint="eastAsia"/>
          <w:b/>
          <w:bCs/>
          <w:sz w:val="32"/>
          <w:szCs w:val="32"/>
          <w:lang w:val="en-US" w:eastAsia="zh-CN"/>
          <w:highlight w:val="auto"/>
        </w:rPr>
        <w:t>100%。</w:t>
      </w:r>
      <w:r>
        <w:rPr>
          <w:rFonts w:ascii="仿宋_GB2312" w:eastAsia="仿宋_GB2312" w:hint="eastAsia"/>
          <w:b w:val="0"/>
          <w:bCs w:val="0"/>
          <w:sz w:val="32"/>
          <w:szCs w:val="32"/>
          <w:lang w:val="en-US" w:eastAsia="zh-CN"/>
          <w:highlight w:val="auto"/>
        </w:rPr>
        <w:t>按照严谨灵活的方式推进东西部扶贫协作消费扶贫项目，制定了</w:t>
      </w:r>
      <w:r>
        <w:rPr>
          <w:rFonts w:ascii="仿宋_GB2312" w:eastAsia="仿宋_GB2312" w:cs="仿宋_GB2312" w:hint="eastAsia"/>
          <w:b w:val="0"/>
          <w:bCs w:val="0"/>
          <w:sz w:val="32"/>
          <w:szCs w:val="32"/>
          <w:highlight w:val="auto"/>
        </w:rPr>
        <w:t>《汶川县消费扶贫项目资金使用方案》，</w:t>
      </w:r>
      <w:r>
        <w:rPr>
          <w:rFonts w:ascii="仿宋_GB2312" w:eastAsia="仿宋_GB2312" w:cs="仿宋_GB2312" w:hint="eastAsia"/>
          <w:b w:val="0"/>
          <w:bCs w:val="0"/>
          <w:sz w:val="32"/>
          <w:szCs w:val="32"/>
          <w:lang w:eastAsia="zh-CN"/>
          <w:highlight w:val="auto"/>
        </w:rPr>
        <w:t>在全县统筹基础上，充分征求、听取各乡镇消费扶贫需求，合力合理推进项目进度，截止</w:t>
      </w:r>
      <w:r>
        <w:rPr>
          <w:rFonts w:ascii="仿宋_GB2312" w:eastAsia="仿宋_GB2312" w:cs="仿宋_GB2312" w:hint="eastAsia"/>
          <w:b w:val="0"/>
          <w:bCs w:val="0"/>
          <w:sz w:val="32"/>
          <w:szCs w:val="32"/>
          <w:lang w:val="en-US" w:eastAsia="zh-CN"/>
          <w:highlight w:val="auto"/>
        </w:rPr>
        <w:t>11月，已完成全部消费扶贫项目，资金拨付进度达到100%。</w:t>
      </w:r>
      <w:r>
        <w:rPr>
          <w:rFonts w:ascii="仿宋_GB2312" w:eastAsia="仿宋_GB2312" w:cs="仿宋_GB2312" w:hint="eastAsia"/>
          <w:color w:val="auto"/>
          <w:sz w:val="32"/>
          <w:szCs w:val="32"/>
          <w:highlight w:val="auto"/>
        </w:rPr>
        <w:t>通过项目资金惠及贫困人口生产劳动就业达150余人次，</w:t>
      </w:r>
      <w:r>
        <w:rPr>
          <w:rFonts w:ascii="仿宋_GB2312" w:eastAsia="仿宋_GB2312" w:cs="仿宋_GB2312" w:hint="eastAsia"/>
          <w:color w:val="auto"/>
          <w:sz w:val="32"/>
          <w:szCs w:val="32"/>
          <w:lang w:eastAsia="zh-CN"/>
          <w:highlight w:val="auto"/>
        </w:rPr>
        <w:t>帮助贫困户实现增收</w:t>
      </w:r>
      <w:r>
        <w:rPr>
          <w:rFonts w:ascii="仿宋_GB2312" w:eastAsia="仿宋_GB2312" w:cs="仿宋_GB2312" w:hint="eastAsia"/>
          <w:color w:val="auto"/>
          <w:sz w:val="32"/>
          <w:szCs w:val="32"/>
          <w:highlight w:val="auto"/>
        </w:rPr>
        <w:t>167.85万元，</w:t>
      </w:r>
      <w:r>
        <w:rPr>
          <w:rFonts w:ascii="仿宋_GB2312" w:eastAsia="仿宋_GB2312" w:cs="仿宋_GB2312" w:hint="eastAsia"/>
          <w:color w:val="auto"/>
          <w:sz w:val="32"/>
          <w:szCs w:val="32"/>
          <w:lang w:eastAsia="zh-CN"/>
          <w:highlight w:val="auto"/>
        </w:rPr>
        <w:t>有效发挥了消费扶贫资金的杠杆作用。</w:t>
      </w:r>
    </w:p>
    <w:p>
      <w:pPr>
        <w:wordWrap/>
        <w:adjustRightInd/>
        <w:snapToGrid/>
        <w:spacing w:line="520" w:lineRule="exact"/>
        <w:ind w:left="0" w:right="0" w:firstLineChars="200" w:firstLine="640"/>
        <w:textAlignment w:val="auto"/>
        <w:outlineLvl w:val="9"/>
        <w:rPr>
          <w:rFonts w:ascii="楷体" w:eastAsia="楷体" w:cs="楷体" w:hint="eastAsia"/>
          <w:b/>
          <w:bCs/>
          <w:sz w:val="32"/>
          <w:szCs w:val="32"/>
          <w:highlight w:val="auto"/>
        </w:rPr>
      </w:pPr>
      <w:r>
        <w:rPr>
          <w:rFonts w:ascii="楷体" w:eastAsia="楷体" w:cs="楷体" w:hint="eastAsia"/>
          <w:b/>
          <w:bCs/>
          <w:sz w:val="32"/>
          <w:szCs w:val="32"/>
          <w:lang w:val="en-US" w:eastAsia="zh-CN"/>
          <w:highlight w:val="auto"/>
        </w:rPr>
        <w:t>3.全心全情推进</w:t>
      </w:r>
      <w:r>
        <w:rPr>
          <w:rFonts w:ascii="楷体" w:eastAsia="楷体" w:cs="楷体" w:hint="eastAsia"/>
          <w:b/>
          <w:bCs/>
          <w:sz w:val="32"/>
          <w:szCs w:val="32"/>
          <w:highlight w:val="auto"/>
        </w:rPr>
        <w:t>脱贫攻坚</w:t>
      </w:r>
      <w:r>
        <w:rPr>
          <w:rFonts w:ascii="楷体" w:eastAsia="楷体" w:cs="楷体" w:hint="eastAsia"/>
          <w:b/>
          <w:bCs/>
          <w:sz w:val="32"/>
          <w:szCs w:val="32"/>
          <w:lang w:eastAsia="zh-CN"/>
          <w:highlight w:val="auto"/>
        </w:rPr>
        <w:t>，确保与全国全省同步小康。</w:t>
      </w:r>
    </w:p>
    <w:p>
      <w:pPr>
        <w:wordWrap/>
        <w:adjustRightInd/>
        <w:snapToGrid/>
        <w:spacing w:line="520" w:lineRule="exact"/>
        <w:ind w:left="0" w:right="0" w:firstLineChars="200" w:firstLine="640"/>
        <w:textAlignment w:val="auto"/>
        <w:outlineLvl w:val="9"/>
        <w:rPr>
          <w:rFonts w:ascii="仿宋_GB2312" w:eastAsia="仿宋_GB2312" w:cs="仿宋_GB2312" w:hint="eastAsia"/>
          <w:bCs/>
          <w:sz w:val="32"/>
          <w:szCs w:val="32"/>
          <w:highlight w:val="auto"/>
        </w:rPr>
      </w:pPr>
      <w:r>
        <w:rPr>
          <w:rFonts w:ascii="仿宋_GB2312" w:eastAsia="仿宋_GB2312" w:cs="仿宋_GB2312" w:hint="eastAsia"/>
          <w:b/>
          <w:bCs/>
          <w:sz w:val="32"/>
          <w:szCs w:val="32"/>
          <w:lang w:val="en-US" w:eastAsia="zh-CN"/>
          <w:highlight w:val="auto"/>
        </w:rPr>
        <w:t>(1)</w:t>
      </w:r>
      <w:r>
        <w:rPr>
          <w:rFonts w:ascii="仿宋_GB2312" w:eastAsia="仿宋_GB2312" w:cs="仿宋_GB2312" w:hint="eastAsia"/>
          <w:b/>
          <w:bCs/>
          <w:sz w:val="32"/>
          <w:szCs w:val="32"/>
          <w:lang w:eastAsia="zh-CN"/>
          <w:highlight w:val="auto"/>
        </w:rPr>
        <w:t>党建引领注入脱贫强心针。</w:t>
      </w:r>
      <w:r>
        <w:rPr>
          <w:rFonts w:ascii="仿宋_GB2312" w:eastAsia="仿宋_GB2312" w:cs="仿宋_GB2312" w:hint="eastAsia"/>
          <w:b w:val="0"/>
          <w:bCs w:val="0"/>
          <w:sz w:val="32"/>
          <w:szCs w:val="32"/>
          <w:lang w:eastAsia="zh-CN"/>
          <w:highlight w:val="auto"/>
        </w:rPr>
        <w:t>坚持抓党建促脱贫、促乡村振兴战略部署，</w:t>
      </w:r>
      <w:r>
        <w:rPr>
          <w:rFonts w:ascii="仿宋_GB2312" w:eastAsia="仿宋_GB2312" w:cs="仿宋_GB2312" w:hint="eastAsia"/>
          <w:sz w:val="32"/>
          <w:szCs w:val="32"/>
          <w:highlight w:val="auto"/>
        </w:rPr>
        <w:t>利用“七·一”建党节，</w:t>
      </w:r>
      <w:r>
        <w:rPr>
          <w:rFonts w:ascii="仿宋_GB2312" w:eastAsia="仿宋_GB2312" w:cs="仿宋_GB2312" w:hint="eastAsia"/>
          <w:sz w:val="32"/>
          <w:szCs w:val="32"/>
          <w:lang w:eastAsia="zh-CN"/>
          <w:highlight w:val="auto"/>
        </w:rPr>
        <w:t>单位自筹经费</w:t>
      </w:r>
      <w:r>
        <w:rPr>
          <w:rFonts w:ascii="仿宋_GB2312" w:eastAsia="仿宋_GB2312" w:cs="仿宋_GB2312" w:hint="eastAsia"/>
          <w:sz w:val="32"/>
          <w:szCs w:val="32"/>
          <w:lang w:val="en-US" w:eastAsia="zh-CN"/>
          <w:highlight w:val="auto"/>
        </w:rPr>
        <w:t>8000余元，</w:t>
      </w:r>
      <w:r>
        <w:rPr>
          <w:rFonts w:ascii="仿宋_GB2312" w:eastAsia="仿宋_GB2312" w:cs="仿宋_GB2312" w:hint="eastAsia"/>
          <w:sz w:val="32"/>
          <w:szCs w:val="32"/>
          <w:highlight w:val="auto"/>
        </w:rPr>
        <w:t>组织单位党员干部、绵虒镇分管领导、羌锋村驻村干部、羌锋村委会党员干部和老党员33人，到映秀爱国主义教育基地接受爱国主义教育，重温入党誓词</w:t>
      </w:r>
      <w:r>
        <w:rPr>
          <w:rFonts w:ascii="仿宋_GB2312" w:eastAsia="仿宋_GB2312" w:cs="仿宋_GB2312" w:hint="eastAsia"/>
          <w:sz w:val="32"/>
          <w:szCs w:val="32"/>
          <w:lang w:eastAsia="zh-CN"/>
          <w:highlight w:val="auto"/>
        </w:rPr>
        <w:t>，激发党员干部政治热情，激励全体党员干部“不忘初心、牢记使命”，坚决为脱贫攻坚、乡村振兴、同步小康努力奋斗</w:t>
      </w:r>
      <w:r>
        <w:rPr>
          <w:rFonts w:ascii="仿宋_GB2312" w:eastAsia="仿宋_GB2312" w:cs="仿宋_GB2312" w:hint="eastAsia"/>
          <w:sz w:val="32"/>
          <w:szCs w:val="32"/>
          <w:highlight w:val="auto"/>
        </w:rPr>
        <w:t>。</w:t>
      </w:r>
      <w:r>
        <w:rPr>
          <w:rFonts w:ascii="仿宋_GB2312" w:eastAsia="仿宋_GB2312" w:cs="仿宋_GB2312" w:hint="eastAsia"/>
          <w:sz w:val="32"/>
          <w:szCs w:val="32"/>
          <w:lang w:eastAsia="zh-CN"/>
          <w:highlight w:val="auto"/>
        </w:rPr>
        <w:t>紧紧围绕</w:t>
      </w:r>
      <w:r>
        <w:rPr>
          <w:rFonts w:ascii="仿宋_GB2312" w:eastAsia="仿宋_GB2312" w:cs="仿宋_GB2312" w:hint="eastAsia"/>
          <w:sz w:val="32"/>
          <w:szCs w:val="32"/>
          <w:highlight w:val="auto"/>
        </w:rPr>
        <w:t>“户户入、入户户”</w:t>
      </w:r>
      <w:r>
        <w:rPr>
          <w:rFonts w:ascii="仿宋_GB2312" w:eastAsia="仿宋_GB2312" w:cs="仿宋_GB2312" w:hint="eastAsia"/>
          <w:sz w:val="32"/>
          <w:szCs w:val="32"/>
          <w:lang w:eastAsia="zh-CN"/>
          <w:highlight w:val="auto"/>
        </w:rPr>
        <w:t>新时代群众工作法，深入推进</w:t>
      </w:r>
      <w:r>
        <w:rPr>
          <w:rFonts w:ascii="仿宋_GB2312" w:eastAsia="仿宋_GB2312" w:cs="仿宋_GB2312" w:hint="eastAsia"/>
          <w:sz w:val="32"/>
          <w:szCs w:val="32"/>
          <w:highlight w:val="auto"/>
        </w:rPr>
        <w:t>“两联一进”</w:t>
      </w:r>
      <w:r>
        <w:rPr>
          <w:rFonts w:ascii="仿宋_GB2312" w:eastAsia="仿宋_GB2312" w:cs="仿宋_GB2312" w:hint="eastAsia"/>
          <w:sz w:val="32"/>
          <w:szCs w:val="32"/>
          <w:lang w:eastAsia="zh-CN"/>
          <w:highlight w:val="auto"/>
        </w:rPr>
        <w:t>工作</w:t>
      </w:r>
      <w:r>
        <w:rPr>
          <w:rFonts w:ascii="仿宋_GB2312" w:eastAsia="仿宋_GB2312" w:cs="仿宋_GB2312" w:hint="eastAsia"/>
          <w:sz w:val="32"/>
          <w:szCs w:val="32"/>
          <w:highlight w:val="auto"/>
        </w:rPr>
        <w:t>，全年入户300余户，持续宣讲党的惠农政策400余人次，为羌锋村21户、白果坪村9户建档立卡贫困户算好账、做好政策解读和宣教工作。</w:t>
      </w:r>
      <w:r>
        <w:rPr>
          <w:rFonts w:ascii="仿宋_GB2312" w:eastAsia="仿宋_GB2312" w:cs="仿宋_GB2312" w:hint="eastAsia"/>
          <w:bCs/>
          <w:sz w:val="32"/>
          <w:szCs w:val="32"/>
          <w:highlight w:val="auto"/>
        </w:rPr>
        <w:t>积极配合州级、县级交叉检查2次，协助完成问卷调查80余份，及时整改</w:t>
      </w:r>
      <w:bookmarkStart w:id="21" w:name="_GoBack"/>
      <w:bookmarkEnd w:id="21"/>
      <w:r>
        <w:rPr>
          <w:rFonts w:ascii="仿宋_GB2312" w:eastAsia="仿宋_GB2312" w:cs="仿宋_GB2312" w:hint="eastAsia"/>
          <w:bCs/>
          <w:sz w:val="32"/>
          <w:szCs w:val="32"/>
          <w:highlight w:val="auto"/>
        </w:rPr>
        <w:t>省州回头看检查存在的建档立卡贫困户部分信息不符、更新不及时、填写不规范等问题。</w:t>
      </w:r>
    </w:p>
    <w:p>
      <w:pPr>
        <w:wordWrap/>
        <w:adjustRightInd/>
        <w:snapToGrid/>
        <w:spacing w:line="520" w:lineRule="exact"/>
        <w:ind w:left="0" w:right="0" w:firstLineChars="200" w:firstLine="640"/>
        <w:textAlignment w:val="auto"/>
        <w:outlineLvl w:val="9"/>
        <w:rPr>
          <w:rFonts w:ascii="仿宋_GB2312" w:eastAsia="仿宋_GB2312" w:cs="仿宋_GB2312" w:hint="eastAsia"/>
          <w:sz w:val="32"/>
          <w:szCs w:val="32"/>
          <w:lang w:val="en-US" w:eastAsia="zh-CN"/>
          <w:highlight w:val="auto"/>
        </w:rPr>
      </w:pPr>
      <w:r>
        <w:rPr>
          <w:rFonts w:ascii="仿宋_GB2312" w:eastAsia="仿宋_GB2312" w:cs="仿宋_GB2312" w:hint="eastAsia"/>
          <w:b/>
          <w:bCs/>
          <w:sz w:val="32"/>
          <w:szCs w:val="32"/>
          <w:lang w:val="en-US" w:eastAsia="zh-CN"/>
          <w:highlight w:val="auto"/>
        </w:rPr>
        <w:t>(2)</w:t>
      </w:r>
      <w:r>
        <w:rPr>
          <w:rFonts w:ascii="仿宋_GB2312" w:eastAsia="仿宋_GB2312" w:cs="仿宋_GB2312" w:hint="eastAsia"/>
          <w:b/>
          <w:bCs/>
          <w:sz w:val="32"/>
          <w:szCs w:val="32"/>
          <w:lang w:eastAsia="zh-CN"/>
          <w:highlight w:val="auto"/>
        </w:rPr>
        <w:t>扶贫扶志提振重建家园信心。</w:t>
      </w:r>
      <w:r>
        <w:rPr>
          <w:rFonts w:ascii="仿宋_GB2312" w:eastAsia="仿宋_GB2312" w:cs="仿宋_GB2312" w:hint="eastAsia"/>
          <w:b w:val="0"/>
          <w:bCs w:val="0"/>
          <w:sz w:val="32"/>
          <w:szCs w:val="32"/>
          <w:lang w:val="en-US" w:eastAsia="zh-CN"/>
          <w:highlight w:val="auto"/>
        </w:rPr>
        <w:t>2019</w:t>
      </w:r>
      <w:r>
        <w:rPr>
          <w:rFonts w:ascii="仿宋_GB2312" w:eastAsia="仿宋_GB2312" w:cs="仿宋_GB2312" w:hint="eastAsia"/>
          <w:b w:val="0"/>
          <w:bCs w:val="0"/>
          <w:sz w:val="32"/>
          <w:szCs w:val="32"/>
          <w:lang w:eastAsia="zh-CN"/>
          <w:highlight w:val="auto"/>
        </w:rPr>
        <w:t>年</w:t>
      </w:r>
      <w:r>
        <w:rPr>
          <w:rFonts w:ascii="仿宋_GB2312" w:eastAsia="仿宋_GB2312" w:cs="仿宋_GB2312" w:hint="eastAsia"/>
          <w:b w:val="0"/>
          <w:bCs w:val="0"/>
          <w:sz w:val="32"/>
          <w:szCs w:val="32"/>
          <w:lang w:val="en-US" w:eastAsia="zh-CN"/>
          <w:highlight w:val="auto"/>
        </w:rPr>
        <w:t>8月20日，我县遭受强降雨特大山洪泥石流灾害，羌锋村是重灾区之一，全村57户不同程度受灾，其中有15户房屋完全被冲毁。面对灾情，党和国家第一时间出现在受灾群众身边，在县委、县政府的统一指挥下，我中心</w:t>
      </w:r>
      <w:r>
        <w:rPr>
          <w:rFonts w:ascii="仿宋_GB2312" w:eastAsia="仿宋_GB2312" w:cs="仿宋_GB2312" w:hint="eastAsia"/>
          <w:b/>
          <w:bCs/>
          <w:sz w:val="32"/>
          <w:szCs w:val="32"/>
          <w:lang w:val="en-US" w:eastAsia="zh-CN"/>
          <w:highlight w:val="auto"/>
        </w:rPr>
        <w:t>一是</w:t>
      </w:r>
      <w:r>
        <w:rPr>
          <w:rFonts w:ascii="仿宋_GB2312" w:eastAsia="仿宋_GB2312" w:cs="仿宋_GB2312" w:hint="eastAsia"/>
          <w:sz w:val="32"/>
          <w:szCs w:val="32"/>
          <w:highlight w:val="auto"/>
        </w:rPr>
        <w:t>积极参与汶川县“8.20”特大山洪泥石流灾害抢险救灾安置工作，先后组织80余人次投入到羌锋村抢险救灾安置工作中，捐赠价值2700余元的方便饭（面）、矿泉水等应急救灾物资；</w:t>
      </w:r>
      <w:r>
        <w:rPr>
          <w:rFonts w:ascii="仿宋_GB2312" w:eastAsia="仿宋_GB2312" w:cs="仿宋_GB2312" w:hint="eastAsia"/>
          <w:b/>
          <w:bCs/>
          <w:sz w:val="32"/>
          <w:szCs w:val="32"/>
          <w:lang w:eastAsia="zh-CN"/>
          <w:highlight w:val="auto"/>
        </w:rPr>
        <w:t>二是</w:t>
      </w:r>
      <w:r>
        <w:rPr>
          <w:rFonts w:ascii="仿宋_GB2312" w:eastAsia="仿宋_GB2312" w:cs="仿宋_GB2312" w:hint="eastAsia"/>
          <w:sz w:val="32"/>
          <w:szCs w:val="32"/>
          <w:highlight w:val="auto"/>
        </w:rPr>
        <w:t>主动联系四川省现代物流发展促进会，通过众筹，向羌锋村捐赠棉被、棉衣、大米、食用油等扶贫救灾物资和现金共计10万余元。</w:t>
      </w:r>
      <w:r>
        <w:rPr>
          <w:rFonts w:ascii="仿宋_GB2312" w:eastAsia="仿宋_GB2312" w:cs="仿宋_GB2312" w:hint="eastAsia"/>
          <w:sz w:val="32"/>
          <w:szCs w:val="32"/>
          <w:lang w:val="en-US" w:eastAsia="zh-CN"/>
          <w:highlight w:val="auto"/>
        </w:rPr>
        <w:t xml:space="preserve">  </w:t>
      </w:r>
    </w:p>
    <w:p>
      <w:pPr>
        <w:wordWrap/>
        <w:adjustRightInd/>
        <w:snapToGrid/>
        <w:spacing w:line="520" w:lineRule="exact"/>
        <w:ind w:left="0" w:right="0" w:firstLineChars="200" w:firstLine="640"/>
        <w:textAlignment w:val="auto"/>
        <w:outlineLvl w:val="9"/>
        <w:rPr>
          <w:rFonts w:ascii="仿宋_GB2312" w:eastAsia="仿宋_GB2312" w:cs="仿宋_GB2312" w:hint="eastAsia"/>
          <w:sz w:val="32"/>
          <w:szCs w:val="32"/>
          <w:highlight w:val="auto"/>
        </w:rPr>
      </w:pPr>
      <w:r>
        <w:rPr>
          <w:rFonts w:ascii="仿宋_GB2312" w:eastAsia="仿宋_GB2312" w:cs="仿宋_GB2312" w:hint="eastAsia"/>
          <w:sz w:val="32"/>
          <w:szCs w:val="32"/>
          <w:lang w:val="en-US" w:eastAsia="zh-CN"/>
          <w:highlight w:val="auto"/>
        </w:rPr>
        <w:t>(</w:t>
      </w:r>
      <w:r>
        <w:rPr>
          <w:rFonts w:ascii="仿宋_GB2312" w:eastAsia="仿宋_GB2312" w:cs="仿宋_GB2312" w:hint="eastAsia"/>
          <w:b/>
          <w:bCs/>
          <w:sz w:val="32"/>
          <w:szCs w:val="32"/>
          <w:lang w:val="en-US" w:eastAsia="zh-CN"/>
          <w:highlight w:val="auto"/>
        </w:rPr>
        <w:t>3)</w:t>
      </w:r>
      <w:r>
        <w:rPr>
          <w:rFonts w:ascii="仿宋_GB2312" w:eastAsia="仿宋_GB2312" w:cs="仿宋_GB2312" w:hint="eastAsia"/>
          <w:sz w:val="32"/>
          <w:szCs w:val="32"/>
          <w:lang w:eastAsia="zh-CN"/>
          <w:highlight w:val="auto"/>
        </w:rPr>
        <w:t>为提振羌锋村人民重建家园的信心，值</w:t>
      </w:r>
      <w:r>
        <w:rPr>
          <w:rFonts w:ascii="仿宋_GB2312" w:eastAsia="仿宋_GB2312" w:cs="仿宋_GB2312" w:hint="eastAsia"/>
          <w:sz w:val="32"/>
          <w:szCs w:val="32"/>
          <w:lang w:eastAsia="zh-CN"/>
        </w:rPr>
        <w:t>新中国成立</w:t>
      </w:r>
      <w:r>
        <w:rPr>
          <w:rFonts w:ascii="仿宋_GB2312" w:eastAsia="仿宋_GB2312" w:cs="仿宋_GB2312" w:hint="eastAsia"/>
          <w:sz w:val="32"/>
          <w:szCs w:val="32"/>
          <w:lang w:val="en-US" w:eastAsia="zh-CN"/>
          <w:highlight w:val="auto"/>
        </w:rPr>
        <w:t>70周年之际，利用羌族人民共同的节日“羌历年”，</w:t>
      </w:r>
      <w:r>
        <w:rPr>
          <w:rFonts w:ascii="仿宋_GB2312" w:eastAsia="仿宋_GB2312" w:cs="仿宋_GB2312" w:hint="eastAsia"/>
          <w:sz w:val="32"/>
          <w:szCs w:val="32"/>
          <w:lang w:eastAsia="zh-CN"/>
          <w:highlight w:val="auto"/>
        </w:rPr>
        <w:t>我中心</w:t>
      </w:r>
      <w:r>
        <w:rPr>
          <w:rFonts w:ascii="仿宋_GB2312" w:eastAsia="仿宋_GB2312" w:cs="仿宋_GB2312" w:hint="eastAsia"/>
          <w:sz w:val="32"/>
          <w:szCs w:val="32"/>
          <w:highlight w:val="auto"/>
        </w:rPr>
        <w:t xml:space="preserve">自筹经费20000元，与羌锋村共同主办“礼赞新中国·奋进新汶川”2019年羌锋村庆羌年活动，并在活动中为群众宣讲《让感恩成为汶川人的自觉》，引导群众“感恩党、感恩祖国、感恩手足之情”，在县委、县政府的坚强领导下，苦干实干拼命干，重建更加美丽的羌锋村，过上更加幸福的生活。 </w:t>
      </w:r>
    </w:p>
    <w:p>
      <w:pPr>
        <w:wordWrap/>
        <w:adjustRightInd/>
        <w:snapToGrid/>
        <w:spacing w:line="520" w:lineRule="exact"/>
        <w:ind w:left="0" w:right="0" w:firstLineChars="200" w:firstLine="640"/>
        <w:textAlignment w:val="auto"/>
        <w:outlineLvl w:val="9"/>
        <w:rPr>
          <w:rFonts w:ascii="楷体" w:eastAsia="楷体" w:cs="楷体" w:hint="eastAsia"/>
          <w:b/>
          <w:bCs/>
          <w:sz w:val="32"/>
          <w:szCs w:val="32"/>
          <w:lang w:val="en-US" w:eastAsia="zh-CN"/>
          <w:highlight w:val="auto"/>
        </w:rPr>
      </w:pPr>
      <w:r>
        <w:rPr>
          <w:rFonts w:ascii="楷体" w:eastAsia="楷体" w:cs="楷体" w:hint="eastAsia"/>
          <w:b/>
          <w:bCs/>
          <w:sz w:val="32"/>
          <w:szCs w:val="32"/>
          <w:lang w:val="en-US" w:eastAsia="zh-CN"/>
          <w:highlight w:val="auto"/>
        </w:rPr>
        <w:t>（4）高度重视宣传工作，弘扬传播社会正能量。</w:t>
      </w:r>
    </w:p>
    <w:p>
      <w:pPr>
        <w:wordWrap/>
        <w:adjustRightInd/>
        <w:snapToGrid/>
        <w:spacing w:line="520" w:lineRule="exact"/>
        <w:ind w:left="0" w:right="0"/>
        <w:textAlignment w:val="auto"/>
        <w:outlineLvl w:val="9"/>
        <w:rPr>
          <w:rFonts w:ascii="仿宋_GB2312" w:eastAsia="仿宋_GB2312" w:cs="仿宋_GB2312" w:hint="eastAsia"/>
          <w:b/>
          <w:bCs/>
          <w:color w:val="FF0000"/>
          <w:sz w:val="32"/>
          <w:szCs w:val="32"/>
          <w:lang w:eastAsia="zh-CN"/>
          <w:highlight w:val="auto"/>
        </w:rPr>
      </w:pPr>
      <w:r>
        <w:rPr>
          <w:rFonts w:ascii="仿宋_GB2312" w:eastAsia="仿宋_GB2312" w:cs="仿宋_GB2312" w:hint="eastAsia"/>
          <w:b w:val="0"/>
          <w:bCs w:val="0"/>
          <w:sz w:val="32"/>
          <w:szCs w:val="32"/>
          <w:lang w:val="en-US" w:eastAsia="zh-CN"/>
          <w:highlight w:val="auto"/>
        </w:rPr>
        <w:t xml:space="preserve">   </w:t>
      </w:r>
      <w:r>
        <w:rPr>
          <w:rFonts w:ascii="仿宋_GB2312" w:eastAsia="仿宋_GB2312" w:cs="仿宋_GB2312" w:hint="eastAsia"/>
          <w:b w:val="0"/>
          <w:bCs w:val="0"/>
          <w:color w:val="auto"/>
          <w:sz w:val="32"/>
          <w:szCs w:val="32"/>
          <w:lang w:val="en-US" w:eastAsia="zh-CN"/>
          <w:highlight w:val="auto"/>
        </w:rPr>
        <w:t xml:space="preserve"> 2019年四川省政府</w:t>
      </w:r>
      <w:r>
        <w:rPr>
          <w:rFonts w:ascii="仿宋_GB2312" w:eastAsia="仿宋_GB2312" w:cs="仿宋_GB2312" w:hint="eastAsia"/>
          <w:b w:val="0"/>
          <w:bCs w:val="0"/>
          <w:color w:val="auto"/>
          <w:sz w:val="32"/>
          <w:szCs w:val="32"/>
          <w:lang w:eastAsia="zh-CN"/>
          <w:highlight w:val="auto"/>
        </w:rPr>
        <w:t>信息公开系统任务</w:t>
      </w:r>
      <w:r>
        <w:rPr>
          <w:rFonts w:ascii="仿宋_GB2312" w:eastAsia="仿宋_GB2312" w:cs="仿宋_GB2312" w:hint="eastAsia"/>
          <w:b w:val="0"/>
          <w:bCs w:val="0"/>
          <w:color w:val="auto"/>
          <w:sz w:val="32"/>
          <w:szCs w:val="32"/>
          <w:lang w:val="en-US" w:eastAsia="zh-CN"/>
          <w:highlight w:val="auto"/>
        </w:rPr>
        <w:t>110条，完成110条，完成率100%，信息被汶川官网采纳48条，采纳使用率43.6%，简报信息质量有所提升；全中心职工转发微汶川信息150余次，报送新闻线索6次，有效宣传展示汶川新形象，弘扬传播社会正能量。</w:t>
      </w:r>
    </w:p>
    <w:p>
      <w:pPr>
        <w:wordWrap/>
        <w:adjustRightInd/>
        <w:snapToGrid/>
        <w:spacing w:line="520" w:lineRule="exact"/>
        <w:ind w:left="0" w:right="0" w:firstLineChars="200" w:firstLine="640"/>
        <w:jc w:val="left"/>
        <w:textAlignment w:val="auto"/>
        <w:outlineLvl w:val="9"/>
        <w:rPr>
          <w:rFonts w:ascii="仿宋_GB2312" w:eastAsia="仿宋_GB2312" w:cs="仿宋_GB2312" w:hint="eastAsia"/>
          <w:sz w:val="32"/>
          <w:szCs w:val="32"/>
          <w:highlight w:val="auto"/>
        </w:rPr>
      </w:pPr>
      <w:r>
        <w:rPr>
          <w:rFonts w:ascii="楷体" w:eastAsia="楷体" w:cs="楷体" w:hint="eastAsia"/>
          <w:b/>
          <w:bCs/>
          <w:sz w:val="32"/>
          <w:szCs w:val="32"/>
          <w:lang w:val="en-US" w:eastAsia="zh-CN"/>
          <w:highlight w:val="auto"/>
        </w:rPr>
        <w:t>4.</w:t>
      </w:r>
      <w:r>
        <w:rPr>
          <w:rFonts w:ascii="楷体" w:eastAsia="楷体" w:cs="楷体" w:hint="eastAsia"/>
          <w:b/>
          <w:bCs/>
          <w:sz w:val="32"/>
          <w:szCs w:val="32"/>
          <w:highlight w:val="auto"/>
        </w:rPr>
        <w:t>以党建为引领，夯实工作基础。</w:t>
      </w:r>
      <w:r>
        <w:rPr>
          <w:rFonts w:ascii="仿宋_GB2312" w:eastAsia="仿宋_GB2312" w:cs="仿宋_GB2312" w:hint="eastAsia"/>
          <w:sz w:val="32"/>
          <w:szCs w:val="32"/>
          <w:highlight w:val="auto"/>
        </w:rPr>
        <w:t>我中心在上级党组织领导下，进一步统一思想、提高认识、明确任务，全体党员干部不忘初心、牢记使命、锐意进取，以新气象新作为，坚持抓好以党建促业务这个指导思想，充分发挥党组织的战斗堡垒作用和共产党员的先锋模范作用，推动了我中心党建工作顺利发展，促进了我县经济发展。</w:t>
      </w:r>
    </w:p>
    <w:p>
      <w:pPr>
        <w:wordWrap/>
        <w:adjustRightInd/>
        <w:snapToGrid/>
        <w:spacing w:line="520" w:lineRule="exact"/>
        <w:ind w:left="0" w:right="0" w:firstLineChars="200" w:firstLine="640"/>
        <w:textAlignment w:val="auto"/>
        <w:outlineLvl w:val="9"/>
        <w:rPr>
          <w:rFonts w:ascii="仿宋_GB2312" w:eastAsia="仿宋_GB2312" w:cs="仿宋_GB2312" w:hint="eastAsia"/>
          <w:sz w:val="32"/>
          <w:szCs w:val="32"/>
          <w:highlight w:val="auto"/>
        </w:rPr>
      </w:pPr>
      <w:r>
        <w:rPr>
          <w:rFonts w:ascii="仿宋_GB2312" w:eastAsia="仿宋_GB2312" w:cs="仿宋_GB2312" w:hint="eastAsia"/>
          <w:b/>
          <w:bCs/>
          <w:sz w:val="32"/>
          <w:szCs w:val="32"/>
          <w:lang w:val="en-US" w:eastAsia="zh-CN"/>
          <w:highlight w:val="auto"/>
        </w:rPr>
        <w:t>(1)</w:t>
      </w:r>
      <w:r>
        <w:rPr>
          <w:rFonts w:ascii="仿宋_GB2312" w:eastAsia="仿宋_GB2312" w:cs="仿宋_GB2312" w:hint="eastAsia"/>
          <w:b/>
          <w:bCs/>
          <w:sz w:val="32"/>
          <w:szCs w:val="32"/>
          <w:highlight w:val="auto"/>
        </w:rPr>
        <w:t>坚持理论学习。</w:t>
      </w:r>
      <w:r>
        <w:rPr>
          <w:rFonts w:ascii="仿宋_GB2312" w:eastAsia="仿宋_GB2312" w:cs="仿宋_GB2312" w:hint="eastAsia"/>
          <w:sz w:val="32"/>
          <w:szCs w:val="32"/>
          <w:highlight w:val="auto"/>
        </w:rPr>
        <w:t>扎扎实实学习十九大精神，加强党员干部思想政治教育，增强“四个意识”、 坚定“四个自信”、做到“两个维护”，将意识形态工作贯穿全局各项工作始终；认真落实“三会一课”制度，召开支部党员大会3次，开展主题党日活动10次，讲授党课4次，开展谈心谈话活动1次，并将“两学一做”“学习强国”学习纳入目标绩效考核；组织全体党员干部及帮扶村党员干部33人，到映秀爱国主义教育基地开展重温入党誓词等系列教育活动1次；认真开展“不忘初心、牢记使命”主题教育，通过集体学、自学、讲党课方式开展学习《</w:t>
      </w:r>
      <w:r>
        <w:rPr>
          <w:rFonts w:ascii="仿宋_GB2312" w:eastAsia="仿宋_GB2312" w:cs="仿宋_GB2312" w:hint="eastAsia"/>
          <w:sz w:val="32"/>
          <w:szCs w:val="32"/>
          <w:lang w:eastAsia="zh-CN"/>
          <w:highlight w:val="auto"/>
        </w:rPr>
        <w:t>中国共产党章程</w:t>
      </w:r>
      <w:r>
        <w:rPr>
          <w:rFonts w:ascii="仿宋_GB2312" w:eastAsia="仿宋_GB2312" w:cs="仿宋_GB2312" w:hint="eastAsia"/>
          <w:sz w:val="32"/>
          <w:szCs w:val="32"/>
          <w:highlight w:val="auto"/>
        </w:rPr>
        <w:t>》《习近平关于“不忘初心、牢记使命”论述摘编》《习近平新时代中国特色社会主义思想学习纲要》《准则》《条例》《问责条例》等党内法规，提高党员干部理论知识；对照党章党规找差距专题会1次，全体党员干部逐一查摆问题</w:t>
      </w:r>
      <w:r>
        <w:rPr>
          <w:rFonts w:ascii="仿宋_GB2312" w:eastAsia="仿宋_GB2312" w:cs="仿宋_GB2312"/>
          <w:sz w:val="32"/>
          <w:szCs w:val="32"/>
          <w:highlight w:val="auto"/>
        </w:rPr>
        <w:t>做</w:t>
      </w:r>
      <w:r>
        <w:rPr>
          <w:rFonts w:ascii="仿宋_GB2312" w:eastAsia="仿宋_GB2312" w:cs="仿宋_GB2312" w:hint="eastAsia"/>
          <w:sz w:val="32"/>
          <w:szCs w:val="32"/>
          <w:highlight w:val="auto"/>
        </w:rPr>
        <w:t>整改，做到了“红红脸、出出汗”。</w:t>
      </w:r>
    </w:p>
    <w:p>
      <w:pPr>
        <w:wordWrap/>
        <w:adjustRightInd/>
        <w:snapToGrid/>
        <w:spacing w:line="520" w:lineRule="exact"/>
        <w:ind w:left="0" w:right="0" w:firstLineChars="200" w:firstLine="640"/>
        <w:jc w:val="distribute"/>
        <w:textAlignment w:val="auto"/>
        <w:outlineLvl w:val="9"/>
        <w:rPr>
          <w:rFonts w:ascii="仿宋_GB2312" w:eastAsia="仿宋_GB2312" w:cs="仿宋_GB2312" w:hint="eastAsia"/>
          <w:b/>
          <w:bCs/>
          <w:sz w:val="32"/>
          <w:szCs w:val="32"/>
          <w:highlight w:val="auto"/>
        </w:rPr>
      </w:pPr>
      <w:r>
        <w:rPr>
          <w:rFonts w:ascii="仿宋_GB2312" w:eastAsia="仿宋_GB2312" w:cs="仿宋_GB2312" w:hint="eastAsia"/>
          <w:b/>
          <w:bCs/>
          <w:sz w:val="32"/>
          <w:szCs w:val="32"/>
          <w:lang w:val="en-US" w:eastAsia="zh-CN"/>
          <w:highlight w:val="auto"/>
        </w:rPr>
        <w:t>(2)</w:t>
      </w:r>
      <w:r>
        <w:rPr>
          <w:rFonts w:ascii="仿宋_GB2312" w:eastAsia="仿宋_GB2312" w:cs="仿宋_GB2312" w:hint="eastAsia"/>
          <w:b/>
          <w:bCs/>
          <w:sz w:val="32"/>
          <w:szCs w:val="32"/>
          <w:highlight w:val="auto"/>
        </w:rPr>
        <w:t>坚持警示教育。</w:t>
      </w:r>
      <w:r>
        <w:rPr>
          <w:rFonts w:ascii="仿宋_GB2312" w:eastAsia="仿宋_GB2312" w:cs="仿宋_GB2312" w:hint="eastAsia"/>
          <w:sz w:val="32"/>
          <w:szCs w:val="32"/>
          <w:highlight w:val="auto"/>
        </w:rPr>
        <w:t>在全体</w:t>
      </w:r>
      <w:r>
        <w:rPr>
          <w:rFonts w:ascii="仿宋_GB2312" w:eastAsia="仿宋_GB2312" w:cs="仿宋_GB2312" w:hint="eastAsia"/>
          <w:color w:val="auto"/>
          <w:sz w:val="32"/>
          <w:szCs w:val="32"/>
          <w:highlight w:val="auto"/>
        </w:rPr>
        <w:t>党员干部中广泛开展理想信念、职业道德和社会主义荣辱观教育，开展违纪、违规案例学习4次，观看爱国主义电影2次，警示教育片2次，达到警示、警醒作用，使党员干部牢固树立正确的人生观、价值</w:t>
      </w:r>
      <w:r>
        <w:rPr>
          <w:rFonts w:ascii="仿宋_GB2312" w:eastAsia="仿宋_GB2312" w:cs="仿宋_GB2312" w:hint="eastAsia"/>
          <w:sz w:val="32"/>
          <w:szCs w:val="32"/>
          <w:highlight w:val="auto"/>
        </w:rPr>
        <w:t>观和世界观；单位主要负责人与县人民政府签订了《汶川县人民政府党风廉政建设责任书》，全体党员干部签订了《领导干部拒收不送红包礼金礼品承诺书》，落实了廉政建设责任制，夯实了党风廉政建设基础，有效推动各项重点工作落实。</w:t>
      </w:r>
    </w:p>
    <w:p>
      <w:pPr>
        <w:wordWrap/>
        <w:adjustRightInd/>
        <w:snapToGrid/>
        <w:spacing w:line="520" w:lineRule="exact"/>
        <w:ind w:left="0" w:right="0" w:firstLineChars="200" w:firstLine="640"/>
        <w:textAlignment w:val="auto"/>
        <w:outlineLvl w:val="9"/>
        <w:rPr>
          <w:rFonts w:ascii="仿宋_GB2312" w:eastAsia="仿宋_GB2312" w:cs="仿宋_GB2312" w:hint="eastAsia"/>
          <w:sz w:val="32"/>
          <w:szCs w:val="32"/>
          <w:highlight w:val="auto"/>
        </w:rPr>
      </w:pPr>
      <w:r>
        <w:rPr>
          <w:rFonts w:ascii="仿宋_GB2312" w:eastAsia="仿宋_GB2312" w:cs="仿宋_GB2312" w:hint="eastAsia"/>
          <w:b/>
          <w:bCs/>
          <w:sz w:val="32"/>
          <w:szCs w:val="32"/>
          <w:lang w:val="en-US" w:eastAsia="zh-CN"/>
          <w:highlight w:val="auto"/>
        </w:rPr>
        <w:t>(3)</w:t>
      </w:r>
      <w:r>
        <w:rPr>
          <w:rFonts w:ascii="仿宋_GB2312" w:eastAsia="仿宋_GB2312" w:cs="仿宋_GB2312" w:hint="eastAsia"/>
          <w:b/>
          <w:bCs/>
          <w:sz w:val="32"/>
          <w:szCs w:val="32"/>
          <w:highlight w:val="auto"/>
        </w:rPr>
        <w:t>坚持安全生产。</w:t>
      </w:r>
      <w:r>
        <w:rPr>
          <w:rFonts w:ascii="仿宋_GB2312" w:eastAsia="仿宋_GB2312" w:cs="仿宋_GB2312" w:hint="eastAsia"/>
          <w:sz w:val="32"/>
          <w:szCs w:val="32"/>
          <w:highlight w:val="auto"/>
        </w:rPr>
        <w:t>牢固树立安全生产责任重于泰山的思想观念，充分认识安全生产工作的重要意义，成立了防灾应急领导小组，制定防火、防汛应急方案，全年无安全事故发生。</w:t>
      </w:r>
    </w:p>
    <w:p>
      <w:pPr>
        <w:wordWrap/>
        <w:adjustRightInd/>
        <w:snapToGrid/>
        <w:spacing w:line="520" w:lineRule="exact"/>
        <w:ind w:left="0" w:right="0" w:firstLineChars="200" w:firstLine="640"/>
        <w:textAlignment w:val="auto"/>
        <w:outlineLvl w:val="9"/>
        <w:rPr>
          <w:rFonts w:ascii="仿宋_GB2312" w:eastAsia="仿宋_GB2312" w:cs="仿宋_GB2312" w:hint="eastAsia"/>
          <w:b/>
          <w:bCs/>
          <w:sz w:val="32"/>
          <w:szCs w:val="32"/>
          <w:lang w:eastAsia="zh-CN"/>
          <w:highlight w:val="auto"/>
        </w:rPr>
      </w:pPr>
      <w:r>
        <w:rPr>
          <w:rFonts w:ascii="仿宋_GB2312" w:eastAsia="仿宋_GB2312" w:cs="仿宋_GB2312" w:hint="eastAsia"/>
          <w:b/>
          <w:bCs/>
          <w:sz w:val="32"/>
          <w:szCs w:val="32"/>
          <w:lang w:val="en-US" w:eastAsia="zh-CN"/>
          <w:highlight w:val="auto"/>
        </w:rPr>
        <w:t>(4)</w:t>
      </w:r>
      <w:r>
        <w:rPr>
          <w:rFonts w:ascii="仿宋_GB2312" w:eastAsia="仿宋_GB2312" w:cs="仿宋_GB2312" w:hint="eastAsia"/>
          <w:b/>
          <w:bCs/>
          <w:sz w:val="32"/>
          <w:szCs w:val="32"/>
          <w:lang w:eastAsia="zh-CN"/>
          <w:highlight w:val="auto"/>
        </w:rPr>
        <w:t>狠抓精神文明。</w:t>
      </w:r>
      <w:r>
        <w:rPr>
          <w:rFonts w:ascii="仿宋_GB2312" w:eastAsia="仿宋_GB2312" w:cs="仿宋_GB2312" w:hint="eastAsia"/>
          <w:b w:val="0"/>
          <w:bCs w:val="0"/>
          <w:sz w:val="32"/>
          <w:szCs w:val="32"/>
          <w:lang w:eastAsia="zh-CN"/>
          <w:highlight w:val="auto"/>
        </w:rPr>
        <w:t>把社会主义核心价值观，</w:t>
      </w:r>
      <w:r>
        <w:rPr>
          <w:rFonts w:ascii="仿宋_GB2312" w:eastAsia="仿宋_GB2312" w:cs="仿宋_GB2312" w:hint="eastAsia"/>
          <w:sz w:val="32"/>
          <w:szCs w:val="32"/>
          <w:highlight w:val="auto"/>
        </w:rPr>
        <w:t>淳善家风、良好校风、和谐民风、清明政风</w:t>
      </w:r>
      <w:r>
        <w:rPr>
          <w:rFonts w:ascii="仿宋_GB2312" w:eastAsia="仿宋_GB2312" w:cs="仿宋_GB2312" w:hint="eastAsia"/>
          <w:sz w:val="32"/>
          <w:szCs w:val="32"/>
          <w:lang w:eastAsia="zh-CN"/>
          <w:highlight w:val="auto"/>
        </w:rPr>
        <w:t>“四风”教育，纳入日常工作考核，引导职工</w:t>
      </w:r>
      <w:r>
        <w:rPr>
          <w:rFonts w:ascii="仿宋_GB2312" w:eastAsia="仿宋_GB2312" w:cs="仿宋_GB2312" w:hint="eastAsia"/>
          <w:sz w:val="32"/>
          <w:szCs w:val="32"/>
          <w:highlight w:val="auto"/>
        </w:rPr>
        <w:t>弘扬传播社会正能量</w:t>
      </w:r>
      <w:r>
        <w:rPr>
          <w:rFonts w:ascii="仿宋_GB2312" w:eastAsia="仿宋_GB2312" w:cs="仿宋_GB2312" w:hint="eastAsia"/>
          <w:sz w:val="32"/>
          <w:szCs w:val="32"/>
          <w:lang w:eastAsia="zh-CN"/>
          <w:highlight w:val="auto"/>
        </w:rPr>
        <w:t>；坚持开展城乡环境综合提升暨全域无垃圾攻坚行动，累计出动</w:t>
      </w:r>
      <w:r>
        <w:rPr>
          <w:rFonts w:ascii="仿宋_GB2312" w:eastAsia="仿宋_GB2312" w:cs="仿宋_GB2312" w:hint="eastAsia"/>
          <w:sz w:val="32"/>
          <w:szCs w:val="32"/>
          <w:lang w:val="en-US" w:eastAsia="zh-CN"/>
          <w:highlight w:val="auto"/>
        </w:rPr>
        <w:t>150余人次，车辆30台次，参与公共区域环境整治，向临街商铺宣教环境保护等相关知识60余人次。</w:t>
      </w:r>
    </w:p>
    <w:p>
      <w:pPr>
        <w:wordWrap/>
        <w:adjustRightInd/>
        <w:snapToGrid/>
        <w:spacing w:line="520" w:lineRule="exact"/>
        <w:ind w:left="0" w:right="0" w:firstLineChars="200" w:firstLine="640"/>
        <w:jc w:val="left"/>
        <w:textAlignment w:val="auto"/>
        <w:outlineLvl w:val="9"/>
        <w:rPr>
          <w:rFonts w:ascii="楷体" w:eastAsia="楷体" w:cs="楷体" w:hint="eastAsia"/>
          <w:b/>
          <w:bCs/>
          <w:sz w:val="32"/>
          <w:szCs w:val="32"/>
          <w:lang w:eastAsia="zh-CN"/>
          <w:highlight w:val="auto"/>
        </w:rPr>
      </w:pPr>
      <w:r>
        <w:rPr>
          <w:rFonts w:ascii="楷体" w:eastAsia="楷体" w:cs="楷体" w:hint="eastAsia"/>
          <w:b/>
          <w:bCs/>
          <w:sz w:val="32"/>
          <w:szCs w:val="32"/>
          <w:lang w:val="en-US" w:eastAsia="zh-CN"/>
          <w:highlight w:val="auto"/>
        </w:rPr>
        <w:t>5.</w:t>
      </w:r>
      <w:r>
        <w:rPr>
          <w:rFonts w:ascii="楷体" w:eastAsia="楷体" w:cs="楷体" w:hint="eastAsia"/>
          <w:b/>
          <w:bCs/>
          <w:sz w:val="32"/>
          <w:szCs w:val="32"/>
          <w:lang w:eastAsia="zh-CN"/>
          <w:highlight w:val="auto"/>
        </w:rPr>
        <w:t>以破局为导向，筑牢招商根基。</w:t>
      </w:r>
    </w:p>
    <w:p>
      <w:pPr>
        <w:wordWrap/>
        <w:adjustRightInd/>
        <w:snapToGrid/>
        <w:spacing w:line="520" w:lineRule="exact"/>
        <w:ind w:left="0" w:right="0" w:firstLineChars="200" w:firstLine="640"/>
        <w:textAlignment w:val="auto"/>
        <w:outlineLvl w:val="9"/>
        <w:rPr>
          <w:rFonts w:ascii="仿宋_GB2312" w:eastAsia="仿宋_GB2312" w:cs="仿宋_GB2312" w:hint="eastAsia"/>
          <w:sz w:val="32"/>
          <w:szCs w:val="32"/>
          <w:highlight w:val="auto"/>
        </w:rPr>
      </w:pPr>
      <w:r>
        <w:rPr>
          <w:rFonts w:ascii="仿宋_GB2312" w:eastAsia="仿宋_GB2312" w:cs="仿宋_GB2312" w:hint="eastAsia"/>
          <w:b/>
          <w:bCs/>
          <w:sz w:val="32"/>
          <w:szCs w:val="32"/>
          <w:lang w:val="en-US" w:eastAsia="zh-CN"/>
          <w:highlight w:val="auto"/>
        </w:rPr>
        <w:t>(1)</w:t>
      </w:r>
      <w:r>
        <w:rPr>
          <w:rFonts w:ascii="仿宋_GB2312" w:eastAsia="仿宋_GB2312" w:cs="仿宋_GB2312" w:hint="eastAsia"/>
          <w:b/>
          <w:bCs/>
          <w:sz w:val="32"/>
          <w:szCs w:val="32"/>
          <w:highlight w:val="auto"/>
        </w:rPr>
        <w:t>县委</w:t>
      </w:r>
      <w:r>
        <w:rPr>
          <w:rFonts w:ascii="仿宋_GB2312" w:eastAsia="仿宋_GB2312" w:cs="仿宋_GB2312"/>
          <w:b/>
          <w:bCs/>
          <w:sz w:val="32"/>
          <w:szCs w:val="32"/>
          <w:highlight w:val="auto"/>
        </w:rPr>
        <w:t>县</w:t>
      </w:r>
      <w:r>
        <w:rPr>
          <w:rFonts w:ascii="仿宋_GB2312" w:eastAsia="仿宋_GB2312" w:cs="仿宋_GB2312" w:hint="eastAsia"/>
          <w:b/>
          <w:bCs/>
          <w:sz w:val="32"/>
          <w:szCs w:val="32"/>
          <w:highlight w:val="auto"/>
        </w:rPr>
        <w:t>政府高度重视。</w:t>
      </w:r>
      <w:r>
        <w:rPr>
          <w:rFonts w:ascii="仿宋_GB2312" w:eastAsia="仿宋_GB2312" w:cs="仿宋_GB2312" w:hint="eastAsia"/>
          <w:sz w:val="32"/>
          <w:szCs w:val="32"/>
          <w:highlight w:val="auto"/>
        </w:rPr>
        <w:t>主要领导及分管领导亲自部</w:t>
      </w:r>
      <w:r>
        <w:rPr>
          <w:rFonts w:ascii="仿宋_GB2312" w:eastAsia="仿宋_GB2312" w:cs="仿宋_GB2312" w:hint="eastAsia"/>
          <w:color w:val="auto"/>
          <w:sz w:val="32"/>
          <w:szCs w:val="32"/>
          <w:highlight w:val="auto"/>
        </w:rPr>
        <w:t>署，亲自带队开展“小分队招商”1</w:t>
      </w:r>
      <w:r>
        <w:rPr>
          <w:rFonts w:ascii="仿宋_GB2312" w:eastAsia="仿宋_GB2312" w:cs="仿宋_GB2312" w:hint="eastAsia"/>
          <w:color w:val="auto"/>
          <w:sz w:val="32"/>
          <w:szCs w:val="32"/>
          <w:lang w:val="en-US" w:eastAsia="zh-CN"/>
          <w:highlight w:val="auto"/>
        </w:rPr>
        <w:t>8</w:t>
      </w:r>
      <w:r>
        <w:rPr>
          <w:rFonts w:ascii="仿宋_GB2312" w:eastAsia="仿宋_GB2312" w:cs="仿宋_GB2312" w:hint="eastAsia"/>
          <w:color w:val="auto"/>
          <w:sz w:val="32"/>
          <w:szCs w:val="32"/>
          <w:highlight w:val="auto"/>
        </w:rPr>
        <w:t>次，单位主动对接企业</w:t>
      </w:r>
      <w:r>
        <w:rPr>
          <w:rFonts w:ascii="仿宋_GB2312" w:eastAsia="仿宋_GB2312" w:cs="仿宋_GB2312" w:hint="eastAsia"/>
          <w:color w:val="auto"/>
          <w:sz w:val="32"/>
          <w:szCs w:val="32"/>
          <w:lang w:val="en-US" w:eastAsia="zh-CN"/>
          <w:highlight w:val="auto"/>
        </w:rPr>
        <w:t>4</w:t>
      </w:r>
      <w:r>
        <w:rPr>
          <w:rFonts w:ascii="仿宋_GB2312" w:eastAsia="仿宋_GB2312" w:cs="仿宋_GB2312" w:hint="eastAsia"/>
          <w:color w:val="auto"/>
          <w:sz w:val="32"/>
          <w:szCs w:val="32"/>
          <w:highlight w:val="auto"/>
        </w:rPr>
        <w:t>0余家，陪同企业考察</w:t>
      </w:r>
      <w:r>
        <w:rPr>
          <w:rFonts w:ascii="仿宋_GB2312" w:eastAsia="仿宋_GB2312" w:cs="仿宋_GB2312" w:hint="eastAsia"/>
          <w:color w:val="auto"/>
          <w:sz w:val="32"/>
          <w:szCs w:val="32"/>
          <w:lang w:val="en-US" w:eastAsia="zh-CN"/>
          <w:highlight w:val="auto"/>
        </w:rPr>
        <w:t>7</w:t>
      </w:r>
      <w:r>
        <w:rPr>
          <w:rFonts w:ascii="仿宋_GB2312" w:eastAsia="仿宋_GB2312" w:cs="仿宋_GB2312" w:hint="eastAsia"/>
          <w:color w:val="auto"/>
          <w:sz w:val="32"/>
          <w:szCs w:val="32"/>
          <w:highlight w:val="auto"/>
        </w:rPr>
        <w:t>0余次，</w:t>
      </w:r>
      <w:r>
        <w:rPr>
          <w:rFonts w:ascii="仿宋_GB2312" w:eastAsia="仿宋_GB2312" w:cs="仿宋_GB2312" w:hint="eastAsia"/>
          <w:bCs/>
          <w:color w:val="auto"/>
          <w:sz w:val="32"/>
          <w:szCs w:val="32"/>
          <w:highlight w:val="auto"/>
        </w:rPr>
        <w:t>有效推介重</w:t>
      </w:r>
      <w:r>
        <w:rPr>
          <w:rFonts w:ascii="仿宋_GB2312" w:eastAsia="仿宋_GB2312" w:cs="仿宋_GB2312" w:hint="eastAsia"/>
          <w:bCs/>
          <w:sz w:val="32"/>
          <w:szCs w:val="32"/>
          <w:highlight w:val="auto"/>
        </w:rPr>
        <w:t>点招商项目。尤其是</w:t>
      </w:r>
      <w:r>
        <w:rPr>
          <w:rFonts w:ascii="仿宋_GB2312" w:eastAsia="仿宋_GB2312" w:cs="仿宋_GB2312" w:hint="eastAsia"/>
          <w:sz w:val="32"/>
          <w:szCs w:val="32"/>
          <w:highlight w:val="auto"/>
        </w:rPr>
        <w:t>赴浙江义乌、兰溪、金华、温州以及重庆市考察并召开东西部扶贫协作和对口支援座谈会，取得较好成效，浙商企业汶川萝卜寨青山文化旅游开发有限公司与我县签订意向性合作协议，目前项目正在开展前期工作。</w:t>
      </w:r>
    </w:p>
    <w:p>
      <w:pPr>
        <w:wordWrap/>
        <w:adjustRightInd/>
        <w:snapToGrid/>
        <w:spacing w:line="520" w:lineRule="exact"/>
        <w:ind w:left="0" w:right="0" w:firstLineChars="200" w:firstLine="640"/>
        <w:textAlignment w:val="auto"/>
        <w:outlineLvl w:val="9"/>
        <w:rPr>
          <w:rFonts w:ascii="仿宋_GB2312" w:eastAsia="仿宋_GB2312" w:cs="仿宋_GB2312" w:hint="eastAsia"/>
          <w:sz w:val="32"/>
          <w:szCs w:val="32"/>
          <w:highlight w:val="auto"/>
        </w:rPr>
      </w:pPr>
      <w:r>
        <w:rPr>
          <w:rFonts w:ascii="仿宋_GB2312" w:eastAsia="仿宋_GB2312" w:cs="仿宋_GB2312" w:hint="eastAsia"/>
          <w:b/>
          <w:bCs/>
          <w:sz w:val="32"/>
          <w:szCs w:val="32"/>
          <w:lang w:val="en-US" w:eastAsia="zh-CN"/>
          <w:highlight w:val="auto"/>
        </w:rPr>
        <w:t>(2)</w:t>
      </w:r>
      <w:r>
        <w:rPr>
          <w:rFonts w:ascii="仿宋_GB2312" w:eastAsia="仿宋_GB2312" w:cs="仿宋_GB2312" w:hint="eastAsia"/>
          <w:b/>
          <w:bCs/>
          <w:sz w:val="32"/>
          <w:szCs w:val="32"/>
          <w:highlight w:val="auto"/>
        </w:rPr>
        <w:t>主动反思认清问题。</w:t>
      </w:r>
      <w:r>
        <w:rPr>
          <w:rFonts w:ascii="仿宋_GB2312" w:eastAsia="仿宋_GB2312" w:cs="仿宋_GB2312" w:hint="eastAsia"/>
          <w:sz w:val="32"/>
          <w:szCs w:val="32"/>
          <w:highlight w:val="auto"/>
        </w:rPr>
        <w:t>经过多年招商数据比对，</w:t>
      </w:r>
      <w:r>
        <w:rPr>
          <w:rFonts w:ascii="仿宋_GB2312" w:eastAsia="仿宋_GB2312" w:cs="仿宋_GB2312" w:hint="eastAsia"/>
          <w:bCs/>
          <w:sz w:val="32"/>
          <w:szCs w:val="32"/>
          <w:highlight w:val="auto"/>
        </w:rPr>
        <w:t>康养汶川的品牌效益已经凸现，进入我县投资主体明显增多，外出洽谈吸引力显著增强。但客观比对，我县一直以来的短板仍未得到明显改变 ，社会资本进入考察洽谈甚至力求签约越来越多，实质落地又面临困难重重的尴尬境地的总体态势。</w:t>
      </w:r>
    </w:p>
    <w:p>
      <w:pPr>
        <w:wordWrap/>
        <w:adjustRightInd/>
        <w:snapToGrid/>
        <w:spacing w:line="520" w:lineRule="exact"/>
        <w:ind w:left="0" w:right="0" w:firstLineChars="200" w:firstLine="640"/>
        <w:textAlignment w:val="auto"/>
        <w:outlineLvl w:val="9"/>
        <w:rPr>
          <w:rFonts w:ascii="仿宋_GB2312" w:eastAsia="仿宋_GB2312" w:cs="仿宋_GB2312" w:hint="eastAsia"/>
          <w:b/>
          <w:bCs/>
          <w:sz w:val="32"/>
          <w:szCs w:val="32"/>
          <w:highlight w:val="auto"/>
        </w:rPr>
      </w:pPr>
      <w:r>
        <w:rPr>
          <w:rFonts w:ascii="仿宋_GB2312" w:eastAsia="仿宋_GB2312" w:cs="仿宋_GB2312" w:hint="eastAsia"/>
          <w:b/>
          <w:bCs/>
          <w:sz w:val="32"/>
          <w:szCs w:val="32"/>
          <w:lang w:val="en-US" w:eastAsia="zh-CN"/>
          <w:highlight w:val="auto"/>
        </w:rPr>
        <w:t>(3)</w:t>
      </w:r>
      <w:r>
        <w:rPr>
          <w:rFonts w:ascii="仿宋_GB2312" w:eastAsia="仿宋_GB2312" w:cs="仿宋_GB2312" w:hint="eastAsia"/>
          <w:b/>
          <w:bCs/>
          <w:sz w:val="32"/>
          <w:szCs w:val="32"/>
          <w:highlight w:val="auto"/>
        </w:rPr>
        <w:t>直面问题寻求方法。</w:t>
      </w:r>
      <w:r>
        <w:rPr>
          <w:rFonts w:ascii="仿宋_GB2312" w:eastAsia="仿宋_GB2312" w:cs="仿宋_GB2312" w:hint="eastAsia"/>
          <w:sz w:val="32"/>
          <w:szCs w:val="32"/>
          <w:highlight w:val="auto"/>
        </w:rPr>
        <w:t>直面我县土地、政策等招商要素受限的问题，寻求解决方法，制定方案，落实责任，逐步解决项目落地难的问题。</w:t>
      </w:r>
    </w:p>
    <w:p>
      <w:pPr>
        <w:wordWrap/>
        <w:adjustRightInd/>
        <w:snapToGrid/>
        <w:spacing w:line="520" w:lineRule="exact"/>
        <w:ind w:left="0" w:right="0" w:firstLineChars="200" w:firstLine="640"/>
        <w:jc w:val="left"/>
        <w:textAlignment w:val="auto"/>
        <w:outlineLvl w:val="9"/>
        <w:rPr>
          <w:rFonts w:ascii="楷体" w:eastAsia="楷体" w:cs="楷体" w:hint="eastAsia"/>
          <w:b/>
          <w:bCs/>
          <w:sz w:val="32"/>
          <w:szCs w:val="32"/>
          <w:lang w:eastAsia="zh-CN"/>
          <w:highlight w:val="auto"/>
        </w:rPr>
      </w:pPr>
      <w:r>
        <w:rPr>
          <w:rFonts w:ascii="楷体" w:eastAsia="楷体" w:cs="楷体" w:hint="eastAsia"/>
          <w:b/>
          <w:bCs/>
          <w:sz w:val="32"/>
          <w:szCs w:val="32"/>
          <w:lang w:val="en-US" w:eastAsia="zh-CN"/>
          <w:highlight w:val="auto"/>
        </w:rPr>
        <w:t>6.</w:t>
      </w:r>
      <w:r>
        <w:rPr>
          <w:rFonts w:ascii="楷体" w:eastAsia="楷体" w:cs="楷体" w:hint="eastAsia"/>
          <w:b/>
          <w:bCs/>
          <w:sz w:val="32"/>
          <w:szCs w:val="32"/>
          <w:lang w:eastAsia="zh-CN"/>
          <w:highlight w:val="auto"/>
        </w:rPr>
        <w:t>以东西扶贫为机遇，持续深化交流合作。</w:t>
      </w:r>
    </w:p>
    <w:p>
      <w:pPr>
        <w:wordWrap/>
        <w:adjustRightInd/>
        <w:snapToGrid/>
        <w:spacing w:line="520" w:lineRule="exact"/>
        <w:ind w:left="0" w:right="0" w:firstLineChars="200" w:firstLine="640"/>
        <w:textAlignment w:val="auto"/>
        <w:outlineLvl w:val="9"/>
        <w:rPr>
          <w:rFonts w:ascii="仿宋_GB2312" w:eastAsia="仿宋_GB2312" w:hint="eastAsia"/>
          <w:sz w:val="32"/>
          <w:szCs w:val="32"/>
          <w:highlight w:val="auto"/>
        </w:rPr>
      </w:pPr>
      <w:r>
        <w:rPr>
          <w:rFonts w:ascii="仿宋_GB2312" w:eastAsia="仿宋_GB2312" w:hint="eastAsia"/>
          <w:b/>
          <w:sz w:val="32"/>
          <w:szCs w:val="32"/>
          <w:lang w:val="en-US" w:eastAsia="zh-CN"/>
          <w:highlight w:val="auto"/>
        </w:rPr>
        <w:t>(1)</w:t>
      </w:r>
      <w:r>
        <w:rPr>
          <w:rFonts w:ascii="仿宋_GB2312" w:eastAsia="仿宋_GB2312" w:hint="eastAsia"/>
          <w:b/>
          <w:sz w:val="32"/>
          <w:szCs w:val="32"/>
          <w:highlight w:val="auto"/>
        </w:rPr>
        <w:t>坚持精神指引。</w:t>
      </w:r>
      <w:r>
        <w:rPr>
          <w:rFonts w:ascii="仿宋_GB2312" w:eastAsia="仿宋_GB2312" w:hint="eastAsia"/>
          <w:sz w:val="32"/>
          <w:szCs w:val="32"/>
          <w:highlight w:val="auto"/>
        </w:rPr>
        <w:t>持续深入</w:t>
      </w:r>
      <w:r>
        <w:rPr>
          <w:rFonts w:ascii="仿宋_GB2312" w:eastAsia="仿宋_GB2312" w:cs="仿宋_GB2312" w:hint="eastAsia"/>
          <w:bCs/>
          <w:sz w:val="32"/>
          <w:szCs w:val="32"/>
          <w:highlight w:val="auto"/>
        </w:rPr>
        <w:t>贯彻习近平总书记关于切实做好新形势下东西部扶贫协作工作的重要讲话精神，</w:t>
      </w:r>
      <w:r>
        <w:rPr>
          <w:rFonts w:ascii="仿宋_GB2312" w:eastAsia="仿宋_GB2312" w:hint="eastAsia"/>
          <w:sz w:val="32"/>
          <w:szCs w:val="32"/>
          <w:highlight w:val="auto"/>
        </w:rPr>
        <w:t>继续深入推进东西部扶贫协作和区域合作工作，依托浙江金华（兰溪和义乌）、南充顺庆对口支援，四川省政府“三大活动”、阿坝州经贸交流活动等平台，组织参加各类品牌展销活动和经贸交流活动。</w:t>
      </w:r>
    </w:p>
    <w:p>
      <w:pPr>
        <w:wordWrap/>
        <w:adjustRightInd/>
        <w:snapToGrid/>
        <w:spacing w:line="520" w:lineRule="exact"/>
        <w:ind w:left="0" w:right="0" w:firstLineChars="200" w:firstLine="640"/>
        <w:textAlignment w:val="auto"/>
        <w:outlineLvl w:val="9"/>
        <w:rPr>
          <w:rFonts w:ascii="仿宋_GB2312" w:eastAsia="仿宋_GB2312" w:cs="仿宋_GB2312" w:hint="eastAsia"/>
          <w:sz w:val="32"/>
          <w:szCs w:val="32"/>
          <w:highlight w:val="auto"/>
        </w:rPr>
      </w:pPr>
      <w:r>
        <w:rPr>
          <w:rFonts w:ascii="仿宋_GB2312" w:eastAsia="仿宋_GB2312" w:hint="eastAsia"/>
          <w:b/>
          <w:bCs/>
          <w:sz w:val="32"/>
          <w:szCs w:val="32"/>
          <w:lang w:val="en-US" w:eastAsia="zh-CN"/>
          <w:highlight w:val="auto"/>
        </w:rPr>
        <w:t>(2)</w:t>
      </w:r>
      <w:r>
        <w:rPr>
          <w:rFonts w:ascii="仿宋_GB2312" w:eastAsia="仿宋_GB2312" w:hint="eastAsia"/>
          <w:b/>
          <w:bCs/>
          <w:sz w:val="32"/>
          <w:szCs w:val="32"/>
          <w:highlight w:val="auto"/>
        </w:rPr>
        <w:t>科学制定方案。</w:t>
      </w:r>
      <w:r>
        <w:rPr>
          <w:rFonts w:ascii="仿宋_GB2312" w:eastAsia="仿宋_GB2312" w:cs="仿宋_GB2312" w:hint="eastAsia"/>
          <w:sz w:val="32"/>
          <w:szCs w:val="32"/>
          <w:highlight w:val="auto"/>
        </w:rPr>
        <w:t>结合我县实际制定了《汶川县消费扶贫项目资金使用方案》和《</w:t>
      </w:r>
      <w:r>
        <w:rPr>
          <w:rFonts w:ascii="仿宋_GB2312" w:eastAsia="仿宋_GB2312" w:hint="eastAsia"/>
          <w:sz w:val="32"/>
          <w:szCs w:val="32"/>
          <w:highlight w:val="auto"/>
        </w:rPr>
        <w:t>汶川县商务发展促进专项资金使用方案</w:t>
      </w:r>
      <w:r>
        <w:rPr>
          <w:rFonts w:ascii="仿宋_GB2312" w:eastAsia="仿宋_GB2312" w:cs="仿宋_GB2312" w:hint="eastAsia"/>
          <w:sz w:val="32"/>
          <w:szCs w:val="32"/>
          <w:highlight w:val="auto"/>
        </w:rPr>
        <w:t>》，进一步规范了项目资金使用，通过奖补激励企业（专合社）生产、销售、推广的积极性。推动汶川特色产品出川及品牌营销。</w:t>
      </w:r>
    </w:p>
    <w:p>
      <w:pPr>
        <w:wordWrap/>
        <w:adjustRightInd/>
        <w:snapToGrid/>
        <w:spacing w:line="520" w:lineRule="exact"/>
        <w:ind w:left="0" w:right="0" w:firstLineChars="200" w:firstLine="640"/>
        <w:textAlignment w:val="auto"/>
        <w:outlineLvl w:val="9"/>
        <w:rPr>
          <w:rFonts w:ascii="仿宋_GB2312" w:eastAsia="仿宋_GB2312" w:cs="仿宋_GB2312" w:hint="eastAsia"/>
          <w:sz w:val="32"/>
          <w:szCs w:val="32"/>
          <w:highlight w:val="auto"/>
        </w:rPr>
      </w:pPr>
      <w:r>
        <w:rPr>
          <w:rFonts w:ascii="仿宋_GB2312" w:eastAsia="仿宋_GB2312" w:cs="仿宋_GB2312" w:hint="eastAsia"/>
          <w:b/>
          <w:bCs/>
          <w:sz w:val="32"/>
          <w:szCs w:val="32"/>
          <w:lang w:val="en-US" w:eastAsia="zh-CN"/>
          <w:highlight w:val="auto"/>
        </w:rPr>
        <w:t>(3)</w:t>
      </w:r>
      <w:r>
        <w:rPr>
          <w:rFonts w:ascii="仿宋_GB2312" w:eastAsia="仿宋_GB2312" w:cs="仿宋_GB2312" w:hint="eastAsia"/>
          <w:b/>
          <w:bCs/>
          <w:sz w:val="32"/>
          <w:szCs w:val="32"/>
          <w:highlight w:val="auto"/>
        </w:rPr>
        <w:t>加强宣传引导。</w:t>
      </w:r>
      <w:r>
        <w:rPr>
          <w:rFonts w:ascii="仿宋_GB2312" w:eastAsia="仿宋_GB2312" w:cs="仿宋_GB2312" w:hint="eastAsia"/>
          <w:sz w:val="32"/>
          <w:szCs w:val="32"/>
          <w:highlight w:val="auto"/>
        </w:rPr>
        <w:t>加强对县内企业、专合社宣传引导，增强企业主体对品牌营销的认识，提升自我品牌意识，鼓励企业走出去，拓展市场。</w:t>
      </w:r>
    </w:p>
    <w:p>
      <w:pPr>
        <w:wordWrap/>
        <w:adjustRightInd/>
        <w:snapToGrid/>
        <w:spacing w:line="520" w:lineRule="exact"/>
        <w:ind w:left="0" w:right="0" w:firstLineChars="200" w:firstLine="640"/>
        <w:jc w:val="left"/>
        <w:textAlignment w:val="auto"/>
        <w:outlineLvl w:val="9"/>
        <w:rPr>
          <w:rFonts w:ascii="楷体" w:eastAsia="楷体" w:cs="楷体" w:hint="eastAsia"/>
          <w:b/>
          <w:bCs/>
          <w:sz w:val="32"/>
          <w:szCs w:val="32"/>
          <w:lang w:eastAsia="zh-CN"/>
          <w:highlight w:val="auto"/>
        </w:rPr>
      </w:pPr>
      <w:r>
        <w:rPr>
          <w:rFonts w:ascii="楷体" w:eastAsia="楷体" w:cs="楷体" w:hint="eastAsia"/>
          <w:b/>
          <w:bCs/>
          <w:sz w:val="32"/>
          <w:szCs w:val="32"/>
          <w:lang w:val="en-US" w:eastAsia="zh-CN"/>
          <w:highlight w:val="auto"/>
        </w:rPr>
        <w:t>7.</w:t>
      </w:r>
      <w:r>
        <w:rPr>
          <w:rFonts w:ascii="楷体" w:eastAsia="楷体" w:cs="楷体" w:hint="eastAsia"/>
          <w:b/>
          <w:bCs/>
          <w:sz w:val="32"/>
          <w:szCs w:val="32"/>
          <w:lang w:eastAsia="zh-CN"/>
          <w:highlight w:val="auto"/>
        </w:rPr>
        <w:t>以务实为基础，切实为民谋福祉。</w:t>
      </w:r>
    </w:p>
    <w:p>
      <w:pPr>
        <w:wordWrap/>
        <w:adjustRightInd/>
        <w:snapToGrid/>
        <w:spacing w:line="520" w:lineRule="exact"/>
        <w:ind w:left="0" w:right="0" w:firstLineChars="200" w:firstLine="640"/>
        <w:textAlignment w:val="auto"/>
        <w:outlineLvl w:val="9"/>
        <w:rPr>
          <w:rFonts w:ascii="仿宋_GB2312" w:eastAsia="仿宋_GB2312" w:cs="仿宋_GB2312" w:hint="eastAsia"/>
          <w:b/>
          <w:bCs/>
          <w:sz w:val="32"/>
          <w:szCs w:val="32"/>
          <w:highlight w:val="auto"/>
        </w:rPr>
      </w:pPr>
      <w:r>
        <w:rPr>
          <w:rFonts w:ascii="仿宋_GB2312" w:eastAsia="仿宋_GB2312" w:cs="仿宋_GB2312" w:hint="eastAsia"/>
          <w:b/>
          <w:bCs/>
          <w:sz w:val="32"/>
          <w:szCs w:val="32"/>
          <w:lang w:val="en-US" w:eastAsia="zh-CN"/>
          <w:highlight w:val="auto"/>
        </w:rPr>
        <w:t>（1）</w:t>
      </w:r>
      <w:r>
        <w:rPr>
          <w:rFonts w:ascii="仿宋_GB2312" w:eastAsia="仿宋_GB2312" w:cs="仿宋_GB2312" w:hint="eastAsia"/>
          <w:b/>
          <w:bCs/>
          <w:sz w:val="32"/>
          <w:szCs w:val="32"/>
          <w:highlight w:val="auto"/>
        </w:rPr>
        <w:t>主动摸清底数。</w:t>
      </w:r>
      <w:r>
        <w:rPr>
          <w:rFonts w:ascii="仿宋_GB2312" w:eastAsia="仿宋_GB2312" w:cs="仿宋_GB2312" w:hint="eastAsia"/>
          <w:sz w:val="32"/>
          <w:szCs w:val="32"/>
          <w:highlight w:val="auto"/>
        </w:rPr>
        <w:t>按照县委组织部调整，我中心帮扶村由水磨镇白果坪村调整为绵虒镇羌锋村，建档立卡贫困户帮扶责任人不作调整，接到任务后，中心领导班子</w:t>
      </w:r>
      <w:r>
        <w:rPr>
          <w:rFonts w:ascii="仿宋_GB2312" w:eastAsia="仿宋_GB2312" w:cs="仿宋_GB2312" w:hint="eastAsia"/>
          <w:sz w:val="32"/>
          <w:szCs w:val="32"/>
          <w:lang w:eastAsia="zh-CN"/>
          <w:highlight w:val="auto"/>
        </w:rPr>
        <w:t>赓</w:t>
      </w:r>
      <w:r>
        <w:rPr>
          <w:rFonts w:ascii="仿宋_GB2312" w:eastAsia="仿宋_GB2312" w:cs="仿宋_GB2312" w:hint="eastAsia"/>
          <w:sz w:val="32"/>
          <w:szCs w:val="32"/>
          <w:highlight w:val="auto"/>
        </w:rPr>
        <w:t>即作出安排部署和调整，迅速组织力量投入到羌锋村，在充分了解村情民意等情况后，以务实为基础，扎实开展脱贫攻坚工作。</w:t>
      </w:r>
    </w:p>
    <w:p>
      <w:pPr>
        <w:wordWrap/>
        <w:adjustRightInd/>
        <w:snapToGrid/>
        <w:spacing w:line="520" w:lineRule="exact"/>
        <w:ind w:left="0" w:right="0" w:firstLineChars="200" w:firstLine="640"/>
        <w:textAlignment w:val="auto"/>
        <w:outlineLvl w:val="9"/>
        <w:rPr>
          <w:rFonts w:ascii="仿宋_GB2312" w:eastAsia="仿宋_GB2312" w:cs="仿宋_GB2312" w:hint="eastAsia"/>
          <w:sz w:val="32"/>
          <w:szCs w:val="32"/>
          <w:highlight w:val="auto"/>
        </w:rPr>
      </w:pPr>
      <w:r>
        <w:rPr>
          <w:rFonts w:ascii="仿宋_GB2312" w:eastAsia="仿宋_GB2312" w:cs="仿宋_GB2312" w:hint="eastAsia"/>
          <w:b/>
          <w:bCs/>
          <w:sz w:val="32"/>
          <w:szCs w:val="32"/>
          <w:lang w:val="en-US" w:eastAsia="zh-CN"/>
          <w:highlight w:val="auto"/>
        </w:rPr>
        <w:t>（2</w:t>
      </w:r>
      <w:r>
        <w:rPr>
          <w:rFonts w:ascii="仿宋_GB2312" w:eastAsia="仿宋_GB2312" w:cs="仿宋_GB2312" w:hint="eastAsia"/>
          <w:b/>
          <w:bCs/>
          <w:sz w:val="32"/>
          <w:szCs w:val="32"/>
          <w:highlight w:val="auto"/>
        </w:rPr>
        <w:t>主动建立感情。</w:t>
      </w:r>
      <w:r>
        <w:rPr>
          <w:rFonts w:ascii="仿宋_GB2312" w:eastAsia="仿宋_GB2312" w:cs="仿宋_GB2312" w:hint="eastAsia"/>
          <w:sz w:val="32"/>
          <w:szCs w:val="32"/>
          <w:highlight w:val="auto"/>
        </w:rPr>
        <w:t xml:space="preserve">自筹经费与羌锋村干部群众共同开展主题党日活动和庆祝羌历年活动，在活动中与群众互动，逐步建立深厚感情，为更好的开展群众工作奠定基础。 </w:t>
      </w:r>
    </w:p>
    <w:p>
      <w:pPr>
        <w:wordWrap/>
        <w:adjustRightInd/>
        <w:snapToGrid/>
        <w:spacing w:line="520" w:lineRule="exact"/>
        <w:ind w:left="0" w:right="0" w:firstLineChars="200" w:firstLine="640"/>
        <w:textAlignment w:val="auto"/>
        <w:outlineLvl w:val="9"/>
        <w:rPr>
          <w:rFonts w:ascii="仿宋_GB2312" w:eastAsia="仿宋_GB2312" w:cs="仿宋_GB2312" w:hint="eastAsia"/>
          <w:bCs/>
          <w:color w:val="000000"/>
          <w:sz w:val="32"/>
          <w:szCs w:val="32"/>
          <w:highlight w:val="auto"/>
        </w:rPr>
      </w:pPr>
      <w:r>
        <w:rPr>
          <w:rFonts w:ascii="仿宋_GB2312" w:eastAsia="仿宋_GB2312" w:cs="仿宋_GB2312" w:hint="eastAsia"/>
          <w:b/>
          <w:bCs/>
          <w:sz w:val="32"/>
          <w:szCs w:val="32"/>
          <w:lang w:val="en-US" w:eastAsia="zh-CN"/>
          <w:highlight w:val="auto"/>
        </w:rPr>
        <w:t>（3）</w:t>
      </w:r>
      <w:r>
        <w:rPr>
          <w:rFonts w:ascii="仿宋_GB2312" w:eastAsia="仿宋_GB2312" w:cs="仿宋_GB2312" w:hint="eastAsia"/>
          <w:b/>
          <w:bCs/>
          <w:sz w:val="32"/>
          <w:szCs w:val="32"/>
          <w:highlight w:val="auto"/>
        </w:rPr>
        <w:t>主动关爱群众。</w:t>
      </w:r>
      <w:r>
        <w:rPr>
          <w:rFonts w:ascii="仿宋_GB2312" w:eastAsia="仿宋_GB2312" w:cs="仿宋_GB2312" w:hint="eastAsia"/>
          <w:bCs/>
          <w:sz w:val="32"/>
          <w:szCs w:val="32"/>
          <w:highlight w:val="auto"/>
        </w:rPr>
        <w:t>把群众贴身利益放在心上，急群众之所</w:t>
      </w:r>
      <w:r>
        <w:rPr>
          <w:rFonts w:ascii="仿宋_GB2312" w:eastAsia="仿宋_GB2312" w:cs="仿宋_GB2312"/>
          <w:bCs/>
          <w:sz w:val="32"/>
          <w:szCs w:val="32"/>
          <w:highlight w:val="auto"/>
        </w:rPr>
        <w:t>急</w:t>
      </w:r>
      <w:r>
        <w:rPr>
          <w:rFonts w:ascii="仿宋_GB2312" w:eastAsia="仿宋_GB2312" w:cs="仿宋_GB2312" w:hint="eastAsia"/>
          <w:bCs/>
          <w:sz w:val="32"/>
          <w:szCs w:val="32"/>
          <w:highlight w:val="auto"/>
        </w:rPr>
        <w:t>，想群众之所想，灾难来的时候，挡在群众身前，有利益的时候，退到群众身后，主动利用</w:t>
      </w:r>
      <w:r>
        <w:rPr>
          <w:rFonts w:ascii="仿宋_GB2312" w:eastAsia="仿宋_GB2312" w:cs="仿宋_GB2312" w:hint="eastAsia"/>
          <w:bCs/>
          <w:sz w:val="32"/>
          <w:szCs w:val="32"/>
          <w:lang w:eastAsia="zh-CN"/>
          <w:highlight w:val="auto"/>
        </w:rPr>
        <w:t>社会</w:t>
      </w:r>
      <w:r>
        <w:rPr>
          <w:rFonts w:ascii="仿宋_GB2312" w:eastAsia="仿宋_GB2312" w:cs="仿宋_GB2312" w:hint="eastAsia"/>
          <w:bCs/>
          <w:sz w:val="32"/>
          <w:szCs w:val="32"/>
          <w:highlight w:val="auto"/>
        </w:rPr>
        <w:t>资源，为受灾群众和贫困群众献爱心。</w:t>
      </w:r>
    </w:p>
    <w:p>
      <w:pPr>
        <w:pStyle w:val="2"/>
        <w:ind w:firstLineChars="200" w:firstLine="640"/>
        <w:rPr>
          <w:rStyle w:val="2Char"/>
          <w:rFonts w:ascii="黑体" w:eastAsia="黑体" w:cs="黑体" w:hint="eastAsia"/>
          <w:b/>
          <w:bCs w:val="0"/>
          <w:highlight w:val="auto"/>
        </w:rPr>
      </w:pPr>
      <w:bookmarkStart w:id="22" w:name="_Toc15377200"/>
      <w:bookmarkStart w:id="23" w:name="_Toc20297153"/>
      <w:r>
        <w:rPr>
          <w:rFonts w:ascii="黑体" w:eastAsia="黑体" w:cs="黑体" w:hint="eastAsia"/>
          <w:b/>
          <w:bCs w:val="0"/>
          <w:color w:val="000000"/>
          <w:highlight w:val="auto"/>
        </w:rPr>
        <w:t>二、机</w:t>
      </w:r>
      <w:r>
        <w:rPr>
          <w:rStyle w:val="2Char"/>
          <w:rFonts w:ascii="黑体" w:eastAsia="黑体" w:cs="黑体" w:hint="eastAsia"/>
          <w:b/>
          <w:bCs w:val="0"/>
          <w:highlight w:val="auto"/>
        </w:rPr>
        <w:t>构设置</w:t>
      </w:r>
      <w:bookmarkEnd w:id="22"/>
      <w:bookmarkEnd w:id="23"/>
    </w:p>
    <w:p>
      <w:pPr>
        <w:pStyle w:val="16"/>
        <w:adjustRightInd w:val="0"/>
        <w:snapToGrid w:val="0"/>
        <w:spacing w:beforeLines="0" w:before="93" w:line="600" w:lineRule="exact"/>
        <w:ind w:firstLineChars="350" w:firstLine="1120"/>
        <w:rPr>
          <w:rFonts w:ascii="仿宋_GB2312" w:eastAsia="仿宋_GB2312" w:cs="仿宋_GB2312" w:hint="eastAsia"/>
          <w:color w:val="000000"/>
          <w:sz w:val="32"/>
          <w:szCs w:val="32"/>
          <w:highlight w:val="auto"/>
        </w:rPr>
      </w:pPr>
      <w:r>
        <w:rPr>
          <w:rFonts w:ascii="仿宋_GB2312" w:eastAsia="仿宋_GB2312" w:cs="仿宋_GB2312" w:hint="eastAsia"/>
          <w:color w:val="000000"/>
          <w:sz w:val="32"/>
          <w:szCs w:val="32"/>
          <w:highlight w:val="auto"/>
        </w:rPr>
        <w:t>汶川县投资促进博览</w:t>
      </w:r>
      <w:r>
        <w:rPr>
          <w:rFonts w:ascii="仿宋_GB2312" w:eastAsia="仿宋_GB2312" w:cs="仿宋_GB2312" w:hint="eastAsia"/>
          <w:color w:val="000000"/>
          <w:sz w:val="32"/>
          <w:szCs w:val="32"/>
          <w:lang w:eastAsia="zh-CN"/>
          <w:highlight w:val="auto"/>
        </w:rPr>
        <w:t>中心</w:t>
      </w:r>
      <w:r>
        <w:rPr>
          <w:rFonts w:ascii="仿宋_GB2312" w:eastAsia="仿宋_GB2312" w:cs="仿宋_GB2312" w:hint="eastAsia"/>
          <w:color w:val="000000"/>
          <w:sz w:val="32"/>
          <w:szCs w:val="32"/>
          <w:highlight w:val="auto"/>
        </w:rPr>
        <w:t>下属二级单位0个，其中行政单位0个，参照公务员法管理的事业单位0个，其他事业单位0个。</w:t>
      </w:r>
    </w:p>
    <w:p>
      <w:pPr>
        <w:widowControl/>
        <w:jc w:val="left"/>
        <w:rPr>
          <w:rFonts w:ascii="仿宋_GB2312" w:eastAsia="仿宋_GB2312" w:cs="仿宋_GB2312" w:hint="eastAsia"/>
          <w:color w:val="000000"/>
          <w:kern w:val="0"/>
          <w:sz w:val="32"/>
          <w:szCs w:val="32"/>
          <w:highlight w:val="auto"/>
        </w:rPr>
      </w:pPr>
      <w:r>
        <w:rPr>
          <w:rFonts w:ascii="仿宋_GB2312" w:eastAsia="仿宋_GB2312" w:cs="仿宋_GB2312" w:hint="eastAsia"/>
          <w:color w:val="000000"/>
          <w:sz w:val="32"/>
          <w:szCs w:val="32"/>
          <w:highlight w:val="auto"/>
        </w:rPr>
        <w:br w:type="page"/>
      </w:r>
    </w:p>
    <w:p>
      <w:pPr>
        <w:pStyle w:val="1"/>
        <w:ind w:right="440"/>
        <w:jc w:val="right"/>
        <w:rPr>
          <w:rStyle w:val="1Char"/>
          <w:rFonts w:ascii="方正小标宋简体" w:eastAsia="方正小标宋简体" w:cs="方正小标宋简体" w:hint="eastAsia"/>
          <w:b w:val="0"/>
          <w:bCs w:val="0"/>
          <w:highlight w:val="auto"/>
        </w:rPr>
      </w:pPr>
      <w:bookmarkStart w:id="24" w:name="_Toc20297154"/>
      <w:bookmarkStart w:id="25" w:name="_Toc15377204"/>
      <w:r>
        <w:rPr>
          <w:rFonts w:ascii="方正小标宋简体" w:eastAsia="方正小标宋简体" w:cs="方正小标宋简体" w:hint="eastAsia"/>
          <w:b w:val="0"/>
          <w:color w:val="000000"/>
          <w:highlight w:val="auto"/>
        </w:rPr>
        <w:t>第二部分</w:t>
      </w:r>
      <w:r>
        <w:rPr>
          <w:rFonts w:ascii="方正小标宋简体" w:eastAsia="方正小标宋简体" w:cs="方正小标宋简体" w:hint="eastAsia"/>
          <w:color w:val="000000"/>
          <w:highlight w:val="auto"/>
        </w:rPr>
        <w:t xml:space="preserve"> </w:t>
      </w:r>
      <w:r>
        <w:rPr>
          <w:rStyle w:val="1Char"/>
          <w:rFonts w:ascii="方正小标宋简体" w:eastAsia="方正小标宋简体" w:cs="方正小标宋简体" w:hint="eastAsia"/>
          <w:b w:val="0"/>
          <w:bCs w:val="0"/>
          <w:highlight w:val="auto"/>
        </w:rPr>
        <w:t>201</w:t>
      </w:r>
      <w:r>
        <w:rPr>
          <w:rStyle w:val="1Char"/>
          <w:rFonts w:ascii="方正小标宋简体" w:eastAsia="方正小标宋简体" w:cs="方正小标宋简体" w:hint="eastAsia"/>
          <w:b w:val="0"/>
          <w:bCs w:val="0"/>
          <w:lang w:val="en-US" w:eastAsia="zh-CN"/>
          <w:highlight w:val="auto"/>
        </w:rPr>
        <w:t>9</w:t>
      </w:r>
      <w:r>
        <w:rPr>
          <w:rStyle w:val="1Char"/>
          <w:rFonts w:ascii="方正小标宋简体" w:eastAsia="方正小标宋简体" w:cs="方正小标宋简体" w:hint="eastAsia"/>
          <w:b w:val="0"/>
          <w:bCs w:val="0"/>
          <w:highlight w:val="auto"/>
        </w:rPr>
        <w:t>年度部门决算情况说明</w:t>
      </w:r>
      <w:bookmarkEnd w:id="24"/>
      <w:bookmarkEnd w:id="25"/>
    </w:p>
    <w:p>
      <w:pPr>
        <w:rPr>
          <w:rFonts w:ascii="仿宋_GB2312" w:eastAsia="仿宋_GB2312" w:cs="仿宋_GB2312" w:hint="eastAsia"/>
          <w:highlight w:val="auto"/>
        </w:rPr>
      </w:pPr>
    </w:p>
    <w:p>
      <w:pPr>
        <w:pStyle w:val="28"/>
        <w:spacing w:line="560" w:lineRule="exact"/>
        <w:rPr>
          <w:rStyle w:val="2Char"/>
          <w:rFonts w:ascii="黑体" w:eastAsia="黑体"/>
          <w:b w:val="0"/>
          <w:highlight w:val="auto"/>
        </w:rPr>
      </w:pPr>
      <w:bookmarkStart w:id="26" w:name="_Toc15396603"/>
      <w:bookmarkStart w:id="27" w:name="_Toc15377205"/>
      <w:bookmarkStart w:id="28" w:name="_Toc20297156"/>
      <w:bookmarkStart w:id="29" w:name="_Toc15377206"/>
      <w:r>
        <w:rPr>
          <w:rFonts w:ascii="黑体" w:eastAsia="黑体" w:hint="eastAsia"/>
          <w:color w:val="000000"/>
          <w:sz w:val="32"/>
          <w:szCs w:val="32"/>
          <w:highlight w:val="auto"/>
        </w:rPr>
        <w:t>一、收</w:t>
      </w:r>
      <w:r>
        <w:rPr>
          <w:rStyle w:val="2Char"/>
          <w:rFonts w:ascii="黑体" w:eastAsia="黑体" w:hint="eastAsia"/>
          <w:b w:val="0"/>
          <w:highlight w:val="auto"/>
        </w:rPr>
        <w:t>入支出决算总体情况说明</w:t>
      </w:r>
      <w:bookmarkEnd w:id="26"/>
      <w:bookmarkEnd w:id="27"/>
    </w:p>
    <w:p>
      <w:pPr>
        <w:spacing w:line="560" w:lineRule="exact"/>
        <w:ind w:firstLineChars="200" w:firstLine="640"/>
        <w:rPr>
          <w:rFonts w:ascii="仿宋_GB2312" w:eastAsia="仿宋_GB2312" w:cs="仿宋_GB2312"/>
          <w:color w:val="000000"/>
          <w:sz w:val="32"/>
          <w:szCs w:val="32"/>
          <w:lang w:val="en-US" w:eastAsia="zh-CN"/>
          <w:highlight w:val="auto"/>
        </w:rPr>
      </w:pPr>
      <w:r>
        <w:rPr>
          <w:rFonts w:ascii="仿宋_GB2312" w:eastAsia="仿宋_GB2312" w:cs="仿宋_GB2312" w:hint="eastAsia"/>
          <w:color w:val="000000"/>
          <w:sz w:val="32"/>
          <w:szCs w:val="32"/>
          <w:highlight w:val="auto"/>
        </w:rPr>
        <w:t>201</w:t>
      </w:r>
      <w:r>
        <w:rPr>
          <w:rFonts w:ascii="仿宋_GB2312" w:eastAsia="仿宋_GB2312" w:cs="仿宋_GB2312" w:hint="eastAsia"/>
          <w:color w:val="000000"/>
          <w:sz w:val="32"/>
          <w:szCs w:val="32"/>
          <w:lang w:val="en-US" w:eastAsia="zh-CN"/>
          <w:highlight w:val="auto"/>
        </w:rPr>
        <w:t>9</w:t>
      </w:r>
      <w:r>
        <w:rPr>
          <w:rFonts w:ascii="仿宋_GB2312" w:eastAsia="仿宋_GB2312" w:cs="仿宋_GB2312" w:hint="eastAsia"/>
          <w:color w:val="000000"/>
          <w:sz w:val="32"/>
          <w:szCs w:val="32"/>
          <w:highlight w:val="auto"/>
        </w:rPr>
        <w:t>年度收入总计</w:t>
      </w:r>
      <w:r>
        <w:rPr>
          <w:rFonts w:ascii="仿宋_GB2312" w:eastAsia="仿宋_GB2312" w:cs="仿宋_GB2312" w:hint="eastAsia"/>
          <w:color w:val="000000"/>
          <w:sz w:val="32"/>
          <w:szCs w:val="32"/>
          <w:lang w:val="en-US" w:eastAsia="zh-CN"/>
          <w:highlight w:val="auto"/>
        </w:rPr>
        <w:t>325.47</w:t>
      </w:r>
      <w:r>
        <w:rPr>
          <w:rFonts w:ascii="仿宋_GB2312" w:eastAsia="仿宋_GB2312" w:cs="仿宋_GB2312" w:hint="eastAsia"/>
          <w:color w:val="000000"/>
          <w:sz w:val="32"/>
          <w:szCs w:val="32"/>
          <w:highlight w:val="auto"/>
        </w:rPr>
        <w:t>万元，与201</w:t>
      </w:r>
      <w:r>
        <w:rPr>
          <w:rFonts w:ascii="仿宋_GB2312" w:eastAsia="仿宋_GB2312" w:cs="仿宋_GB2312" w:hint="eastAsia"/>
          <w:color w:val="000000"/>
          <w:sz w:val="32"/>
          <w:szCs w:val="32"/>
          <w:lang w:val="en-US" w:eastAsia="zh-CN"/>
          <w:highlight w:val="auto"/>
        </w:rPr>
        <w:t>8</w:t>
      </w:r>
      <w:r>
        <w:rPr>
          <w:rFonts w:ascii="仿宋_GB2312" w:eastAsia="仿宋_GB2312" w:cs="仿宋_GB2312" w:hint="eastAsia"/>
          <w:color w:val="000000"/>
          <w:sz w:val="32"/>
          <w:szCs w:val="32"/>
          <w:highlight w:val="auto"/>
        </w:rPr>
        <w:t>年</w:t>
      </w:r>
      <w:r>
        <w:rPr>
          <w:rFonts w:ascii="仿宋_GB2312" w:eastAsia="仿宋_GB2312" w:cs="仿宋_GB2312" w:hint="eastAsia"/>
          <w:color w:val="000000"/>
          <w:sz w:val="32"/>
          <w:szCs w:val="32"/>
          <w:lang w:val="en-US" w:eastAsia="zh-CN"/>
          <w:highlight w:val="auto"/>
        </w:rPr>
        <w:t>247.15</w:t>
      </w:r>
      <w:r>
        <w:rPr>
          <w:rFonts w:ascii="仿宋_GB2312" w:eastAsia="仿宋_GB2312" w:cs="仿宋_GB2312" w:hint="eastAsia"/>
          <w:color w:val="000000"/>
          <w:sz w:val="32"/>
          <w:szCs w:val="32"/>
          <w:highlight w:val="auto"/>
        </w:rPr>
        <w:t>相比，收入总计</w:t>
      </w:r>
      <w:r>
        <w:rPr>
          <w:rFonts w:ascii="仿宋_GB2312" w:eastAsia="仿宋_GB2312" w:cs="仿宋_GB2312" w:hint="eastAsia"/>
          <w:color w:val="000000"/>
          <w:sz w:val="32"/>
          <w:szCs w:val="32"/>
          <w:lang w:val="en-US" w:eastAsia="zh-CN"/>
          <w:highlight w:val="auto"/>
        </w:rPr>
        <w:t>增加78.32</w:t>
      </w:r>
      <w:r>
        <w:rPr>
          <w:rFonts w:ascii="仿宋_GB2312" w:eastAsia="仿宋_GB2312" w:cs="仿宋_GB2312" w:hint="eastAsia"/>
          <w:color w:val="000000"/>
          <w:sz w:val="32"/>
          <w:szCs w:val="32"/>
          <w:highlight w:val="auto"/>
        </w:rPr>
        <w:t>万元，</w:t>
      </w:r>
      <w:r>
        <w:rPr>
          <w:rFonts w:ascii="仿宋_GB2312" w:eastAsia="仿宋_GB2312" w:cs="仿宋_GB2312" w:hint="eastAsia"/>
          <w:color w:val="000000"/>
          <w:sz w:val="32"/>
          <w:szCs w:val="32"/>
          <w:lang w:val="en-US" w:eastAsia="zh-CN"/>
          <w:highlight w:val="auto"/>
        </w:rPr>
        <w:t>增加24.06</w:t>
      </w:r>
      <w:r>
        <w:rPr>
          <w:rFonts w:ascii="仿宋_GB2312" w:eastAsia="仿宋_GB2312" w:cs="仿宋_GB2312" w:hint="eastAsia"/>
          <w:color w:val="000000"/>
          <w:sz w:val="32"/>
          <w:szCs w:val="32"/>
          <w:highlight w:val="auto"/>
        </w:rPr>
        <w:t>%。201</w:t>
      </w:r>
      <w:r>
        <w:rPr>
          <w:rFonts w:ascii="仿宋_GB2312" w:eastAsia="仿宋_GB2312" w:cs="仿宋_GB2312" w:hint="eastAsia"/>
          <w:color w:val="000000"/>
          <w:sz w:val="32"/>
          <w:szCs w:val="32"/>
          <w:lang w:val="en-US" w:eastAsia="zh-CN"/>
          <w:highlight w:val="auto"/>
        </w:rPr>
        <w:t>9</w:t>
      </w:r>
      <w:r>
        <w:rPr>
          <w:rFonts w:ascii="仿宋_GB2312" w:eastAsia="仿宋_GB2312" w:cs="仿宋_GB2312" w:hint="eastAsia"/>
          <w:color w:val="000000"/>
          <w:sz w:val="32"/>
          <w:szCs w:val="32"/>
          <w:highlight w:val="auto"/>
        </w:rPr>
        <w:t>年度支出总计</w:t>
      </w:r>
      <w:r>
        <w:rPr>
          <w:rFonts w:ascii="仿宋_GB2312" w:eastAsia="仿宋_GB2312" w:cs="仿宋_GB2312" w:hint="eastAsia"/>
          <w:color w:val="000000"/>
          <w:sz w:val="32"/>
          <w:szCs w:val="32"/>
          <w:lang w:val="en-US" w:eastAsia="zh-CN"/>
          <w:highlight w:val="auto"/>
        </w:rPr>
        <w:t>366.95</w:t>
      </w:r>
      <w:r>
        <w:rPr>
          <w:rFonts w:ascii="仿宋_GB2312" w:eastAsia="仿宋_GB2312" w:cs="仿宋_GB2312" w:hint="eastAsia"/>
          <w:color w:val="000000"/>
          <w:sz w:val="32"/>
          <w:szCs w:val="32"/>
          <w:highlight w:val="auto"/>
        </w:rPr>
        <w:t>万元，与201</w:t>
      </w:r>
      <w:r>
        <w:rPr>
          <w:rFonts w:ascii="仿宋_GB2312" w:eastAsia="仿宋_GB2312" w:cs="仿宋_GB2312" w:hint="eastAsia"/>
          <w:color w:val="000000"/>
          <w:sz w:val="32"/>
          <w:szCs w:val="32"/>
          <w:lang w:val="en-US" w:eastAsia="zh-CN"/>
          <w:highlight w:val="auto"/>
        </w:rPr>
        <w:t>8</w:t>
      </w:r>
      <w:r>
        <w:rPr>
          <w:rFonts w:ascii="仿宋_GB2312" w:eastAsia="仿宋_GB2312" w:cs="仿宋_GB2312" w:hint="eastAsia"/>
          <w:color w:val="000000"/>
          <w:sz w:val="32"/>
          <w:szCs w:val="32"/>
          <w:highlight w:val="auto"/>
        </w:rPr>
        <w:t>年</w:t>
      </w:r>
      <w:r>
        <w:rPr>
          <w:rFonts w:ascii="仿宋_GB2312" w:eastAsia="仿宋_GB2312" w:cs="仿宋_GB2312" w:hint="eastAsia"/>
          <w:color w:val="000000"/>
          <w:sz w:val="32"/>
          <w:szCs w:val="32"/>
          <w:lang w:val="en-US" w:eastAsia="zh-CN"/>
          <w:highlight w:val="auto"/>
        </w:rPr>
        <w:t>247.15</w:t>
      </w:r>
      <w:r>
        <w:rPr>
          <w:rFonts w:ascii="仿宋_GB2312" w:eastAsia="仿宋_GB2312" w:cs="仿宋_GB2312" w:hint="eastAsia"/>
          <w:color w:val="000000"/>
          <w:sz w:val="32"/>
          <w:szCs w:val="32"/>
          <w:highlight w:val="auto"/>
        </w:rPr>
        <w:t>相比，支出总计</w:t>
      </w:r>
      <w:r>
        <w:rPr>
          <w:rFonts w:ascii="仿宋_GB2312" w:eastAsia="仿宋_GB2312" w:cs="仿宋_GB2312" w:hint="eastAsia"/>
          <w:color w:val="000000"/>
          <w:sz w:val="32"/>
          <w:szCs w:val="32"/>
          <w:lang w:val="en-US" w:eastAsia="zh-CN"/>
          <w:highlight w:val="auto"/>
        </w:rPr>
        <w:t>增加119.8</w:t>
      </w:r>
      <w:r>
        <w:rPr>
          <w:rFonts w:ascii="仿宋_GB2312" w:eastAsia="仿宋_GB2312" w:cs="仿宋_GB2312" w:hint="eastAsia"/>
          <w:color w:val="000000"/>
          <w:sz w:val="32"/>
          <w:szCs w:val="32"/>
          <w:highlight w:val="auto"/>
        </w:rPr>
        <w:t>万元，</w:t>
      </w:r>
      <w:r>
        <w:rPr>
          <w:rFonts w:ascii="仿宋_GB2312" w:eastAsia="仿宋_GB2312" w:cs="仿宋_GB2312" w:hint="eastAsia"/>
          <w:color w:val="000000"/>
          <w:sz w:val="32"/>
          <w:szCs w:val="32"/>
          <w:lang w:val="en-US" w:eastAsia="zh-CN"/>
          <w:highlight w:val="auto"/>
        </w:rPr>
        <w:t>增加32.65</w:t>
      </w:r>
      <w:r>
        <w:rPr>
          <w:rFonts w:ascii="仿宋_GB2312" w:eastAsia="仿宋_GB2312" w:cs="仿宋_GB2312" w:hint="eastAsia"/>
          <w:color w:val="000000"/>
          <w:sz w:val="32"/>
          <w:szCs w:val="32"/>
          <w:highlight w:val="auto"/>
        </w:rPr>
        <w:t>%。收支总额变动主要原因</w:t>
      </w:r>
      <w:r>
        <w:rPr>
          <w:rFonts w:ascii="仿宋_GB2312" w:eastAsia="仿宋_GB2312" w:cs="仿宋_GB2312" w:hint="eastAsia"/>
          <w:color w:val="000000"/>
          <w:sz w:val="32"/>
          <w:szCs w:val="32"/>
          <w:lang w:val="en-US" w:eastAsia="zh-CN"/>
          <w:highlight w:val="auto"/>
        </w:rPr>
        <w:t>2019年全年招商引资相关工作经费增加。</w:t>
      </w:r>
    </w:p>
    <w:p>
      <w:pPr>
        <w:spacing w:line="560" w:lineRule="exact"/>
        <w:ind w:firstLineChars="200" w:firstLine="640"/>
        <w:rPr>
          <w:rFonts w:ascii="仿宋_GB2312" w:eastAsia="仿宋_GB2312" w:cs="仿宋_GB2312"/>
          <w:color w:val="000000"/>
          <w:sz w:val="32"/>
          <w:szCs w:val="32"/>
          <w:highlight w:val="auto"/>
        </w:rPr>
      </w:pPr>
      <w:r>
        <w:rPr>
          <w:rFonts w:ascii="仿宋_GB2312" w:eastAsia="仿宋_GB2312" w:cs="仿宋_GB2312" w:hint="eastAsia"/>
          <w:color w:val="000000"/>
          <w:sz w:val="32"/>
          <w:szCs w:val="32"/>
          <w:highlight w:val="auto"/>
        </w:rPr>
        <w:t>（图1：收、支决算总计变动情况图）（柱状图）</w:t>
      </w:r>
    </w:p>
    <w:p>
      <w:pPr>
        <w:pStyle w:val="4"/>
        <w:jc w:val="center"/>
        <w:rPr>
          <w:highlight w:val="auto"/>
        </w:rPr>
      </w:pPr>
      <w:r>
        <w:rPr>
          <w:rFonts w:ascii="Cambria" w:eastAsia="宋体" w:cs="黑体" w:hAnsi="Cambria"/>
          <w:b/>
          <w:bCs/>
          <w:kern w:val="2"/>
          <w:sz w:val="28"/>
          <w:szCs w:val="28"/>
          <w:lang w:val="en-US" w:eastAsia="zh-CN" w:bidi="ar-SA"/>
          <w:highlight w:val="auto"/>
        </w:rPr>
        <w:drawing>
          <wp:inline distT="0" distB="0" distL="113665" distR="113665">
            <wp:extent cx="4381500" cy="2636520"/>
            <wp:effectExtent l="0" t="0" r="28" b="41"/>
            <wp:docPr id="1" name="图片"/>
            <wp:cNvGraphicFramePr>
              <a:graphicFrameLocks noChangeAspect="1"/>
            </wp:cNvGraphicFramePr>
            <a:graphic>
              <a:graphicData uri="http://schemas.openxmlformats.org/drawingml/2006/picture">
                <pic:pic>
                  <pic:nvPicPr>
                    <pic:cNvPr id="3" name="图片 3"/>
                    <pic:cNvPicPr/>
                  </pic:nvPicPr>
                  <pic:blipFill>
                    <a:blip r:embed="rId5"/>
                    <a:stretch>
                      <a:fillRect/>
                    </a:stretch>
                  </pic:blipFill>
                  <pic:spPr>
                    <a:xfrm rot="0">
                      <a:off x="0" y="0"/>
                      <a:ext cx="4381500" cy="2636520"/>
                    </a:xfrm>
                    <a:prstGeom prst="rect"/>
                    <a:noFill/>
                    <a:ln w="9525" cmpd="sng" cap="flat">
                      <a:noFill/>
                      <a:prstDash val="solid"/>
                      <a:miter/>
                    </a:ln>
                  </pic:spPr>
                </pic:pic>
              </a:graphicData>
            </a:graphic>
          </wp:inline>
        </w:drawing>
      </w:r>
    </w:p>
    <w:p>
      <w:pPr>
        <w:pStyle w:val="28"/>
        <w:spacing w:line="560" w:lineRule="exact"/>
        <w:rPr>
          <w:rFonts w:ascii="黑体" w:eastAsia="黑体" w:cs="Times New Roman" w:hint="eastAsia"/>
          <w:color w:val="000000"/>
          <w:sz w:val="32"/>
          <w:szCs w:val="32"/>
          <w:highlight w:val="auto"/>
        </w:rPr>
      </w:pPr>
      <w:r>
        <w:rPr>
          <w:rFonts w:ascii="黑体" w:eastAsia="黑体" w:cs="Times New Roman" w:hint="eastAsia"/>
          <w:color w:val="000000"/>
          <w:sz w:val="32"/>
          <w:szCs w:val="32"/>
          <w:lang w:val="en-US" w:eastAsia="zh-CN"/>
          <w:highlight w:val="auto"/>
        </w:rPr>
        <w:t>二、</w:t>
      </w:r>
      <w:r>
        <w:rPr>
          <w:rFonts w:ascii="黑体" w:eastAsia="黑体" w:cs="Times New Roman" w:hint="eastAsia"/>
          <w:color w:val="000000"/>
          <w:sz w:val="32"/>
          <w:szCs w:val="32"/>
          <w:highlight w:val="auto"/>
        </w:rPr>
        <w:t>收入决算情况说明</w:t>
      </w:r>
      <w:bookmarkEnd w:id="28"/>
      <w:bookmarkEnd w:id="29"/>
    </w:p>
    <w:p>
      <w:pPr>
        <w:spacing w:line="560" w:lineRule="exact"/>
        <w:ind w:firstLineChars="200" w:firstLine="640"/>
        <w:rPr>
          <w:rFonts w:ascii="仿宋_GB2312" w:eastAsia="仿宋_GB2312" w:cs="仿宋_GB2312" w:hint="eastAsia"/>
          <w:color w:val="000000"/>
          <w:sz w:val="32"/>
          <w:szCs w:val="32"/>
          <w:highlight w:val="auto"/>
        </w:rPr>
      </w:pPr>
      <w:r>
        <w:rPr>
          <w:rFonts w:ascii="仿宋_GB2312" w:eastAsia="仿宋_GB2312" w:cs="仿宋_GB2312" w:hint="eastAsia"/>
          <w:color w:val="000000"/>
          <w:sz w:val="32"/>
          <w:szCs w:val="32"/>
          <w:highlight w:val="auto"/>
        </w:rPr>
        <w:t>201</w:t>
      </w:r>
      <w:r>
        <w:rPr>
          <w:rFonts w:ascii="仿宋_GB2312" w:eastAsia="仿宋_GB2312" w:cs="仿宋_GB2312" w:hint="eastAsia"/>
          <w:color w:val="000000"/>
          <w:sz w:val="32"/>
          <w:szCs w:val="32"/>
          <w:lang w:val="en-US" w:eastAsia="zh-CN"/>
          <w:highlight w:val="auto"/>
        </w:rPr>
        <w:t>9</w:t>
      </w:r>
      <w:r>
        <w:rPr>
          <w:rFonts w:ascii="仿宋_GB2312" w:eastAsia="仿宋_GB2312" w:cs="仿宋_GB2312" w:hint="eastAsia"/>
          <w:color w:val="000000"/>
          <w:sz w:val="32"/>
          <w:szCs w:val="32"/>
          <w:highlight w:val="auto"/>
        </w:rPr>
        <w:t>年本年收入合计</w:t>
      </w:r>
      <w:r>
        <w:rPr>
          <w:rFonts w:ascii="仿宋_GB2312" w:eastAsia="仿宋_GB2312" w:cs="仿宋_GB2312" w:hint="eastAsia"/>
          <w:color w:val="000000"/>
          <w:sz w:val="32"/>
          <w:szCs w:val="32"/>
          <w:lang w:val="en-US" w:eastAsia="zh-CN"/>
          <w:highlight w:val="auto"/>
        </w:rPr>
        <w:t>325.47</w:t>
      </w:r>
      <w:r>
        <w:rPr>
          <w:rFonts w:ascii="仿宋_GB2312" w:eastAsia="仿宋_GB2312" w:cs="仿宋_GB2312" w:hint="eastAsia"/>
          <w:color w:val="000000"/>
          <w:sz w:val="32"/>
          <w:szCs w:val="32"/>
          <w:highlight w:val="auto"/>
        </w:rPr>
        <w:t>万元，其中：一般公共预算财政拨款收入</w:t>
      </w:r>
      <w:r>
        <w:rPr>
          <w:rFonts w:ascii="仿宋_GB2312" w:eastAsia="仿宋_GB2312" w:cs="仿宋_GB2312" w:hint="eastAsia"/>
          <w:color w:val="000000"/>
          <w:sz w:val="32"/>
          <w:szCs w:val="32"/>
          <w:lang w:val="en-US" w:eastAsia="zh-CN"/>
          <w:highlight w:val="auto"/>
        </w:rPr>
        <w:t>325.47</w:t>
      </w:r>
      <w:r>
        <w:rPr>
          <w:rFonts w:ascii="仿宋_GB2312" w:eastAsia="仿宋_GB2312" w:cs="仿宋_GB2312" w:hint="eastAsia"/>
          <w:color w:val="000000"/>
          <w:sz w:val="32"/>
          <w:szCs w:val="32"/>
          <w:highlight w:val="auto"/>
        </w:rPr>
        <w:t>万元，占100%；政府性基金预算财政拨款收入0万元，占0%；国有资本经营预算财政拨款收入0万元，占0%；事业收入0万元，占0%；经营收入0万元，占0%；附属单位上缴收入0万元，占0%；其他收入0万元，占0%。</w:t>
      </w:r>
    </w:p>
    <w:p>
      <w:pPr>
        <w:pStyle w:val="24"/>
        <w:rPr>
          <w:rFonts w:hint="eastAsia"/>
          <w:highlight w:val="auto"/>
        </w:rPr>
      </w:pPr>
    </w:p>
    <w:p>
      <w:pPr>
        <w:spacing w:line="560" w:lineRule="exact"/>
        <w:ind w:firstLineChars="200" w:firstLine="640"/>
        <w:rPr>
          <w:rFonts w:ascii="仿宋_GB2312" w:eastAsia="仿宋_GB2312" w:cs="仿宋_GB2312"/>
          <w:color w:val="000000"/>
          <w:sz w:val="32"/>
          <w:szCs w:val="32"/>
          <w:highlight w:val="auto"/>
        </w:rPr>
      </w:pPr>
      <w:bookmarkStart w:id="30" w:name="_Toc20297158"/>
      <w:bookmarkStart w:id="31" w:name="_Toc15377207"/>
      <w:r>
        <w:rPr>
          <w:rFonts w:ascii="仿宋_GB2312" w:eastAsia="仿宋_GB2312" w:cs="仿宋_GB2312" w:hint="eastAsia"/>
          <w:color w:val="000000"/>
          <w:sz w:val="32"/>
          <w:szCs w:val="32"/>
          <w:highlight w:val="auto"/>
        </w:rPr>
        <w:t>（图2：收入决算结构图）（饼状图）</w:t>
      </w:r>
    </w:p>
    <w:p>
      <w:pPr>
        <w:pStyle w:val="28"/>
        <w:spacing w:line="600" w:lineRule="exact"/>
        <w:ind w:left="640"/>
        <w:outlineLvl w:val="1"/>
        <w:rPr>
          <w:rStyle w:val="2Char"/>
          <w:rFonts w:ascii="仿宋_GB2312" w:eastAsia="仿宋_GB2312" w:cs="仿宋_GB2312" w:hint="eastAsia"/>
          <w:b/>
          <w:bCs w:val="0"/>
          <w:highlight w:val="auto"/>
        </w:rPr>
      </w:pPr>
    </w:p>
    <w:p>
      <w:pPr>
        <w:pStyle w:val="28"/>
        <w:spacing w:line="600" w:lineRule="exact"/>
        <w:ind w:left="640"/>
        <w:outlineLvl w:val="1"/>
        <w:rPr>
          <w:rStyle w:val="2Char"/>
          <w:rFonts w:ascii="仿宋_GB2312" w:eastAsia="仿宋_GB2312" w:cs="仿宋_GB2312" w:hint="eastAsia"/>
          <w:b/>
          <w:bCs w:val="0"/>
          <w:highlight w:val="auto"/>
        </w:rPr>
      </w:pPr>
      <w:r>
        <w:rPr>
          <w:rFonts w:ascii="Times New Roman" w:eastAsia="宋体" w:cs="Times New Roman" w:hAnsi="Times New Roman"/>
          <w:kern w:val="2"/>
          <w:sz w:val="21"/>
          <w:szCs w:val="24"/>
          <w:lang w:val="en-US" w:eastAsia="zh-CN" w:bidi="ar-SA"/>
          <w:highlight w:val="auto"/>
        </w:rPr>
        <w:drawing>
          <wp:anchor distT="0" distB="0" distL="114300" distR="114300" simplePos="0" relativeHeight="30" behindDoc="0" locked="0" layoutInCell="1" hidden="0" allowOverlap="1">
            <wp:simplePos x="0" y="0"/>
            <wp:positionH relativeFrom="column">
              <wp:posOffset>701040</wp:posOffset>
            </wp:positionH>
            <wp:positionV relativeFrom="paragraph">
              <wp:posOffset>87630</wp:posOffset>
            </wp:positionV>
            <wp:extent cx="3174999" cy="1939290"/>
            <wp:effectExtent l="0" t="0" r="0" b="0"/>
            <wp:wrapTight wrapText="bothSides">
              <wp:wrapPolygon>
                <wp:start x="21592" y="-2"/>
                <wp:lineTo x="0" y="0"/>
                <wp:lineTo x="0" y="21600"/>
                <wp:lineTo x="21592" y="21602"/>
                <wp:lineTo x="8" y="21602"/>
                <wp:lineTo x="21600" y="21600"/>
                <wp:lineTo x="21600" y="0"/>
                <wp:lineTo x="8" y="-2"/>
                <wp:lineTo x="21592" y="-2"/>
              </wp:wrapPolygon>
            </wp:wrapTight>
            <wp:docPr id="4" name="图片"/>
            <wp:cNvGraphicFramePr>
              <a:graphicFrameLocks noChangeAspect="1"/>
            </wp:cNvGraphicFramePr>
            <a:graphic>
              <a:graphicData uri="http://schemas.openxmlformats.org/drawingml/2006/picture">
                <pic:pic>
                  <pic:nvPicPr>
                    <pic:cNvPr id="6" name="图片 6"/>
                    <pic:cNvPicPr/>
                  </pic:nvPicPr>
                  <pic:blipFill>
                    <a:blip r:embed="rId6"/>
                    <a:stretch>
                      <a:fillRect/>
                    </a:stretch>
                  </pic:blipFill>
                  <pic:spPr>
                    <a:xfrm rot="0">
                      <a:off x="0" y="0"/>
                      <a:ext cx="3174999" cy="1939290"/>
                    </a:xfrm>
                    <a:prstGeom prst="rect"/>
                    <a:noFill/>
                    <a:ln w="9525" cmpd="sng" cap="flat">
                      <a:noFill/>
                      <a:prstDash val="solid"/>
                      <a:miter/>
                    </a:ln>
                  </pic:spPr>
                </pic:pic>
              </a:graphicData>
            </a:graphic>
          </wp:anchor>
        </w:drawing>
      </w:r>
    </w:p>
    <w:p>
      <w:pPr>
        <w:pStyle w:val="28"/>
        <w:spacing w:line="600" w:lineRule="exact"/>
        <w:ind w:left="640"/>
        <w:outlineLvl w:val="1"/>
        <w:rPr>
          <w:rStyle w:val="2Char"/>
          <w:rFonts w:ascii="仿宋_GB2312" w:eastAsia="仿宋_GB2312" w:cs="仿宋_GB2312" w:hint="eastAsia"/>
          <w:b/>
          <w:bCs w:val="0"/>
          <w:highlight w:val="auto"/>
        </w:rPr>
      </w:pPr>
    </w:p>
    <w:p>
      <w:pPr>
        <w:pStyle w:val="28"/>
        <w:spacing w:line="600" w:lineRule="exact"/>
        <w:ind w:left="640"/>
        <w:outlineLvl w:val="1"/>
        <w:rPr>
          <w:rStyle w:val="2Char"/>
          <w:rFonts w:ascii="仿宋_GB2312" w:eastAsia="仿宋_GB2312" w:cs="仿宋_GB2312" w:hint="eastAsia"/>
          <w:b/>
          <w:bCs w:val="0"/>
          <w:highlight w:val="auto"/>
        </w:rPr>
      </w:pPr>
    </w:p>
    <w:p>
      <w:pPr>
        <w:pStyle w:val="28"/>
        <w:spacing w:line="600" w:lineRule="exact"/>
        <w:ind w:left="640"/>
        <w:outlineLvl w:val="1"/>
        <w:rPr>
          <w:rStyle w:val="2Char"/>
          <w:rFonts w:ascii="仿宋_GB2312" w:eastAsia="仿宋_GB2312" w:cs="仿宋_GB2312" w:hint="eastAsia"/>
          <w:b/>
          <w:bCs w:val="0"/>
          <w:highlight w:val="auto"/>
        </w:rPr>
      </w:pPr>
    </w:p>
    <w:p>
      <w:pPr>
        <w:pStyle w:val="28"/>
        <w:spacing w:line="600" w:lineRule="exact"/>
        <w:ind w:left="640"/>
        <w:outlineLvl w:val="1"/>
        <w:rPr>
          <w:rStyle w:val="2Char"/>
          <w:rFonts w:ascii="仿宋_GB2312" w:eastAsia="仿宋_GB2312" w:cs="仿宋_GB2312" w:hint="eastAsia"/>
          <w:b/>
          <w:bCs w:val="0"/>
          <w:highlight w:val="auto"/>
        </w:rPr>
      </w:pPr>
    </w:p>
    <w:p>
      <w:pPr>
        <w:pStyle w:val="28"/>
        <w:spacing w:line="600" w:lineRule="exact"/>
        <w:outlineLvl w:val="1"/>
        <w:rPr>
          <w:rStyle w:val="2Char"/>
          <w:rFonts w:ascii="仿宋_GB2312" w:eastAsia="仿宋_GB2312" w:cs="仿宋_GB2312" w:hint="eastAsia"/>
          <w:b/>
          <w:bCs w:val="0"/>
          <w:highlight w:val="auto"/>
        </w:rPr>
      </w:pPr>
    </w:p>
    <w:p>
      <w:pPr>
        <w:pStyle w:val="28"/>
        <w:spacing w:line="560" w:lineRule="exact"/>
        <w:rPr>
          <w:rFonts w:ascii="黑体" w:eastAsia="黑体" w:cs="Times New Roman" w:hint="eastAsia"/>
          <w:color w:val="000000"/>
          <w:sz w:val="32"/>
          <w:szCs w:val="32"/>
          <w:highlight w:val="auto"/>
        </w:rPr>
      </w:pPr>
      <w:r>
        <w:rPr>
          <w:rFonts w:ascii="黑体" w:eastAsia="黑体" w:cs="Times New Roman" w:hint="eastAsia"/>
          <w:color w:val="000000"/>
          <w:sz w:val="32"/>
          <w:szCs w:val="32"/>
          <w:lang w:val="en-US" w:eastAsia="zh-CN"/>
          <w:highlight w:val="auto"/>
        </w:rPr>
        <w:t>三、</w:t>
      </w:r>
      <w:r>
        <w:rPr>
          <w:rFonts w:ascii="黑体" w:eastAsia="黑体" w:cs="Times New Roman" w:hint="eastAsia"/>
          <w:color w:val="000000"/>
          <w:sz w:val="32"/>
          <w:szCs w:val="32"/>
          <w:highlight w:val="auto"/>
        </w:rPr>
        <w:t>支出决算情况说明</w:t>
      </w:r>
      <w:bookmarkEnd w:id="30"/>
      <w:bookmarkEnd w:id="31"/>
    </w:p>
    <w:p>
      <w:pPr>
        <w:spacing w:line="600" w:lineRule="exact"/>
        <w:ind w:firstLine="640"/>
        <w:rPr>
          <w:rFonts w:ascii="仿宋_GB2312" w:eastAsia="仿宋_GB2312" w:cs="仿宋_GB2312" w:hint="eastAsia"/>
          <w:color w:val="000000"/>
          <w:sz w:val="32"/>
          <w:szCs w:val="32"/>
          <w:highlight w:val="auto"/>
        </w:rPr>
      </w:pPr>
      <w:r>
        <w:rPr>
          <w:rFonts w:ascii="仿宋_GB2312" w:eastAsia="仿宋_GB2312" w:cs="仿宋_GB2312" w:hint="eastAsia"/>
          <w:color w:val="000000"/>
          <w:sz w:val="32"/>
          <w:szCs w:val="32"/>
          <w:highlight w:val="auto"/>
        </w:rPr>
        <w:t>201</w:t>
      </w:r>
      <w:r>
        <w:rPr>
          <w:rFonts w:ascii="仿宋_GB2312" w:eastAsia="仿宋_GB2312" w:cs="仿宋_GB2312" w:hint="eastAsia"/>
          <w:color w:val="000000"/>
          <w:sz w:val="32"/>
          <w:szCs w:val="32"/>
          <w:lang w:val="en-US" w:eastAsia="zh-CN"/>
          <w:highlight w:val="auto"/>
        </w:rPr>
        <w:t>9</w:t>
      </w:r>
      <w:r>
        <w:rPr>
          <w:rFonts w:ascii="仿宋_GB2312" w:eastAsia="仿宋_GB2312" w:cs="仿宋_GB2312" w:hint="eastAsia"/>
          <w:color w:val="000000"/>
          <w:sz w:val="32"/>
          <w:szCs w:val="32"/>
          <w:highlight w:val="auto"/>
        </w:rPr>
        <w:t>年本年支出合计</w:t>
      </w:r>
      <w:r>
        <w:rPr>
          <w:rFonts w:ascii="仿宋_GB2312" w:eastAsia="仿宋_GB2312" w:cs="仿宋_GB2312" w:hint="eastAsia"/>
          <w:color w:val="000000"/>
          <w:sz w:val="32"/>
          <w:szCs w:val="32"/>
          <w:lang w:val="en-US" w:eastAsia="zh-CN"/>
          <w:highlight w:val="auto"/>
        </w:rPr>
        <w:t>366.95</w:t>
      </w:r>
      <w:r>
        <w:rPr>
          <w:rFonts w:ascii="仿宋_GB2312" w:eastAsia="仿宋_GB2312" w:cs="仿宋_GB2312" w:hint="eastAsia"/>
          <w:color w:val="000000"/>
          <w:sz w:val="32"/>
          <w:szCs w:val="32"/>
          <w:highlight w:val="auto"/>
        </w:rPr>
        <w:t>万元，其中：基本支出</w:t>
      </w:r>
      <w:r>
        <w:rPr>
          <w:rFonts w:ascii="仿宋_GB2312" w:eastAsia="仿宋_GB2312" w:cs="仿宋_GB2312" w:hint="eastAsia"/>
          <w:color w:val="000000"/>
          <w:sz w:val="32"/>
          <w:szCs w:val="32"/>
          <w:lang w:val="en-US" w:eastAsia="zh-CN"/>
          <w:highlight w:val="auto"/>
        </w:rPr>
        <w:t>224.49</w:t>
      </w:r>
      <w:r>
        <w:rPr>
          <w:rFonts w:ascii="仿宋_GB2312" w:eastAsia="仿宋_GB2312" w:cs="仿宋_GB2312" w:hint="eastAsia"/>
          <w:color w:val="000000"/>
          <w:sz w:val="32"/>
          <w:szCs w:val="32"/>
          <w:highlight w:val="auto"/>
        </w:rPr>
        <w:t>万元，占</w:t>
      </w:r>
      <w:r>
        <w:rPr>
          <w:rFonts w:ascii="仿宋_GB2312" w:eastAsia="仿宋_GB2312" w:cs="仿宋_GB2312" w:hint="eastAsia"/>
          <w:color w:val="000000"/>
          <w:sz w:val="32"/>
          <w:szCs w:val="32"/>
          <w:lang w:val="en-US" w:eastAsia="zh-CN"/>
          <w:highlight w:val="auto"/>
        </w:rPr>
        <w:t>61.18</w:t>
      </w:r>
      <w:r>
        <w:rPr>
          <w:rFonts w:ascii="仿宋_GB2312" w:eastAsia="仿宋_GB2312" w:cs="仿宋_GB2312" w:hint="eastAsia"/>
          <w:color w:val="000000"/>
          <w:sz w:val="32"/>
          <w:szCs w:val="32"/>
          <w:highlight w:val="auto"/>
        </w:rPr>
        <w:t>%；项目支出</w:t>
      </w:r>
      <w:r>
        <w:rPr>
          <w:rFonts w:ascii="仿宋_GB2312" w:eastAsia="仿宋_GB2312" w:cs="仿宋_GB2312" w:hint="eastAsia"/>
          <w:color w:val="000000"/>
          <w:sz w:val="32"/>
          <w:szCs w:val="32"/>
          <w:lang w:val="en-US" w:eastAsia="zh-CN"/>
          <w:highlight w:val="auto"/>
        </w:rPr>
        <w:t>142.46</w:t>
      </w:r>
      <w:r>
        <w:rPr>
          <w:rFonts w:ascii="仿宋_GB2312" w:eastAsia="仿宋_GB2312" w:cs="仿宋_GB2312" w:hint="eastAsia"/>
          <w:color w:val="000000"/>
          <w:sz w:val="32"/>
          <w:szCs w:val="32"/>
          <w:highlight w:val="auto"/>
        </w:rPr>
        <w:t>万元，占</w:t>
      </w:r>
      <w:r>
        <w:rPr>
          <w:rFonts w:ascii="仿宋_GB2312" w:eastAsia="仿宋_GB2312" w:cs="仿宋_GB2312" w:hint="eastAsia"/>
          <w:color w:val="000000"/>
          <w:sz w:val="32"/>
          <w:szCs w:val="32"/>
          <w:lang w:val="en-US" w:eastAsia="zh-CN"/>
          <w:highlight w:val="auto"/>
        </w:rPr>
        <w:t>38.82</w:t>
      </w:r>
      <w:r>
        <w:rPr>
          <w:rFonts w:ascii="仿宋_GB2312" w:eastAsia="仿宋_GB2312" w:cs="仿宋_GB2312" w:hint="eastAsia"/>
          <w:color w:val="000000"/>
          <w:sz w:val="32"/>
          <w:szCs w:val="32"/>
          <w:highlight w:val="auto"/>
        </w:rPr>
        <w:t>%；上缴上级支出0万元，占0%；经营支出0万元，占0%；对附属单位补助支出0万元，占0%。</w:t>
      </w:r>
    </w:p>
    <w:p>
      <w:pPr>
        <w:spacing w:line="560" w:lineRule="exact"/>
        <w:ind w:firstLineChars="200" w:firstLine="640"/>
        <w:rPr>
          <w:rFonts w:ascii="仿宋_GB2312" w:eastAsia="仿宋_GB2312" w:cs="仿宋_GB2312"/>
          <w:color w:val="000000"/>
          <w:sz w:val="32"/>
          <w:szCs w:val="32"/>
          <w:highlight w:val="auto"/>
        </w:rPr>
      </w:pPr>
      <w:r>
        <w:rPr>
          <w:rFonts w:ascii="仿宋_GB2312" w:eastAsia="仿宋_GB2312" w:cs="仿宋_GB2312" w:hint="eastAsia"/>
          <w:color w:val="000000"/>
          <w:sz w:val="32"/>
          <w:szCs w:val="32"/>
          <w:highlight w:val="auto"/>
        </w:rPr>
        <w:t>（图3：支出决算结构图）（饼状图）</w:t>
      </w:r>
    </w:p>
    <w:p>
      <w:pPr>
        <w:pStyle w:val="4"/>
        <w:jc w:val="center"/>
        <w:rPr>
          <w:highlight w:val="auto"/>
        </w:rPr>
      </w:pPr>
      <w:r>
        <w:rPr>
          <w:rFonts w:ascii="Cambria" w:eastAsia="宋体" w:cs="黑体" w:hAnsi="Cambria"/>
          <w:b/>
          <w:bCs/>
          <w:kern w:val="2"/>
          <w:sz w:val="28"/>
          <w:szCs w:val="28"/>
          <w:lang w:val="en-US" w:eastAsia="zh-CN" w:bidi="ar-SA"/>
          <w:highlight w:val="auto"/>
        </w:rPr>
        <w:drawing>
          <wp:inline distT="0" distB="0" distL="113665" distR="113665">
            <wp:extent cx="3115945" cy="2124710"/>
            <wp:effectExtent l="0" t="0" r="16" b="1"/>
            <wp:docPr id="7" name="图片"/>
            <wp:cNvGraphicFramePr>
              <a:graphicFrameLocks noChangeAspect="0"/>
            </wp:cNvGraphicFramePr>
            <a:graphic>
              <a:graphicData uri="http://schemas.openxmlformats.org/drawingml/2006/picture">
                <pic:pic>
                  <pic:nvPicPr>
                    <pic:cNvPr id="9" name="图片 9"/>
                    <pic:cNvPicPr/>
                  </pic:nvPicPr>
                  <pic:blipFill>
                    <a:blip r:embed="rId7"/>
                    <a:stretch>
                      <a:fillRect/>
                    </a:stretch>
                  </pic:blipFill>
                  <pic:spPr>
                    <a:xfrm rot="0">
                      <a:off x="0" y="0"/>
                      <a:ext cx="3115945" cy="2124710"/>
                    </a:xfrm>
                    <a:prstGeom prst="rect"/>
                    <a:noFill/>
                    <a:ln w="9525" cmpd="sng" cap="flat">
                      <a:noFill/>
                      <a:prstDash val="solid"/>
                      <a:miter/>
                    </a:ln>
                  </pic:spPr>
                </pic:pic>
              </a:graphicData>
            </a:graphic>
          </wp:inline>
        </w:drawing>
      </w:r>
    </w:p>
    <w:p>
      <w:pPr>
        <w:pStyle w:val="24"/>
        <w:rPr>
          <w:rFonts w:ascii="仿宋_GB2312" w:eastAsia="仿宋_GB2312" w:cs="仿宋_GB2312" w:hint="eastAsia"/>
          <w:color w:val="000000"/>
          <w:sz w:val="32"/>
          <w:szCs w:val="32"/>
          <w:highlight w:val="auto"/>
        </w:rPr>
      </w:pPr>
    </w:p>
    <w:p>
      <w:pPr>
        <w:pStyle w:val="24"/>
        <w:rPr>
          <w:rFonts w:ascii="仿宋_GB2312" w:eastAsia="仿宋_GB2312" w:cs="仿宋_GB2312" w:hint="eastAsia"/>
          <w:color w:val="000000"/>
          <w:sz w:val="32"/>
          <w:szCs w:val="32"/>
          <w:highlight w:val="auto"/>
        </w:rPr>
      </w:pPr>
    </w:p>
    <w:p>
      <w:pPr>
        <w:pStyle w:val="24"/>
        <w:rPr>
          <w:rFonts w:ascii="仿宋_GB2312" w:eastAsia="仿宋_GB2312" w:cs="仿宋_GB2312" w:hint="eastAsia"/>
          <w:color w:val="000000"/>
          <w:sz w:val="32"/>
          <w:szCs w:val="32"/>
          <w:highlight w:val="auto"/>
        </w:rPr>
      </w:pPr>
    </w:p>
    <w:p>
      <w:pPr>
        <w:spacing w:line="560" w:lineRule="exact"/>
        <w:ind w:firstLineChars="200" w:firstLine="640"/>
        <w:rPr>
          <w:rStyle w:val="2Char"/>
          <w:rFonts w:ascii="黑体" w:eastAsia="黑体" w:cs="黑体" w:hint="eastAsia"/>
          <w:b w:val="0"/>
          <w:highlight w:val="auto"/>
        </w:rPr>
      </w:pPr>
      <w:bookmarkStart w:id="32" w:name="_Toc20297159"/>
      <w:bookmarkStart w:id="33" w:name="_Toc15377208"/>
      <w:r>
        <w:rPr>
          <w:rStyle w:val="2Char"/>
          <w:rFonts w:ascii="黑体" w:eastAsia="黑体" w:cs="黑体" w:hint="eastAsia"/>
          <w:b w:val="0"/>
          <w:highlight w:val="auto"/>
        </w:rPr>
        <w:t>四、财政拨款收入支出决算总体情况说明</w:t>
      </w:r>
      <w:bookmarkEnd w:id="32"/>
      <w:bookmarkEnd w:id="33"/>
    </w:p>
    <w:p>
      <w:pPr>
        <w:spacing w:line="600" w:lineRule="exact"/>
        <w:ind w:firstLineChars="200" w:firstLine="640"/>
        <w:rPr>
          <w:rFonts w:ascii="仿宋_GB2312" w:eastAsia="仿宋_GB2312" w:cs="仿宋_GB2312" w:hint="eastAsia"/>
          <w:color w:val="000000"/>
          <w:sz w:val="32"/>
          <w:szCs w:val="32"/>
          <w:highlight w:val="auto"/>
        </w:rPr>
      </w:pPr>
      <w:r>
        <w:rPr>
          <w:rFonts w:ascii="仿宋_GB2312" w:eastAsia="仿宋_GB2312" w:cs="仿宋_GB2312" w:hint="eastAsia"/>
          <w:color w:val="000000"/>
          <w:sz w:val="32"/>
          <w:szCs w:val="32"/>
          <w:highlight w:val="auto"/>
        </w:rPr>
        <w:t>201</w:t>
      </w:r>
      <w:r>
        <w:rPr>
          <w:rFonts w:ascii="仿宋_GB2312" w:eastAsia="仿宋_GB2312" w:cs="仿宋_GB2312" w:hint="eastAsia"/>
          <w:color w:val="000000"/>
          <w:sz w:val="32"/>
          <w:szCs w:val="32"/>
          <w:lang w:val="en-US" w:eastAsia="zh-CN"/>
          <w:highlight w:val="auto"/>
        </w:rPr>
        <w:t>9</w:t>
      </w:r>
      <w:r>
        <w:rPr>
          <w:rFonts w:ascii="仿宋_GB2312" w:eastAsia="仿宋_GB2312" w:cs="仿宋_GB2312" w:hint="eastAsia"/>
          <w:color w:val="000000"/>
          <w:sz w:val="32"/>
          <w:szCs w:val="32"/>
          <w:highlight w:val="auto"/>
        </w:rPr>
        <w:t>年度收入总计</w:t>
      </w:r>
      <w:r>
        <w:rPr>
          <w:rFonts w:ascii="仿宋_GB2312" w:eastAsia="仿宋_GB2312" w:cs="仿宋_GB2312" w:hint="eastAsia"/>
          <w:color w:val="000000"/>
          <w:sz w:val="32"/>
          <w:szCs w:val="32"/>
          <w:lang w:val="en-US" w:eastAsia="zh-CN"/>
          <w:highlight w:val="auto"/>
        </w:rPr>
        <w:t>325.47</w:t>
      </w:r>
      <w:r>
        <w:rPr>
          <w:rFonts w:ascii="仿宋_GB2312" w:eastAsia="仿宋_GB2312" w:cs="仿宋_GB2312" w:hint="eastAsia"/>
          <w:color w:val="000000"/>
          <w:sz w:val="32"/>
          <w:szCs w:val="32"/>
          <w:highlight w:val="auto"/>
        </w:rPr>
        <w:t>万元，与201</w:t>
      </w:r>
      <w:r>
        <w:rPr>
          <w:rFonts w:ascii="仿宋_GB2312" w:eastAsia="仿宋_GB2312" w:cs="仿宋_GB2312" w:hint="eastAsia"/>
          <w:color w:val="000000"/>
          <w:sz w:val="32"/>
          <w:szCs w:val="32"/>
          <w:lang w:val="en-US" w:eastAsia="zh-CN"/>
          <w:highlight w:val="auto"/>
        </w:rPr>
        <w:t>8</w:t>
      </w:r>
      <w:r>
        <w:rPr>
          <w:rFonts w:ascii="仿宋_GB2312" w:eastAsia="仿宋_GB2312" w:cs="仿宋_GB2312" w:hint="eastAsia"/>
          <w:color w:val="000000"/>
          <w:sz w:val="32"/>
          <w:szCs w:val="32"/>
          <w:highlight w:val="auto"/>
        </w:rPr>
        <w:t>年</w:t>
      </w:r>
      <w:r>
        <w:rPr>
          <w:rFonts w:ascii="仿宋_GB2312" w:eastAsia="仿宋_GB2312" w:cs="仿宋_GB2312" w:hint="eastAsia"/>
          <w:color w:val="000000"/>
          <w:sz w:val="32"/>
          <w:szCs w:val="32"/>
          <w:lang w:val="en-US" w:eastAsia="zh-CN"/>
          <w:highlight w:val="auto"/>
        </w:rPr>
        <w:t>247.15</w:t>
      </w:r>
      <w:r>
        <w:rPr>
          <w:rFonts w:ascii="仿宋_GB2312" w:eastAsia="仿宋_GB2312" w:cs="仿宋_GB2312" w:hint="eastAsia"/>
          <w:color w:val="000000"/>
          <w:sz w:val="32"/>
          <w:szCs w:val="32"/>
          <w:highlight w:val="auto"/>
        </w:rPr>
        <w:t>相比，收入总计</w:t>
      </w:r>
      <w:r>
        <w:rPr>
          <w:rFonts w:ascii="仿宋_GB2312" w:eastAsia="仿宋_GB2312" w:cs="仿宋_GB2312" w:hint="eastAsia"/>
          <w:color w:val="000000"/>
          <w:sz w:val="32"/>
          <w:szCs w:val="32"/>
          <w:lang w:val="en-US" w:eastAsia="zh-CN"/>
          <w:highlight w:val="auto"/>
        </w:rPr>
        <w:t>增加78.32</w:t>
      </w:r>
      <w:r>
        <w:rPr>
          <w:rFonts w:ascii="仿宋_GB2312" w:eastAsia="仿宋_GB2312" w:cs="仿宋_GB2312" w:hint="eastAsia"/>
          <w:color w:val="000000"/>
          <w:sz w:val="32"/>
          <w:szCs w:val="32"/>
          <w:highlight w:val="auto"/>
        </w:rPr>
        <w:t>万元，</w:t>
      </w:r>
      <w:r>
        <w:rPr>
          <w:rFonts w:ascii="仿宋_GB2312" w:eastAsia="仿宋_GB2312" w:cs="仿宋_GB2312" w:hint="eastAsia"/>
          <w:color w:val="000000"/>
          <w:sz w:val="32"/>
          <w:szCs w:val="32"/>
          <w:lang w:val="en-US" w:eastAsia="zh-CN"/>
          <w:highlight w:val="auto"/>
        </w:rPr>
        <w:t>增加24.06</w:t>
      </w:r>
      <w:r>
        <w:rPr>
          <w:rFonts w:ascii="仿宋_GB2312" w:eastAsia="仿宋_GB2312" w:cs="仿宋_GB2312" w:hint="eastAsia"/>
          <w:color w:val="000000"/>
          <w:sz w:val="32"/>
          <w:szCs w:val="32"/>
          <w:highlight w:val="auto"/>
        </w:rPr>
        <w:t>%。201</w:t>
      </w:r>
      <w:r>
        <w:rPr>
          <w:rFonts w:ascii="仿宋_GB2312" w:eastAsia="仿宋_GB2312" w:cs="仿宋_GB2312" w:hint="eastAsia"/>
          <w:color w:val="000000"/>
          <w:sz w:val="32"/>
          <w:szCs w:val="32"/>
          <w:lang w:val="en-US" w:eastAsia="zh-CN"/>
          <w:highlight w:val="auto"/>
        </w:rPr>
        <w:t>9</w:t>
      </w:r>
      <w:r>
        <w:rPr>
          <w:rFonts w:ascii="仿宋_GB2312" w:eastAsia="仿宋_GB2312" w:cs="仿宋_GB2312" w:hint="eastAsia"/>
          <w:color w:val="000000"/>
          <w:sz w:val="32"/>
          <w:szCs w:val="32"/>
          <w:highlight w:val="auto"/>
        </w:rPr>
        <w:t>年度支出总计</w:t>
      </w:r>
      <w:r>
        <w:rPr>
          <w:rFonts w:ascii="仿宋_GB2312" w:eastAsia="仿宋_GB2312" w:cs="仿宋_GB2312" w:hint="eastAsia"/>
          <w:color w:val="000000"/>
          <w:sz w:val="32"/>
          <w:szCs w:val="32"/>
          <w:lang w:val="en-US" w:eastAsia="zh-CN"/>
          <w:highlight w:val="auto"/>
        </w:rPr>
        <w:t>366.95</w:t>
      </w:r>
      <w:r>
        <w:rPr>
          <w:rFonts w:ascii="仿宋_GB2312" w:eastAsia="仿宋_GB2312" w:cs="仿宋_GB2312" w:hint="eastAsia"/>
          <w:color w:val="000000"/>
          <w:sz w:val="32"/>
          <w:szCs w:val="32"/>
          <w:highlight w:val="auto"/>
        </w:rPr>
        <w:t>万元，与201</w:t>
      </w:r>
      <w:r>
        <w:rPr>
          <w:rFonts w:ascii="仿宋_GB2312" w:eastAsia="仿宋_GB2312" w:cs="仿宋_GB2312" w:hint="eastAsia"/>
          <w:color w:val="000000"/>
          <w:sz w:val="32"/>
          <w:szCs w:val="32"/>
          <w:lang w:val="en-US" w:eastAsia="zh-CN"/>
          <w:highlight w:val="auto"/>
        </w:rPr>
        <w:t>8</w:t>
      </w:r>
      <w:r>
        <w:rPr>
          <w:rFonts w:ascii="仿宋_GB2312" w:eastAsia="仿宋_GB2312" w:cs="仿宋_GB2312" w:hint="eastAsia"/>
          <w:color w:val="000000"/>
          <w:sz w:val="32"/>
          <w:szCs w:val="32"/>
          <w:highlight w:val="auto"/>
        </w:rPr>
        <w:t>年</w:t>
      </w:r>
      <w:r>
        <w:rPr>
          <w:rFonts w:ascii="仿宋_GB2312" w:eastAsia="仿宋_GB2312" w:cs="仿宋_GB2312" w:hint="eastAsia"/>
          <w:color w:val="000000"/>
          <w:sz w:val="32"/>
          <w:szCs w:val="32"/>
          <w:lang w:val="en-US" w:eastAsia="zh-CN"/>
          <w:highlight w:val="auto"/>
        </w:rPr>
        <w:t>247.15</w:t>
      </w:r>
      <w:r>
        <w:rPr>
          <w:rFonts w:ascii="仿宋_GB2312" w:eastAsia="仿宋_GB2312" w:cs="仿宋_GB2312" w:hint="eastAsia"/>
          <w:color w:val="000000"/>
          <w:sz w:val="32"/>
          <w:szCs w:val="32"/>
          <w:highlight w:val="auto"/>
        </w:rPr>
        <w:t>相比，支出总计</w:t>
      </w:r>
      <w:r>
        <w:rPr>
          <w:rFonts w:ascii="仿宋_GB2312" w:eastAsia="仿宋_GB2312" w:cs="仿宋_GB2312" w:hint="eastAsia"/>
          <w:color w:val="000000"/>
          <w:sz w:val="32"/>
          <w:szCs w:val="32"/>
          <w:lang w:val="en-US" w:eastAsia="zh-CN"/>
          <w:highlight w:val="auto"/>
        </w:rPr>
        <w:t>增加119.8</w:t>
      </w:r>
      <w:r>
        <w:rPr>
          <w:rFonts w:ascii="仿宋_GB2312" w:eastAsia="仿宋_GB2312" w:cs="仿宋_GB2312" w:hint="eastAsia"/>
          <w:color w:val="000000"/>
          <w:sz w:val="32"/>
          <w:szCs w:val="32"/>
          <w:highlight w:val="auto"/>
        </w:rPr>
        <w:t>万元，</w:t>
      </w:r>
      <w:r>
        <w:rPr>
          <w:rFonts w:ascii="仿宋_GB2312" w:eastAsia="仿宋_GB2312" w:cs="仿宋_GB2312" w:hint="eastAsia"/>
          <w:color w:val="000000"/>
          <w:sz w:val="32"/>
          <w:szCs w:val="32"/>
          <w:lang w:val="en-US" w:eastAsia="zh-CN"/>
          <w:highlight w:val="auto"/>
        </w:rPr>
        <w:t>增加32.65</w:t>
      </w:r>
      <w:r>
        <w:rPr>
          <w:rFonts w:ascii="仿宋_GB2312" w:eastAsia="仿宋_GB2312" w:cs="仿宋_GB2312" w:hint="eastAsia"/>
          <w:color w:val="000000"/>
          <w:sz w:val="32"/>
          <w:szCs w:val="32"/>
          <w:highlight w:val="auto"/>
        </w:rPr>
        <w:t>%。收支总额变动主要原因</w:t>
      </w:r>
      <w:r>
        <w:rPr>
          <w:rFonts w:ascii="仿宋_GB2312" w:eastAsia="仿宋_GB2312" w:cs="仿宋_GB2312" w:hint="eastAsia"/>
          <w:color w:val="000000"/>
          <w:sz w:val="32"/>
          <w:szCs w:val="32"/>
          <w:lang w:val="en-US" w:eastAsia="zh-CN"/>
          <w:highlight w:val="auto"/>
        </w:rPr>
        <w:t>2019年全年招商引资相关工作经费增加</w:t>
      </w:r>
      <w:r>
        <w:rPr>
          <w:rFonts w:ascii="仿宋_GB2312" w:eastAsia="仿宋_GB2312" w:cs="仿宋_GB2312" w:hint="eastAsia"/>
          <w:color w:val="000000"/>
          <w:sz w:val="32"/>
          <w:szCs w:val="32"/>
          <w:highlight w:val="auto"/>
        </w:rPr>
        <w:t>。</w:t>
      </w:r>
    </w:p>
    <w:p>
      <w:pPr>
        <w:spacing w:line="560" w:lineRule="exact"/>
        <w:ind w:firstLineChars="200" w:firstLine="640"/>
        <w:rPr>
          <w:rFonts w:ascii="仿宋_GB2312" w:eastAsia="仿宋_GB2312" w:cs="仿宋_GB2312"/>
          <w:color w:val="000000"/>
          <w:sz w:val="32"/>
          <w:szCs w:val="32"/>
          <w:highlight w:val="auto"/>
        </w:rPr>
      </w:pPr>
      <w:r>
        <w:rPr>
          <w:rFonts w:ascii="仿宋_GB2312" w:eastAsia="仿宋_GB2312" w:cs="仿宋_GB2312" w:hint="eastAsia"/>
          <w:color w:val="000000"/>
          <w:sz w:val="32"/>
          <w:szCs w:val="32"/>
          <w:highlight w:val="auto"/>
        </w:rPr>
        <w:t>（图4：财政拨款收、支决算总计变动情况）（柱状图）</w:t>
      </w:r>
    </w:p>
    <w:p>
      <w:pPr>
        <w:pStyle w:val="4"/>
        <w:jc w:val="center"/>
        <w:rPr>
          <w:highlight w:val="auto"/>
        </w:rPr>
      </w:pPr>
      <w:r>
        <w:rPr>
          <w:rFonts w:ascii="Cambria" w:eastAsia="宋体" w:cs="黑体" w:hAnsi="Cambria"/>
          <w:b/>
          <w:bCs/>
          <w:kern w:val="2"/>
          <w:sz w:val="28"/>
          <w:szCs w:val="28"/>
          <w:lang w:val="en-US" w:eastAsia="zh-CN" w:bidi="ar-SA"/>
          <w:highlight w:val="auto"/>
        </w:rPr>
        <w:drawing>
          <wp:inline distT="0" distB="0" distL="113665" distR="113665">
            <wp:extent cx="4591050" cy="2762250"/>
            <wp:effectExtent l="0" t="0" r="25" b="43"/>
            <wp:docPr id="10" name="图片"/>
            <wp:cNvGraphicFramePr>
              <a:graphicFrameLocks noChangeAspect="1"/>
            </wp:cNvGraphicFramePr>
            <a:graphic>
              <a:graphicData uri="http://schemas.openxmlformats.org/drawingml/2006/picture">
                <pic:pic>
                  <pic:nvPicPr>
                    <pic:cNvPr id="11" name="图片 11"/>
                    <pic:cNvPicPr/>
                  </pic:nvPicPr>
                  <pic:blipFill>
                    <a:blip r:embed="rId8"/>
                    <a:stretch>
                      <a:fillRect/>
                    </a:stretch>
                  </pic:blipFill>
                  <pic:spPr>
                    <a:xfrm rot="0">
                      <a:off x="0" y="0"/>
                      <a:ext cx="4591050" cy="2762250"/>
                    </a:xfrm>
                    <a:prstGeom prst="rect"/>
                    <a:noFill/>
                    <a:ln w="9525" cmpd="sng" cap="flat">
                      <a:noFill/>
                      <a:prstDash val="solid"/>
                      <a:miter/>
                    </a:ln>
                  </pic:spPr>
                </pic:pic>
              </a:graphicData>
            </a:graphic>
          </wp:inline>
        </w:drawing>
      </w:r>
    </w:p>
    <w:p>
      <w:pPr>
        <w:pStyle w:val="24"/>
        <w:rPr>
          <w:rFonts w:hint="eastAsia"/>
          <w:highlight w:val="auto"/>
        </w:rPr>
      </w:pPr>
    </w:p>
    <w:p>
      <w:pPr>
        <w:spacing w:line="560" w:lineRule="exact"/>
        <w:ind w:firstLineChars="200" w:firstLine="640"/>
        <w:rPr>
          <w:rStyle w:val="2Char"/>
          <w:rFonts w:ascii="黑体" w:eastAsia="黑体" w:cs="黑体" w:hint="eastAsia"/>
          <w:b w:val="0"/>
          <w:highlight w:val="auto"/>
        </w:rPr>
      </w:pPr>
      <w:bookmarkStart w:id="34" w:name="_Toc20297160"/>
      <w:bookmarkStart w:id="35" w:name="_Toc15377209"/>
      <w:r>
        <w:rPr>
          <w:rStyle w:val="2Char"/>
          <w:rFonts w:ascii="黑体" w:eastAsia="黑体" w:cs="黑体" w:hint="eastAsia"/>
          <w:b w:val="0"/>
          <w:highlight w:val="auto"/>
        </w:rPr>
        <w:t>五、一般公共预算财政拨款支出决算情况说明</w:t>
      </w:r>
      <w:bookmarkEnd w:id="34"/>
      <w:bookmarkEnd w:id="35"/>
    </w:p>
    <w:p>
      <w:pPr>
        <w:spacing w:line="600" w:lineRule="exact"/>
        <w:ind w:firstLineChars="200" w:firstLine="640"/>
        <w:outlineLvl w:val="2"/>
        <w:rPr>
          <w:rFonts w:ascii="仿宋_GB2312" w:eastAsia="仿宋_GB2312" w:cs="仿宋_GB2312" w:hint="eastAsia"/>
          <w:b/>
          <w:color w:val="000000"/>
          <w:sz w:val="32"/>
          <w:szCs w:val="32"/>
          <w:highlight w:val="auto"/>
        </w:rPr>
      </w:pPr>
      <w:bookmarkStart w:id="36" w:name="_Toc15377210"/>
      <w:r>
        <w:rPr>
          <w:rFonts w:ascii="仿宋_GB2312" w:eastAsia="仿宋_GB2312" w:cs="仿宋_GB2312" w:hint="eastAsia"/>
          <w:b/>
          <w:color w:val="000000"/>
          <w:sz w:val="32"/>
          <w:szCs w:val="32"/>
          <w:highlight w:val="auto"/>
        </w:rPr>
        <w:t>（一）一般公共预算财政拨款支出决算总体情况</w:t>
      </w:r>
      <w:bookmarkEnd w:id="36"/>
    </w:p>
    <w:p>
      <w:pPr>
        <w:spacing w:line="560" w:lineRule="exact"/>
        <w:ind w:firstLineChars="200" w:firstLine="640"/>
        <w:rPr>
          <w:rFonts w:ascii="仿宋_GB2312" w:eastAsia="仿宋_GB2312" w:cs="仿宋_GB2312" w:hint="eastAsia"/>
          <w:color w:val="000000"/>
          <w:sz w:val="32"/>
          <w:szCs w:val="32"/>
          <w:lang w:val="en-US" w:eastAsia="zh-CN"/>
          <w:highlight w:val="auto"/>
        </w:rPr>
      </w:pPr>
      <w:bookmarkStart w:id="37" w:name="_Toc15377211"/>
      <w:r>
        <w:rPr>
          <w:rFonts w:ascii="仿宋_GB2312" w:eastAsia="仿宋_GB2312" w:hint="eastAsia"/>
          <w:color w:val="000000"/>
          <w:sz w:val="32"/>
          <w:szCs w:val="32"/>
          <w:highlight w:val="auto"/>
        </w:rPr>
        <w:t>201</w:t>
      </w:r>
      <w:r>
        <w:rPr>
          <w:rFonts w:ascii="仿宋_GB2312" w:eastAsia="仿宋_GB2312" w:hint="eastAsia"/>
          <w:color w:val="000000"/>
          <w:sz w:val="32"/>
          <w:szCs w:val="32"/>
          <w:lang w:val="en-US" w:eastAsia="zh-CN"/>
          <w:highlight w:val="auto"/>
        </w:rPr>
        <w:t>9</w:t>
      </w:r>
      <w:r>
        <w:rPr>
          <w:rFonts w:ascii="仿宋_GB2312" w:eastAsia="仿宋_GB2312" w:hint="eastAsia"/>
          <w:color w:val="000000"/>
          <w:sz w:val="32"/>
          <w:szCs w:val="32"/>
          <w:highlight w:val="auto"/>
        </w:rPr>
        <w:t>年一般公共预算财政拨款支出</w:t>
      </w:r>
      <w:r>
        <w:rPr>
          <w:rFonts w:ascii="仿宋_GB2312" w:eastAsia="仿宋_GB2312" w:hint="eastAsia"/>
          <w:color w:val="000000"/>
          <w:sz w:val="32"/>
          <w:szCs w:val="32"/>
          <w:lang w:val="en-US" w:eastAsia="zh-CN"/>
          <w:highlight w:val="auto"/>
        </w:rPr>
        <w:t>366.95</w:t>
      </w:r>
      <w:r>
        <w:rPr>
          <w:rFonts w:ascii="仿宋_GB2312" w:eastAsia="仿宋_GB2312" w:hint="eastAsia"/>
          <w:color w:val="000000"/>
          <w:sz w:val="32"/>
          <w:szCs w:val="32"/>
          <w:highlight w:val="auto"/>
        </w:rPr>
        <w:t>万元，占本年支出合计的100%。</w:t>
      </w:r>
      <w:r>
        <w:rPr>
          <w:rFonts w:ascii="仿宋_GB2312" w:eastAsia="仿宋_GB2312" w:cs="仿宋_GB2312" w:hint="eastAsia"/>
          <w:color w:val="000000"/>
          <w:sz w:val="32"/>
          <w:szCs w:val="32"/>
          <w:highlight w:val="auto"/>
        </w:rPr>
        <w:t>与201</w:t>
      </w:r>
      <w:r>
        <w:rPr>
          <w:rFonts w:ascii="仿宋_GB2312" w:eastAsia="仿宋_GB2312" w:cs="仿宋_GB2312" w:hint="eastAsia"/>
          <w:color w:val="000000"/>
          <w:sz w:val="32"/>
          <w:szCs w:val="32"/>
          <w:lang w:val="en-US" w:eastAsia="zh-CN"/>
          <w:highlight w:val="auto"/>
        </w:rPr>
        <w:t>8</w:t>
      </w:r>
      <w:r>
        <w:rPr>
          <w:rFonts w:ascii="仿宋_GB2312" w:eastAsia="仿宋_GB2312" w:cs="仿宋_GB2312" w:hint="eastAsia"/>
          <w:color w:val="000000"/>
          <w:sz w:val="32"/>
          <w:szCs w:val="32"/>
          <w:highlight w:val="auto"/>
        </w:rPr>
        <w:t>年</w:t>
      </w:r>
      <w:r>
        <w:rPr>
          <w:rFonts w:ascii="仿宋_GB2312" w:eastAsia="仿宋_GB2312" w:cs="仿宋_GB2312" w:hint="eastAsia"/>
          <w:color w:val="000000"/>
          <w:sz w:val="32"/>
          <w:szCs w:val="32"/>
          <w:lang w:val="en-US" w:eastAsia="zh-CN"/>
          <w:highlight w:val="auto"/>
        </w:rPr>
        <w:t>247.15</w:t>
      </w:r>
      <w:r>
        <w:rPr>
          <w:rFonts w:ascii="仿宋_GB2312" w:eastAsia="仿宋_GB2312" w:cs="仿宋_GB2312" w:hint="eastAsia"/>
          <w:color w:val="000000"/>
          <w:sz w:val="32"/>
          <w:szCs w:val="32"/>
          <w:highlight w:val="auto"/>
        </w:rPr>
        <w:t>相比，支出总计</w:t>
      </w:r>
      <w:r>
        <w:rPr>
          <w:rFonts w:ascii="仿宋_GB2312" w:eastAsia="仿宋_GB2312" w:cs="仿宋_GB2312" w:hint="eastAsia"/>
          <w:color w:val="000000"/>
          <w:sz w:val="32"/>
          <w:szCs w:val="32"/>
          <w:lang w:val="en-US" w:eastAsia="zh-CN"/>
          <w:highlight w:val="auto"/>
        </w:rPr>
        <w:t>增加119.8</w:t>
      </w:r>
      <w:r>
        <w:rPr>
          <w:rFonts w:ascii="仿宋_GB2312" w:eastAsia="仿宋_GB2312" w:cs="仿宋_GB2312" w:hint="eastAsia"/>
          <w:color w:val="000000"/>
          <w:sz w:val="32"/>
          <w:szCs w:val="32"/>
          <w:highlight w:val="auto"/>
        </w:rPr>
        <w:t>万元，</w:t>
      </w:r>
      <w:r>
        <w:rPr>
          <w:rFonts w:ascii="仿宋_GB2312" w:eastAsia="仿宋_GB2312" w:cs="仿宋_GB2312" w:hint="eastAsia"/>
          <w:color w:val="000000"/>
          <w:sz w:val="32"/>
          <w:szCs w:val="32"/>
          <w:lang w:val="en-US" w:eastAsia="zh-CN"/>
          <w:highlight w:val="auto"/>
        </w:rPr>
        <w:t>增加32.65</w:t>
      </w:r>
      <w:r>
        <w:rPr>
          <w:rFonts w:ascii="仿宋_GB2312" w:eastAsia="仿宋_GB2312" w:cs="仿宋_GB2312" w:hint="eastAsia"/>
          <w:color w:val="000000"/>
          <w:sz w:val="32"/>
          <w:szCs w:val="32"/>
          <w:highlight w:val="auto"/>
        </w:rPr>
        <w:t>%。收支总额变动主要原因</w:t>
      </w:r>
      <w:r>
        <w:rPr>
          <w:rFonts w:ascii="仿宋_GB2312" w:eastAsia="仿宋_GB2312" w:cs="仿宋_GB2312" w:hint="eastAsia"/>
          <w:color w:val="000000"/>
          <w:sz w:val="32"/>
          <w:szCs w:val="32"/>
          <w:lang w:val="en-US" w:eastAsia="zh-CN"/>
          <w:highlight w:val="auto"/>
        </w:rPr>
        <w:t>2019年全年招商引资相关工作经费增加。</w:t>
      </w:r>
    </w:p>
    <w:p>
      <w:pPr>
        <w:spacing w:line="560" w:lineRule="exact"/>
        <w:ind w:firstLineChars="200" w:firstLine="640"/>
        <w:rPr>
          <w:rFonts w:ascii="仿宋_GB2312" w:eastAsia="仿宋_GB2312"/>
          <w:color w:val="000000"/>
          <w:sz w:val="32"/>
          <w:szCs w:val="32"/>
          <w:highlight w:val="auto"/>
        </w:rPr>
      </w:pPr>
      <w:r>
        <w:rPr>
          <w:rFonts w:ascii="仿宋_GB2312" w:eastAsia="仿宋_GB2312" w:hint="eastAsia"/>
          <w:color w:val="000000"/>
          <w:sz w:val="32"/>
          <w:szCs w:val="32"/>
          <w:highlight w:val="auto"/>
        </w:rPr>
        <w:t>（图5：一般公共预算财政拨款支出决算变动情况）（柱状图）</w:t>
      </w:r>
    </w:p>
    <w:p>
      <w:pPr>
        <w:pStyle w:val="24"/>
        <w:rPr>
          <w:highlight w:val="auto"/>
        </w:rPr>
      </w:pPr>
      <w:r>
        <w:rPr>
          <w:rFonts w:ascii="Times New Roman" w:eastAsia="宋体" w:cs="Times New Roman" w:hAnsi="Times New Roman"/>
          <w:kern w:val="2"/>
          <w:sz w:val="21"/>
          <w:szCs w:val="20"/>
          <w:lang w:val="en-US" w:eastAsia="zh-CN" w:bidi="ar-SA"/>
          <w:highlight w:val="auto"/>
        </w:rPr>
        <w:drawing>
          <wp:inline distT="0" distB="0" distL="113665" distR="113665">
            <wp:extent cx="3856990" cy="2143125"/>
            <wp:effectExtent l="0" t="0" r="4" b="33"/>
            <wp:docPr id="12" name="图片"/>
            <wp:cNvGraphicFramePr>
              <a:graphicFrameLocks noChangeAspect="1"/>
            </wp:cNvGraphicFramePr>
            <a:graphic>
              <a:graphicData uri="http://schemas.openxmlformats.org/drawingml/2006/picture">
                <pic:pic>
                  <pic:nvPicPr>
                    <pic:cNvPr id="14" name="图片 14"/>
                    <pic:cNvPicPr/>
                  </pic:nvPicPr>
                  <pic:blipFill>
                    <a:blip r:embed="rId9"/>
                    <a:stretch>
                      <a:fillRect/>
                    </a:stretch>
                  </pic:blipFill>
                  <pic:spPr>
                    <a:xfrm rot="0">
                      <a:off x="0" y="0"/>
                      <a:ext cx="3856990" cy="2143125"/>
                    </a:xfrm>
                    <a:prstGeom prst="rect"/>
                    <a:noFill/>
                    <a:ln w="9525" cmpd="sng" cap="flat">
                      <a:noFill/>
                      <a:prstDash val="solid"/>
                      <a:miter/>
                    </a:ln>
                  </pic:spPr>
                </pic:pic>
              </a:graphicData>
            </a:graphic>
          </wp:inline>
        </w:drawing>
      </w:r>
    </w:p>
    <w:p>
      <w:pPr>
        <w:spacing w:line="600" w:lineRule="exact"/>
        <w:ind w:firstLineChars="200" w:firstLine="640"/>
        <w:outlineLvl w:val="2"/>
        <w:rPr>
          <w:rFonts w:ascii="仿宋_GB2312" w:eastAsia="仿宋_GB2312" w:cs="仿宋_GB2312" w:hint="eastAsia"/>
          <w:b/>
          <w:color w:val="000000"/>
          <w:sz w:val="32"/>
          <w:szCs w:val="32"/>
          <w:highlight w:val="auto"/>
        </w:rPr>
      </w:pPr>
      <w:r>
        <w:rPr>
          <w:rFonts w:ascii="仿宋_GB2312" w:eastAsia="仿宋_GB2312" w:cs="仿宋_GB2312" w:hint="eastAsia"/>
          <w:b/>
          <w:color w:val="000000"/>
          <w:sz w:val="32"/>
          <w:szCs w:val="32"/>
          <w:highlight w:val="auto"/>
        </w:rPr>
        <w:t>（二）一般公共预算财政拨款支出决算结构情况</w:t>
      </w:r>
      <w:bookmarkEnd w:id="37"/>
    </w:p>
    <w:p>
      <w:pPr>
        <w:spacing w:line="600" w:lineRule="exact"/>
        <w:ind w:firstLine="640"/>
        <w:rPr>
          <w:rFonts w:ascii="仿宋_GB2312" w:eastAsia="仿宋_GB2312" w:cs="仿宋_GB2312" w:hint="eastAsia"/>
          <w:color w:val="000000"/>
          <w:sz w:val="32"/>
          <w:szCs w:val="32"/>
          <w:lang w:val="en-US" w:eastAsia="zh-CN"/>
          <w:highlight w:val="auto"/>
        </w:rPr>
      </w:pPr>
      <w:r>
        <w:rPr>
          <w:rFonts w:ascii="仿宋_GB2312" w:eastAsia="仿宋_GB2312" w:cs="仿宋_GB2312" w:hint="eastAsia"/>
          <w:color w:val="000000"/>
          <w:sz w:val="32"/>
          <w:szCs w:val="32"/>
          <w:highlight w:val="auto"/>
        </w:rPr>
        <w:t>201</w:t>
      </w:r>
      <w:r>
        <w:rPr>
          <w:rFonts w:ascii="仿宋_GB2312" w:eastAsia="仿宋_GB2312" w:cs="仿宋_GB2312" w:hint="eastAsia"/>
          <w:color w:val="000000"/>
          <w:sz w:val="32"/>
          <w:szCs w:val="32"/>
          <w:lang w:val="en-US" w:eastAsia="zh-CN"/>
          <w:highlight w:val="auto"/>
        </w:rPr>
        <w:t>9</w:t>
      </w:r>
      <w:r>
        <w:rPr>
          <w:rFonts w:ascii="仿宋_GB2312" w:eastAsia="仿宋_GB2312" w:cs="仿宋_GB2312" w:hint="eastAsia"/>
          <w:color w:val="000000"/>
          <w:sz w:val="32"/>
          <w:szCs w:val="32"/>
          <w:highlight w:val="auto"/>
        </w:rPr>
        <w:t>年一般公共预算财政拨款支出</w:t>
      </w:r>
      <w:r>
        <w:rPr>
          <w:rFonts w:ascii="仿宋_GB2312" w:eastAsia="仿宋_GB2312" w:cs="仿宋_GB2312" w:hint="eastAsia"/>
          <w:color w:val="000000"/>
          <w:sz w:val="32"/>
          <w:szCs w:val="32"/>
          <w:lang w:val="en-US" w:eastAsia="zh-CN"/>
          <w:highlight w:val="auto"/>
        </w:rPr>
        <w:t>366.95</w:t>
      </w:r>
      <w:r>
        <w:rPr>
          <w:rFonts w:ascii="仿宋_GB2312" w:eastAsia="仿宋_GB2312" w:cs="仿宋_GB2312" w:hint="eastAsia"/>
          <w:color w:val="000000"/>
          <w:sz w:val="32"/>
          <w:szCs w:val="32"/>
          <w:highlight w:val="auto"/>
        </w:rPr>
        <w:t>万元，主要用于以下方面:</w:t>
      </w:r>
      <w:r>
        <w:rPr>
          <w:rFonts w:ascii="仿宋_GB2312" w:eastAsia="仿宋_GB2312" w:cs="仿宋_GB2312" w:hint="eastAsia"/>
          <w:b/>
          <w:color w:val="000000"/>
          <w:sz w:val="32"/>
          <w:szCs w:val="32"/>
          <w:highlight w:val="auto"/>
        </w:rPr>
        <w:t>一般公共服务（类）</w:t>
      </w:r>
      <w:r>
        <w:rPr>
          <w:rFonts w:ascii="仿宋_GB2312" w:eastAsia="仿宋_GB2312" w:cs="仿宋_GB2312" w:hint="eastAsia"/>
          <w:color w:val="000000"/>
          <w:sz w:val="32"/>
          <w:szCs w:val="32"/>
          <w:highlight w:val="auto"/>
        </w:rPr>
        <w:t>支出</w:t>
      </w:r>
      <w:r>
        <w:rPr>
          <w:rFonts w:ascii="仿宋_GB2312" w:eastAsia="仿宋_GB2312" w:cs="仿宋_GB2312" w:hint="eastAsia"/>
          <w:color w:val="000000"/>
          <w:sz w:val="32"/>
          <w:szCs w:val="32"/>
          <w:lang w:val="en-US" w:eastAsia="zh-CN"/>
          <w:highlight w:val="auto"/>
        </w:rPr>
        <w:t>275.43</w:t>
      </w:r>
      <w:r>
        <w:rPr>
          <w:rFonts w:ascii="仿宋_GB2312" w:eastAsia="仿宋_GB2312" w:cs="仿宋_GB2312" w:hint="eastAsia"/>
          <w:color w:val="000000"/>
          <w:sz w:val="32"/>
          <w:szCs w:val="32"/>
          <w:highlight w:val="auto"/>
        </w:rPr>
        <w:t>万元，占</w:t>
      </w:r>
      <w:r>
        <w:rPr>
          <w:rFonts w:ascii="仿宋_GB2312" w:eastAsia="仿宋_GB2312" w:cs="仿宋_GB2312" w:hint="eastAsia"/>
          <w:color w:val="000000"/>
          <w:sz w:val="32"/>
          <w:szCs w:val="32"/>
          <w:lang w:val="en-US" w:eastAsia="zh-CN"/>
          <w:highlight w:val="auto"/>
        </w:rPr>
        <w:t>75.06</w:t>
      </w:r>
      <w:r>
        <w:rPr>
          <w:rFonts w:ascii="仿宋_GB2312" w:eastAsia="仿宋_GB2312" w:cs="仿宋_GB2312" w:hint="eastAsia"/>
          <w:color w:val="000000"/>
          <w:sz w:val="32"/>
          <w:szCs w:val="32"/>
          <w:highlight w:val="auto"/>
        </w:rPr>
        <w:t>%；</w:t>
      </w:r>
      <w:r>
        <w:rPr>
          <w:rFonts w:ascii="仿宋_GB2312" w:eastAsia="仿宋_GB2312" w:cs="仿宋_GB2312" w:hint="eastAsia"/>
          <w:b/>
          <w:color w:val="000000"/>
          <w:sz w:val="32"/>
          <w:szCs w:val="32"/>
          <w:highlight w:val="auto"/>
        </w:rPr>
        <w:t>社会保障和就业（类）</w:t>
      </w:r>
      <w:r>
        <w:rPr>
          <w:rFonts w:ascii="仿宋_GB2312" w:eastAsia="仿宋_GB2312" w:cs="仿宋_GB2312" w:hint="eastAsia"/>
          <w:color w:val="000000"/>
          <w:sz w:val="32"/>
          <w:szCs w:val="32"/>
          <w:highlight w:val="auto"/>
        </w:rPr>
        <w:t>支出</w:t>
      </w:r>
      <w:r>
        <w:rPr>
          <w:rFonts w:ascii="仿宋_GB2312" w:eastAsia="仿宋_GB2312" w:cs="仿宋_GB2312" w:hint="eastAsia"/>
          <w:color w:val="000000"/>
          <w:sz w:val="32"/>
          <w:szCs w:val="32"/>
          <w:lang w:val="en-US" w:eastAsia="zh-CN"/>
          <w:highlight w:val="auto"/>
        </w:rPr>
        <w:t>22.77</w:t>
      </w:r>
      <w:r>
        <w:rPr>
          <w:rFonts w:ascii="仿宋_GB2312" w:eastAsia="仿宋_GB2312" w:cs="仿宋_GB2312" w:hint="eastAsia"/>
          <w:color w:val="000000"/>
          <w:sz w:val="32"/>
          <w:szCs w:val="32"/>
          <w:highlight w:val="auto"/>
        </w:rPr>
        <w:t>万元，占</w:t>
      </w:r>
      <w:r>
        <w:rPr>
          <w:rFonts w:ascii="仿宋_GB2312" w:eastAsia="仿宋_GB2312" w:cs="仿宋_GB2312" w:hint="eastAsia"/>
          <w:color w:val="000000"/>
          <w:sz w:val="32"/>
          <w:szCs w:val="32"/>
          <w:lang w:val="en-US" w:eastAsia="zh-CN"/>
          <w:highlight w:val="auto"/>
        </w:rPr>
        <w:t>6.21</w:t>
      </w:r>
      <w:r>
        <w:rPr>
          <w:rFonts w:ascii="仿宋_GB2312" w:eastAsia="仿宋_GB2312" w:cs="仿宋_GB2312" w:hint="eastAsia"/>
          <w:color w:val="000000"/>
          <w:sz w:val="32"/>
          <w:szCs w:val="32"/>
          <w:highlight w:val="auto"/>
        </w:rPr>
        <w:t>%；医疗卫生支出</w:t>
      </w:r>
      <w:r>
        <w:rPr>
          <w:rFonts w:ascii="仿宋_GB2312" w:eastAsia="仿宋_GB2312" w:cs="仿宋_GB2312" w:hint="eastAsia"/>
          <w:color w:val="000000"/>
          <w:sz w:val="32"/>
          <w:szCs w:val="32"/>
          <w:lang w:val="en-US" w:eastAsia="zh-CN"/>
          <w:highlight w:val="auto"/>
        </w:rPr>
        <w:t>11.05</w:t>
      </w:r>
      <w:r>
        <w:rPr>
          <w:rFonts w:ascii="仿宋_GB2312" w:eastAsia="仿宋_GB2312" w:cs="仿宋_GB2312" w:hint="eastAsia"/>
          <w:color w:val="000000"/>
          <w:sz w:val="32"/>
          <w:szCs w:val="32"/>
          <w:highlight w:val="auto"/>
        </w:rPr>
        <w:t>万元，占</w:t>
      </w:r>
      <w:r>
        <w:rPr>
          <w:rFonts w:ascii="仿宋_GB2312" w:eastAsia="仿宋_GB2312" w:cs="仿宋_GB2312" w:hint="eastAsia"/>
          <w:color w:val="000000"/>
          <w:sz w:val="32"/>
          <w:szCs w:val="32"/>
          <w:lang w:val="en-US" w:eastAsia="zh-CN"/>
          <w:highlight w:val="auto"/>
        </w:rPr>
        <w:t>3.0</w:t>
      </w:r>
      <w:r>
        <w:rPr>
          <w:rFonts w:ascii="仿宋_GB2312" w:eastAsia="仿宋_GB2312" w:cs="仿宋_GB2312" w:hint="eastAsia"/>
          <w:color w:val="000000"/>
          <w:sz w:val="32"/>
          <w:szCs w:val="32"/>
          <w:highlight w:val="auto"/>
        </w:rPr>
        <w:t>%；住房保障支出</w:t>
      </w:r>
      <w:r>
        <w:rPr>
          <w:rFonts w:ascii="仿宋_GB2312" w:eastAsia="仿宋_GB2312" w:cs="仿宋_GB2312" w:hint="eastAsia"/>
          <w:color w:val="000000"/>
          <w:sz w:val="32"/>
          <w:szCs w:val="32"/>
          <w:lang w:val="en-US" w:eastAsia="zh-CN"/>
          <w:highlight w:val="auto"/>
        </w:rPr>
        <w:t>14.77</w:t>
      </w:r>
      <w:r>
        <w:rPr>
          <w:rFonts w:ascii="仿宋_GB2312" w:eastAsia="仿宋_GB2312" w:cs="仿宋_GB2312" w:hint="eastAsia"/>
          <w:color w:val="000000"/>
          <w:sz w:val="32"/>
          <w:szCs w:val="32"/>
          <w:highlight w:val="auto"/>
        </w:rPr>
        <w:t>万元，占</w:t>
      </w:r>
      <w:r>
        <w:rPr>
          <w:rFonts w:ascii="仿宋_GB2312" w:eastAsia="仿宋_GB2312" w:cs="仿宋_GB2312" w:hint="eastAsia"/>
          <w:color w:val="000000"/>
          <w:sz w:val="32"/>
          <w:szCs w:val="32"/>
          <w:lang w:val="en-US" w:eastAsia="zh-CN"/>
          <w:highlight w:val="auto"/>
        </w:rPr>
        <w:t>4.03</w:t>
      </w:r>
      <w:r>
        <w:rPr>
          <w:rFonts w:ascii="仿宋_GB2312" w:eastAsia="仿宋_GB2312" w:cs="仿宋_GB2312" w:hint="eastAsia"/>
          <w:color w:val="000000"/>
          <w:sz w:val="32"/>
          <w:szCs w:val="32"/>
          <w:highlight w:val="auto"/>
        </w:rPr>
        <w:t>%</w:t>
      </w:r>
      <w:r>
        <w:rPr>
          <w:rFonts w:ascii="仿宋_GB2312" w:eastAsia="仿宋_GB2312" w:cs="仿宋_GB2312" w:hint="eastAsia"/>
          <w:color w:val="000000"/>
          <w:sz w:val="32"/>
          <w:szCs w:val="32"/>
          <w:lang w:eastAsia="zh-CN"/>
          <w:highlight w:val="auto"/>
        </w:rPr>
        <w:t>；</w:t>
      </w:r>
      <w:r>
        <w:rPr>
          <w:rFonts w:ascii="仿宋_GB2312" w:eastAsia="仿宋_GB2312" w:cs="仿宋_GB2312" w:hint="eastAsia"/>
          <w:color w:val="000000"/>
          <w:sz w:val="32"/>
          <w:szCs w:val="32"/>
          <w:lang w:val="en-US" w:eastAsia="zh-CN"/>
          <w:highlight w:val="auto"/>
        </w:rPr>
        <w:t>商品服务等其他支出42.93万元，占11.7%。</w:t>
      </w:r>
    </w:p>
    <w:p>
      <w:pPr>
        <w:spacing w:line="560" w:lineRule="exact"/>
        <w:ind w:firstLineChars="200" w:firstLine="640"/>
        <w:rPr>
          <w:rFonts w:ascii="仿宋_GB2312" w:eastAsia="仿宋_GB2312"/>
          <w:color w:val="000000"/>
          <w:sz w:val="32"/>
          <w:szCs w:val="32"/>
          <w:highlight w:val="auto"/>
        </w:rPr>
      </w:pPr>
      <w:r>
        <w:rPr>
          <w:rFonts w:ascii="仿宋_GB2312" w:eastAsia="仿宋_GB2312" w:hint="eastAsia"/>
          <w:color w:val="000000"/>
          <w:sz w:val="32"/>
          <w:szCs w:val="32"/>
          <w:highlight w:val="auto"/>
        </w:rPr>
        <w:t>（图</w:t>
      </w:r>
      <w:r>
        <w:rPr>
          <w:rFonts w:ascii="仿宋_GB2312" w:eastAsia="仿宋_GB2312" w:hint="eastAsia"/>
          <w:color w:val="000000"/>
          <w:sz w:val="32"/>
          <w:szCs w:val="32"/>
          <w:lang w:val="en-US" w:eastAsia="zh-CN"/>
          <w:highlight w:val="auto"/>
        </w:rPr>
        <w:t>6</w:t>
      </w:r>
      <w:r>
        <w:rPr>
          <w:rFonts w:ascii="仿宋_GB2312" w:eastAsia="仿宋_GB2312" w:hint="eastAsia"/>
          <w:color w:val="000000"/>
          <w:sz w:val="32"/>
          <w:szCs w:val="32"/>
          <w:highlight w:val="auto"/>
        </w:rPr>
        <w:t>：一般公共预算财政拨款支出决算结构）（柱状图）</w:t>
      </w:r>
    </w:p>
    <w:p>
      <w:pPr>
        <w:pStyle w:val="24"/>
        <w:rPr>
          <w:lang w:val="en-US" w:eastAsia="zh-CN"/>
          <w:highlight w:val="auto"/>
        </w:rPr>
      </w:pPr>
      <w:r>
        <w:rPr>
          <w:rFonts w:ascii="Times New Roman" w:eastAsia="宋体" w:cs="Times New Roman" w:hAnsi="Times New Roman"/>
          <w:kern w:val="2"/>
          <w:sz w:val="21"/>
          <w:szCs w:val="20"/>
          <w:lang w:val="en-US" w:eastAsia="zh-CN" w:bidi="ar-SA"/>
          <w:highlight w:val="auto"/>
        </w:rPr>
        <w:drawing>
          <wp:inline distT="0" distB="0" distL="113665" distR="113665">
            <wp:extent cx="4495800" cy="2448560"/>
            <wp:effectExtent l="0" t="0" r="27" b="6"/>
            <wp:docPr id="15" name="图片"/>
            <wp:cNvGraphicFramePr>
              <a:graphicFrameLocks noChangeAspect="0"/>
            </wp:cNvGraphicFramePr>
            <a:graphic>
              <a:graphicData uri="http://schemas.openxmlformats.org/drawingml/2006/picture">
                <pic:pic>
                  <pic:nvPicPr>
                    <pic:cNvPr id="17" name="图片 17"/>
                    <pic:cNvPicPr/>
                  </pic:nvPicPr>
                  <pic:blipFill>
                    <a:blip r:embed="rId10"/>
                    <a:stretch>
                      <a:fillRect/>
                    </a:stretch>
                  </pic:blipFill>
                  <pic:spPr>
                    <a:xfrm rot="0">
                      <a:off x="0" y="0"/>
                      <a:ext cx="4495800" cy="2448560"/>
                    </a:xfrm>
                    <a:prstGeom prst="rect"/>
                    <a:noFill/>
                    <a:ln w="9525" cmpd="sng" cap="flat">
                      <a:noFill/>
                      <a:prstDash val="solid"/>
                      <a:miter/>
                    </a:ln>
                  </pic:spPr>
                </pic:pic>
              </a:graphicData>
            </a:graphic>
          </wp:inline>
        </w:drawing>
      </w:r>
    </w:p>
    <w:p>
      <w:pPr>
        <w:spacing w:line="600" w:lineRule="exact"/>
        <w:ind w:firstLineChars="200" w:firstLine="640"/>
        <w:outlineLvl w:val="2"/>
        <w:rPr>
          <w:rFonts w:ascii="仿宋_GB2312" w:eastAsia="仿宋_GB2312" w:cs="仿宋_GB2312" w:hint="eastAsia"/>
          <w:b/>
          <w:color w:val="000000"/>
          <w:sz w:val="32"/>
          <w:szCs w:val="32"/>
          <w:highlight w:val="auto"/>
        </w:rPr>
      </w:pPr>
      <w:bookmarkStart w:id="38" w:name="_Toc15377212"/>
      <w:r>
        <w:rPr>
          <w:rFonts w:ascii="仿宋_GB2312" w:eastAsia="仿宋_GB2312" w:cs="仿宋_GB2312" w:hint="eastAsia"/>
          <w:b/>
          <w:color w:val="000000"/>
          <w:sz w:val="32"/>
          <w:szCs w:val="32"/>
          <w:highlight w:val="auto"/>
        </w:rPr>
        <w:t>（三）一般公共预算财政拨款支出决算具体情况</w:t>
      </w:r>
      <w:bookmarkEnd w:id="38"/>
    </w:p>
    <w:p>
      <w:pPr>
        <w:spacing w:line="600" w:lineRule="exact"/>
        <w:ind w:firstLineChars="200" w:firstLine="640"/>
        <w:outlineLvl w:val="2"/>
        <w:rPr>
          <w:rFonts w:ascii="仿宋_GB2312" w:eastAsia="仿宋_GB2312" w:cs="仿宋_GB2312" w:hint="eastAsia"/>
          <w:color w:val="FF0000"/>
          <w:sz w:val="32"/>
          <w:szCs w:val="32"/>
          <w:highlight w:val="auto"/>
        </w:rPr>
      </w:pPr>
      <w:bookmarkStart w:id="39" w:name="_Toc15377444"/>
      <w:bookmarkStart w:id="40" w:name="_Toc15377213"/>
      <w:bookmarkStart w:id="41" w:name="_Toc15378460"/>
      <w:r>
        <w:rPr>
          <w:rFonts w:ascii="仿宋_GB2312" w:eastAsia="仿宋_GB2312" w:cs="仿宋_GB2312" w:hint="eastAsia"/>
          <w:b/>
          <w:color w:val="000000"/>
          <w:sz w:val="32"/>
          <w:szCs w:val="32"/>
          <w:highlight w:val="auto"/>
        </w:rPr>
        <w:t>201</w:t>
      </w:r>
      <w:r>
        <w:rPr>
          <w:rFonts w:ascii="仿宋_GB2312" w:eastAsia="仿宋_GB2312" w:cs="仿宋_GB2312" w:hint="eastAsia"/>
          <w:b/>
          <w:color w:val="000000"/>
          <w:sz w:val="32"/>
          <w:szCs w:val="32"/>
          <w:lang w:val="en-US" w:eastAsia="zh-CN"/>
          <w:highlight w:val="auto"/>
        </w:rPr>
        <w:t>9</w:t>
      </w:r>
      <w:r>
        <w:rPr>
          <w:rFonts w:ascii="仿宋_GB2312" w:eastAsia="仿宋_GB2312" w:cs="仿宋_GB2312" w:hint="eastAsia"/>
          <w:b/>
          <w:color w:val="000000"/>
          <w:sz w:val="32"/>
          <w:szCs w:val="32"/>
          <w:highlight w:val="auto"/>
        </w:rPr>
        <w:t>年一般公共预算支出决算数为</w:t>
      </w:r>
      <w:r>
        <w:rPr>
          <w:rFonts w:ascii="仿宋_GB2312" w:eastAsia="仿宋_GB2312" w:cs="仿宋_GB2312" w:hint="eastAsia"/>
          <w:b/>
          <w:color w:val="000000"/>
          <w:sz w:val="32"/>
          <w:szCs w:val="32"/>
          <w:lang w:val="en-US" w:eastAsia="zh-CN"/>
          <w:highlight w:val="auto"/>
        </w:rPr>
        <w:t>366.95</w:t>
      </w:r>
      <w:r>
        <w:rPr>
          <w:rFonts w:ascii="仿宋_GB2312" w:eastAsia="仿宋_GB2312" w:cs="仿宋_GB2312" w:hint="eastAsia"/>
          <w:color w:val="000000"/>
          <w:sz w:val="32"/>
          <w:szCs w:val="32"/>
          <w:highlight w:val="auto"/>
        </w:rPr>
        <w:t>，</w:t>
      </w:r>
      <w:r>
        <w:rPr>
          <w:rStyle w:val="25"/>
          <w:rFonts w:ascii="仿宋_GB2312" w:eastAsia="仿宋_GB2312" w:cs="仿宋_GB2312" w:hint="eastAsia"/>
          <w:bCs/>
          <w:color w:val="000000"/>
          <w:sz w:val="32"/>
          <w:szCs w:val="32"/>
          <w:highlight w:val="auto"/>
        </w:rPr>
        <w:t>完成预算100%。其中：</w:t>
      </w:r>
      <w:bookmarkEnd w:id="39"/>
      <w:bookmarkEnd w:id="40"/>
      <w:bookmarkEnd w:id="41"/>
    </w:p>
    <w:p>
      <w:pPr>
        <w:spacing w:line="600" w:lineRule="exact"/>
        <w:ind w:firstLineChars="200" w:firstLine="640"/>
        <w:rPr>
          <w:rFonts w:ascii="仿宋_GB2312" w:eastAsia="仿宋_GB2312" w:cs="仿宋_GB2312" w:hint="eastAsia"/>
          <w:b/>
          <w:color w:val="000000"/>
          <w:sz w:val="32"/>
          <w:szCs w:val="32"/>
          <w:highlight w:val="auto"/>
        </w:rPr>
      </w:pPr>
      <w:r>
        <w:rPr>
          <w:rStyle w:val="25"/>
          <w:rFonts w:ascii="仿宋_GB2312" w:eastAsia="仿宋_GB2312" w:cs="仿宋_GB2312" w:hint="eastAsia"/>
          <w:bCs/>
          <w:color w:val="000000"/>
          <w:sz w:val="32"/>
          <w:szCs w:val="32"/>
          <w:highlight w:val="auto"/>
        </w:rPr>
        <w:t>1.一般公共服务（类）商贸事务（款）事业运行（项）:</w:t>
      </w:r>
      <w:r>
        <w:rPr>
          <w:rStyle w:val="25"/>
          <w:rFonts w:ascii="仿宋_GB2312" w:eastAsia="仿宋_GB2312" w:cs="仿宋_GB2312" w:hint="eastAsia"/>
          <w:b w:val="0"/>
          <w:bCs/>
          <w:color w:val="000000"/>
          <w:sz w:val="32"/>
          <w:szCs w:val="32"/>
          <w:highlight w:val="auto"/>
        </w:rPr>
        <w:t xml:space="preserve"> 支出决算为</w:t>
      </w:r>
      <w:r>
        <w:rPr>
          <w:rStyle w:val="25"/>
          <w:rFonts w:ascii="仿宋_GB2312" w:eastAsia="仿宋_GB2312" w:cs="仿宋_GB2312" w:hint="eastAsia"/>
          <w:b w:val="0"/>
          <w:bCs/>
          <w:color w:val="000000"/>
          <w:sz w:val="32"/>
          <w:szCs w:val="32"/>
          <w:lang w:val="en-US" w:eastAsia="zh-CN"/>
          <w:highlight w:val="auto"/>
        </w:rPr>
        <w:t>275.43</w:t>
      </w:r>
      <w:r>
        <w:rPr>
          <w:rStyle w:val="25"/>
          <w:rFonts w:ascii="仿宋_GB2312" w:eastAsia="仿宋_GB2312" w:cs="仿宋_GB2312" w:hint="eastAsia"/>
          <w:b w:val="0"/>
          <w:bCs/>
          <w:color w:val="000000"/>
          <w:sz w:val="32"/>
          <w:szCs w:val="32"/>
          <w:highlight w:val="auto"/>
        </w:rPr>
        <w:t>万元，完成预算100%。</w:t>
      </w:r>
    </w:p>
    <w:p>
      <w:pPr>
        <w:spacing w:line="600" w:lineRule="exact"/>
        <w:ind w:firstLineChars="200" w:firstLine="640"/>
        <w:rPr>
          <w:rStyle w:val="25"/>
          <w:rFonts w:ascii="仿宋_GB2312" w:eastAsia="仿宋_GB2312" w:cs="仿宋_GB2312" w:hint="eastAsia"/>
          <w:b w:val="0"/>
          <w:bCs/>
          <w:color w:val="000000"/>
          <w:sz w:val="32"/>
          <w:szCs w:val="32"/>
          <w:highlight w:val="auto"/>
        </w:rPr>
      </w:pPr>
      <w:r>
        <w:rPr>
          <w:rStyle w:val="25"/>
          <w:rFonts w:ascii="仿宋_GB2312" w:eastAsia="仿宋_GB2312" w:cs="仿宋_GB2312" w:hint="eastAsia"/>
          <w:bCs/>
          <w:color w:val="000000"/>
          <w:sz w:val="32"/>
          <w:szCs w:val="32"/>
          <w:highlight w:val="auto"/>
        </w:rPr>
        <w:t>2.社会保障和就业（类）行政事业单位离退休（款）机关事业单位基本养老保险缴费支出（项）:</w:t>
      </w:r>
      <w:r>
        <w:rPr>
          <w:rStyle w:val="25"/>
          <w:rFonts w:ascii="仿宋_GB2312" w:eastAsia="仿宋_GB2312" w:cs="仿宋_GB2312" w:hint="eastAsia"/>
          <w:b w:val="0"/>
          <w:bCs/>
          <w:color w:val="000000"/>
          <w:sz w:val="32"/>
          <w:szCs w:val="32"/>
          <w:highlight w:val="auto"/>
        </w:rPr>
        <w:t xml:space="preserve"> 支出决算为</w:t>
      </w:r>
      <w:r>
        <w:rPr>
          <w:rStyle w:val="25"/>
          <w:rFonts w:ascii="仿宋_GB2312" w:eastAsia="仿宋_GB2312" w:cs="仿宋_GB2312" w:hint="eastAsia"/>
          <w:b w:val="0"/>
          <w:bCs/>
          <w:color w:val="000000"/>
          <w:sz w:val="32"/>
          <w:szCs w:val="32"/>
          <w:lang w:val="en-US" w:eastAsia="zh-CN"/>
          <w:highlight w:val="auto"/>
        </w:rPr>
        <w:t>14.94</w:t>
      </w:r>
      <w:r>
        <w:rPr>
          <w:rStyle w:val="25"/>
          <w:rFonts w:ascii="仿宋_GB2312" w:eastAsia="仿宋_GB2312" w:cs="仿宋_GB2312" w:hint="eastAsia"/>
          <w:b w:val="0"/>
          <w:bCs/>
          <w:color w:val="000000"/>
          <w:sz w:val="32"/>
          <w:szCs w:val="32"/>
          <w:highlight w:val="auto"/>
        </w:rPr>
        <w:t>万元，完成预算100%。</w:t>
      </w:r>
    </w:p>
    <w:p>
      <w:pPr>
        <w:spacing w:line="600" w:lineRule="exact"/>
        <w:ind w:firstLineChars="200" w:firstLine="640"/>
        <w:rPr>
          <w:rStyle w:val="25"/>
          <w:rFonts w:ascii="仿宋_GB2312" w:eastAsia="仿宋_GB2312" w:cs="仿宋_GB2312" w:hint="eastAsia"/>
          <w:b w:val="0"/>
          <w:bCs/>
          <w:color w:val="000000"/>
          <w:sz w:val="32"/>
          <w:szCs w:val="32"/>
          <w:highlight w:val="auto"/>
        </w:rPr>
      </w:pPr>
      <w:r>
        <w:rPr>
          <w:rStyle w:val="25"/>
          <w:rFonts w:ascii="仿宋_GB2312" w:eastAsia="仿宋_GB2312" w:cs="仿宋_GB2312" w:hint="eastAsia"/>
          <w:bCs/>
          <w:color w:val="000000"/>
          <w:sz w:val="32"/>
          <w:szCs w:val="32"/>
          <w:highlight w:val="auto"/>
        </w:rPr>
        <w:t>3.社会保障和就业（类）行政事业单位离退休（款）机关事业单位职业年金缴费支出（项）:</w:t>
      </w:r>
      <w:r>
        <w:rPr>
          <w:rStyle w:val="25"/>
          <w:rFonts w:ascii="仿宋_GB2312" w:eastAsia="仿宋_GB2312" w:cs="仿宋_GB2312" w:hint="eastAsia"/>
          <w:b w:val="0"/>
          <w:bCs/>
          <w:color w:val="000000"/>
          <w:sz w:val="32"/>
          <w:szCs w:val="32"/>
          <w:highlight w:val="auto"/>
        </w:rPr>
        <w:t xml:space="preserve"> 支出决算为</w:t>
      </w:r>
      <w:r>
        <w:rPr>
          <w:rStyle w:val="25"/>
          <w:rFonts w:ascii="仿宋_GB2312" w:eastAsia="仿宋_GB2312" w:cs="仿宋_GB2312" w:hint="eastAsia"/>
          <w:b w:val="0"/>
          <w:bCs/>
          <w:color w:val="000000"/>
          <w:sz w:val="32"/>
          <w:szCs w:val="32"/>
          <w:lang w:val="en-US" w:eastAsia="zh-CN"/>
          <w:highlight w:val="auto"/>
        </w:rPr>
        <w:t>6.9</w:t>
      </w:r>
      <w:r>
        <w:rPr>
          <w:rStyle w:val="25"/>
          <w:rFonts w:ascii="仿宋_GB2312" w:eastAsia="仿宋_GB2312" w:cs="仿宋_GB2312" w:hint="eastAsia"/>
          <w:b w:val="0"/>
          <w:bCs/>
          <w:color w:val="000000"/>
          <w:sz w:val="32"/>
          <w:szCs w:val="32"/>
          <w:highlight w:val="auto"/>
        </w:rPr>
        <w:t>万元，完成预算100%。</w:t>
      </w:r>
    </w:p>
    <w:p>
      <w:pPr>
        <w:spacing w:line="600" w:lineRule="exact"/>
        <w:ind w:firstLineChars="200" w:firstLine="640"/>
        <w:rPr>
          <w:rStyle w:val="25"/>
          <w:rFonts w:ascii="仿宋_GB2312" w:eastAsia="仿宋_GB2312" w:cs="仿宋_GB2312" w:hint="eastAsia"/>
          <w:b w:val="0"/>
          <w:bCs/>
          <w:color w:val="000000"/>
          <w:sz w:val="32"/>
          <w:szCs w:val="32"/>
          <w:highlight w:val="auto"/>
        </w:rPr>
      </w:pPr>
      <w:r>
        <w:rPr>
          <w:rStyle w:val="25"/>
          <w:rFonts w:ascii="仿宋_GB2312" w:eastAsia="仿宋_GB2312" w:cs="仿宋_GB2312" w:hint="eastAsia"/>
          <w:bCs/>
          <w:color w:val="000000"/>
          <w:sz w:val="32"/>
          <w:szCs w:val="32"/>
          <w:highlight w:val="auto"/>
        </w:rPr>
        <w:t>4</w:t>
      </w:r>
      <w:r>
        <w:rPr>
          <w:rStyle w:val="25"/>
          <w:rFonts w:ascii="仿宋_GB2312" w:eastAsia="仿宋_GB2312" w:cs="仿宋_GB2312" w:hint="eastAsia"/>
          <w:bCs/>
          <w:color w:val="000000"/>
          <w:sz w:val="32"/>
          <w:szCs w:val="32"/>
          <w:lang w:val="en-US" w:eastAsia="zh-CN"/>
          <w:highlight w:val="auto"/>
        </w:rPr>
        <w:t>.</w:t>
      </w:r>
      <w:r>
        <w:rPr>
          <w:rStyle w:val="25"/>
          <w:rFonts w:ascii="仿宋_GB2312" w:eastAsia="仿宋_GB2312" w:cs="仿宋_GB2312" w:hint="eastAsia"/>
          <w:bCs/>
          <w:color w:val="000000"/>
          <w:sz w:val="32"/>
          <w:szCs w:val="32"/>
          <w:highlight w:val="auto"/>
        </w:rPr>
        <w:t>医疗卫生与计划生育（类）行政事业单位医疗（款）事业单位医疗（项）:</w:t>
      </w:r>
      <w:r>
        <w:rPr>
          <w:rStyle w:val="25"/>
          <w:rFonts w:ascii="仿宋_GB2312" w:eastAsia="仿宋_GB2312" w:cs="仿宋_GB2312" w:hint="eastAsia"/>
          <w:b w:val="0"/>
          <w:bCs/>
          <w:color w:val="000000"/>
          <w:sz w:val="32"/>
          <w:szCs w:val="32"/>
          <w:highlight w:val="auto"/>
        </w:rPr>
        <w:t>支出决算为</w:t>
      </w:r>
      <w:r>
        <w:rPr>
          <w:rStyle w:val="25"/>
          <w:rFonts w:ascii="仿宋_GB2312" w:eastAsia="仿宋_GB2312" w:cs="仿宋_GB2312" w:hint="eastAsia"/>
          <w:b w:val="0"/>
          <w:bCs/>
          <w:color w:val="000000"/>
          <w:sz w:val="32"/>
          <w:szCs w:val="32"/>
          <w:lang w:val="en-US" w:eastAsia="zh-CN"/>
          <w:highlight w:val="auto"/>
        </w:rPr>
        <w:t>11.05</w:t>
      </w:r>
      <w:r>
        <w:rPr>
          <w:rStyle w:val="25"/>
          <w:rFonts w:ascii="仿宋_GB2312" w:eastAsia="仿宋_GB2312" w:cs="仿宋_GB2312" w:hint="eastAsia"/>
          <w:b w:val="0"/>
          <w:bCs/>
          <w:color w:val="000000"/>
          <w:sz w:val="32"/>
          <w:szCs w:val="32"/>
          <w:highlight w:val="auto"/>
        </w:rPr>
        <w:t>万元，完成预算100%</w:t>
      </w:r>
    </w:p>
    <w:p>
      <w:pPr>
        <w:spacing w:line="600" w:lineRule="exact"/>
        <w:ind w:firstLineChars="200" w:firstLine="640"/>
        <w:rPr>
          <w:rStyle w:val="25"/>
          <w:rFonts w:ascii="仿宋_GB2312" w:eastAsia="仿宋_GB2312" w:cs="仿宋_GB2312" w:hint="eastAsia"/>
          <w:b w:val="0"/>
          <w:bCs/>
          <w:color w:val="000000"/>
          <w:sz w:val="32"/>
          <w:szCs w:val="32"/>
          <w:highlight w:val="auto"/>
        </w:rPr>
      </w:pPr>
      <w:r>
        <w:rPr>
          <w:rStyle w:val="25"/>
          <w:rFonts w:ascii="仿宋_GB2312" w:eastAsia="仿宋_GB2312" w:cs="仿宋_GB2312" w:hint="eastAsia"/>
          <w:bCs/>
          <w:color w:val="000000"/>
          <w:sz w:val="32"/>
          <w:szCs w:val="32"/>
          <w:lang w:val="en-US" w:eastAsia="zh-CN"/>
          <w:highlight w:val="auto"/>
        </w:rPr>
        <w:t>5.</w:t>
      </w:r>
      <w:r>
        <w:rPr>
          <w:rStyle w:val="25"/>
          <w:rFonts w:ascii="仿宋_GB2312" w:eastAsia="仿宋_GB2312" w:cs="仿宋_GB2312" w:hint="eastAsia"/>
          <w:bCs/>
          <w:color w:val="000000"/>
          <w:sz w:val="32"/>
          <w:szCs w:val="32"/>
          <w:highlight w:val="auto"/>
        </w:rPr>
        <w:t>住房保障支出（类）住房改革支出（款）住房公积金（项）:</w:t>
      </w:r>
      <w:r>
        <w:rPr>
          <w:rStyle w:val="25"/>
          <w:rFonts w:ascii="仿宋_GB2312" w:eastAsia="仿宋_GB2312" w:cs="仿宋_GB2312" w:hint="eastAsia"/>
          <w:b w:val="0"/>
          <w:bCs/>
          <w:color w:val="000000"/>
          <w:sz w:val="32"/>
          <w:szCs w:val="32"/>
          <w:highlight w:val="auto"/>
        </w:rPr>
        <w:t>支出决算为</w:t>
      </w:r>
      <w:r>
        <w:rPr>
          <w:rStyle w:val="25"/>
          <w:rFonts w:ascii="仿宋_GB2312" w:eastAsia="仿宋_GB2312" w:cs="仿宋_GB2312" w:hint="eastAsia"/>
          <w:b w:val="0"/>
          <w:bCs/>
          <w:color w:val="000000"/>
          <w:sz w:val="32"/>
          <w:szCs w:val="32"/>
          <w:lang w:val="en-US" w:eastAsia="zh-CN"/>
          <w:highlight w:val="auto"/>
        </w:rPr>
        <w:t>14.77</w:t>
      </w:r>
      <w:r>
        <w:rPr>
          <w:rStyle w:val="25"/>
          <w:rFonts w:ascii="仿宋_GB2312" w:eastAsia="仿宋_GB2312" w:cs="仿宋_GB2312" w:hint="eastAsia"/>
          <w:b w:val="0"/>
          <w:bCs/>
          <w:color w:val="000000"/>
          <w:sz w:val="32"/>
          <w:szCs w:val="32"/>
          <w:highlight w:val="auto"/>
        </w:rPr>
        <w:t>万元，完成预算100%。</w:t>
      </w:r>
    </w:p>
    <w:p>
      <w:pPr>
        <w:pStyle w:val="24"/>
        <w:ind w:leftChars="0" w:left="0" w:firstLineChars="200" w:firstLine="640"/>
        <w:rPr>
          <w:rFonts w:hint="eastAsia"/>
          <w:highlight w:val="auto"/>
        </w:rPr>
      </w:pPr>
      <w:r>
        <w:rPr>
          <w:rStyle w:val="25"/>
          <w:rFonts w:ascii="仿宋_GB2312" w:eastAsia="仿宋_GB2312" w:cs="仿宋_GB2312" w:hint="eastAsia"/>
          <w:bCs/>
          <w:color w:val="000000"/>
          <w:kern w:val="2"/>
          <w:sz w:val="32"/>
          <w:szCs w:val="32"/>
          <w:lang w:val="en-US" w:eastAsia="zh-CN" w:bidi="ar-SA"/>
          <w:highlight w:val="auto"/>
        </w:rPr>
        <w:t>6. 商品服务等其他支出：</w:t>
      </w:r>
      <w:r>
        <w:rPr>
          <w:rStyle w:val="25"/>
          <w:rFonts w:ascii="仿宋_GB2312" w:eastAsia="仿宋_GB2312" w:cs="仿宋_GB2312" w:hint="eastAsia"/>
          <w:b w:val="0"/>
          <w:bCs/>
          <w:color w:val="000000"/>
          <w:kern w:val="2"/>
          <w:sz w:val="32"/>
          <w:szCs w:val="32"/>
          <w:lang w:val="en-US" w:eastAsia="zh-CN" w:bidi="ar-SA"/>
          <w:highlight w:val="auto"/>
        </w:rPr>
        <w:t>支出决算为42.93万元，完成预算100%。</w:t>
      </w:r>
    </w:p>
    <w:p>
      <w:pPr>
        <w:tabs>
          <w:tab w:val="right" w:pos="8306"/>
        </w:tabs>
        <w:spacing w:line="600" w:lineRule="exact"/>
        <w:ind w:firstLine="640"/>
        <w:outlineLvl w:val="1"/>
        <w:rPr>
          <w:rStyle w:val="2Char"/>
          <w:rFonts w:ascii="仿宋_GB2312" w:eastAsia="仿宋_GB2312" w:cs="仿宋_GB2312" w:hint="eastAsia"/>
          <w:highlight w:val="auto"/>
        </w:rPr>
      </w:pPr>
      <w:bookmarkStart w:id="42" w:name="_Toc15377214"/>
      <w:bookmarkStart w:id="43" w:name="_Toc20297161"/>
      <w:r>
        <w:rPr>
          <w:rStyle w:val="2Char"/>
          <w:rFonts w:ascii="黑体" w:eastAsia="黑体" w:cs="黑体" w:hint="eastAsia"/>
          <w:b w:val="0"/>
          <w:highlight w:val="auto"/>
        </w:rPr>
        <w:t>六、一般公共预算财政拨款基本支出决算情况说明</w:t>
      </w:r>
      <w:bookmarkEnd w:id="42"/>
      <w:bookmarkEnd w:id="43"/>
      <w:r>
        <w:rPr>
          <w:rStyle w:val="2Char"/>
          <w:rFonts w:ascii="仿宋_GB2312" w:eastAsia="仿宋_GB2312" w:cs="仿宋_GB2312" w:hint="eastAsia"/>
          <w:b w:val="0"/>
          <w:highlight w:val="auto"/>
        </w:rPr>
        <w:tab/>
      </w:r>
    </w:p>
    <w:p>
      <w:pPr>
        <w:spacing w:line="600" w:lineRule="exact"/>
        <w:ind w:firstLine="645"/>
        <w:rPr>
          <w:rFonts w:ascii="仿宋_GB2312" w:eastAsia="仿宋_GB2312" w:cs="仿宋_GB2312" w:hint="eastAsia"/>
          <w:color w:val="000000"/>
          <w:sz w:val="32"/>
          <w:szCs w:val="32"/>
          <w:highlight w:val="auto"/>
        </w:rPr>
      </w:pPr>
      <w:r>
        <w:rPr>
          <w:rFonts w:ascii="仿宋_GB2312" w:eastAsia="仿宋_GB2312" w:cs="仿宋_GB2312" w:hint="eastAsia"/>
          <w:color w:val="000000"/>
          <w:sz w:val="32"/>
          <w:szCs w:val="32"/>
          <w:highlight w:val="auto"/>
        </w:rPr>
        <w:t>201</w:t>
      </w:r>
      <w:r>
        <w:rPr>
          <w:rFonts w:ascii="仿宋_GB2312" w:eastAsia="仿宋_GB2312" w:cs="仿宋_GB2312" w:hint="eastAsia"/>
          <w:color w:val="000000"/>
          <w:sz w:val="32"/>
          <w:szCs w:val="32"/>
          <w:lang w:val="en-US" w:eastAsia="zh-CN"/>
          <w:highlight w:val="auto"/>
        </w:rPr>
        <w:t>9</w:t>
      </w:r>
      <w:r>
        <w:rPr>
          <w:rFonts w:ascii="仿宋_GB2312" w:eastAsia="仿宋_GB2312" w:cs="仿宋_GB2312" w:hint="eastAsia"/>
          <w:color w:val="000000"/>
          <w:sz w:val="32"/>
          <w:szCs w:val="32"/>
          <w:highlight w:val="auto"/>
        </w:rPr>
        <w:t>年一般公共预算财政拨款基本支出</w:t>
      </w:r>
      <w:r>
        <w:rPr>
          <w:rFonts w:ascii="仿宋_GB2312" w:eastAsia="仿宋_GB2312" w:cs="仿宋_GB2312" w:hint="eastAsia"/>
          <w:color w:val="000000"/>
          <w:sz w:val="32"/>
          <w:szCs w:val="32"/>
          <w:lang w:val="en-US" w:eastAsia="zh-CN"/>
          <w:highlight w:val="auto"/>
        </w:rPr>
        <w:t>224.49</w:t>
      </w:r>
      <w:r>
        <w:rPr>
          <w:rFonts w:ascii="仿宋_GB2312" w:eastAsia="仿宋_GB2312" w:cs="仿宋_GB2312" w:hint="eastAsia"/>
          <w:color w:val="000000"/>
          <w:sz w:val="32"/>
          <w:szCs w:val="32"/>
          <w:highlight w:val="auto"/>
        </w:rPr>
        <w:t>万元，其中：</w:t>
      </w:r>
    </w:p>
    <w:p>
      <w:pPr>
        <w:spacing w:line="600" w:lineRule="exact"/>
        <w:ind w:firstLine="645"/>
        <w:rPr>
          <w:rFonts w:ascii="仿宋_GB2312" w:eastAsia="仿宋_GB2312" w:cs="仿宋_GB2312" w:hint="eastAsia"/>
          <w:color w:val="000000"/>
          <w:sz w:val="32"/>
          <w:szCs w:val="32"/>
          <w:highlight w:val="auto"/>
        </w:rPr>
      </w:pPr>
      <w:r>
        <w:rPr>
          <w:rFonts w:ascii="仿宋_GB2312" w:eastAsia="仿宋_GB2312" w:cs="仿宋_GB2312" w:hint="eastAsia"/>
          <w:color w:val="000000"/>
          <w:sz w:val="32"/>
          <w:szCs w:val="32"/>
          <w:highlight w:val="auto"/>
        </w:rPr>
        <w:t>人员经费</w:t>
      </w:r>
      <w:r>
        <w:rPr>
          <w:rFonts w:ascii="仿宋_GB2312" w:eastAsia="仿宋_GB2312" w:cs="仿宋_GB2312" w:hint="eastAsia"/>
          <w:color w:val="000000"/>
          <w:sz w:val="32"/>
          <w:szCs w:val="32"/>
          <w:lang w:val="en-US" w:eastAsia="zh-CN"/>
          <w:highlight w:val="auto"/>
        </w:rPr>
        <w:t>177.42</w:t>
      </w:r>
      <w:r>
        <w:rPr>
          <w:rFonts w:ascii="仿宋_GB2312" w:eastAsia="仿宋_GB2312" w:cs="仿宋_GB2312" w:hint="eastAsia"/>
          <w:color w:val="000000"/>
          <w:sz w:val="32"/>
          <w:szCs w:val="32"/>
          <w:highlight w:val="auto"/>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br/>
        <w:t>　　公用经费</w:t>
      </w:r>
      <w:r>
        <w:rPr>
          <w:rFonts w:ascii="仿宋_GB2312" w:eastAsia="仿宋_GB2312" w:cs="仿宋_GB2312" w:hint="eastAsia"/>
          <w:color w:val="000000"/>
          <w:sz w:val="32"/>
          <w:szCs w:val="32"/>
          <w:lang w:val="en-US" w:eastAsia="zh-CN"/>
          <w:highlight w:val="auto"/>
        </w:rPr>
        <w:t>46.14</w:t>
      </w:r>
      <w:r>
        <w:rPr>
          <w:rFonts w:ascii="仿宋_GB2312" w:eastAsia="仿宋_GB2312" w:cs="仿宋_GB2312" w:hint="eastAsia"/>
          <w:color w:val="000000"/>
          <w:sz w:val="32"/>
          <w:szCs w:val="32"/>
          <w:highlight w:val="auto"/>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560" w:lineRule="exact"/>
        <w:ind w:firstLineChars="200" w:firstLine="640"/>
        <w:rPr>
          <w:rStyle w:val="2Char"/>
          <w:rFonts w:ascii="黑体" w:eastAsia="黑体" w:cs="黑体" w:hint="eastAsia"/>
          <w:b w:val="0"/>
          <w:highlight w:val="auto"/>
        </w:rPr>
      </w:pPr>
      <w:bookmarkStart w:id="44" w:name="_Toc20297162"/>
      <w:bookmarkStart w:id="45" w:name="_Toc15377215"/>
      <w:r>
        <w:rPr>
          <w:rStyle w:val="2Char"/>
          <w:rFonts w:ascii="黑体" w:eastAsia="黑体" w:cs="黑体" w:hint="eastAsia"/>
          <w:b w:val="0"/>
          <w:highlight w:val="auto"/>
        </w:rPr>
        <w:t>七、“三公”经费财政拨款支出决算情况说明</w:t>
      </w:r>
      <w:bookmarkEnd w:id="44"/>
      <w:bookmarkEnd w:id="45"/>
    </w:p>
    <w:p>
      <w:pPr>
        <w:spacing w:line="600" w:lineRule="exact"/>
        <w:ind w:firstLine="640"/>
        <w:outlineLvl w:val="2"/>
        <w:rPr>
          <w:rFonts w:ascii="仿宋_GB2312" w:eastAsia="仿宋_GB2312" w:cs="仿宋_GB2312" w:hint="eastAsia"/>
          <w:b/>
          <w:color w:val="000000"/>
          <w:sz w:val="32"/>
          <w:szCs w:val="32"/>
          <w:highlight w:val="auto"/>
        </w:rPr>
      </w:pPr>
      <w:bookmarkStart w:id="46" w:name="_Toc15377216"/>
      <w:r>
        <w:rPr>
          <w:rFonts w:ascii="仿宋_GB2312" w:eastAsia="仿宋_GB2312" w:cs="仿宋_GB2312" w:hint="eastAsia"/>
          <w:b/>
          <w:color w:val="000000"/>
          <w:sz w:val="32"/>
          <w:szCs w:val="32"/>
          <w:highlight w:val="auto"/>
        </w:rPr>
        <w:t>（一）“三公”经费财政拨款支出决算总体情况说明</w:t>
      </w:r>
      <w:bookmarkEnd w:id="46"/>
    </w:p>
    <w:p>
      <w:pPr>
        <w:spacing w:line="600" w:lineRule="exact"/>
        <w:ind w:firstLine="640"/>
        <w:rPr>
          <w:rFonts w:ascii="仿宋_GB2312" w:eastAsia="仿宋_GB2312" w:cs="仿宋_GB2312" w:hint="eastAsia"/>
          <w:color w:val="000000"/>
          <w:sz w:val="32"/>
          <w:szCs w:val="32"/>
          <w:lang w:eastAsia="zh-CN"/>
          <w:highlight w:val="auto"/>
        </w:rPr>
      </w:pPr>
      <w:r>
        <w:rPr>
          <w:rFonts w:ascii="仿宋_GB2312" w:eastAsia="仿宋_GB2312" w:cs="仿宋_GB2312" w:hint="eastAsia"/>
          <w:color w:val="000000"/>
          <w:sz w:val="32"/>
          <w:szCs w:val="32"/>
          <w:highlight w:val="auto"/>
        </w:rPr>
        <w:t>201</w:t>
      </w:r>
      <w:r>
        <w:rPr>
          <w:rFonts w:ascii="仿宋_GB2312" w:eastAsia="仿宋_GB2312" w:cs="仿宋_GB2312" w:hint="eastAsia"/>
          <w:color w:val="000000"/>
          <w:sz w:val="32"/>
          <w:szCs w:val="32"/>
          <w:lang w:val="en-US" w:eastAsia="zh-CN"/>
          <w:highlight w:val="auto"/>
        </w:rPr>
        <w:t>9</w:t>
      </w:r>
      <w:r>
        <w:rPr>
          <w:rFonts w:ascii="仿宋_GB2312" w:eastAsia="仿宋_GB2312" w:cs="仿宋_GB2312" w:hint="eastAsia"/>
          <w:color w:val="000000"/>
          <w:sz w:val="32"/>
          <w:szCs w:val="32"/>
          <w:highlight w:val="auto"/>
        </w:rPr>
        <w:t>年“三公”经费财政拨款支出决算为</w:t>
      </w:r>
      <w:r>
        <w:rPr>
          <w:rFonts w:ascii="仿宋_GB2312" w:eastAsia="仿宋_GB2312" w:cs="仿宋_GB2312" w:hint="eastAsia"/>
          <w:color w:val="000000"/>
          <w:sz w:val="32"/>
          <w:szCs w:val="32"/>
          <w:lang w:val="en-US" w:eastAsia="zh-CN"/>
          <w:highlight w:val="auto"/>
        </w:rPr>
        <w:t>4.18</w:t>
      </w:r>
      <w:r>
        <w:rPr>
          <w:rFonts w:ascii="仿宋_GB2312" w:eastAsia="仿宋_GB2312" w:cs="仿宋_GB2312" w:hint="eastAsia"/>
          <w:color w:val="000000"/>
          <w:sz w:val="32"/>
          <w:szCs w:val="32"/>
          <w:highlight w:val="auto"/>
        </w:rPr>
        <w:t>万元，完成预算100%，决算数与预算数持平</w:t>
      </w:r>
      <w:r>
        <w:rPr>
          <w:rFonts w:ascii="仿宋_GB2312" w:eastAsia="仿宋_GB2312" w:cs="仿宋_GB2312" w:hint="eastAsia"/>
          <w:color w:val="000000"/>
          <w:sz w:val="32"/>
          <w:szCs w:val="32"/>
          <w:lang w:val="en-US" w:eastAsia="zh-CN"/>
          <w:highlight w:val="auto"/>
        </w:rPr>
        <w:t>.</w:t>
      </w:r>
    </w:p>
    <w:p>
      <w:pPr>
        <w:spacing w:line="600" w:lineRule="exact"/>
        <w:ind w:firstLine="640"/>
        <w:outlineLvl w:val="2"/>
        <w:rPr>
          <w:rFonts w:ascii="仿宋_GB2312" w:eastAsia="仿宋_GB2312" w:cs="仿宋_GB2312" w:hint="eastAsia"/>
          <w:b/>
          <w:color w:val="000000"/>
          <w:sz w:val="32"/>
          <w:szCs w:val="32"/>
          <w:highlight w:val="auto"/>
        </w:rPr>
      </w:pPr>
      <w:bookmarkStart w:id="47" w:name="_Toc15377217"/>
      <w:r>
        <w:rPr>
          <w:rFonts w:ascii="仿宋_GB2312" w:eastAsia="仿宋_GB2312" w:cs="仿宋_GB2312" w:hint="eastAsia"/>
          <w:b/>
          <w:color w:val="000000"/>
          <w:sz w:val="32"/>
          <w:szCs w:val="32"/>
          <w:highlight w:val="auto"/>
        </w:rPr>
        <w:t>（二）“三公”经费财政拨款支出决算具体情况说明</w:t>
      </w:r>
      <w:bookmarkEnd w:id="47"/>
    </w:p>
    <w:p>
      <w:pPr>
        <w:spacing w:line="600" w:lineRule="exact"/>
        <w:ind w:firstLine="640"/>
        <w:rPr>
          <w:rFonts w:ascii="仿宋_GB2312" w:eastAsia="仿宋_GB2312" w:cs="仿宋_GB2312" w:hint="eastAsia"/>
          <w:color w:val="000000"/>
          <w:sz w:val="32"/>
          <w:szCs w:val="32"/>
          <w:highlight w:val="auto"/>
        </w:rPr>
      </w:pPr>
      <w:r>
        <w:rPr>
          <w:rFonts w:ascii="仿宋_GB2312" w:eastAsia="仿宋_GB2312" w:cs="仿宋_GB2312" w:hint="eastAsia"/>
          <w:color w:val="000000"/>
          <w:sz w:val="32"/>
          <w:szCs w:val="32"/>
          <w:highlight w:val="auto"/>
        </w:rPr>
        <w:t>201</w:t>
      </w:r>
      <w:r>
        <w:rPr>
          <w:rFonts w:ascii="仿宋_GB2312" w:eastAsia="仿宋_GB2312" w:cs="仿宋_GB2312" w:hint="eastAsia"/>
          <w:color w:val="000000"/>
          <w:sz w:val="32"/>
          <w:szCs w:val="32"/>
          <w:lang w:val="en-US" w:eastAsia="zh-CN"/>
          <w:highlight w:val="auto"/>
        </w:rPr>
        <w:t>9</w:t>
      </w:r>
      <w:r>
        <w:rPr>
          <w:rFonts w:ascii="仿宋_GB2312" w:eastAsia="仿宋_GB2312" w:cs="仿宋_GB2312" w:hint="eastAsia"/>
          <w:color w:val="000000"/>
          <w:sz w:val="32"/>
          <w:szCs w:val="32"/>
          <w:highlight w:val="auto"/>
        </w:rPr>
        <w:t>年“三公”经费财政拨款支出决算</w:t>
      </w:r>
      <w:r>
        <w:rPr>
          <w:rFonts w:ascii="仿宋_GB2312" w:eastAsia="仿宋_GB2312" w:cs="仿宋_GB2312" w:hint="eastAsia"/>
          <w:color w:val="000000"/>
          <w:sz w:val="32"/>
          <w:szCs w:val="32"/>
          <w:lang w:val="en-US" w:eastAsia="zh-CN"/>
          <w:highlight w:val="auto"/>
        </w:rPr>
        <w:t>4.18万元</w:t>
      </w:r>
      <w:r>
        <w:rPr>
          <w:rFonts w:ascii="仿宋_GB2312" w:eastAsia="仿宋_GB2312" w:cs="仿宋_GB2312" w:hint="eastAsia"/>
          <w:color w:val="000000"/>
          <w:sz w:val="32"/>
          <w:szCs w:val="32"/>
          <w:highlight w:val="auto"/>
        </w:rPr>
        <w:t>中，因公出国（境）费支出决算0万元，占0%；公务用车购置及运行维护费支出决算</w:t>
      </w:r>
      <w:r>
        <w:rPr>
          <w:rFonts w:ascii="仿宋_GB2312" w:eastAsia="仿宋_GB2312" w:cs="仿宋_GB2312" w:hint="eastAsia"/>
          <w:color w:val="000000"/>
          <w:sz w:val="32"/>
          <w:szCs w:val="32"/>
          <w:lang w:val="en-US" w:eastAsia="zh-CN"/>
          <w:highlight w:val="auto"/>
        </w:rPr>
        <w:t>3.99</w:t>
      </w:r>
      <w:r>
        <w:rPr>
          <w:rFonts w:ascii="仿宋_GB2312" w:eastAsia="仿宋_GB2312" w:cs="仿宋_GB2312" w:hint="eastAsia"/>
          <w:color w:val="000000"/>
          <w:sz w:val="32"/>
          <w:szCs w:val="32"/>
          <w:highlight w:val="auto"/>
        </w:rPr>
        <w:t>万元，占</w:t>
      </w:r>
      <w:r>
        <w:rPr>
          <w:rFonts w:ascii="仿宋_GB2312" w:eastAsia="仿宋_GB2312" w:cs="仿宋_GB2312" w:hint="eastAsia"/>
          <w:color w:val="000000"/>
          <w:sz w:val="32"/>
          <w:szCs w:val="32"/>
          <w:lang w:val="en-US" w:eastAsia="zh-CN"/>
          <w:highlight w:val="auto"/>
        </w:rPr>
        <w:t>95.46</w:t>
      </w:r>
      <w:r>
        <w:rPr>
          <w:rFonts w:ascii="仿宋_GB2312" w:eastAsia="仿宋_GB2312" w:cs="仿宋_GB2312" w:hint="eastAsia"/>
          <w:color w:val="000000"/>
          <w:sz w:val="32"/>
          <w:szCs w:val="32"/>
          <w:highlight w:val="auto"/>
        </w:rPr>
        <w:t>%；公务接待费支出决算</w:t>
      </w:r>
      <w:r>
        <w:rPr>
          <w:rFonts w:ascii="仿宋_GB2312" w:eastAsia="仿宋_GB2312" w:cs="仿宋_GB2312" w:hint="eastAsia"/>
          <w:color w:val="000000"/>
          <w:sz w:val="32"/>
          <w:szCs w:val="32"/>
          <w:lang w:val="en-US" w:eastAsia="zh-CN"/>
          <w:highlight w:val="auto"/>
        </w:rPr>
        <w:t>0.19</w:t>
      </w:r>
      <w:r>
        <w:rPr>
          <w:rFonts w:ascii="仿宋_GB2312" w:eastAsia="仿宋_GB2312" w:cs="仿宋_GB2312" w:hint="eastAsia"/>
          <w:color w:val="000000"/>
          <w:sz w:val="32"/>
          <w:szCs w:val="32"/>
          <w:highlight w:val="auto"/>
        </w:rPr>
        <w:t>万元，占</w:t>
      </w:r>
      <w:r>
        <w:rPr>
          <w:rFonts w:ascii="仿宋_GB2312" w:eastAsia="仿宋_GB2312" w:cs="仿宋_GB2312" w:hint="eastAsia"/>
          <w:color w:val="000000"/>
          <w:sz w:val="32"/>
          <w:szCs w:val="32"/>
          <w:lang w:val="en-US" w:eastAsia="zh-CN"/>
          <w:highlight w:val="auto"/>
        </w:rPr>
        <w:t>4.54</w:t>
      </w:r>
      <w:r>
        <w:rPr>
          <w:rFonts w:ascii="仿宋_GB2312" w:eastAsia="仿宋_GB2312" w:cs="仿宋_GB2312" w:hint="eastAsia"/>
          <w:color w:val="000000"/>
          <w:sz w:val="32"/>
          <w:szCs w:val="32"/>
          <w:highlight w:val="auto"/>
        </w:rPr>
        <w:t>%；新增单位从经信</w:t>
      </w:r>
      <w:r>
        <w:rPr>
          <w:rFonts w:ascii="仿宋_GB2312" w:eastAsia="仿宋_GB2312" w:cs="仿宋_GB2312" w:hint="eastAsia"/>
          <w:color w:val="000000"/>
          <w:sz w:val="32"/>
          <w:szCs w:val="32"/>
          <w:lang w:eastAsia="zh-CN"/>
          <w:highlight w:val="auto"/>
        </w:rPr>
        <w:t>中心</w:t>
      </w:r>
      <w:r>
        <w:rPr>
          <w:rFonts w:ascii="仿宋_GB2312" w:eastAsia="仿宋_GB2312" w:cs="仿宋_GB2312" w:hint="eastAsia"/>
          <w:color w:val="000000"/>
          <w:sz w:val="32"/>
          <w:szCs w:val="32"/>
          <w:highlight w:val="auto"/>
        </w:rPr>
        <w:t>划出。具体情况如下：</w:t>
      </w:r>
    </w:p>
    <w:p>
      <w:pPr>
        <w:spacing w:line="600" w:lineRule="exact"/>
        <w:ind w:firstLine="640"/>
        <w:rPr>
          <w:rFonts w:ascii="仿宋_GB2312" w:eastAsia="仿宋_GB2312" w:cs="仿宋_GB2312" w:hint="eastAsia"/>
          <w:b/>
          <w:color w:val="000000"/>
          <w:sz w:val="32"/>
          <w:szCs w:val="32"/>
          <w:highlight w:val="auto"/>
        </w:rPr>
      </w:pPr>
      <w:r>
        <w:rPr>
          <w:rFonts w:ascii="仿宋_GB2312" w:eastAsia="仿宋_GB2312" w:cs="仿宋_GB2312" w:hint="eastAsia"/>
          <w:b/>
          <w:color w:val="000000"/>
          <w:sz w:val="32"/>
          <w:szCs w:val="32"/>
          <w:highlight w:val="auto"/>
        </w:rPr>
        <w:t>1.因公出国（境）经费支出</w:t>
      </w:r>
      <w:r>
        <w:rPr>
          <w:rFonts w:ascii="仿宋_GB2312" w:eastAsia="仿宋_GB2312" w:cs="仿宋_GB2312" w:hint="eastAsia"/>
          <w:color w:val="000000"/>
          <w:sz w:val="32"/>
          <w:szCs w:val="32"/>
          <w:highlight w:val="auto"/>
        </w:rPr>
        <w:t>0万元，</w:t>
      </w:r>
      <w:r>
        <w:rPr>
          <w:rStyle w:val="25"/>
          <w:rFonts w:ascii="仿宋_GB2312" w:eastAsia="仿宋_GB2312" w:cs="仿宋_GB2312" w:hint="eastAsia"/>
          <w:b w:val="0"/>
          <w:bCs/>
          <w:color w:val="000000"/>
          <w:sz w:val="32"/>
          <w:szCs w:val="32"/>
          <w:highlight w:val="auto"/>
        </w:rPr>
        <w:t>完成预算0%。</w:t>
      </w:r>
      <w:r>
        <w:rPr>
          <w:rFonts w:ascii="仿宋_GB2312" w:eastAsia="仿宋_GB2312" w:cs="仿宋_GB2312" w:hint="eastAsia"/>
          <w:color w:val="000000"/>
          <w:sz w:val="32"/>
          <w:szCs w:val="32"/>
          <w:highlight w:val="auto"/>
        </w:rPr>
        <w:t>全年安排因公出国（境）团组0次，出国（境）0人。</w:t>
      </w:r>
    </w:p>
    <w:p>
      <w:pPr>
        <w:spacing w:line="600" w:lineRule="exact"/>
        <w:ind w:firstLine="640"/>
        <w:rPr>
          <w:rFonts w:ascii="仿宋_GB2312" w:eastAsia="仿宋_GB2312" w:cs="仿宋_GB2312" w:hint="eastAsia"/>
          <w:b/>
          <w:color w:val="000000"/>
          <w:sz w:val="32"/>
          <w:szCs w:val="32"/>
          <w:highlight w:val="auto"/>
        </w:rPr>
      </w:pPr>
      <w:r>
        <w:rPr>
          <w:rFonts w:ascii="仿宋_GB2312" w:eastAsia="仿宋_GB2312" w:cs="仿宋_GB2312" w:hint="eastAsia"/>
          <w:b/>
          <w:color w:val="000000"/>
          <w:sz w:val="32"/>
          <w:szCs w:val="32"/>
          <w:highlight w:val="auto"/>
        </w:rPr>
        <w:t>2.公务用车购置及运行维护费支出</w:t>
      </w:r>
      <w:r>
        <w:rPr>
          <w:rFonts w:ascii="仿宋_GB2312" w:eastAsia="仿宋_GB2312" w:cs="仿宋_GB2312" w:hint="eastAsia"/>
          <w:color w:val="000000"/>
          <w:sz w:val="32"/>
          <w:szCs w:val="32"/>
          <w:lang w:val="en-US" w:eastAsia="zh-CN"/>
          <w:highlight w:val="auto"/>
        </w:rPr>
        <w:t>3.99</w:t>
      </w:r>
      <w:r>
        <w:rPr>
          <w:rFonts w:ascii="仿宋_GB2312" w:eastAsia="仿宋_GB2312" w:cs="仿宋_GB2312" w:hint="eastAsia"/>
          <w:color w:val="000000"/>
          <w:sz w:val="32"/>
          <w:szCs w:val="32"/>
          <w:highlight w:val="auto"/>
        </w:rPr>
        <w:t>万元,</w:t>
      </w:r>
      <w:r>
        <w:rPr>
          <w:rStyle w:val="25"/>
          <w:rFonts w:ascii="仿宋_GB2312" w:eastAsia="仿宋_GB2312" w:cs="仿宋_GB2312" w:hint="eastAsia"/>
          <w:b w:val="0"/>
          <w:bCs/>
          <w:color w:val="000000"/>
          <w:sz w:val="32"/>
          <w:szCs w:val="32"/>
          <w:highlight w:val="auto"/>
        </w:rPr>
        <w:t>完成预算</w:t>
      </w:r>
      <w:r>
        <w:rPr>
          <w:rStyle w:val="25"/>
          <w:rFonts w:ascii="仿宋_GB2312" w:eastAsia="仿宋_GB2312" w:cs="仿宋_GB2312" w:hint="eastAsia"/>
          <w:b w:val="0"/>
          <w:bCs/>
          <w:color w:val="000000"/>
          <w:sz w:val="32"/>
          <w:szCs w:val="32"/>
          <w:lang w:val="en-US" w:eastAsia="zh-CN"/>
          <w:highlight w:val="auto"/>
        </w:rPr>
        <w:t>99.75</w:t>
      </w:r>
      <w:r>
        <w:rPr>
          <w:rStyle w:val="25"/>
          <w:rFonts w:ascii="仿宋_GB2312" w:eastAsia="仿宋_GB2312" w:cs="仿宋_GB2312" w:hint="eastAsia"/>
          <w:b w:val="0"/>
          <w:bCs/>
          <w:color w:val="000000"/>
          <w:sz w:val="32"/>
          <w:szCs w:val="32"/>
          <w:highlight w:val="auto"/>
        </w:rPr>
        <w:t>%。</w:t>
      </w:r>
    </w:p>
    <w:p>
      <w:pPr>
        <w:spacing w:line="600" w:lineRule="exact"/>
        <w:ind w:firstLineChars="200" w:firstLine="640"/>
        <w:rPr>
          <w:rFonts w:ascii="仿宋_GB2312" w:eastAsia="仿宋_GB2312" w:cs="仿宋_GB2312" w:hint="eastAsia"/>
          <w:b/>
          <w:color w:val="000000"/>
          <w:sz w:val="32"/>
          <w:szCs w:val="32"/>
          <w:highlight w:val="auto"/>
        </w:rPr>
      </w:pPr>
      <w:r>
        <w:rPr>
          <w:rFonts w:ascii="仿宋_GB2312" w:eastAsia="仿宋_GB2312" w:cs="仿宋_GB2312" w:hint="eastAsia"/>
          <w:color w:val="000000"/>
          <w:sz w:val="32"/>
          <w:szCs w:val="32"/>
          <w:highlight w:val="auto"/>
        </w:rPr>
        <w:t>其中：</w:t>
      </w:r>
      <w:r>
        <w:rPr>
          <w:rFonts w:ascii="仿宋_GB2312" w:eastAsia="仿宋_GB2312" w:cs="仿宋_GB2312" w:hint="eastAsia"/>
          <w:b/>
          <w:color w:val="000000"/>
          <w:sz w:val="32"/>
          <w:szCs w:val="32"/>
          <w:highlight w:val="auto"/>
        </w:rPr>
        <w:t>公务用车购置支出</w:t>
      </w:r>
      <w:r>
        <w:rPr>
          <w:rFonts w:ascii="仿宋_GB2312" w:eastAsia="仿宋_GB2312" w:cs="仿宋_GB2312" w:hint="eastAsia"/>
          <w:color w:val="000000"/>
          <w:sz w:val="32"/>
          <w:szCs w:val="32"/>
          <w:highlight w:val="auto"/>
        </w:rPr>
        <w:t>0万元。全年按规定更新购置公务用车0辆，其中：轿车0辆、金额0万元，越野车0辆、金额0万元，载客汽车0辆、金额0万元。截至2018年12月底，单位共有公务用车0辆，其中：轿车0辆、越野车0辆、载客汽车0辆。</w:t>
      </w:r>
    </w:p>
    <w:p>
      <w:pPr>
        <w:spacing w:line="600" w:lineRule="exact"/>
        <w:ind w:firstLineChars="404" w:firstLine="1293"/>
        <w:rPr>
          <w:rFonts w:ascii="仿宋_GB2312" w:eastAsia="仿宋_GB2312" w:cs="仿宋_GB2312" w:hint="eastAsia"/>
          <w:color w:val="000000"/>
          <w:sz w:val="32"/>
          <w:szCs w:val="32"/>
          <w:highlight w:val="auto"/>
        </w:rPr>
      </w:pPr>
      <w:r>
        <w:rPr>
          <w:rFonts w:ascii="仿宋_GB2312" w:eastAsia="仿宋_GB2312" w:cs="仿宋_GB2312" w:hint="eastAsia"/>
          <w:b/>
          <w:color w:val="000000"/>
          <w:sz w:val="32"/>
          <w:szCs w:val="32"/>
          <w:highlight w:val="auto"/>
        </w:rPr>
        <w:t>公务用车运行维护费支出</w:t>
      </w:r>
      <w:r>
        <w:rPr>
          <w:rFonts w:ascii="仿宋_GB2312" w:eastAsia="仿宋_GB2312" w:cs="仿宋_GB2312" w:hint="eastAsia"/>
          <w:color w:val="000000"/>
          <w:sz w:val="32"/>
          <w:szCs w:val="32"/>
          <w:lang w:val="en-US" w:eastAsia="zh-CN"/>
          <w:highlight w:val="auto"/>
        </w:rPr>
        <w:t>3.99</w:t>
      </w:r>
      <w:r>
        <w:rPr>
          <w:rFonts w:ascii="仿宋_GB2312" w:eastAsia="仿宋_GB2312" w:cs="仿宋_GB2312" w:hint="eastAsia"/>
          <w:color w:val="000000"/>
          <w:sz w:val="32"/>
          <w:szCs w:val="32"/>
          <w:highlight w:val="auto"/>
        </w:rPr>
        <w:t>万元。</w:t>
      </w:r>
    </w:p>
    <w:p>
      <w:pPr>
        <w:numPr>
          <w:ilvl w:val="0"/>
          <w:numId w:val="1"/>
        </w:numPr>
        <w:spacing w:line="600" w:lineRule="exact"/>
        <w:ind w:left="0" w:firstLine="640"/>
        <w:rPr>
          <w:rStyle w:val="25"/>
          <w:rFonts w:ascii="仿宋_GB2312" w:eastAsia="仿宋_GB2312" w:cs="仿宋_GB2312" w:hint="eastAsia"/>
          <w:b w:val="0"/>
          <w:bCs/>
          <w:color w:val="000000"/>
          <w:sz w:val="32"/>
          <w:szCs w:val="32"/>
          <w:highlight w:val="auto"/>
        </w:rPr>
      </w:pPr>
      <w:r>
        <w:rPr>
          <w:rFonts w:ascii="仿宋_GB2312" w:eastAsia="仿宋_GB2312" w:cs="仿宋_GB2312" w:hint="eastAsia"/>
          <w:b/>
          <w:color w:val="000000"/>
          <w:sz w:val="32"/>
          <w:szCs w:val="32"/>
          <w:highlight w:val="auto"/>
        </w:rPr>
        <w:t>公务接待费支出</w:t>
      </w:r>
      <w:r>
        <w:rPr>
          <w:rFonts w:ascii="仿宋_GB2312" w:eastAsia="仿宋_GB2312" w:cs="仿宋_GB2312" w:hint="eastAsia"/>
          <w:color w:val="000000"/>
          <w:sz w:val="32"/>
          <w:szCs w:val="32"/>
          <w:lang w:val="en-US" w:eastAsia="zh-CN"/>
          <w:highlight w:val="auto"/>
        </w:rPr>
        <w:t>0.19</w:t>
      </w:r>
      <w:r>
        <w:rPr>
          <w:rFonts w:ascii="仿宋_GB2312" w:eastAsia="仿宋_GB2312" w:cs="仿宋_GB2312" w:hint="eastAsia"/>
          <w:color w:val="000000"/>
          <w:sz w:val="32"/>
          <w:szCs w:val="32"/>
          <w:highlight w:val="auto"/>
        </w:rPr>
        <w:t>万元，</w:t>
      </w:r>
      <w:r>
        <w:rPr>
          <w:rStyle w:val="25"/>
          <w:rFonts w:ascii="仿宋_GB2312" w:eastAsia="仿宋_GB2312" w:cs="仿宋_GB2312" w:hint="eastAsia"/>
          <w:b w:val="0"/>
          <w:bCs/>
          <w:color w:val="000000"/>
          <w:sz w:val="32"/>
          <w:szCs w:val="32"/>
          <w:highlight w:val="auto"/>
        </w:rPr>
        <w:t>完成预算</w:t>
      </w:r>
      <w:r>
        <w:rPr>
          <w:rStyle w:val="25"/>
          <w:rFonts w:ascii="仿宋_GB2312" w:eastAsia="仿宋_GB2312" w:cs="仿宋_GB2312" w:hint="eastAsia"/>
          <w:b w:val="0"/>
          <w:bCs/>
          <w:color w:val="000000"/>
          <w:sz w:val="32"/>
          <w:szCs w:val="32"/>
          <w:lang w:val="en-US" w:eastAsia="zh-CN"/>
          <w:highlight w:val="auto"/>
        </w:rPr>
        <w:t>100</w:t>
      </w:r>
      <w:r>
        <w:rPr>
          <w:rStyle w:val="25"/>
          <w:rFonts w:ascii="仿宋_GB2312" w:eastAsia="仿宋_GB2312" w:cs="仿宋_GB2312" w:hint="eastAsia"/>
          <w:b w:val="0"/>
          <w:bCs/>
          <w:color w:val="000000"/>
          <w:sz w:val="32"/>
          <w:szCs w:val="32"/>
          <w:highlight w:val="auto"/>
        </w:rPr>
        <w:t>%。</w:t>
      </w:r>
      <w:bookmarkStart w:id="48" w:name="_Toc15377218"/>
    </w:p>
    <w:p>
      <w:pPr>
        <w:pStyle w:val="24"/>
        <w:rPr>
          <w:rFonts w:hint="eastAsia"/>
          <w:highlight w:val="auto"/>
        </w:rPr>
      </w:pPr>
      <w:r>
        <w:rPr>
          <w:rFonts w:ascii="仿宋_GB2312" w:eastAsia="仿宋_GB2312" w:hint="eastAsia"/>
          <w:color w:val="000000"/>
          <w:sz w:val="32"/>
          <w:szCs w:val="32"/>
          <w:highlight w:val="auto"/>
        </w:rPr>
        <w:t>（图</w:t>
      </w:r>
      <w:r>
        <w:rPr>
          <w:rFonts w:ascii="仿宋_GB2312" w:eastAsia="仿宋_GB2312" w:hint="eastAsia"/>
          <w:color w:val="000000"/>
          <w:sz w:val="32"/>
          <w:szCs w:val="32"/>
          <w:lang w:val="en-US" w:eastAsia="zh-CN"/>
          <w:highlight w:val="auto"/>
        </w:rPr>
        <w:t>7</w:t>
      </w:r>
      <w:r>
        <w:rPr>
          <w:rFonts w:ascii="仿宋_GB2312" w:eastAsia="仿宋_GB2312" w:hint="eastAsia"/>
          <w:color w:val="000000"/>
          <w:sz w:val="32"/>
          <w:szCs w:val="32"/>
          <w:highlight w:val="auto"/>
        </w:rPr>
        <w:t>：“三公”经费财政拨款支出结构）</w:t>
      </w:r>
    </w:p>
    <w:p>
      <w:pPr>
        <w:pStyle w:val="24"/>
        <w:ind w:leftChars="400" w:left="840"/>
        <w:rPr>
          <w:rFonts w:hint="eastAsia"/>
          <w:highlight w:val="auto"/>
        </w:rPr>
      </w:pPr>
      <w:r>
        <w:rPr>
          <w:rFonts w:ascii="Times New Roman" w:eastAsia="宋体" w:cs="Times New Roman" w:hAnsi="Times New Roman"/>
          <w:kern w:val="2"/>
          <w:sz w:val="21"/>
          <w:szCs w:val="20"/>
          <w:lang w:val="en-US" w:eastAsia="zh-CN" w:bidi="ar-SA"/>
          <w:highlight w:val="auto"/>
        </w:rPr>
        <w:drawing>
          <wp:inline distT="0" distB="0" distL="113665" distR="113665">
            <wp:extent cx="4591050" cy="2762250"/>
            <wp:effectExtent l="0" t="0" r="25" b="42"/>
            <wp:docPr id="18" name="图片"/>
            <wp:cNvGraphicFramePr>
              <a:graphicFrameLocks noChangeAspect="1"/>
            </wp:cNvGraphicFramePr>
            <a:graphic>
              <a:graphicData uri="http://schemas.openxmlformats.org/drawingml/2006/picture">
                <pic:pic>
                  <pic:nvPicPr>
                    <pic:cNvPr id="20" name="图片 20"/>
                    <pic:cNvPicPr/>
                  </pic:nvPicPr>
                  <pic:blipFill>
                    <a:blip r:embed="rId11"/>
                    <a:stretch>
                      <a:fillRect/>
                    </a:stretch>
                  </pic:blipFill>
                  <pic:spPr>
                    <a:xfrm rot="0">
                      <a:off x="0" y="0"/>
                      <a:ext cx="4591050" cy="2762250"/>
                    </a:xfrm>
                    <a:prstGeom prst="rect"/>
                    <a:noFill/>
                    <a:ln w="9525" cmpd="sng" cap="flat">
                      <a:noFill/>
                      <a:prstDash val="solid"/>
                      <a:miter/>
                    </a:ln>
                  </pic:spPr>
                </pic:pic>
              </a:graphicData>
            </a:graphic>
          </wp:inline>
        </w:drawing>
      </w:r>
    </w:p>
    <w:p>
      <w:pPr>
        <w:spacing w:line="600" w:lineRule="exact"/>
        <w:ind w:firstLine="640"/>
        <w:outlineLvl w:val="1"/>
        <w:rPr>
          <w:rStyle w:val="2Char"/>
          <w:rFonts w:ascii="黑体" w:eastAsia="黑体" w:cs="黑体" w:hint="eastAsia"/>
          <w:highlight w:val="auto"/>
        </w:rPr>
      </w:pPr>
      <w:bookmarkStart w:id="49" w:name="_Toc20297163"/>
      <w:r>
        <w:rPr>
          <w:rFonts w:ascii="黑体" w:eastAsia="黑体" w:cs="黑体" w:hint="eastAsia"/>
          <w:color w:val="000000"/>
          <w:sz w:val="32"/>
          <w:szCs w:val="32"/>
          <w:highlight w:val="auto"/>
        </w:rPr>
        <w:t>八、</w:t>
      </w:r>
      <w:r>
        <w:rPr>
          <w:rStyle w:val="2Char"/>
          <w:rFonts w:ascii="黑体" w:eastAsia="黑体" w:cs="黑体" w:hint="eastAsia"/>
          <w:b w:val="0"/>
          <w:highlight w:val="auto"/>
        </w:rPr>
        <w:t>政府性基金预算支出决算情况说明</w:t>
      </w:r>
      <w:bookmarkEnd w:id="48"/>
      <w:bookmarkEnd w:id="49"/>
    </w:p>
    <w:p>
      <w:pPr>
        <w:spacing w:line="600" w:lineRule="exact"/>
        <w:ind w:firstLine="640"/>
        <w:rPr>
          <w:rFonts w:ascii="仿宋_GB2312" w:eastAsia="仿宋_GB2312" w:cs="仿宋_GB2312" w:hint="eastAsia"/>
          <w:color w:val="000000"/>
          <w:sz w:val="32"/>
          <w:szCs w:val="32"/>
          <w:highlight w:val="auto"/>
        </w:rPr>
      </w:pPr>
      <w:r>
        <w:rPr>
          <w:rFonts w:ascii="仿宋_GB2312" w:eastAsia="仿宋_GB2312" w:cs="仿宋_GB2312" w:hint="eastAsia"/>
          <w:color w:val="000000"/>
          <w:sz w:val="32"/>
          <w:szCs w:val="32"/>
          <w:highlight w:val="auto"/>
        </w:rPr>
        <w:t>201</w:t>
      </w:r>
      <w:r>
        <w:rPr>
          <w:rFonts w:ascii="仿宋_GB2312" w:eastAsia="仿宋_GB2312" w:cs="仿宋_GB2312" w:hint="eastAsia"/>
          <w:color w:val="000000"/>
          <w:sz w:val="32"/>
          <w:szCs w:val="32"/>
          <w:lang w:val="en-US" w:eastAsia="zh-CN"/>
          <w:highlight w:val="auto"/>
        </w:rPr>
        <w:t>9</w:t>
      </w:r>
      <w:r>
        <w:rPr>
          <w:rFonts w:ascii="仿宋_GB2312" w:eastAsia="仿宋_GB2312" w:cs="仿宋_GB2312" w:hint="eastAsia"/>
          <w:color w:val="000000"/>
          <w:sz w:val="32"/>
          <w:szCs w:val="32"/>
          <w:highlight w:val="auto"/>
        </w:rPr>
        <w:t>年政府性基金预算拨款支出0万元。</w:t>
      </w:r>
    </w:p>
    <w:p>
      <w:pPr>
        <w:numPr>
          <w:ilvl w:val="0"/>
          <w:numId w:val="2"/>
        </w:numPr>
        <w:spacing w:line="600" w:lineRule="exact"/>
        <w:ind w:left="0" w:firstLine="640"/>
        <w:outlineLvl w:val="1"/>
        <w:rPr>
          <w:rStyle w:val="2Char"/>
          <w:rFonts w:ascii="黑体" w:eastAsia="黑体" w:cs="黑体" w:hint="eastAsia"/>
          <w:b w:val="0"/>
          <w:highlight w:val="auto"/>
        </w:rPr>
      </w:pPr>
      <w:bookmarkStart w:id="50" w:name="_Toc20297164"/>
      <w:bookmarkStart w:id="51" w:name="_Toc15377219"/>
      <w:r>
        <w:rPr>
          <w:rStyle w:val="2Char"/>
          <w:rFonts w:ascii="黑体" w:eastAsia="黑体" w:cs="黑体" w:hint="eastAsia"/>
          <w:b w:val="0"/>
          <w:highlight w:val="auto"/>
        </w:rPr>
        <w:t>国有资本经营预算支出决算情况说明</w:t>
      </w:r>
      <w:bookmarkEnd w:id="50"/>
      <w:bookmarkEnd w:id="51"/>
    </w:p>
    <w:p>
      <w:pPr>
        <w:spacing w:line="600" w:lineRule="exact"/>
        <w:ind w:firstLine="640"/>
        <w:rPr>
          <w:rFonts w:ascii="仿宋_GB2312" w:eastAsia="仿宋_GB2312" w:cs="仿宋_GB2312" w:hint="eastAsia"/>
          <w:color w:val="000000"/>
          <w:sz w:val="32"/>
          <w:szCs w:val="32"/>
          <w:highlight w:val="auto"/>
        </w:rPr>
      </w:pPr>
      <w:r>
        <w:rPr>
          <w:rFonts w:ascii="仿宋_GB2312" w:eastAsia="仿宋_GB2312" w:cs="仿宋_GB2312" w:hint="eastAsia"/>
          <w:color w:val="000000"/>
          <w:sz w:val="32"/>
          <w:szCs w:val="32"/>
          <w:highlight w:val="auto"/>
        </w:rPr>
        <w:t>201</w:t>
      </w:r>
      <w:r>
        <w:rPr>
          <w:rFonts w:ascii="仿宋_GB2312" w:eastAsia="仿宋_GB2312" w:cs="仿宋_GB2312" w:hint="eastAsia"/>
          <w:color w:val="000000"/>
          <w:sz w:val="32"/>
          <w:szCs w:val="32"/>
          <w:lang w:val="en-US" w:eastAsia="zh-CN"/>
          <w:highlight w:val="auto"/>
        </w:rPr>
        <w:t>9</w:t>
      </w:r>
      <w:r>
        <w:rPr>
          <w:rFonts w:ascii="仿宋_GB2312" w:eastAsia="仿宋_GB2312" w:cs="仿宋_GB2312" w:hint="eastAsia"/>
          <w:color w:val="000000"/>
          <w:sz w:val="32"/>
          <w:szCs w:val="32"/>
          <w:highlight w:val="auto"/>
        </w:rPr>
        <w:t>年国有资本经营预算拨款支出0万元。</w:t>
      </w:r>
    </w:p>
    <w:p>
      <w:pPr>
        <w:numPr>
          <w:ilvl w:val="0"/>
          <w:numId w:val="2"/>
        </w:numPr>
        <w:spacing w:line="600" w:lineRule="exact"/>
        <w:ind w:left="0" w:firstLine="640"/>
        <w:outlineLvl w:val="1"/>
        <w:rPr>
          <w:rStyle w:val="2Char"/>
          <w:rFonts w:ascii="黑体" w:eastAsia="黑体" w:cs="黑体" w:hint="eastAsia"/>
          <w:b w:val="0"/>
          <w:highlight w:val="auto"/>
        </w:rPr>
      </w:pPr>
      <w:bookmarkStart w:id="52" w:name="_Toc20297165"/>
      <w:r>
        <w:rPr>
          <w:rStyle w:val="2Char"/>
          <w:rFonts w:ascii="黑体" w:eastAsia="黑体" w:cs="黑体" w:hint="eastAsia"/>
          <w:b w:val="0"/>
          <w:highlight w:val="auto"/>
        </w:rPr>
        <w:t>预算绩效情况说明</w:t>
      </w:r>
      <w:bookmarkEnd w:id="52"/>
    </w:p>
    <w:p>
      <w:pPr>
        <w:numPr>
          <w:ilvl w:val="0"/>
          <w:numId w:val="3"/>
        </w:numPr>
        <w:spacing w:line="580" w:lineRule="exact"/>
        <w:ind w:left="0" w:firstLineChars="200" w:firstLine="640"/>
        <w:rPr>
          <w:rFonts w:ascii="仿宋_GB2312" w:eastAsia="仿宋_GB2312" w:cs="仿宋_GB2312" w:hint="eastAsia"/>
          <w:b/>
          <w:bCs/>
          <w:sz w:val="32"/>
          <w:szCs w:val="32"/>
          <w:highlight w:val="auto"/>
        </w:rPr>
      </w:pPr>
      <w:r>
        <w:rPr>
          <w:rFonts w:ascii="仿宋_GB2312" w:eastAsia="仿宋_GB2312" w:cs="仿宋_GB2312" w:hint="eastAsia"/>
          <w:b/>
          <w:bCs/>
          <w:sz w:val="32"/>
          <w:szCs w:val="32"/>
          <w:highlight w:val="auto"/>
        </w:rPr>
        <w:t>预算绩效管理工作开展情况。</w:t>
      </w:r>
    </w:p>
    <w:p>
      <w:pPr>
        <w:spacing w:line="580" w:lineRule="exact"/>
        <w:ind w:firstLineChars="200" w:firstLine="640"/>
        <w:rPr>
          <w:rFonts w:ascii="仿宋_GB2312" w:eastAsia="仿宋_GB2312" w:cs="仿宋_GB2312" w:hint="eastAsia"/>
          <w:sz w:val="32"/>
          <w:szCs w:val="32"/>
          <w:highlight w:val="auto"/>
        </w:rPr>
      </w:pPr>
      <w:r>
        <w:rPr>
          <w:rFonts w:ascii="仿宋_GB2312" w:eastAsia="仿宋_GB2312" w:cs="仿宋_GB2312" w:hint="eastAsia"/>
          <w:sz w:val="32"/>
          <w:szCs w:val="32"/>
          <w:highlight w:val="auto"/>
        </w:rPr>
        <w:t>我</w:t>
      </w:r>
      <w:r>
        <w:rPr>
          <w:rFonts w:ascii="仿宋_GB2312" w:eastAsia="仿宋_GB2312" w:cs="仿宋_GB2312" w:hint="eastAsia"/>
          <w:sz w:val="32"/>
          <w:szCs w:val="32"/>
          <w:lang w:eastAsia="zh-CN"/>
          <w:highlight w:val="auto"/>
        </w:rPr>
        <w:t>中心</w:t>
      </w:r>
      <w:r>
        <w:rPr>
          <w:rFonts w:ascii="仿宋_GB2312" w:eastAsia="仿宋_GB2312" w:cs="仿宋_GB2312" w:hint="eastAsia"/>
          <w:sz w:val="32"/>
          <w:szCs w:val="32"/>
          <w:highlight w:val="auto"/>
        </w:rPr>
        <w:t>在部门预、决算编制工作中，认真按照201</w:t>
      </w:r>
      <w:r>
        <w:rPr>
          <w:rFonts w:ascii="仿宋_GB2312" w:eastAsia="仿宋_GB2312" w:cs="仿宋_GB2312" w:hint="eastAsia"/>
          <w:sz w:val="32"/>
          <w:szCs w:val="32"/>
          <w:lang w:val="en-US" w:eastAsia="zh-CN"/>
          <w:highlight w:val="auto"/>
        </w:rPr>
        <w:t>9</w:t>
      </w:r>
      <w:r>
        <w:rPr>
          <w:rFonts w:ascii="仿宋_GB2312" w:eastAsia="仿宋_GB2312" w:cs="仿宋_GB2312" w:hint="eastAsia"/>
          <w:sz w:val="32"/>
          <w:szCs w:val="32"/>
          <w:highlight w:val="auto"/>
        </w:rPr>
        <w:t>年汶川县财政预、决算工作会议、文件的要求，结合单位实际情况，及时做好年度财务处理工作，认真编制部门预算，填报财务决算对账表，做好与财政部门的数据核对工作，在规定日期内向财政部门上报预、决算报表。</w:t>
      </w:r>
    </w:p>
    <w:p>
      <w:pPr>
        <w:spacing w:line="580" w:lineRule="exact"/>
        <w:ind w:firstLineChars="200" w:firstLine="640"/>
        <w:rPr>
          <w:rFonts w:ascii="仿宋_GB2312" w:eastAsia="仿宋_GB2312" w:cs="仿宋_GB2312" w:hint="eastAsia"/>
          <w:sz w:val="32"/>
          <w:szCs w:val="32"/>
          <w:highlight w:val="auto"/>
        </w:rPr>
      </w:pPr>
      <w:r>
        <w:rPr>
          <w:rFonts w:ascii="仿宋_GB2312" w:eastAsia="仿宋_GB2312" w:cs="仿宋_GB2312" w:hint="eastAsia"/>
          <w:sz w:val="32"/>
          <w:szCs w:val="32"/>
          <w:highlight w:val="auto"/>
        </w:rPr>
        <w:t>本部门按要求对201</w:t>
      </w:r>
      <w:r>
        <w:rPr>
          <w:rFonts w:ascii="仿宋_GB2312" w:eastAsia="仿宋_GB2312" w:cs="仿宋_GB2312" w:hint="eastAsia"/>
          <w:sz w:val="32"/>
          <w:szCs w:val="32"/>
          <w:lang w:val="en-US" w:eastAsia="zh-CN"/>
          <w:highlight w:val="auto"/>
        </w:rPr>
        <w:t>9</w:t>
      </w:r>
      <w:r>
        <w:rPr>
          <w:rFonts w:ascii="仿宋_GB2312" w:eastAsia="仿宋_GB2312" w:cs="仿宋_GB2312" w:hint="eastAsia"/>
          <w:sz w:val="32"/>
          <w:szCs w:val="32"/>
          <w:highlight w:val="auto"/>
        </w:rPr>
        <w:t>年部门整体支出开展绩效自评，从评价情况来看整体绩效情况较好。</w:t>
      </w:r>
    </w:p>
    <w:p>
      <w:pPr>
        <w:numPr>
          <w:ilvl w:val="0"/>
          <w:numId w:val="3"/>
        </w:numPr>
        <w:spacing w:line="580" w:lineRule="exact"/>
        <w:ind w:left="0" w:firstLineChars="200" w:firstLine="640"/>
        <w:rPr>
          <w:rFonts w:ascii="仿宋_GB2312" w:eastAsia="仿宋_GB2312" w:cs="仿宋_GB2312" w:hint="eastAsia"/>
          <w:sz w:val="32"/>
          <w:szCs w:val="32"/>
          <w:highlight w:val="auto"/>
        </w:rPr>
      </w:pPr>
      <w:r>
        <w:rPr>
          <w:rFonts w:ascii="仿宋_GB2312" w:eastAsia="仿宋_GB2312" w:cs="仿宋_GB2312" w:hint="eastAsia"/>
          <w:b/>
          <w:bCs/>
          <w:sz w:val="32"/>
          <w:szCs w:val="32"/>
          <w:highlight w:val="auto"/>
        </w:rPr>
        <w:t>项目绩效目标完成情况。</w:t>
        <w:br/>
      </w:r>
      <w:r>
        <w:rPr>
          <w:rFonts w:ascii="仿宋_GB2312" w:eastAsia="仿宋_GB2312" w:cs="仿宋_GB2312" w:hint="eastAsia"/>
          <w:color w:val="auto"/>
          <w:sz w:val="32"/>
          <w:szCs w:val="32"/>
          <w:lang w:val="en-US" w:eastAsia="zh-CN"/>
          <w:highlight w:val="auto"/>
        </w:rPr>
        <w:t xml:space="preserve">    我中心在</w:t>
      </w:r>
      <w:r>
        <w:rPr>
          <w:rFonts w:ascii="仿宋_GB2312" w:eastAsia="仿宋_GB2312" w:cs="仿宋_GB2312" w:hint="eastAsia"/>
          <w:color w:val="auto"/>
          <w:sz w:val="32"/>
          <w:szCs w:val="32"/>
          <w:highlight w:val="auto"/>
        </w:rPr>
        <w:t>201</w:t>
      </w:r>
      <w:r>
        <w:rPr>
          <w:rFonts w:ascii="仿宋_GB2312" w:eastAsia="仿宋_GB2312" w:cs="仿宋_GB2312" w:hint="eastAsia"/>
          <w:color w:val="auto"/>
          <w:sz w:val="32"/>
          <w:szCs w:val="32"/>
          <w:lang w:val="en-US" w:eastAsia="zh-CN"/>
          <w:highlight w:val="auto"/>
        </w:rPr>
        <w:t>9</w:t>
      </w:r>
      <w:r>
        <w:rPr>
          <w:rFonts w:ascii="仿宋_GB2312" w:eastAsia="仿宋_GB2312" w:cs="仿宋_GB2312" w:hint="eastAsia"/>
          <w:color w:val="auto"/>
          <w:sz w:val="32"/>
          <w:szCs w:val="32"/>
          <w:highlight w:val="auto"/>
        </w:rPr>
        <w:t>年度部门决算中反映“</w:t>
      </w:r>
      <w:r>
        <w:rPr>
          <w:rFonts w:ascii="仿宋_GB2312" w:eastAsia="仿宋_GB2312" w:cs="仿宋_GB2312" w:hint="eastAsia"/>
          <w:color w:val="auto"/>
          <w:sz w:val="32"/>
          <w:szCs w:val="32"/>
          <w:lang w:eastAsia="zh-CN"/>
          <w:highlight w:val="auto"/>
        </w:rPr>
        <w:t>汶川县耕新教育文化有限责任公司开展产品研发及市场拓展补助资金</w:t>
      </w:r>
      <w:r>
        <w:rPr>
          <w:rFonts w:ascii="仿宋_GB2312" w:eastAsia="仿宋_GB2312" w:cs="仿宋_GB2312"/>
          <w:color w:val="auto"/>
          <w:sz w:val="32"/>
          <w:szCs w:val="32"/>
          <w:highlight w:val="auto"/>
        </w:rPr>
        <w:t>”</w:t>
      </w:r>
      <w:r>
        <w:rPr>
          <w:rFonts w:ascii="仿宋_GB2312" w:eastAsia="仿宋_GB2312" w:cs="仿宋_GB2312" w:hint="eastAsia"/>
          <w:color w:val="auto"/>
          <w:sz w:val="32"/>
          <w:szCs w:val="32"/>
          <w:highlight w:val="auto"/>
        </w:rPr>
        <w:t>“</w:t>
      </w:r>
      <w:r>
        <w:rPr>
          <w:rFonts w:ascii="仿宋_GB2312" w:eastAsia="仿宋_GB2312" w:cs="仿宋_GB2312" w:hint="eastAsia"/>
          <w:color w:val="auto"/>
          <w:sz w:val="32"/>
          <w:szCs w:val="32"/>
          <w:lang w:eastAsia="zh-CN"/>
          <w:highlight w:val="auto"/>
        </w:rPr>
        <w:t>补助汶川县水乡藏寨生态旅游有限公司已缴纳城市建设配套费</w:t>
      </w:r>
      <w:r>
        <w:rPr>
          <w:rFonts w:ascii="仿宋_GB2312" w:eastAsia="仿宋_GB2312" w:cs="仿宋_GB2312"/>
          <w:color w:val="auto"/>
          <w:sz w:val="32"/>
          <w:szCs w:val="32"/>
          <w:highlight w:val="auto"/>
        </w:rPr>
        <w:t>”</w:t>
      </w:r>
      <w:r>
        <w:rPr>
          <w:rFonts w:ascii="仿宋_GB2312" w:eastAsia="仿宋_GB2312" w:cs="仿宋_GB2312" w:hint="eastAsia"/>
          <w:color w:val="auto"/>
          <w:sz w:val="32"/>
          <w:szCs w:val="32"/>
          <w:highlight w:val="auto"/>
        </w:rPr>
        <w:t>“</w:t>
      </w:r>
      <w:r>
        <w:rPr>
          <w:rFonts w:ascii="仿宋_GB2312" w:eastAsia="仿宋_GB2312" w:cs="仿宋_GB2312" w:hint="eastAsia"/>
          <w:color w:val="auto"/>
          <w:sz w:val="32"/>
          <w:szCs w:val="32"/>
          <w:lang w:val="en-US" w:eastAsia="zh-CN"/>
          <w:highlight w:val="auto"/>
        </w:rPr>
        <w:t>2019年</w:t>
      </w:r>
      <w:r>
        <w:rPr>
          <w:rFonts w:ascii="仿宋_GB2312" w:eastAsia="仿宋_GB2312" w:cs="仿宋_GB2312" w:hint="eastAsia"/>
          <w:color w:val="auto"/>
          <w:sz w:val="32"/>
          <w:szCs w:val="32"/>
          <w:lang w:eastAsia="zh-CN"/>
          <w:highlight w:val="auto"/>
        </w:rPr>
        <w:t>浙江对口援建项目资金（第一批）</w:t>
      </w:r>
      <w:r>
        <w:rPr>
          <w:rFonts w:ascii="仿宋_GB2312" w:eastAsia="仿宋_GB2312" w:cs="仿宋_GB2312" w:hint="eastAsia"/>
          <w:color w:val="auto"/>
          <w:sz w:val="32"/>
          <w:szCs w:val="32"/>
          <w:highlight w:val="auto"/>
        </w:rPr>
        <w:t>”</w:t>
      </w:r>
      <w:r>
        <w:rPr>
          <w:rFonts w:ascii="仿宋_GB2312" w:eastAsia="仿宋_GB2312" w:cs="仿宋_GB2312" w:hint="eastAsia"/>
          <w:color w:val="auto"/>
          <w:sz w:val="32"/>
          <w:szCs w:val="32"/>
          <w:lang w:eastAsia="zh-CN"/>
          <w:highlight w:val="auto"/>
        </w:rPr>
        <w:t>“调整</w:t>
      </w:r>
      <w:r>
        <w:rPr>
          <w:rFonts w:ascii="仿宋_GB2312" w:eastAsia="仿宋_GB2312" w:cs="仿宋_GB2312" w:hint="eastAsia"/>
          <w:color w:val="auto"/>
          <w:sz w:val="32"/>
          <w:szCs w:val="32"/>
          <w:lang w:val="en-US" w:eastAsia="zh-CN"/>
          <w:highlight w:val="auto"/>
        </w:rPr>
        <w:t>2019年</w:t>
      </w:r>
      <w:r>
        <w:rPr>
          <w:rFonts w:ascii="仿宋_GB2312" w:eastAsia="仿宋_GB2312" w:cs="仿宋_GB2312" w:hint="eastAsia"/>
          <w:color w:val="auto"/>
          <w:sz w:val="32"/>
          <w:szCs w:val="32"/>
          <w:lang w:eastAsia="zh-CN"/>
          <w:highlight w:val="auto"/>
        </w:rPr>
        <w:t>对口援建项目资金，汶川县交流交往及经贸活动项目”</w:t>
      </w:r>
      <w:r>
        <w:rPr>
          <w:rFonts w:ascii="仿宋_GB2312" w:eastAsia="仿宋_GB2312" w:cs="仿宋_GB2312" w:hint="eastAsia"/>
          <w:color w:val="auto"/>
          <w:sz w:val="32"/>
          <w:szCs w:val="32"/>
          <w:lang w:val="en-US" w:eastAsia="zh-CN"/>
          <w:highlight w:val="auto"/>
        </w:rPr>
        <w:t>4</w:t>
      </w:r>
      <w:r>
        <w:rPr>
          <w:rFonts w:ascii="仿宋_GB2312" w:eastAsia="仿宋_GB2312" w:cs="仿宋_GB2312" w:hint="eastAsia"/>
          <w:color w:val="auto"/>
          <w:sz w:val="32"/>
          <w:szCs w:val="32"/>
          <w:highlight w:val="auto"/>
        </w:rPr>
        <w:t>个项目绩效目标实际完成情况。</w:t>
      </w:r>
    </w:p>
    <w:p>
      <w:pPr>
        <w:numPr>
          <w:ilvl w:val="0"/>
          <w:numId w:val="4"/>
        </w:numPr>
        <w:spacing w:line="560" w:lineRule="exact"/>
        <w:ind w:left="0" w:firstLineChars="200" w:firstLine="640"/>
        <w:rPr>
          <w:rFonts w:ascii="仿宋_GB2312" w:eastAsia="仿宋_GB2312" w:cs="仿宋_GB2312" w:hint="eastAsia"/>
          <w:sz w:val="32"/>
          <w:szCs w:val="32"/>
          <w:lang w:val="en-US" w:eastAsia="zh-CN"/>
          <w:highlight w:val="auto"/>
        </w:rPr>
      </w:pPr>
      <w:r>
        <w:rPr>
          <w:rFonts w:ascii="仿宋_GB2312" w:eastAsia="仿宋_GB2312" w:cs="仿宋_GB2312" w:hint="eastAsia"/>
          <w:b/>
          <w:bCs/>
          <w:sz w:val="32"/>
          <w:szCs w:val="32"/>
          <w:highlight w:val="auto"/>
        </w:rPr>
        <w:t>“</w:t>
      </w:r>
      <w:r>
        <w:rPr>
          <w:rFonts w:ascii="仿宋_GB2312" w:eastAsia="仿宋_GB2312" w:cs="仿宋_GB2312" w:hint="eastAsia"/>
          <w:b/>
          <w:bCs/>
          <w:sz w:val="32"/>
          <w:szCs w:val="32"/>
          <w:lang w:eastAsia="zh-CN"/>
          <w:highlight w:val="auto"/>
        </w:rPr>
        <w:t>汶川县耕新教育文化有限责任公司开展产品研发及市场拓展补助资金</w:t>
      </w:r>
      <w:r>
        <w:rPr>
          <w:rFonts w:ascii="仿宋_GB2312" w:eastAsia="仿宋_GB2312" w:cs="仿宋_GB2312" w:hint="eastAsia"/>
          <w:b/>
          <w:bCs/>
          <w:sz w:val="32"/>
          <w:szCs w:val="32"/>
          <w:highlight w:val="auto"/>
        </w:rPr>
        <w:t>”项目绩效目标完成情况综述。</w:t>
      </w:r>
      <w:r>
        <w:rPr>
          <w:rFonts w:ascii="仿宋_GB2312" w:eastAsia="仿宋_GB2312" w:cs="仿宋_GB2312" w:hint="eastAsia"/>
          <w:sz w:val="32"/>
          <w:szCs w:val="32"/>
          <w:lang w:val="en-US" w:eastAsia="zh-CN"/>
          <w:highlight w:val="auto"/>
        </w:rPr>
        <w:t>2019年</w:t>
      </w:r>
      <w:r>
        <w:rPr>
          <w:rFonts w:ascii="仿宋_GB2312" w:eastAsia="仿宋_GB2312" w:cs="仿宋_GB2312" w:hint="eastAsia"/>
          <w:sz w:val="32"/>
          <w:szCs w:val="32"/>
          <w:highlight w:val="auto"/>
        </w:rPr>
        <w:t>项目全年预算数</w:t>
      </w:r>
      <w:r>
        <w:rPr>
          <w:rFonts w:ascii="仿宋_GB2312" w:eastAsia="仿宋_GB2312" w:cs="仿宋_GB2312" w:hint="eastAsia"/>
          <w:sz w:val="32"/>
          <w:szCs w:val="32"/>
          <w:lang w:val="en-US" w:eastAsia="zh-CN"/>
          <w:highlight w:val="auto"/>
        </w:rPr>
        <w:t>35</w:t>
      </w:r>
      <w:r>
        <w:rPr>
          <w:rFonts w:ascii="仿宋_GB2312" w:eastAsia="仿宋_GB2312" w:cs="仿宋_GB2312" w:hint="eastAsia"/>
          <w:sz w:val="32"/>
          <w:szCs w:val="32"/>
          <w:highlight w:val="auto"/>
        </w:rPr>
        <w:t>万元，执行数为</w:t>
      </w:r>
      <w:r>
        <w:rPr>
          <w:rFonts w:ascii="仿宋_GB2312" w:eastAsia="仿宋_GB2312" w:cs="仿宋_GB2312" w:hint="eastAsia"/>
          <w:sz w:val="32"/>
          <w:szCs w:val="32"/>
          <w:lang w:val="en-US" w:eastAsia="zh-CN"/>
          <w:highlight w:val="auto"/>
        </w:rPr>
        <w:t>35</w:t>
      </w:r>
      <w:r>
        <w:rPr>
          <w:rFonts w:ascii="仿宋_GB2312" w:eastAsia="仿宋_GB2312" w:cs="仿宋_GB2312" w:hint="eastAsia"/>
          <w:sz w:val="32"/>
          <w:szCs w:val="32"/>
          <w:highlight w:val="auto"/>
        </w:rPr>
        <w:t>万元，</w:t>
      </w:r>
      <w:r>
        <w:rPr>
          <w:rFonts w:ascii="仿宋_GB2312" w:eastAsia="仿宋_GB2312" w:cs="仿宋_GB2312" w:hint="eastAsia"/>
          <w:sz w:val="32"/>
          <w:szCs w:val="32"/>
          <w:lang w:val="en-US" w:eastAsia="zh-CN"/>
          <w:highlight w:val="auto"/>
        </w:rPr>
        <w:t>2019年度完成预算100%，按照《阿坝藏族羌族自治州鼓励投资优惠政策若干规定》和《汶川县关于实施健康免税岛政策鼓励康养经济建设的十条措施》的有关规定,为充分支持企业长远发展实际需求,确保企业如期有效开展既定研发和市场拓展等工作。通过项目实施，助力汶川应急产业发展、提升公务员应急管理能力、培养公众基本应急素质、带动促进周边共同发展。</w:t>
      </w:r>
    </w:p>
    <w:p>
      <w:pPr>
        <w:spacing w:line="560" w:lineRule="exact"/>
        <w:rPr>
          <w:rFonts w:ascii="仿宋_GB2312" w:eastAsia="仿宋_GB2312" w:cs="仿宋_GB2312"/>
          <w:color w:val="auto"/>
          <w:sz w:val="32"/>
          <w:szCs w:val="32"/>
          <w:highlight w:val="auto"/>
        </w:rPr>
      </w:pPr>
      <w:r>
        <w:rPr>
          <w:rFonts w:ascii="仿宋_GB2312" w:eastAsia="仿宋_GB2312" w:cs="仿宋_GB2312" w:hint="eastAsia"/>
          <w:b/>
          <w:bCs/>
          <w:sz w:val="32"/>
          <w:szCs w:val="32"/>
          <w:lang w:val="en-US" w:eastAsia="zh-CN"/>
          <w:highlight w:val="auto"/>
        </w:rPr>
        <w:t xml:space="preserve">   </w:t>
      </w:r>
      <w:r>
        <w:rPr>
          <w:rFonts w:ascii="仿宋_GB2312" w:eastAsia="仿宋_GB2312" w:cs="仿宋_GB2312" w:hint="eastAsia"/>
          <w:b/>
          <w:bCs/>
          <w:sz w:val="32"/>
          <w:szCs w:val="32"/>
          <w:highlight w:val="auto"/>
        </w:rPr>
        <w:t>2.“</w:t>
      </w:r>
      <w:r>
        <w:rPr>
          <w:rFonts w:ascii="仿宋_GB2312" w:eastAsia="仿宋_GB2312" w:cs="仿宋_GB2312" w:hint="eastAsia"/>
          <w:b/>
          <w:bCs/>
          <w:sz w:val="32"/>
          <w:szCs w:val="32"/>
          <w:lang w:eastAsia="zh-CN"/>
          <w:highlight w:val="auto"/>
        </w:rPr>
        <w:t>补助汶川县水乡藏寨生态旅游有限公司已缴纳城市建设配套费”</w:t>
      </w:r>
      <w:r>
        <w:rPr>
          <w:rFonts w:ascii="仿宋_GB2312" w:eastAsia="仿宋_GB2312" w:cs="仿宋_GB2312" w:hint="eastAsia"/>
          <w:b/>
          <w:bCs/>
          <w:sz w:val="32"/>
          <w:szCs w:val="32"/>
          <w:highlight w:val="auto"/>
        </w:rPr>
        <w:t>项目绩效目标完成情况综述。</w:t>
      </w:r>
      <w:r>
        <w:rPr>
          <w:rFonts w:ascii="仿宋_GB2312" w:eastAsia="仿宋_GB2312" w:cs="仿宋_GB2312" w:hint="eastAsia"/>
          <w:sz w:val="32"/>
          <w:szCs w:val="32"/>
          <w:lang w:val="en-US" w:eastAsia="zh-CN"/>
          <w:highlight w:val="auto"/>
        </w:rPr>
        <w:t>2019年</w:t>
      </w:r>
      <w:r>
        <w:rPr>
          <w:rFonts w:ascii="仿宋_GB2312" w:eastAsia="仿宋_GB2312" w:cs="仿宋_GB2312" w:hint="eastAsia"/>
          <w:sz w:val="32"/>
          <w:szCs w:val="32"/>
          <w:highlight w:val="auto"/>
        </w:rPr>
        <w:t>项目全年预算数</w:t>
      </w:r>
      <w:r>
        <w:rPr>
          <w:rFonts w:ascii="仿宋_GB2312" w:eastAsia="仿宋_GB2312" w:cs="仿宋_GB2312" w:hint="eastAsia"/>
          <w:sz w:val="32"/>
          <w:szCs w:val="32"/>
          <w:lang w:val="en-US" w:eastAsia="zh-CN"/>
          <w:highlight w:val="auto"/>
        </w:rPr>
        <w:t>60</w:t>
      </w:r>
      <w:r>
        <w:rPr>
          <w:rFonts w:ascii="仿宋_GB2312" w:eastAsia="仿宋_GB2312" w:cs="仿宋_GB2312" w:hint="eastAsia"/>
          <w:sz w:val="32"/>
          <w:szCs w:val="32"/>
          <w:highlight w:val="auto"/>
        </w:rPr>
        <w:t>万元，执行数为</w:t>
      </w:r>
      <w:r>
        <w:rPr>
          <w:rFonts w:ascii="仿宋_GB2312" w:eastAsia="仿宋_GB2312" w:cs="仿宋_GB2312" w:hint="eastAsia"/>
          <w:sz w:val="32"/>
          <w:szCs w:val="32"/>
          <w:lang w:val="en-US" w:eastAsia="zh-CN"/>
          <w:highlight w:val="auto"/>
        </w:rPr>
        <w:t>0</w:t>
      </w:r>
      <w:r>
        <w:rPr>
          <w:rFonts w:ascii="仿宋_GB2312" w:eastAsia="仿宋_GB2312" w:cs="仿宋_GB2312" w:hint="eastAsia"/>
          <w:sz w:val="32"/>
          <w:szCs w:val="32"/>
          <w:highlight w:val="auto"/>
        </w:rPr>
        <w:t>万元，完成预算的</w:t>
      </w:r>
      <w:r>
        <w:rPr>
          <w:rFonts w:ascii="仿宋_GB2312" w:eastAsia="仿宋_GB2312" w:cs="仿宋_GB2312" w:hint="eastAsia"/>
          <w:sz w:val="32"/>
          <w:szCs w:val="32"/>
          <w:lang w:val="en-US" w:eastAsia="zh-CN"/>
          <w:highlight w:val="auto"/>
        </w:rPr>
        <w:t>0</w:t>
      </w:r>
      <w:r>
        <w:rPr>
          <w:rFonts w:ascii="仿宋_GB2312" w:eastAsia="仿宋_GB2312" w:cs="仿宋_GB2312" w:hint="eastAsia"/>
          <w:sz w:val="32"/>
          <w:szCs w:val="32"/>
          <w:highlight w:val="auto"/>
        </w:rPr>
        <w:t>%。</w:t>
      </w:r>
      <w:r>
        <w:rPr>
          <w:rFonts w:ascii="仿宋_GB2312" w:eastAsia="仿宋_GB2312" w:cs="仿宋_GB2312" w:hint="eastAsia"/>
          <w:sz w:val="32"/>
          <w:szCs w:val="32"/>
          <w:lang w:eastAsia="zh-CN"/>
          <w:highlight w:val="auto"/>
        </w:rPr>
        <w:t>为减轻企业负担，帮助企业渡过难关，按照议定事项“免除报建、配套费用、安全费用、环保等县政府收取各项规费”按照“先交后补”的原则，由公司先行缴纳城市建设配套费，根据项目建设进度逐步予以补助。</w:t>
      </w:r>
      <w:r>
        <w:rPr>
          <w:rFonts w:ascii="仿宋_GB2312" w:eastAsia="仿宋_GB2312" w:cs="仿宋_GB2312" w:hint="eastAsia"/>
          <w:sz w:val="32"/>
          <w:szCs w:val="32"/>
          <w:lang w:val="en-US" w:eastAsia="zh-CN"/>
          <w:highlight w:val="auto"/>
        </w:rPr>
        <w:t>2019年由于公司资料未准备齐全，结转至2020年支付</w:t>
      </w:r>
      <w:r>
        <w:rPr>
          <w:rFonts w:ascii="仿宋_GB2312" w:eastAsia="仿宋_GB2312" w:cs="仿宋_GB2312" w:hint="eastAsia"/>
          <w:sz w:val="32"/>
          <w:szCs w:val="32"/>
          <w:lang w:eastAsia="zh-CN"/>
          <w:highlight w:val="auto"/>
        </w:rPr>
        <w:t>。</w:t>
      </w:r>
    </w:p>
    <w:p>
      <w:pPr>
        <w:spacing w:line="560" w:lineRule="exact"/>
        <w:ind w:firstLineChars="200" w:firstLine="640"/>
        <w:rPr>
          <w:rFonts w:ascii="仿宋_GB2312" w:eastAsia="仿宋_GB2312" w:cs="仿宋_GB2312" w:hint="eastAsia"/>
          <w:color w:val="auto"/>
          <w:sz w:val="32"/>
          <w:szCs w:val="32"/>
          <w:highlight w:val="auto"/>
        </w:rPr>
      </w:pPr>
      <w:r>
        <w:rPr>
          <w:rFonts w:ascii="仿宋_GB2312" w:eastAsia="仿宋_GB2312" w:cs="仿宋_GB2312" w:hint="eastAsia"/>
          <w:b/>
          <w:bCs/>
          <w:color w:val="auto"/>
          <w:sz w:val="32"/>
          <w:szCs w:val="32"/>
          <w:highlight w:val="auto"/>
        </w:rPr>
        <w:t>3.“</w:t>
      </w:r>
      <w:r>
        <w:rPr>
          <w:rFonts w:ascii="仿宋_GB2312" w:eastAsia="仿宋_GB2312" w:cs="仿宋_GB2312" w:hint="eastAsia"/>
          <w:b/>
          <w:bCs/>
          <w:color w:val="auto"/>
          <w:sz w:val="32"/>
          <w:szCs w:val="32"/>
          <w:lang w:val="en-US" w:eastAsia="zh-CN"/>
          <w:highlight w:val="auto"/>
        </w:rPr>
        <w:t>2019年</w:t>
      </w:r>
      <w:r>
        <w:rPr>
          <w:rFonts w:ascii="仿宋_GB2312" w:eastAsia="仿宋_GB2312" w:cs="仿宋_GB2312" w:hint="eastAsia"/>
          <w:b/>
          <w:bCs/>
          <w:color w:val="auto"/>
          <w:sz w:val="32"/>
          <w:szCs w:val="32"/>
          <w:lang w:eastAsia="zh-CN"/>
          <w:highlight w:val="auto"/>
        </w:rPr>
        <w:t>浙江对口援建项目资金（第一批）</w:t>
      </w:r>
      <w:r>
        <w:rPr>
          <w:rFonts w:ascii="仿宋_GB2312" w:eastAsia="仿宋_GB2312" w:cs="仿宋_GB2312" w:hint="eastAsia"/>
          <w:b/>
          <w:bCs/>
          <w:color w:val="auto"/>
          <w:sz w:val="32"/>
          <w:szCs w:val="32"/>
          <w:highlight w:val="auto"/>
        </w:rPr>
        <w:t>”项目绩效目标完成情况综述</w:t>
      </w:r>
      <w:r>
        <w:rPr>
          <w:rFonts w:ascii="仿宋_GB2312" w:eastAsia="仿宋_GB2312" w:cs="仿宋_GB2312" w:hint="eastAsia"/>
          <w:color w:val="auto"/>
          <w:sz w:val="32"/>
          <w:szCs w:val="32"/>
          <w:lang w:eastAsia="zh-CN"/>
          <w:highlight w:val="auto"/>
        </w:rPr>
        <w:t>。</w:t>
      </w:r>
      <w:r>
        <w:rPr>
          <w:rFonts w:ascii="仿宋_GB2312" w:eastAsia="仿宋_GB2312" w:cs="仿宋_GB2312" w:hint="eastAsia"/>
          <w:color w:val="auto"/>
          <w:sz w:val="32"/>
          <w:szCs w:val="32"/>
          <w:lang w:val="en-US" w:eastAsia="zh-CN"/>
          <w:highlight w:val="auto"/>
        </w:rPr>
        <w:t>2019年</w:t>
      </w:r>
      <w:r>
        <w:rPr>
          <w:rFonts w:ascii="仿宋_GB2312" w:eastAsia="仿宋_GB2312" w:cs="仿宋_GB2312" w:hint="eastAsia"/>
          <w:color w:val="auto"/>
          <w:sz w:val="32"/>
          <w:szCs w:val="32"/>
          <w:highlight w:val="auto"/>
        </w:rPr>
        <w:t>项目全年预算数</w:t>
      </w:r>
      <w:r>
        <w:rPr>
          <w:rFonts w:ascii="仿宋_GB2312" w:eastAsia="仿宋_GB2312" w:cs="仿宋_GB2312" w:hint="eastAsia"/>
          <w:color w:val="auto"/>
          <w:sz w:val="32"/>
          <w:szCs w:val="32"/>
          <w:lang w:val="en-US" w:eastAsia="zh-CN"/>
          <w:highlight w:val="auto"/>
        </w:rPr>
        <w:t>48</w:t>
      </w:r>
      <w:r>
        <w:rPr>
          <w:rFonts w:ascii="仿宋_GB2312" w:eastAsia="仿宋_GB2312" w:cs="仿宋_GB2312" w:hint="eastAsia"/>
          <w:color w:val="auto"/>
          <w:sz w:val="32"/>
          <w:szCs w:val="32"/>
          <w:highlight w:val="auto"/>
        </w:rPr>
        <w:t>万元，执行数为</w:t>
      </w:r>
      <w:r>
        <w:rPr>
          <w:rFonts w:ascii="仿宋_GB2312" w:eastAsia="仿宋_GB2312" w:cs="仿宋_GB2312" w:hint="eastAsia"/>
          <w:color w:val="auto"/>
          <w:sz w:val="32"/>
          <w:szCs w:val="32"/>
          <w:lang w:val="en-US" w:eastAsia="zh-CN"/>
          <w:highlight w:val="auto"/>
        </w:rPr>
        <w:t>48</w:t>
      </w:r>
      <w:r>
        <w:rPr>
          <w:rFonts w:ascii="仿宋_GB2312" w:eastAsia="仿宋_GB2312" w:cs="仿宋_GB2312" w:hint="eastAsia"/>
          <w:color w:val="auto"/>
          <w:sz w:val="32"/>
          <w:szCs w:val="32"/>
          <w:highlight w:val="auto"/>
        </w:rPr>
        <w:t>万元，完成预算的</w:t>
      </w:r>
      <w:r>
        <w:rPr>
          <w:rFonts w:ascii="仿宋_GB2312" w:eastAsia="仿宋_GB2312" w:cs="仿宋_GB2312" w:hint="eastAsia"/>
          <w:color w:val="auto"/>
          <w:sz w:val="32"/>
          <w:szCs w:val="32"/>
          <w:lang w:val="en-US" w:eastAsia="zh-CN"/>
          <w:highlight w:val="auto"/>
        </w:rPr>
        <w:t>100</w:t>
      </w:r>
      <w:r>
        <w:rPr>
          <w:rFonts w:ascii="仿宋_GB2312" w:eastAsia="仿宋_GB2312" w:cs="仿宋_GB2312" w:hint="eastAsia"/>
          <w:color w:val="auto"/>
          <w:sz w:val="32"/>
          <w:szCs w:val="32"/>
          <w:highlight w:val="auto"/>
        </w:rPr>
        <w:t>%。</w:t>
      </w:r>
      <w:r>
        <w:rPr>
          <w:rFonts w:ascii="仿宋_GB2312" w:eastAsia="仿宋_GB2312" w:cs="仿宋_GB2312" w:hint="eastAsia"/>
          <w:color w:val="auto"/>
          <w:sz w:val="32"/>
          <w:szCs w:val="32"/>
          <w:lang w:eastAsia="zh-CN"/>
          <w:highlight w:val="auto"/>
        </w:rPr>
        <w:t>有效利用东西部扶贫协作和对口资源消费扶贫项目资金组织好汶川县专业合作社、农户通过展示展销切实有效带动贫困人口增收。通过项目资金实施，合力合理推进项目进度，</w:t>
      </w:r>
      <w:r>
        <w:rPr>
          <w:rFonts w:ascii="仿宋_GB2312" w:eastAsia="仿宋_GB2312" w:cs="仿宋_GB2312" w:hint="eastAsia"/>
          <w:color w:val="auto"/>
          <w:sz w:val="32"/>
          <w:szCs w:val="32"/>
          <w:lang w:val="en-US" w:eastAsia="zh-CN"/>
          <w:highlight w:val="auto"/>
        </w:rPr>
        <w:t>已完成全部消费扶贫项目，资金拨付进度达到100%。</w:t>
      </w:r>
      <w:r>
        <w:rPr>
          <w:rFonts w:ascii="仿宋_GB2312" w:eastAsia="仿宋_GB2312" w:cs="仿宋_GB2312" w:hint="eastAsia"/>
          <w:color w:val="auto"/>
          <w:sz w:val="32"/>
          <w:szCs w:val="32"/>
          <w:lang w:eastAsia="zh-CN"/>
          <w:highlight w:val="auto"/>
        </w:rPr>
        <w:t>通过项目资金惠及贫困人口生产劳动就业达150余人次，帮助贫困户实现增收167.85万元，有效发挥了消费扶贫资金的杠杆作用。</w:t>
      </w:r>
    </w:p>
    <w:p>
      <w:pPr>
        <w:spacing w:line="560" w:lineRule="exact"/>
        <w:ind w:firstLineChars="200" w:firstLine="640"/>
        <w:rPr>
          <w:rFonts w:ascii="仿宋_GB2312" w:eastAsia="仿宋_GB2312" w:cs="仿宋_GB2312"/>
          <w:color w:val="auto"/>
          <w:sz w:val="32"/>
          <w:szCs w:val="32"/>
          <w:highlight w:val="auto"/>
        </w:rPr>
      </w:pPr>
      <w:r>
        <w:rPr>
          <w:rFonts w:ascii="仿宋_GB2312" w:eastAsia="仿宋_GB2312" w:cs="仿宋_GB2312" w:hint="eastAsia"/>
          <w:b/>
          <w:bCs/>
          <w:color w:val="auto"/>
          <w:sz w:val="32"/>
          <w:szCs w:val="32"/>
          <w:lang w:val="en-US" w:eastAsia="zh-CN"/>
          <w:highlight w:val="auto"/>
        </w:rPr>
        <w:t>4</w:t>
      </w:r>
      <w:r>
        <w:rPr>
          <w:rFonts w:ascii="仿宋_GB2312" w:eastAsia="仿宋_GB2312" w:cs="仿宋_GB2312" w:hint="eastAsia"/>
          <w:b/>
          <w:bCs/>
          <w:color w:val="auto"/>
          <w:sz w:val="32"/>
          <w:szCs w:val="32"/>
          <w:highlight w:val="auto"/>
        </w:rPr>
        <w:t>.“</w:t>
      </w:r>
      <w:r>
        <w:rPr>
          <w:rFonts w:ascii="仿宋_GB2312" w:eastAsia="仿宋_GB2312" w:cs="仿宋_GB2312" w:hint="eastAsia"/>
          <w:b/>
          <w:bCs/>
          <w:color w:val="auto"/>
          <w:sz w:val="32"/>
          <w:szCs w:val="32"/>
          <w:lang w:eastAsia="zh-CN"/>
          <w:highlight w:val="auto"/>
        </w:rPr>
        <w:t>调整</w:t>
      </w:r>
      <w:r>
        <w:rPr>
          <w:rFonts w:ascii="仿宋_GB2312" w:eastAsia="仿宋_GB2312" w:cs="仿宋_GB2312" w:hint="eastAsia"/>
          <w:b/>
          <w:bCs/>
          <w:color w:val="auto"/>
          <w:sz w:val="32"/>
          <w:szCs w:val="32"/>
          <w:lang w:val="en-US" w:eastAsia="zh-CN"/>
          <w:highlight w:val="auto"/>
        </w:rPr>
        <w:t>2019年</w:t>
      </w:r>
      <w:r>
        <w:rPr>
          <w:rFonts w:ascii="仿宋_GB2312" w:eastAsia="仿宋_GB2312" w:cs="仿宋_GB2312" w:hint="eastAsia"/>
          <w:b/>
          <w:bCs/>
          <w:color w:val="auto"/>
          <w:sz w:val="32"/>
          <w:szCs w:val="32"/>
          <w:lang w:eastAsia="zh-CN"/>
          <w:highlight w:val="auto"/>
        </w:rPr>
        <w:t>对口援建项目资金，汶川县交流交往及经贸活动项目</w:t>
      </w:r>
      <w:r>
        <w:rPr>
          <w:rFonts w:ascii="仿宋_GB2312" w:eastAsia="仿宋_GB2312" w:cs="仿宋_GB2312" w:hint="eastAsia"/>
          <w:b/>
          <w:bCs/>
          <w:color w:val="auto"/>
          <w:sz w:val="32"/>
          <w:szCs w:val="32"/>
          <w:highlight w:val="auto"/>
        </w:rPr>
        <w:t>”项目绩效目标完成情况综述</w:t>
      </w:r>
      <w:r>
        <w:rPr>
          <w:rFonts w:ascii="仿宋_GB2312" w:eastAsia="仿宋_GB2312" w:cs="仿宋_GB2312" w:hint="eastAsia"/>
          <w:color w:val="auto"/>
          <w:sz w:val="32"/>
          <w:szCs w:val="32"/>
          <w:lang w:eastAsia="zh-CN"/>
          <w:highlight w:val="auto"/>
        </w:rPr>
        <w:t>。</w:t>
      </w:r>
      <w:r>
        <w:rPr>
          <w:rFonts w:ascii="仿宋_GB2312" w:eastAsia="仿宋_GB2312" w:cs="仿宋_GB2312" w:hint="eastAsia"/>
          <w:color w:val="auto"/>
          <w:sz w:val="32"/>
          <w:szCs w:val="32"/>
          <w:lang w:val="en-US" w:eastAsia="zh-CN"/>
          <w:highlight w:val="auto"/>
        </w:rPr>
        <w:t>2019年</w:t>
      </w:r>
      <w:r>
        <w:rPr>
          <w:rFonts w:ascii="仿宋_GB2312" w:eastAsia="仿宋_GB2312" w:cs="仿宋_GB2312" w:hint="eastAsia"/>
          <w:color w:val="auto"/>
          <w:sz w:val="32"/>
          <w:szCs w:val="32"/>
          <w:highlight w:val="auto"/>
        </w:rPr>
        <w:t>项目全年预算数</w:t>
      </w:r>
      <w:r>
        <w:rPr>
          <w:rFonts w:ascii="仿宋_GB2312" w:eastAsia="仿宋_GB2312" w:cs="仿宋_GB2312" w:hint="eastAsia"/>
          <w:color w:val="auto"/>
          <w:sz w:val="32"/>
          <w:szCs w:val="32"/>
          <w:lang w:val="en-US" w:eastAsia="zh-CN"/>
          <w:highlight w:val="auto"/>
        </w:rPr>
        <w:t>7</w:t>
      </w:r>
      <w:r>
        <w:rPr>
          <w:rFonts w:ascii="仿宋_GB2312" w:eastAsia="仿宋_GB2312" w:cs="仿宋_GB2312" w:hint="eastAsia"/>
          <w:color w:val="auto"/>
          <w:sz w:val="32"/>
          <w:szCs w:val="32"/>
          <w:highlight w:val="auto"/>
        </w:rPr>
        <w:t>万元，执行数为</w:t>
      </w:r>
      <w:r>
        <w:rPr>
          <w:rFonts w:ascii="仿宋_GB2312" w:eastAsia="仿宋_GB2312" w:cs="仿宋_GB2312" w:hint="eastAsia"/>
          <w:color w:val="auto"/>
          <w:sz w:val="32"/>
          <w:szCs w:val="32"/>
          <w:lang w:val="en-US" w:eastAsia="zh-CN"/>
          <w:highlight w:val="auto"/>
        </w:rPr>
        <w:t>7</w:t>
      </w:r>
      <w:r>
        <w:rPr>
          <w:rFonts w:ascii="仿宋_GB2312" w:eastAsia="仿宋_GB2312" w:cs="仿宋_GB2312" w:hint="eastAsia"/>
          <w:color w:val="auto"/>
          <w:sz w:val="32"/>
          <w:szCs w:val="32"/>
          <w:highlight w:val="auto"/>
        </w:rPr>
        <w:t>万元，完成预算的</w:t>
      </w:r>
      <w:r>
        <w:rPr>
          <w:rFonts w:ascii="仿宋_GB2312" w:eastAsia="仿宋_GB2312" w:cs="仿宋_GB2312" w:hint="eastAsia"/>
          <w:color w:val="auto"/>
          <w:sz w:val="32"/>
          <w:szCs w:val="32"/>
          <w:lang w:val="en-US" w:eastAsia="zh-CN"/>
          <w:highlight w:val="auto"/>
        </w:rPr>
        <w:t>100</w:t>
      </w:r>
      <w:r>
        <w:rPr>
          <w:rFonts w:ascii="仿宋_GB2312" w:eastAsia="仿宋_GB2312" w:cs="仿宋_GB2312" w:hint="eastAsia"/>
          <w:color w:val="auto"/>
          <w:sz w:val="32"/>
          <w:szCs w:val="32"/>
          <w:highlight w:val="auto"/>
        </w:rPr>
        <w:t>%。</w:t>
      </w:r>
      <w:r>
        <w:rPr>
          <w:rFonts w:ascii="仿宋_GB2312" w:eastAsia="仿宋_GB2312" w:cs="仿宋_GB2312" w:hint="eastAsia"/>
          <w:color w:val="auto"/>
          <w:sz w:val="32"/>
          <w:szCs w:val="32"/>
          <w:lang w:eastAsia="zh-CN"/>
          <w:highlight w:val="auto"/>
        </w:rPr>
        <w:t>开展交往交流、经贸活动项目（招商引资推介等，资金主要用于准备参加</w:t>
      </w:r>
      <w:r>
        <w:rPr>
          <w:rFonts w:ascii="仿宋_GB2312" w:eastAsia="仿宋_GB2312" w:cs="仿宋_GB2312" w:hint="eastAsia"/>
          <w:color w:val="auto"/>
          <w:sz w:val="32"/>
          <w:szCs w:val="32"/>
          <w:lang w:val="en-US" w:eastAsia="zh-CN"/>
          <w:highlight w:val="auto"/>
        </w:rPr>
        <w:t>2019年亚洲物流及航运会议四川省专题论坛、中国义乌国际森林产品博览会、中国义乌小商品博览会等会议的推介汶川县招商引资项目资料印制、推介词翻译费、招商指南。</w:t>
      </w:r>
    </w:p>
    <w:p>
      <w:pPr>
        <w:pStyle w:val="15"/>
        <w:tabs>
          <w:tab w:val="center" w:pos="4153"/>
          <w:tab w:val="right" w:pos="8306"/>
        </w:tabs>
        <w:rPr>
          <w:highlight w:val="auto"/>
        </w:rPr>
      </w:pPr>
    </w:p>
    <w:tbl>
      <w:tblPr>
        <w:jc w:val="center"/>
        <w:tblW w:w="10326"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1253"/>
        <w:gridCol w:w="764"/>
        <w:gridCol w:w="1048"/>
        <w:gridCol w:w="764"/>
        <w:gridCol w:w="1182"/>
        <w:gridCol w:w="1752"/>
        <w:gridCol w:w="1618"/>
        <w:gridCol w:w="1945"/>
      </w:tblGrid>
      <w:tr>
        <w:trPr>
          <w:trHeight w:val="285"/>
        </w:trPr>
        <w:tc>
          <w:tcPr>
            <w:tcW w:w="10326" w:type="dxa"/>
            <w:gridSpan w:val="8"/>
            <w:tcBorders>
              <w:top w:val="nil"/>
              <w:left w:val="nil"/>
              <w:bottom w:val="nil"/>
              <w:right w:val="nil"/>
            </w:tcBorders>
            <w:noWrap/>
            <w:vAlign w:val="center"/>
          </w:tcPr>
          <w:p>
            <w:pPr>
              <w:widowControl/>
              <w:spacing w:line="240" w:lineRule="atLeast"/>
              <w:jc w:val="center"/>
              <w:textAlignment w:val="center"/>
              <w:rPr>
                <w:rFonts w:ascii="黑体" w:eastAsia="黑体" w:cs="黑体"/>
                <w:bCs/>
                <w:color w:val="000000"/>
                <w:kern w:val="0"/>
                <w:sz w:val="36"/>
                <w:szCs w:val="36"/>
                <w:highlight w:val="auto"/>
              </w:rPr>
            </w:pPr>
            <w:r>
              <w:rPr>
                <w:rFonts w:ascii="黑体" w:eastAsia="黑体" w:cs="黑体" w:hint="eastAsia"/>
                <w:bCs/>
                <w:color w:val="000000"/>
                <w:kern w:val="0"/>
                <w:sz w:val="36"/>
                <w:szCs w:val="36"/>
                <w:highlight w:val="auto"/>
              </w:rPr>
              <w:t>项目支出绩效目标完成情况表（1）</w:t>
            </w:r>
          </w:p>
          <w:p>
            <w:pPr>
              <w:widowControl/>
              <w:spacing w:line="240" w:lineRule="atLeast"/>
              <w:jc w:val="center"/>
              <w:textAlignment w:val="center"/>
              <w:rPr>
                <w:rFonts w:ascii="宋体" w:cs="宋体"/>
                <w:b/>
                <w:color w:val="000000"/>
                <w:sz w:val="24"/>
                <w:highlight w:val="auto"/>
              </w:rPr>
            </w:pPr>
            <w:r>
              <w:rPr>
                <w:rFonts w:ascii="黑体" w:eastAsia="黑体" w:cs="黑体" w:hint="eastAsia"/>
                <w:bCs/>
                <w:color w:val="000000"/>
                <w:kern w:val="0"/>
                <w:sz w:val="36"/>
                <w:szCs w:val="36"/>
                <w:highlight w:val="auto"/>
              </w:rPr>
              <w:t>（201</w:t>
            </w:r>
            <w:r>
              <w:rPr>
                <w:rFonts w:ascii="黑体" w:eastAsia="黑体" w:cs="黑体" w:hint="eastAsia"/>
                <w:bCs/>
                <w:color w:val="000000"/>
                <w:kern w:val="0"/>
                <w:sz w:val="36"/>
                <w:szCs w:val="36"/>
                <w:lang w:val="en-US" w:eastAsia="zh-CN"/>
                <w:highlight w:val="auto"/>
              </w:rPr>
              <w:t>9</w:t>
            </w:r>
            <w:r>
              <w:rPr>
                <w:rFonts w:ascii="黑体" w:eastAsia="黑体" w:cs="黑体" w:hint="eastAsia"/>
                <w:bCs/>
                <w:color w:val="000000"/>
                <w:kern w:val="0"/>
                <w:sz w:val="36"/>
                <w:szCs w:val="36"/>
                <w:highlight w:val="auto"/>
              </w:rPr>
              <w:t>年度）</w:t>
            </w:r>
          </w:p>
        </w:tc>
      </w:tr>
      <w:tr>
        <w:trPr>
          <w:trHeight w:val="632"/>
        </w:trPr>
        <w:tc>
          <w:tcPr>
            <w:tcW w:w="3065" w:type="dxa"/>
            <w:gridSpan w:val="3"/>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项目名称</w:t>
            </w:r>
          </w:p>
        </w:tc>
        <w:tc>
          <w:tcPr>
            <w:tcW w:w="7261" w:type="dxa"/>
            <w:gridSpan w:val="5"/>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lang w:eastAsia="zh-CN"/>
                <w:highlight w:val="auto"/>
              </w:rPr>
              <w:t>汶川县耕新教育文化有限责任公司开展产品研发及市场拓展补助资金</w:t>
            </w:r>
          </w:p>
        </w:tc>
      </w:tr>
      <w:tr>
        <w:trPr>
          <w:trHeight w:val="285"/>
        </w:trPr>
        <w:tc>
          <w:tcPr>
            <w:tcW w:w="3065" w:type="dxa"/>
            <w:gridSpan w:val="3"/>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预算单位</w:t>
            </w:r>
          </w:p>
        </w:tc>
        <w:tc>
          <w:tcPr>
            <w:tcW w:w="7261" w:type="dxa"/>
            <w:gridSpan w:val="5"/>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hint="eastAsia"/>
                <w:color w:val="000000"/>
                <w:kern w:val="0"/>
                <w:sz w:val="24"/>
                <w:lang w:eastAsia="zh-CN"/>
                <w:highlight w:val="auto"/>
              </w:rPr>
            </w:pPr>
            <w:r>
              <w:rPr>
                <w:rFonts w:ascii="仿宋_GB2312" w:eastAsia="仿宋_GB2312" w:cs="宋体" w:hint="eastAsia"/>
                <w:color w:val="000000"/>
                <w:kern w:val="0"/>
                <w:sz w:val="24"/>
                <w:lang w:eastAsia="zh-CN"/>
                <w:highlight w:val="auto"/>
              </w:rPr>
              <w:t>汶川县投资促进博览中心</w:t>
            </w:r>
          </w:p>
        </w:tc>
      </w:tr>
      <w:tr>
        <w:trPr>
          <w:trHeight w:val="285"/>
        </w:trPr>
        <w:tc>
          <w:tcPr>
            <w:tcW w:w="1253"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预算执行情况(万元</w:t>
            </w:r>
          </w:p>
        </w:tc>
        <w:tc>
          <w:tcPr>
            <w:tcW w:w="1812"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预算数:</w:t>
            </w:r>
          </w:p>
        </w:tc>
        <w:tc>
          <w:tcPr>
            <w:tcW w:w="1946"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lang w:val="en-US" w:eastAsia="zh-CN"/>
                <w:highlight w:val="auto"/>
              </w:rPr>
              <w:t>35</w:t>
            </w:r>
            <w:r>
              <w:rPr>
                <w:rFonts w:ascii="仿宋_GB2312" w:eastAsia="仿宋_GB2312" w:cs="宋体" w:hint="eastAsia"/>
                <w:color w:val="000000"/>
                <w:kern w:val="0"/>
                <w:sz w:val="24"/>
                <w:highlight w:val="auto"/>
              </w:rPr>
              <w:t>万元</w:t>
            </w:r>
          </w:p>
        </w:tc>
        <w:tc>
          <w:tcPr>
            <w:tcW w:w="175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执行数:</w:t>
            </w:r>
          </w:p>
        </w:tc>
        <w:tc>
          <w:tcPr>
            <w:tcW w:w="3563"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lang w:val="en-US" w:eastAsia="zh-CN"/>
                <w:highlight w:val="auto"/>
              </w:rPr>
            </w:pPr>
            <w:r>
              <w:rPr>
                <w:rFonts w:ascii="仿宋_GB2312" w:eastAsia="仿宋_GB2312" w:cs="宋体" w:hint="eastAsia"/>
                <w:color w:val="000000"/>
                <w:kern w:val="0"/>
                <w:sz w:val="24"/>
                <w:lang w:val="en-US" w:eastAsia="zh-CN"/>
                <w:highlight w:val="auto"/>
              </w:rPr>
              <w:t>35万元</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1812"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其中-财政拨款:</w:t>
            </w:r>
          </w:p>
        </w:tc>
        <w:tc>
          <w:tcPr>
            <w:tcW w:w="1946"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lang w:val="en-US" w:eastAsia="zh-CN"/>
                <w:highlight w:val="auto"/>
              </w:rPr>
              <w:t>35</w:t>
            </w:r>
            <w:r>
              <w:rPr>
                <w:rFonts w:ascii="仿宋_GB2312" w:eastAsia="仿宋_GB2312" w:cs="宋体" w:hint="eastAsia"/>
                <w:color w:val="000000"/>
                <w:kern w:val="0"/>
                <w:sz w:val="24"/>
                <w:highlight w:val="auto"/>
              </w:rPr>
              <w:t>万元</w:t>
            </w:r>
          </w:p>
        </w:tc>
        <w:tc>
          <w:tcPr>
            <w:tcW w:w="175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其中-财政拨款:</w:t>
            </w:r>
          </w:p>
        </w:tc>
        <w:tc>
          <w:tcPr>
            <w:tcW w:w="3563"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lang w:val="en-US" w:eastAsia="zh-CN"/>
                <w:highlight w:val="auto"/>
              </w:rPr>
              <w:t>35</w:t>
            </w:r>
            <w:r>
              <w:rPr>
                <w:rFonts w:ascii="仿宋_GB2312" w:eastAsia="仿宋_GB2312" w:cs="宋体" w:hint="eastAsia"/>
                <w:color w:val="000000"/>
                <w:kern w:val="0"/>
                <w:sz w:val="24"/>
                <w:highlight w:val="auto"/>
              </w:rPr>
              <w:t>万元</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1812"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rPr>
              <w:t>其他</w:t>
            </w:r>
            <w:r>
              <w:rPr>
                <w:rFonts w:ascii="仿宋_GB2312" w:eastAsia="仿宋_GB2312" w:cs="宋体" w:hint="eastAsia"/>
                <w:color w:val="000000"/>
                <w:kern w:val="0"/>
                <w:sz w:val="24"/>
                <w:highlight w:val="auto"/>
              </w:rPr>
              <w:t>资金:</w:t>
            </w:r>
          </w:p>
        </w:tc>
        <w:tc>
          <w:tcPr>
            <w:tcW w:w="1946"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p>
        </w:tc>
        <w:tc>
          <w:tcPr>
            <w:tcW w:w="175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rPr>
              <w:t>其他</w:t>
            </w:r>
            <w:r>
              <w:rPr>
                <w:rFonts w:ascii="仿宋_GB2312" w:eastAsia="仿宋_GB2312" w:cs="宋体" w:hint="eastAsia"/>
                <w:color w:val="000000"/>
                <w:kern w:val="0"/>
                <w:sz w:val="24"/>
                <w:highlight w:val="auto"/>
              </w:rPr>
              <w:t>资金:</w:t>
            </w:r>
          </w:p>
        </w:tc>
        <w:tc>
          <w:tcPr>
            <w:tcW w:w="3563"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p>
        </w:tc>
      </w:tr>
      <w:tr>
        <w:trPr>
          <w:trHeight w:val="285"/>
        </w:trPr>
        <w:tc>
          <w:tcPr>
            <w:tcW w:w="1253"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年度目标完成情况</w:t>
            </w:r>
          </w:p>
        </w:tc>
        <w:tc>
          <w:tcPr>
            <w:tcW w:w="2576" w:type="dxa"/>
            <w:gridSpan w:val="3"/>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预期目标</w:t>
            </w:r>
          </w:p>
        </w:tc>
        <w:tc>
          <w:tcPr>
            <w:tcW w:w="6497" w:type="dxa"/>
            <w:gridSpan w:val="4"/>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实际完成目标</w:t>
            </w:r>
          </w:p>
        </w:tc>
      </w:tr>
      <w:tr>
        <w:trPr>
          <w:trHeight w:val="192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2576" w:type="dxa"/>
            <w:gridSpan w:val="3"/>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both"/>
              <w:textAlignment w:val="center"/>
              <w:rPr>
                <w:rFonts w:ascii="仿宋_GB2312" w:eastAsia="仿宋_GB2312" w:cs="宋体"/>
                <w:color w:val="000000"/>
                <w:kern w:val="0"/>
                <w:sz w:val="24"/>
                <w:highlight w:val="auto"/>
              </w:rPr>
            </w:pPr>
            <w:r>
              <w:rPr>
                <w:rFonts w:ascii="仿宋_GB2312" w:eastAsia="仿宋_GB2312" w:cs="仿宋_GB2312" w:hint="eastAsia"/>
                <w:sz w:val="24"/>
                <w:highlight w:val="auto"/>
              </w:rPr>
              <w:t>按照《阿坝藏族羌族自治州鼓励投资优惠政策若干规定》和《汶川县关</w:t>
            </w:r>
            <w:r>
              <w:rPr>
                <w:rFonts w:ascii="仿宋_GB2312" w:eastAsia="仿宋_GB2312" w:cs="仿宋_GB2312" w:hint="eastAsia"/>
                <w:sz w:val="24"/>
                <w:lang w:eastAsia="zh-CN"/>
                <w:highlight w:val="auto"/>
              </w:rPr>
              <w:t>于</w:t>
            </w:r>
            <w:r>
              <w:rPr>
                <w:rFonts w:ascii="仿宋_GB2312" w:eastAsia="仿宋_GB2312" w:cs="仿宋_GB2312" w:hint="eastAsia"/>
                <w:sz w:val="24"/>
                <w:highlight w:val="auto"/>
              </w:rPr>
              <w:t>实施健康免税岛政策鼓励康养经济建设的十条措施》的有关规定,</w:t>
            </w:r>
            <w:r>
              <w:rPr>
                <w:rFonts w:ascii="仿宋_GB2312" w:eastAsia="仿宋_GB2312" w:cs="仿宋_GB2312" w:hint="eastAsia"/>
                <w:sz w:val="24"/>
                <w:lang w:eastAsia="zh-CN"/>
                <w:highlight w:val="auto"/>
              </w:rPr>
              <w:t>为</w:t>
            </w:r>
            <w:r>
              <w:rPr>
                <w:rFonts w:ascii="仿宋_GB2312" w:eastAsia="仿宋_GB2312" w:cs="仿宋_GB2312" w:hint="eastAsia"/>
                <w:sz w:val="24"/>
                <w:highlight w:val="auto"/>
              </w:rPr>
              <w:t>充分支持企业长远发展实际需求,确保企业如期有效开展既定研发和市场拓展等工作</w:t>
            </w:r>
            <w:r>
              <w:rPr>
                <w:rFonts w:ascii="仿宋_GB2312" w:eastAsia="仿宋_GB2312" w:cs="仿宋_GB2312" w:hint="eastAsia"/>
                <w:sz w:val="24"/>
                <w:lang w:eastAsia="zh-CN"/>
                <w:highlight w:val="auto"/>
              </w:rPr>
              <w:t>。</w:t>
            </w:r>
          </w:p>
        </w:tc>
        <w:tc>
          <w:tcPr>
            <w:tcW w:w="6497" w:type="dxa"/>
            <w:gridSpan w:val="4"/>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仿宋_GB2312" w:hint="eastAsia"/>
                <w:sz w:val="24"/>
                <w:highlight w:val="auto"/>
              </w:rPr>
              <w:t>通过项目实施，</w:t>
            </w:r>
            <w:r>
              <w:rPr>
                <w:rFonts w:ascii="仿宋_GB2312" w:eastAsia="仿宋_GB2312" w:cs="仿宋_GB2312" w:hint="eastAsia"/>
                <w:sz w:val="24"/>
                <w:lang w:eastAsia="zh-CN"/>
                <w:highlight w:val="auto"/>
              </w:rPr>
              <w:t>助力汶川应急产业发展、提升公务员应急管理能力、培养公众基本应急素质、带动促进周边共同发展</w:t>
            </w:r>
          </w:p>
        </w:tc>
      </w:tr>
      <w:tr>
        <w:trPr>
          <w:trHeight w:val="560"/>
        </w:trPr>
        <w:tc>
          <w:tcPr>
            <w:tcW w:w="1253"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仿宋_GB2312"/>
                <w:color w:val="000000"/>
                <w:sz w:val="24"/>
                <w:highlight w:val="auto"/>
              </w:rPr>
            </w:pPr>
            <w:r>
              <w:rPr>
                <w:rFonts w:ascii="仿宋_GB2312" w:eastAsia="仿宋_GB2312" w:cs="仿宋_GB2312" w:hint="eastAsia"/>
                <w:color w:val="000000"/>
                <w:kern w:val="0"/>
                <w:sz w:val="24"/>
                <w:highlight w:val="auto"/>
              </w:rPr>
              <w:t>绩效指标完成情况</w:t>
            </w:r>
          </w:p>
        </w:tc>
        <w:tc>
          <w:tcPr>
            <w:tcW w:w="764"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一级指标</w:t>
            </w:r>
          </w:p>
        </w:tc>
        <w:tc>
          <w:tcPr>
            <w:tcW w:w="1048"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二级指标</w:t>
            </w:r>
          </w:p>
        </w:tc>
        <w:tc>
          <w:tcPr>
            <w:tcW w:w="764"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三级指标</w:t>
            </w:r>
          </w:p>
        </w:tc>
        <w:tc>
          <w:tcPr>
            <w:tcW w:w="2934" w:type="dxa"/>
            <w:gridSpan w:val="2"/>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指标评价内容</w:t>
            </w:r>
          </w:p>
        </w:tc>
        <w:tc>
          <w:tcPr>
            <w:tcW w:w="1618"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预期指标值(包含数字及文字描述)</w:t>
            </w:r>
          </w:p>
        </w:tc>
        <w:tc>
          <w:tcPr>
            <w:tcW w:w="1945"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实际完成指标值(包含数字及文字描述)</w:t>
            </w:r>
          </w:p>
        </w:tc>
      </w:tr>
      <w:tr>
        <w:trPr>
          <w:trHeight w:val="56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vAlign w:val="center"/>
          </w:tcPr>
          <w:p/>
        </w:tc>
        <w:tc>
          <w:tcPr>
            <w:tcW w:w="1048"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vAlign w:val="center"/>
          </w:tcPr>
          <w:p/>
        </w:tc>
        <w:tc>
          <w:tcPr>
            <w:tcW w:w="2934" w:type="dxa"/>
            <w:gridSpan w:val="2"/>
            <w:vMerge/>
            <w:tcBorders>
              <w:top w:val="single" w:sz="4" w:space="0" w:color="000000"/>
              <w:left w:val="single" w:sz="4" w:space="0" w:color="000000"/>
              <w:bottom w:val="single" w:sz="4" w:space="0" w:color="000000"/>
              <w:right w:val="single" w:sz="4" w:space="0" w:color="000000"/>
            </w:tcBorders>
            <w:noWrap/>
            <w:vAlign w:val="center"/>
          </w:tcPr>
          <w:p/>
        </w:tc>
        <w:tc>
          <w:tcPr>
            <w:tcW w:w="1618" w:type="dxa"/>
            <w:vMerge/>
            <w:tcBorders>
              <w:top w:val="single" w:sz="4" w:space="0" w:color="000000"/>
              <w:left w:val="single" w:sz="4" w:space="0" w:color="000000"/>
              <w:bottom w:val="single" w:sz="4" w:space="0" w:color="000000"/>
              <w:right w:val="single" w:sz="4" w:space="0" w:color="000000"/>
            </w:tcBorders>
            <w:noWrap/>
            <w:vAlign w:val="center"/>
          </w:tcPr>
          <w:p/>
        </w:tc>
        <w:tc>
          <w:tcPr>
            <w:tcW w:w="1945" w:type="dxa"/>
            <w:vMerge/>
            <w:tcBorders>
              <w:top w:val="single" w:sz="4" w:space="0" w:color="000000"/>
              <w:left w:val="single" w:sz="4" w:space="0" w:color="000000"/>
              <w:bottom w:val="single" w:sz="4" w:space="0" w:color="000000"/>
              <w:right w:val="single" w:sz="4" w:space="0" w:color="000000"/>
            </w:tcBorders>
            <w:noWrap/>
            <w:vAlign w:val="center"/>
          </w:tcPr>
          <w:p/>
        </w:tc>
      </w:tr>
      <w:tr>
        <w:trPr>
          <w:trHeight w:val="56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vAlign w:val="center"/>
          </w:tcPr>
          <w:p/>
        </w:tc>
        <w:tc>
          <w:tcPr>
            <w:tcW w:w="1048"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vAlign w:val="center"/>
          </w:tcPr>
          <w:p/>
        </w:tc>
        <w:tc>
          <w:tcPr>
            <w:tcW w:w="2934" w:type="dxa"/>
            <w:gridSpan w:val="2"/>
            <w:vMerge/>
            <w:tcBorders>
              <w:top w:val="single" w:sz="4" w:space="0" w:color="000000"/>
              <w:left w:val="single" w:sz="4" w:space="0" w:color="000000"/>
              <w:bottom w:val="single" w:sz="4" w:space="0" w:color="000000"/>
              <w:right w:val="single" w:sz="4" w:space="0" w:color="000000"/>
            </w:tcBorders>
            <w:noWrap/>
            <w:vAlign w:val="center"/>
          </w:tcPr>
          <w:p/>
        </w:tc>
        <w:tc>
          <w:tcPr>
            <w:tcW w:w="1618" w:type="dxa"/>
            <w:vMerge/>
            <w:tcBorders>
              <w:top w:val="single" w:sz="4" w:space="0" w:color="000000"/>
              <w:left w:val="single" w:sz="4" w:space="0" w:color="000000"/>
              <w:bottom w:val="single" w:sz="4" w:space="0" w:color="000000"/>
              <w:right w:val="single" w:sz="4" w:space="0" w:color="000000"/>
            </w:tcBorders>
            <w:noWrap/>
            <w:vAlign w:val="center"/>
          </w:tcPr>
          <w:p/>
        </w:tc>
        <w:tc>
          <w:tcPr>
            <w:tcW w:w="1945" w:type="dxa"/>
            <w:vMerge/>
            <w:tcBorders>
              <w:top w:val="single" w:sz="4" w:space="0" w:color="000000"/>
              <w:left w:val="single" w:sz="4" w:space="0" w:color="000000"/>
              <w:bottom w:val="single" w:sz="4" w:space="0" w:color="000000"/>
              <w:right w:val="single" w:sz="4" w:space="0" w:color="000000"/>
            </w:tcBorders>
            <w:noWrap/>
            <w:vAlign w:val="center"/>
          </w:tcPr>
          <w:p/>
        </w:tc>
      </w:tr>
      <w:tr>
        <w:trPr>
          <w:trHeight w:val="76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项目决策</w:t>
            </w: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绩效目标</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目标内容</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项目预期提供的产品、服务、效益或其他目标明确,即绩效目标实际明确个数/应当明确个数×100%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r>
      <w:tr>
        <w:trPr>
          <w:trHeight w:val="64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进度计划</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项目计划实施进度明确</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明确</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明确</w:t>
            </w:r>
          </w:p>
        </w:tc>
      </w:tr>
      <w:tr>
        <w:trPr>
          <w:trHeight w:val="69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目标匹配</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绩效目标设定符合实际需求的抽样项目点个数/抽样项目点总数×100%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r>
      <w:tr>
        <w:trPr>
          <w:trHeight w:val="76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决策依据</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政策依据</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项目符合党中央、国务院和省委、省政府决策部署；符合当前经济社会发展需要</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实施规划</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连续性项目根据需要制定中长期实施规划</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有</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有</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vMerge/>
            <w:tcBorders>
              <w:top w:val="single" w:sz="4" w:space="0" w:color="000000"/>
              <w:left w:val="single" w:sz="4" w:space="0" w:color="000000"/>
              <w:bottom w:val="single" w:sz="4" w:space="0" w:color="000000"/>
              <w:right w:val="single" w:sz="4" w:space="0" w:color="000000"/>
            </w:tcBorders>
            <w:noWrap/>
            <w:vAlign w:val="center"/>
          </w:tcP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实施规划符合实际，并根据情况变化适时调整</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管理制度</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制定项目资金管理办法</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是</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是</w:t>
            </w:r>
          </w:p>
        </w:tc>
      </w:tr>
      <w:tr>
        <w:trPr>
          <w:trHeight w:val="75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vMerge/>
            <w:tcBorders>
              <w:top w:val="single" w:sz="4" w:space="0" w:color="000000"/>
              <w:left w:val="single" w:sz="4" w:space="0" w:color="000000"/>
              <w:bottom w:val="single" w:sz="4" w:space="0" w:color="000000"/>
              <w:right w:val="single" w:sz="4" w:space="0" w:color="000000"/>
            </w:tcBorders>
            <w:noWrap/>
            <w:vAlign w:val="center"/>
          </w:tcP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项目资金分配决策程序明确</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明确</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明确</w:t>
            </w:r>
          </w:p>
        </w:tc>
      </w:tr>
      <w:tr>
        <w:trPr>
          <w:trHeight w:val="82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资金分配</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分配方法</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资金分配方法是否科学合理</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合理</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合理</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分配过程</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分配过程符合相关规定</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76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分配结果</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审核把关</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符合申报条件的抽样项目点个数/抽样项目点总数×100%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r>
      <w:tr>
        <w:trPr>
          <w:trHeight w:val="102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资金集中</w:t>
            </w:r>
          </w:p>
        </w:tc>
        <w:tc>
          <w:tcPr>
            <w:tcW w:w="118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集中</w:t>
            </w:r>
          </w:p>
        </w:tc>
        <w:tc>
          <w:tcPr>
            <w:tcW w:w="175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财政资金占项目资金总额比重较小项目个数/项目总数×100%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r>
      <w:tr>
        <w:trPr>
          <w:trHeight w:val="73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（均衡）</w:t>
            </w:r>
          </w:p>
        </w:tc>
        <w:tc>
          <w:tcPr>
            <w:tcW w:w="118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均衡</w:t>
            </w:r>
          </w:p>
        </w:tc>
        <w:tc>
          <w:tcPr>
            <w:tcW w:w="175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按实际分配结果选择客观因素测算验证资金分配方法制定、分配要素设定、基础数据应用、测算依据选取等是否科学合理（2分）</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合理</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合理</w:t>
            </w:r>
          </w:p>
        </w:tc>
      </w:tr>
      <w:tr>
        <w:trPr>
          <w:trHeight w:val="54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项目管理</w:t>
            </w: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资金到位</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分配时效</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县级主管部门按规定及时分配资金</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r>
      <w:tr>
        <w:trPr>
          <w:trHeight w:val="115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资金拨付</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按规定及时拨付资金</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资金管理</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使用范围</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资金使用是否合规</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是</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是</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支付依据</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资金支付依据符合规定，即支付依旧合规资金量/资金总量×100%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开支标准</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资金开支标准符合规定，即开支标准合规资金量/资金总量×100%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73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财务管理</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财务制度</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财务制度健全，管理规范</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规范</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规范</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会计核算</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会计核算规范</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规范</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规范</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组织实施（4分）</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项目调整</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项目调整严格履行相关手续</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履行</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履行</w:t>
            </w:r>
          </w:p>
        </w:tc>
      </w:tr>
      <w:tr>
        <w:trPr>
          <w:trHeight w:val="85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投资变更</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项目投资变更额/项目总投入×100%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否</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否</w:t>
            </w:r>
          </w:p>
        </w:tc>
      </w:tr>
      <w:tr>
        <w:trPr>
          <w:trHeight w:val="76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制度执行</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严格执行项目有关制度规定</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严格</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严格</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项目绩效</w:t>
            </w: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项目完成</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完成数量</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实际完成任务量/绩效目标设定任务量×100%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完成质量</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符合绩效目标设定的验收标准，达到行业基准水平</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79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完成时效</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（实际完成时间-绩效目标设定完成时间）/绩效目标设定完成时间×100%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完成成本</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（实际完成成本-预计完成成本）/预计完成成本×100%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好</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好</w:t>
            </w:r>
          </w:p>
        </w:tc>
      </w:tr>
      <w:tr>
        <w:trPr>
          <w:trHeight w:val="72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项目效益</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经济效益</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反映相关产出对经济社会发展带来的影响和效果，根据项目实际细化具体指标。</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r>
      <w:tr>
        <w:trPr>
          <w:trHeight w:val="73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社会效益</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反映相关产出对社会发展带来的影响和效果，根据项目实际细化具体指标。</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r>
      <w:tr>
        <w:trPr>
          <w:trHeight w:val="72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生态效益</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反映相关产出对自然环境带来的影响和效果，根据项目实际细化具体指标。</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r>
      <w:tr>
        <w:trPr>
          <w:trHeight w:val="75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可持续效益</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反映相关产出带来影响的可持续期限，根据项目实际细化具体指标。</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r>
      <w:tr>
        <w:trPr>
          <w:trHeight w:val="108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满意度</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服务对象满意度</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反映服务对象或项目受益人对相关产出及其影响的认可程度，根据项目实际细化具体指标。</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满意</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满意</w:t>
            </w:r>
          </w:p>
        </w:tc>
      </w:tr>
      <w:tr>
        <w:trPr>
          <w:trHeight w:val="285"/>
        </w:trPr>
        <w:tc>
          <w:tcPr>
            <w:tcW w:w="10326" w:type="dxa"/>
            <w:gridSpan w:val="8"/>
            <w:tcBorders>
              <w:top w:val="nil"/>
              <w:left w:val="nil"/>
              <w:bottom w:val="nil"/>
              <w:right w:val="nil"/>
            </w:tcBorders>
            <w:noWrap/>
            <w:vAlign w:val="center"/>
          </w:tcPr>
          <w:p>
            <w:pPr>
              <w:widowControl/>
              <w:spacing w:line="240" w:lineRule="atLeast"/>
              <w:jc w:val="both"/>
              <w:textAlignment w:val="center"/>
              <w:rPr>
                <w:rFonts w:ascii="黑体" w:eastAsia="黑体" w:cs="黑体"/>
                <w:bCs/>
                <w:color w:val="000000"/>
                <w:kern w:val="0"/>
                <w:sz w:val="36"/>
                <w:szCs w:val="36"/>
                <w:highlight w:val="auto"/>
              </w:rPr>
            </w:pPr>
          </w:p>
          <w:p>
            <w:pPr>
              <w:widowControl/>
              <w:spacing w:line="240" w:lineRule="atLeast"/>
              <w:jc w:val="center"/>
              <w:textAlignment w:val="center"/>
              <w:rPr>
                <w:rFonts w:ascii="黑体" w:eastAsia="黑体" w:cs="黑体"/>
                <w:bCs/>
                <w:color w:val="000000"/>
                <w:kern w:val="0"/>
                <w:sz w:val="36"/>
                <w:szCs w:val="36"/>
                <w:highlight w:val="auto"/>
              </w:rPr>
            </w:pPr>
            <w:r>
              <w:rPr>
                <w:rFonts w:ascii="黑体" w:eastAsia="黑体" w:cs="黑体" w:hint="eastAsia"/>
                <w:bCs/>
                <w:color w:val="000000"/>
                <w:kern w:val="0"/>
                <w:sz w:val="36"/>
                <w:szCs w:val="36"/>
                <w:highlight w:val="auto"/>
              </w:rPr>
              <w:t>项目支出绩效目标完成情况表（2）</w:t>
            </w:r>
          </w:p>
          <w:p>
            <w:pPr>
              <w:widowControl/>
              <w:spacing w:line="240" w:lineRule="atLeast"/>
              <w:jc w:val="center"/>
              <w:textAlignment w:val="center"/>
              <w:rPr>
                <w:rFonts w:ascii="宋体" w:cs="宋体"/>
                <w:b/>
                <w:color w:val="000000"/>
                <w:sz w:val="24"/>
                <w:highlight w:val="auto"/>
              </w:rPr>
            </w:pPr>
            <w:r>
              <w:rPr>
                <w:rFonts w:ascii="黑体" w:eastAsia="黑体" w:cs="黑体" w:hint="eastAsia"/>
                <w:bCs/>
                <w:color w:val="000000"/>
                <w:kern w:val="0"/>
                <w:sz w:val="36"/>
                <w:szCs w:val="36"/>
                <w:highlight w:val="auto"/>
              </w:rPr>
              <w:t>（201</w:t>
            </w:r>
            <w:r>
              <w:rPr>
                <w:rFonts w:ascii="黑体" w:eastAsia="黑体" w:cs="黑体" w:hint="eastAsia"/>
                <w:bCs/>
                <w:color w:val="000000"/>
                <w:kern w:val="0"/>
                <w:sz w:val="36"/>
                <w:szCs w:val="36"/>
                <w:lang w:val="en-US" w:eastAsia="zh-CN"/>
                <w:highlight w:val="auto"/>
              </w:rPr>
              <w:t>9</w:t>
            </w:r>
            <w:r>
              <w:rPr>
                <w:rFonts w:ascii="黑体" w:eastAsia="黑体" w:cs="黑体" w:hint="eastAsia"/>
                <w:bCs/>
                <w:color w:val="000000"/>
                <w:kern w:val="0"/>
                <w:sz w:val="36"/>
                <w:szCs w:val="36"/>
                <w:highlight w:val="auto"/>
              </w:rPr>
              <w:t>年度）</w:t>
            </w:r>
          </w:p>
        </w:tc>
      </w:tr>
      <w:tr>
        <w:trPr>
          <w:trHeight w:val="285"/>
        </w:trPr>
        <w:tc>
          <w:tcPr>
            <w:tcW w:w="3065" w:type="dxa"/>
            <w:gridSpan w:val="3"/>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项目名称</w:t>
            </w:r>
          </w:p>
        </w:tc>
        <w:tc>
          <w:tcPr>
            <w:tcW w:w="7261" w:type="dxa"/>
            <w:gridSpan w:val="5"/>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lang w:eastAsia="zh-CN"/>
                <w:highlight w:val="auto"/>
              </w:rPr>
              <w:t>补助汶川县水乡藏寨生态旅游有限公司已缴纳城市建设配套费</w:t>
            </w:r>
          </w:p>
        </w:tc>
      </w:tr>
      <w:tr>
        <w:trPr>
          <w:trHeight w:val="285"/>
        </w:trPr>
        <w:tc>
          <w:tcPr>
            <w:tcW w:w="3065" w:type="dxa"/>
            <w:gridSpan w:val="3"/>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预算单位</w:t>
            </w:r>
          </w:p>
        </w:tc>
        <w:tc>
          <w:tcPr>
            <w:tcW w:w="7261" w:type="dxa"/>
            <w:gridSpan w:val="5"/>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lang w:eastAsia="zh-CN"/>
                <w:highlight w:val="auto"/>
              </w:rPr>
              <w:t>汶川县投资促进博览中心</w:t>
            </w:r>
          </w:p>
        </w:tc>
      </w:tr>
      <w:tr>
        <w:trPr>
          <w:trHeight w:val="285"/>
        </w:trPr>
        <w:tc>
          <w:tcPr>
            <w:tcW w:w="1253"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预算执行情况(万元</w:t>
            </w:r>
          </w:p>
        </w:tc>
        <w:tc>
          <w:tcPr>
            <w:tcW w:w="1812"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预算数:</w:t>
            </w:r>
          </w:p>
        </w:tc>
        <w:tc>
          <w:tcPr>
            <w:tcW w:w="1946"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lang w:val="en-US" w:eastAsia="zh-CN"/>
                <w:highlight w:val="auto"/>
              </w:rPr>
              <w:t>60</w:t>
            </w:r>
            <w:r>
              <w:rPr>
                <w:rFonts w:ascii="仿宋_GB2312" w:eastAsia="仿宋_GB2312" w:cs="宋体" w:hint="eastAsia"/>
                <w:color w:val="000000"/>
                <w:kern w:val="0"/>
                <w:sz w:val="24"/>
                <w:highlight w:val="auto"/>
              </w:rPr>
              <w:t>万元</w:t>
            </w:r>
          </w:p>
        </w:tc>
        <w:tc>
          <w:tcPr>
            <w:tcW w:w="175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执行数:</w:t>
            </w:r>
          </w:p>
        </w:tc>
        <w:tc>
          <w:tcPr>
            <w:tcW w:w="3563"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lang w:val="en-US" w:eastAsia="zh-CN"/>
                <w:highlight w:val="auto"/>
              </w:rPr>
            </w:pPr>
            <w:r>
              <w:rPr>
                <w:rFonts w:ascii="仿宋_GB2312" w:eastAsia="仿宋_GB2312" w:cs="宋体" w:hint="eastAsia"/>
                <w:color w:val="000000"/>
                <w:kern w:val="0"/>
                <w:sz w:val="24"/>
                <w:lang w:val="en-US" w:eastAsia="zh-CN"/>
                <w:highlight w:val="auto"/>
              </w:rPr>
              <w:t>0万元</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1812"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其中-财政拨款:</w:t>
            </w:r>
          </w:p>
        </w:tc>
        <w:tc>
          <w:tcPr>
            <w:tcW w:w="1946"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lang w:val="en-US" w:eastAsia="zh-CN"/>
                <w:highlight w:val="auto"/>
              </w:rPr>
              <w:t>60</w:t>
            </w:r>
            <w:r>
              <w:rPr>
                <w:rFonts w:ascii="仿宋_GB2312" w:eastAsia="仿宋_GB2312" w:cs="宋体" w:hint="eastAsia"/>
                <w:color w:val="000000"/>
                <w:kern w:val="0"/>
                <w:sz w:val="24"/>
                <w:highlight w:val="auto"/>
              </w:rPr>
              <w:t>万元</w:t>
            </w:r>
          </w:p>
        </w:tc>
        <w:tc>
          <w:tcPr>
            <w:tcW w:w="175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其中-财政拨款:</w:t>
            </w:r>
          </w:p>
        </w:tc>
        <w:tc>
          <w:tcPr>
            <w:tcW w:w="3563"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lang w:val="en-US" w:eastAsia="zh-CN"/>
                <w:highlight w:val="auto"/>
              </w:rPr>
              <w:t>0</w:t>
            </w:r>
            <w:r>
              <w:rPr>
                <w:rFonts w:ascii="仿宋_GB2312" w:eastAsia="仿宋_GB2312" w:cs="宋体" w:hint="eastAsia"/>
                <w:color w:val="000000"/>
                <w:kern w:val="0"/>
                <w:sz w:val="24"/>
                <w:highlight w:val="auto"/>
              </w:rPr>
              <w:t>万元</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1812"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rPr>
              <w:t>其他</w:t>
            </w:r>
            <w:r>
              <w:rPr>
                <w:rFonts w:ascii="仿宋_GB2312" w:eastAsia="仿宋_GB2312" w:cs="宋体" w:hint="eastAsia"/>
                <w:color w:val="000000"/>
                <w:kern w:val="0"/>
                <w:sz w:val="24"/>
                <w:highlight w:val="auto"/>
              </w:rPr>
              <w:t>资金:</w:t>
            </w:r>
          </w:p>
        </w:tc>
        <w:tc>
          <w:tcPr>
            <w:tcW w:w="1946"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p>
        </w:tc>
        <w:tc>
          <w:tcPr>
            <w:tcW w:w="175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rPr>
              <w:t>其他</w:t>
            </w:r>
            <w:r>
              <w:rPr>
                <w:rFonts w:ascii="仿宋_GB2312" w:eastAsia="仿宋_GB2312" w:cs="宋体" w:hint="eastAsia"/>
                <w:color w:val="000000"/>
                <w:kern w:val="0"/>
                <w:sz w:val="24"/>
                <w:highlight w:val="auto"/>
              </w:rPr>
              <w:t>资金:</w:t>
            </w:r>
          </w:p>
        </w:tc>
        <w:tc>
          <w:tcPr>
            <w:tcW w:w="3563"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p>
        </w:tc>
      </w:tr>
      <w:tr>
        <w:trPr>
          <w:trHeight w:val="285"/>
        </w:trPr>
        <w:tc>
          <w:tcPr>
            <w:tcW w:w="1253"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年度目标完成情况</w:t>
            </w:r>
          </w:p>
        </w:tc>
        <w:tc>
          <w:tcPr>
            <w:tcW w:w="2576" w:type="dxa"/>
            <w:gridSpan w:val="3"/>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预期目标</w:t>
            </w:r>
          </w:p>
        </w:tc>
        <w:tc>
          <w:tcPr>
            <w:tcW w:w="6497" w:type="dxa"/>
            <w:gridSpan w:val="4"/>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实际完成目标</w:t>
            </w:r>
          </w:p>
        </w:tc>
      </w:tr>
      <w:tr>
        <w:trPr>
          <w:trHeight w:val="192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2576" w:type="dxa"/>
            <w:gridSpan w:val="3"/>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仿宋_GB2312"/>
                <w:sz w:val="24"/>
                <w:highlight w:val="auto"/>
              </w:rPr>
            </w:pPr>
            <w:r>
              <w:rPr>
                <w:rFonts w:ascii="仿宋_GB2312" w:eastAsia="仿宋_GB2312" w:cs="仿宋_GB2312" w:hint="eastAsia"/>
                <w:sz w:val="24"/>
                <w:lang w:eastAsia="zh-CN"/>
                <w:highlight w:val="auto"/>
              </w:rPr>
              <w:t>为减轻企业负担，帮助企业渡过难关，按照议定事项“免除报建、配套费用、安全费用、环保等县政府收取各项规费”按照“先交后补”的原则，由公司先行缴纳城市建设配套费，根据项目建设进度逐步予以补助。</w:t>
            </w:r>
          </w:p>
        </w:tc>
        <w:tc>
          <w:tcPr>
            <w:tcW w:w="6497" w:type="dxa"/>
            <w:gridSpan w:val="4"/>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仿宋_GB2312"/>
                <w:sz w:val="24"/>
                <w:highlight w:val="auto"/>
              </w:rPr>
            </w:pPr>
            <w:r>
              <w:rPr>
                <w:rFonts w:ascii="仿宋_GB2312" w:eastAsia="仿宋_GB2312" w:cs="仿宋_GB2312" w:hint="eastAsia"/>
                <w:sz w:val="24"/>
                <w:lang w:val="en-US" w:eastAsia="zh-CN"/>
                <w:highlight w:val="auto"/>
              </w:rPr>
              <w:t>2019年由于公司资料未准备齐全，结转至2020年支付</w:t>
            </w:r>
            <w:r>
              <w:rPr>
                <w:rFonts w:ascii="仿宋_GB2312" w:eastAsia="仿宋_GB2312" w:cs="仿宋_GB2312" w:hint="eastAsia"/>
                <w:sz w:val="24"/>
                <w:highlight w:val="auto"/>
              </w:rPr>
              <w:t>。</w:t>
            </w:r>
          </w:p>
        </w:tc>
      </w:tr>
      <w:tr>
        <w:trPr>
          <w:trHeight w:val="560"/>
        </w:trPr>
        <w:tc>
          <w:tcPr>
            <w:tcW w:w="1253"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仿宋_GB2312"/>
                <w:color w:val="000000"/>
                <w:sz w:val="24"/>
                <w:highlight w:val="auto"/>
              </w:rPr>
            </w:pPr>
            <w:r>
              <w:rPr>
                <w:rFonts w:ascii="仿宋_GB2312" w:eastAsia="仿宋_GB2312" w:cs="仿宋_GB2312" w:hint="eastAsia"/>
                <w:color w:val="000000"/>
                <w:kern w:val="0"/>
                <w:sz w:val="24"/>
                <w:highlight w:val="auto"/>
              </w:rPr>
              <w:t>绩效指标完成情况</w:t>
            </w:r>
          </w:p>
        </w:tc>
        <w:tc>
          <w:tcPr>
            <w:tcW w:w="764"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一级指标</w:t>
            </w:r>
          </w:p>
        </w:tc>
        <w:tc>
          <w:tcPr>
            <w:tcW w:w="1048"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二级指标</w:t>
            </w:r>
          </w:p>
        </w:tc>
        <w:tc>
          <w:tcPr>
            <w:tcW w:w="764"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三级指标</w:t>
            </w:r>
          </w:p>
        </w:tc>
        <w:tc>
          <w:tcPr>
            <w:tcW w:w="2934" w:type="dxa"/>
            <w:gridSpan w:val="2"/>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指标评价内容</w:t>
            </w:r>
          </w:p>
        </w:tc>
        <w:tc>
          <w:tcPr>
            <w:tcW w:w="1618"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预期指标值(包含数字及文字描述)</w:t>
            </w:r>
          </w:p>
        </w:tc>
        <w:tc>
          <w:tcPr>
            <w:tcW w:w="1945"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实际完成指标值(包含数字及文字描述)</w:t>
            </w:r>
          </w:p>
        </w:tc>
      </w:tr>
      <w:tr>
        <w:trPr>
          <w:trHeight w:val="56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vAlign w:val="center"/>
          </w:tcPr>
          <w:p/>
        </w:tc>
        <w:tc>
          <w:tcPr>
            <w:tcW w:w="1048"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vAlign w:val="center"/>
          </w:tcPr>
          <w:p/>
        </w:tc>
        <w:tc>
          <w:tcPr>
            <w:tcW w:w="2934" w:type="dxa"/>
            <w:gridSpan w:val="2"/>
            <w:vMerge/>
            <w:tcBorders>
              <w:top w:val="single" w:sz="4" w:space="0" w:color="000000"/>
              <w:left w:val="single" w:sz="4" w:space="0" w:color="000000"/>
              <w:bottom w:val="single" w:sz="4" w:space="0" w:color="000000"/>
              <w:right w:val="single" w:sz="4" w:space="0" w:color="000000"/>
            </w:tcBorders>
            <w:noWrap/>
            <w:vAlign w:val="center"/>
          </w:tcPr>
          <w:p/>
        </w:tc>
        <w:tc>
          <w:tcPr>
            <w:tcW w:w="1618" w:type="dxa"/>
            <w:vMerge/>
            <w:tcBorders>
              <w:top w:val="single" w:sz="4" w:space="0" w:color="000000"/>
              <w:left w:val="single" w:sz="4" w:space="0" w:color="000000"/>
              <w:bottom w:val="single" w:sz="4" w:space="0" w:color="000000"/>
              <w:right w:val="single" w:sz="4" w:space="0" w:color="000000"/>
            </w:tcBorders>
            <w:noWrap/>
            <w:vAlign w:val="center"/>
          </w:tcPr>
          <w:p/>
        </w:tc>
        <w:tc>
          <w:tcPr>
            <w:tcW w:w="1945" w:type="dxa"/>
            <w:vMerge/>
            <w:tcBorders>
              <w:top w:val="single" w:sz="4" w:space="0" w:color="000000"/>
              <w:left w:val="single" w:sz="4" w:space="0" w:color="000000"/>
              <w:bottom w:val="single" w:sz="4" w:space="0" w:color="000000"/>
              <w:right w:val="single" w:sz="4" w:space="0" w:color="000000"/>
            </w:tcBorders>
            <w:noWrap/>
            <w:vAlign w:val="center"/>
          </w:tcPr>
          <w:p/>
        </w:tc>
      </w:tr>
      <w:tr>
        <w:trPr>
          <w:trHeight w:val="56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vAlign w:val="center"/>
          </w:tcPr>
          <w:p/>
        </w:tc>
        <w:tc>
          <w:tcPr>
            <w:tcW w:w="1048"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vAlign w:val="center"/>
          </w:tcPr>
          <w:p/>
        </w:tc>
        <w:tc>
          <w:tcPr>
            <w:tcW w:w="2934" w:type="dxa"/>
            <w:gridSpan w:val="2"/>
            <w:vMerge/>
            <w:tcBorders>
              <w:top w:val="single" w:sz="4" w:space="0" w:color="000000"/>
              <w:left w:val="single" w:sz="4" w:space="0" w:color="000000"/>
              <w:bottom w:val="single" w:sz="4" w:space="0" w:color="000000"/>
              <w:right w:val="single" w:sz="4" w:space="0" w:color="000000"/>
            </w:tcBorders>
            <w:noWrap/>
            <w:vAlign w:val="center"/>
          </w:tcPr>
          <w:p/>
        </w:tc>
        <w:tc>
          <w:tcPr>
            <w:tcW w:w="1618" w:type="dxa"/>
            <w:vMerge/>
            <w:tcBorders>
              <w:top w:val="single" w:sz="4" w:space="0" w:color="000000"/>
              <w:left w:val="single" w:sz="4" w:space="0" w:color="000000"/>
              <w:bottom w:val="single" w:sz="4" w:space="0" w:color="000000"/>
              <w:right w:val="single" w:sz="4" w:space="0" w:color="000000"/>
            </w:tcBorders>
            <w:noWrap/>
            <w:vAlign w:val="center"/>
          </w:tcPr>
          <w:p/>
        </w:tc>
        <w:tc>
          <w:tcPr>
            <w:tcW w:w="1945" w:type="dxa"/>
            <w:vMerge/>
            <w:tcBorders>
              <w:top w:val="single" w:sz="4" w:space="0" w:color="000000"/>
              <w:left w:val="single" w:sz="4" w:space="0" w:color="000000"/>
              <w:bottom w:val="single" w:sz="4" w:space="0" w:color="000000"/>
              <w:right w:val="single" w:sz="4" w:space="0" w:color="000000"/>
            </w:tcBorders>
            <w:noWrap/>
            <w:vAlign w:val="center"/>
          </w:tcPr>
          <w:p/>
        </w:tc>
      </w:tr>
      <w:tr>
        <w:trPr>
          <w:trHeight w:val="76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项目决策</w:t>
            </w: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绩效目标</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目标内容</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项目预期提供的产品、服务、效益或其他目标明确,即绩效目标实际明确个数/应当明确个数×100%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r>
      <w:tr>
        <w:trPr>
          <w:trHeight w:val="64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进度计划</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项目计划实施进度明确</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明确</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明确</w:t>
            </w:r>
          </w:p>
        </w:tc>
      </w:tr>
      <w:tr>
        <w:trPr>
          <w:trHeight w:val="69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目标匹配</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绩效目标设定符合实际需求的抽样项目点个数/抽样项目点总数×100%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r>
      <w:tr>
        <w:trPr>
          <w:trHeight w:val="76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决策依据</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政策依据</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项目符合党中央、国务院和省委、省政府决策部署；符合当前经济社会发展需要</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实施规划</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连续性项目根据需要制定中长期实施规划</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有</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有</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vMerge/>
            <w:tcBorders>
              <w:top w:val="single" w:sz="4" w:space="0" w:color="000000"/>
              <w:left w:val="single" w:sz="4" w:space="0" w:color="000000"/>
              <w:bottom w:val="single" w:sz="4" w:space="0" w:color="000000"/>
              <w:right w:val="single" w:sz="4" w:space="0" w:color="000000"/>
            </w:tcBorders>
            <w:noWrap/>
            <w:vAlign w:val="center"/>
          </w:tcP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实施规划符合实际，并根据情况变化适时调整</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管理制度</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制定项目资金管理办法</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是</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是</w:t>
            </w:r>
          </w:p>
        </w:tc>
      </w:tr>
      <w:tr>
        <w:trPr>
          <w:trHeight w:val="75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vMerge/>
            <w:tcBorders>
              <w:top w:val="single" w:sz="4" w:space="0" w:color="000000"/>
              <w:left w:val="single" w:sz="4" w:space="0" w:color="000000"/>
              <w:bottom w:val="single" w:sz="4" w:space="0" w:color="000000"/>
              <w:right w:val="single" w:sz="4" w:space="0" w:color="000000"/>
            </w:tcBorders>
            <w:noWrap/>
            <w:vAlign w:val="center"/>
          </w:tcP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项目资金分配决策程序明确</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明确</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明确</w:t>
            </w:r>
          </w:p>
        </w:tc>
      </w:tr>
      <w:tr>
        <w:trPr>
          <w:trHeight w:val="82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资金分配</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分配方法</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资金分配方法是否科学合理</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合理</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合理</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分配过程</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分配过程符合相关规定</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76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分配结果</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审核把关</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符合申报条件的抽样项目点个数/抽样项目点总数×100%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r>
      <w:tr>
        <w:trPr>
          <w:trHeight w:val="102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资金集中</w:t>
            </w:r>
          </w:p>
        </w:tc>
        <w:tc>
          <w:tcPr>
            <w:tcW w:w="118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集中</w:t>
            </w:r>
          </w:p>
        </w:tc>
        <w:tc>
          <w:tcPr>
            <w:tcW w:w="175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财政资金占项目资金总额比重较小项目个数/项目总数×100%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r>
      <w:tr>
        <w:trPr>
          <w:trHeight w:val="73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（均衡）</w:t>
            </w:r>
          </w:p>
        </w:tc>
        <w:tc>
          <w:tcPr>
            <w:tcW w:w="118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均衡</w:t>
            </w:r>
          </w:p>
        </w:tc>
        <w:tc>
          <w:tcPr>
            <w:tcW w:w="175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按实际分配结果选择客观因素测算验证资金分配方法制定、分配要素设定、基础数据应用、测算依据选取等是否科学合理（2分）</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合理</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合理</w:t>
            </w:r>
          </w:p>
        </w:tc>
      </w:tr>
      <w:tr>
        <w:trPr>
          <w:trHeight w:val="54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项目管理</w:t>
            </w: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资金到位</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分配时效</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县级主管部门按规定及时分配资金</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r>
      <w:tr>
        <w:trPr>
          <w:trHeight w:val="115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资金拨付</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按规定及时拨付资金</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资金管理</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使用范围</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资金使用是否合规</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是</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是</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支付依据</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资金支付依据符合规定，即支付依旧合规资金量/资金总量×100%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开支标准</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资金开支标准符合规定，即开支标准合规资金量/资金总量×100%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73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财务管理</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财务制度</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财务制度健全，管理规范</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规范</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规范</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会计核算</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会计核算规范</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规范</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规范</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组织实施（4分）</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项目调整</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项目调整严格履行相关手续</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履行</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履行</w:t>
            </w:r>
          </w:p>
        </w:tc>
      </w:tr>
      <w:tr>
        <w:trPr>
          <w:trHeight w:val="85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投资变更</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项目投资变更额/项目总投入×100%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否</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否</w:t>
            </w:r>
          </w:p>
        </w:tc>
      </w:tr>
      <w:tr>
        <w:trPr>
          <w:trHeight w:val="76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制度执行</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严格执行项目有关制度规定</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严格</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严格</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项目绩效</w:t>
            </w: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项目完成</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完成数量</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实际完成任务量/绩效目标设定任务量×100%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完成质量</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符合绩效目标设定的验收标准，达到行业基准水平</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79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完成时效</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（实际完成时间-绩效目标设定完成时间）/绩效目标设定完成时间×100%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完成成本</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（实际完成成本-预计完成成本）/预计完成成本×100%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好</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好</w:t>
            </w:r>
          </w:p>
        </w:tc>
      </w:tr>
      <w:tr>
        <w:trPr>
          <w:trHeight w:val="72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项目效益</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经济效益</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反映相关产出对经济社会发展带来的影响和效果，根据项目实际细化具体指标。</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r>
      <w:tr>
        <w:trPr>
          <w:trHeight w:val="73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社会效益</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反映相关产出对社会发展带来的影响和效果，根据项目实际细化具体指标。</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r>
      <w:tr>
        <w:trPr>
          <w:trHeight w:val="72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生态效益</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反映相关产出对自然环境带来的影响和效果，根据项目实际细化具体指标。</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r>
      <w:tr>
        <w:trPr>
          <w:trHeight w:val="75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可持续效益</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反映相关产出带来影响的可持续期限，根据项目实际细化具体指标。</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r>
      <w:tr>
        <w:trPr>
          <w:trHeight w:val="108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满意度</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服务对象满意度</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反映服务对象或项目受益人对相关产出及其影响的认可程度，根据项目实际细化具体指标。</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满意</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满意</w:t>
            </w:r>
          </w:p>
        </w:tc>
      </w:tr>
      <w:tr>
        <w:trPr>
          <w:trHeight w:val="285"/>
        </w:trPr>
        <w:tc>
          <w:tcPr>
            <w:tcW w:w="10326" w:type="dxa"/>
            <w:gridSpan w:val="8"/>
            <w:tcBorders>
              <w:top w:val="nil"/>
              <w:left w:val="nil"/>
              <w:bottom w:val="nil"/>
              <w:right w:val="nil"/>
            </w:tcBorders>
            <w:noWrap/>
            <w:vAlign w:val="center"/>
          </w:tcPr>
          <w:p>
            <w:pPr>
              <w:widowControl/>
              <w:spacing w:line="240" w:lineRule="atLeast"/>
              <w:jc w:val="center"/>
              <w:textAlignment w:val="center"/>
              <w:rPr>
                <w:rFonts w:ascii="黑体" w:eastAsia="黑体" w:cs="黑体"/>
                <w:bCs/>
                <w:color w:val="000000"/>
                <w:kern w:val="0"/>
                <w:sz w:val="36"/>
                <w:szCs w:val="36"/>
                <w:highlight w:val="auto"/>
              </w:rPr>
            </w:pPr>
          </w:p>
          <w:p>
            <w:pPr>
              <w:widowControl/>
              <w:spacing w:line="240" w:lineRule="atLeast"/>
              <w:jc w:val="center"/>
              <w:textAlignment w:val="center"/>
              <w:rPr>
                <w:rFonts w:ascii="黑体" w:eastAsia="黑体" w:cs="黑体"/>
                <w:bCs/>
                <w:color w:val="000000"/>
                <w:kern w:val="0"/>
                <w:sz w:val="36"/>
                <w:szCs w:val="36"/>
                <w:highlight w:val="auto"/>
              </w:rPr>
            </w:pPr>
          </w:p>
          <w:p>
            <w:pPr>
              <w:widowControl/>
              <w:spacing w:line="240" w:lineRule="atLeast"/>
              <w:jc w:val="center"/>
              <w:textAlignment w:val="center"/>
              <w:rPr>
                <w:rFonts w:ascii="黑体" w:eastAsia="黑体" w:cs="黑体"/>
                <w:bCs/>
                <w:color w:val="000000"/>
                <w:kern w:val="0"/>
                <w:sz w:val="36"/>
                <w:szCs w:val="36"/>
                <w:highlight w:val="auto"/>
              </w:rPr>
            </w:pPr>
            <w:r>
              <w:rPr>
                <w:rFonts w:ascii="黑体" w:eastAsia="黑体" w:cs="黑体" w:hint="eastAsia"/>
                <w:bCs/>
                <w:color w:val="000000"/>
                <w:kern w:val="0"/>
                <w:sz w:val="36"/>
                <w:szCs w:val="36"/>
                <w:highlight w:val="auto"/>
              </w:rPr>
              <w:t>项目支出绩效目标完成情况表（3）</w:t>
            </w:r>
          </w:p>
          <w:p>
            <w:pPr>
              <w:widowControl/>
              <w:spacing w:line="240" w:lineRule="atLeast"/>
              <w:jc w:val="center"/>
              <w:textAlignment w:val="center"/>
              <w:rPr>
                <w:rFonts w:ascii="宋体" w:cs="宋体"/>
                <w:b/>
                <w:color w:val="000000"/>
                <w:sz w:val="24"/>
                <w:highlight w:val="auto"/>
              </w:rPr>
            </w:pPr>
            <w:r>
              <w:rPr>
                <w:rFonts w:ascii="黑体" w:eastAsia="黑体" w:cs="黑体" w:hint="eastAsia"/>
                <w:bCs/>
                <w:color w:val="000000"/>
                <w:kern w:val="0"/>
                <w:sz w:val="36"/>
                <w:szCs w:val="36"/>
                <w:highlight w:val="auto"/>
              </w:rPr>
              <w:t>（201</w:t>
            </w:r>
            <w:r>
              <w:rPr>
                <w:rFonts w:ascii="黑体" w:eastAsia="黑体" w:cs="黑体" w:hint="eastAsia"/>
                <w:bCs/>
                <w:color w:val="000000"/>
                <w:kern w:val="0"/>
                <w:sz w:val="36"/>
                <w:szCs w:val="36"/>
                <w:lang w:val="en-US" w:eastAsia="zh-CN"/>
                <w:highlight w:val="auto"/>
              </w:rPr>
              <w:t>9</w:t>
            </w:r>
            <w:r>
              <w:rPr>
                <w:rFonts w:ascii="黑体" w:eastAsia="黑体" w:cs="黑体" w:hint="eastAsia"/>
                <w:bCs/>
                <w:color w:val="000000"/>
                <w:kern w:val="0"/>
                <w:sz w:val="36"/>
                <w:szCs w:val="36"/>
                <w:highlight w:val="auto"/>
              </w:rPr>
              <w:t>年度）</w:t>
            </w:r>
          </w:p>
        </w:tc>
      </w:tr>
      <w:tr>
        <w:trPr>
          <w:trHeight w:val="285"/>
        </w:trPr>
        <w:tc>
          <w:tcPr>
            <w:tcW w:w="3065" w:type="dxa"/>
            <w:gridSpan w:val="3"/>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项目名称</w:t>
            </w:r>
          </w:p>
        </w:tc>
        <w:tc>
          <w:tcPr>
            <w:tcW w:w="7261" w:type="dxa"/>
            <w:gridSpan w:val="5"/>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lang w:val="en-US" w:eastAsia="zh-CN"/>
                <w:highlight w:val="auto"/>
              </w:rPr>
              <w:t>2019年</w:t>
            </w:r>
            <w:r>
              <w:rPr>
                <w:rFonts w:ascii="仿宋_GB2312" w:eastAsia="仿宋_GB2312" w:cs="宋体" w:hint="eastAsia"/>
                <w:color w:val="000000"/>
                <w:kern w:val="0"/>
                <w:sz w:val="24"/>
                <w:lang w:eastAsia="zh-CN"/>
                <w:highlight w:val="auto"/>
              </w:rPr>
              <w:t>浙江对口援建项目资金（第一批）</w:t>
            </w:r>
          </w:p>
        </w:tc>
      </w:tr>
      <w:tr>
        <w:trPr>
          <w:trHeight w:val="285"/>
        </w:trPr>
        <w:tc>
          <w:tcPr>
            <w:tcW w:w="3065" w:type="dxa"/>
            <w:gridSpan w:val="3"/>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预算单位</w:t>
            </w:r>
          </w:p>
        </w:tc>
        <w:tc>
          <w:tcPr>
            <w:tcW w:w="7261" w:type="dxa"/>
            <w:gridSpan w:val="5"/>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hint="eastAsia"/>
                <w:color w:val="000000"/>
                <w:kern w:val="0"/>
                <w:sz w:val="24"/>
                <w:lang w:eastAsia="zh-CN"/>
                <w:highlight w:val="auto"/>
              </w:rPr>
            </w:pPr>
            <w:r>
              <w:rPr>
                <w:rFonts w:ascii="仿宋_GB2312" w:eastAsia="仿宋_GB2312" w:cs="宋体" w:hint="eastAsia"/>
                <w:color w:val="000000"/>
                <w:kern w:val="0"/>
                <w:sz w:val="24"/>
                <w:lang w:eastAsia="zh-CN"/>
                <w:highlight w:val="auto"/>
              </w:rPr>
              <w:t>汶川县投资促进博览中心</w:t>
            </w:r>
          </w:p>
        </w:tc>
      </w:tr>
      <w:tr>
        <w:trPr>
          <w:trHeight w:val="285"/>
        </w:trPr>
        <w:tc>
          <w:tcPr>
            <w:tcW w:w="1253"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预算执行情况(万元</w:t>
            </w:r>
          </w:p>
        </w:tc>
        <w:tc>
          <w:tcPr>
            <w:tcW w:w="1812"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预算数:</w:t>
            </w:r>
          </w:p>
        </w:tc>
        <w:tc>
          <w:tcPr>
            <w:tcW w:w="1946"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lang w:val="en-US" w:eastAsia="zh-CN"/>
                <w:highlight w:val="auto"/>
              </w:rPr>
              <w:t>48</w:t>
            </w:r>
            <w:r>
              <w:rPr>
                <w:rFonts w:ascii="仿宋_GB2312" w:eastAsia="仿宋_GB2312" w:cs="宋体" w:hint="eastAsia"/>
                <w:color w:val="000000"/>
                <w:kern w:val="0"/>
                <w:sz w:val="24"/>
                <w:highlight w:val="auto"/>
              </w:rPr>
              <w:t>万元</w:t>
            </w:r>
          </w:p>
        </w:tc>
        <w:tc>
          <w:tcPr>
            <w:tcW w:w="175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执行数:</w:t>
            </w:r>
          </w:p>
        </w:tc>
        <w:tc>
          <w:tcPr>
            <w:tcW w:w="3563"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lang w:val="en-US" w:eastAsia="zh-CN"/>
                <w:highlight w:val="auto"/>
              </w:rPr>
            </w:pPr>
            <w:r>
              <w:rPr>
                <w:rFonts w:ascii="仿宋_GB2312" w:eastAsia="仿宋_GB2312" w:cs="宋体" w:hint="eastAsia"/>
                <w:color w:val="000000"/>
                <w:kern w:val="0"/>
                <w:sz w:val="24"/>
                <w:lang w:val="en-US" w:eastAsia="zh-CN"/>
                <w:highlight w:val="auto"/>
              </w:rPr>
              <w:t>48</w:t>
            </w:r>
            <w:r>
              <w:rPr>
                <w:rFonts w:ascii="仿宋_GB2312" w:eastAsia="仿宋_GB2312" w:cs="宋体" w:hint="eastAsia"/>
                <w:color w:val="000000"/>
                <w:kern w:val="0"/>
                <w:sz w:val="24"/>
                <w:highlight w:val="auto"/>
              </w:rPr>
              <w:t>万元</w:t>
            </w:r>
          </w:p>
        </w:tc>
      </w:tr>
      <w:tr>
        <w:trPr>
          <w:trHeight w:val="318"/>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1812"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其中-财政拨款:</w:t>
            </w:r>
          </w:p>
        </w:tc>
        <w:tc>
          <w:tcPr>
            <w:tcW w:w="1946"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lang w:val="en-US" w:eastAsia="zh-CN"/>
                <w:highlight w:val="auto"/>
              </w:rPr>
              <w:t>48</w:t>
            </w:r>
            <w:r>
              <w:rPr>
                <w:rFonts w:ascii="仿宋_GB2312" w:eastAsia="仿宋_GB2312" w:cs="宋体" w:hint="eastAsia"/>
                <w:color w:val="000000"/>
                <w:kern w:val="0"/>
                <w:sz w:val="24"/>
                <w:highlight w:val="auto"/>
              </w:rPr>
              <w:t>万元</w:t>
            </w:r>
          </w:p>
        </w:tc>
        <w:tc>
          <w:tcPr>
            <w:tcW w:w="175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其中-财政拨款:</w:t>
            </w:r>
          </w:p>
        </w:tc>
        <w:tc>
          <w:tcPr>
            <w:tcW w:w="3563"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lang w:val="en-US" w:eastAsia="zh-CN"/>
                <w:highlight w:val="auto"/>
              </w:rPr>
            </w:pPr>
            <w:r>
              <w:rPr>
                <w:rFonts w:ascii="仿宋_GB2312" w:eastAsia="仿宋_GB2312" w:cs="宋体" w:hint="eastAsia"/>
                <w:color w:val="000000"/>
                <w:kern w:val="0"/>
                <w:sz w:val="24"/>
                <w:lang w:val="en-US" w:eastAsia="zh-CN"/>
                <w:highlight w:val="auto"/>
              </w:rPr>
              <w:t>48万元</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1812"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rPr>
              <w:t>其他</w:t>
            </w:r>
            <w:r>
              <w:rPr>
                <w:rFonts w:ascii="仿宋_GB2312" w:eastAsia="仿宋_GB2312" w:cs="宋体" w:hint="eastAsia"/>
                <w:color w:val="000000"/>
                <w:kern w:val="0"/>
                <w:sz w:val="24"/>
                <w:highlight w:val="auto"/>
              </w:rPr>
              <w:t>资金:</w:t>
            </w:r>
          </w:p>
        </w:tc>
        <w:tc>
          <w:tcPr>
            <w:tcW w:w="1946"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p>
        </w:tc>
        <w:tc>
          <w:tcPr>
            <w:tcW w:w="175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rPr>
              <w:t>其他</w:t>
            </w:r>
            <w:r>
              <w:rPr>
                <w:rFonts w:ascii="仿宋_GB2312" w:eastAsia="仿宋_GB2312" w:cs="宋体" w:hint="eastAsia"/>
                <w:color w:val="000000"/>
                <w:kern w:val="0"/>
                <w:sz w:val="24"/>
                <w:highlight w:val="auto"/>
              </w:rPr>
              <w:t>资金:</w:t>
            </w:r>
          </w:p>
        </w:tc>
        <w:tc>
          <w:tcPr>
            <w:tcW w:w="3563"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p>
        </w:tc>
      </w:tr>
      <w:tr>
        <w:trPr>
          <w:trHeight w:val="285"/>
        </w:trPr>
        <w:tc>
          <w:tcPr>
            <w:tcW w:w="1253"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年度目标完成情况</w:t>
            </w:r>
          </w:p>
        </w:tc>
        <w:tc>
          <w:tcPr>
            <w:tcW w:w="2576" w:type="dxa"/>
            <w:gridSpan w:val="3"/>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预期目标</w:t>
            </w:r>
          </w:p>
        </w:tc>
        <w:tc>
          <w:tcPr>
            <w:tcW w:w="6497" w:type="dxa"/>
            <w:gridSpan w:val="4"/>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实际完成目标</w:t>
            </w:r>
          </w:p>
        </w:tc>
      </w:tr>
      <w:tr>
        <w:trPr>
          <w:trHeight w:val="192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2576" w:type="dxa"/>
            <w:gridSpan w:val="3"/>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仿宋_GB2312" w:hint="eastAsia"/>
                <w:sz w:val="24"/>
                <w:lang w:eastAsia="zh-CN"/>
                <w:highlight w:val="auto"/>
              </w:rPr>
            </w:pPr>
            <w:r>
              <w:rPr>
                <w:rFonts w:ascii="仿宋_GB2312" w:eastAsia="仿宋_GB2312" w:cs="仿宋_GB2312" w:hint="eastAsia"/>
                <w:sz w:val="24"/>
                <w:lang w:eastAsia="zh-CN"/>
                <w:highlight w:val="auto"/>
              </w:rPr>
              <w:t>有效利用东西部扶贫协作和对口资源消费扶贫项目资金组织好汶川县专业合作社、农户通过展示展销切实有效带动贫困人口增收。</w:t>
            </w:r>
          </w:p>
        </w:tc>
        <w:tc>
          <w:tcPr>
            <w:tcW w:w="6497" w:type="dxa"/>
            <w:gridSpan w:val="4"/>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仿宋_GB2312"/>
                <w:sz w:val="24"/>
                <w:highlight w:val="auto"/>
              </w:rPr>
            </w:pPr>
            <w:r>
              <w:rPr>
                <w:rFonts w:ascii="仿宋_GB2312" w:eastAsia="仿宋_GB2312" w:cs="仿宋_GB2312" w:hint="eastAsia"/>
                <w:sz w:val="24"/>
                <w:highlight w:val="auto"/>
              </w:rPr>
              <w:t>通过项目资金</w:t>
            </w:r>
            <w:r>
              <w:rPr>
                <w:rFonts w:ascii="仿宋_GB2312" w:eastAsia="仿宋_GB2312" w:cs="仿宋_GB2312" w:hint="eastAsia"/>
                <w:sz w:val="24"/>
                <w:lang w:eastAsia="zh-CN"/>
                <w:highlight w:val="auto"/>
              </w:rPr>
              <w:t>实施，合力合理推进项目进度，</w:t>
            </w:r>
            <w:r>
              <w:rPr>
                <w:rFonts w:ascii="仿宋_GB2312" w:eastAsia="仿宋_GB2312" w:cs="仿宋_GB2312" w:hint="eastAsia"/>
                <w:sz w:val="24"/>
                <w:lang w:val="en-US" w:eastAsia="zh-CN"/>
                <w:highlight w:val="auto"/>
              </w:rPr>
              <w:t>已完成全部消费扶贫项目，资金拨付进度达到100%。</w:t>
            </w:r>
            <w:r>
              <w:rPr>
                <w:rFonts w:ascii="仿宋_GB2312" w:eastAsia="仿宋_GB2312" w:cs="仿宋_GB2312" w:hint="eastAsia"/>
                <w:sz w:val="24"/>
                <w:lang w:eastAsia="zh-CN"/>
                <w:highlight w:val="auto"/>
              </w:rPr>
              <w:t>通过项目资金惠及贫困人口生产劳动就业达150余人次，帮助贫困户实现增收167.85万元，有效发挥了消费扶贫资金的杠杆作用。</w:t>
            </w:r>
          </w:p>
        </w:tc>
      </w:tr>
      <w:tr>
        <w:trPr>
          <w:trHeight w:val="560"/>
        </w:trPr>
        <w:tc>
          <w:tcPr>
            <w:tcW w:w="1253"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仿宋_GB2312"/>
                <w:color w:val="000000"/>
                <w:sz w:val="24"/>
                <w:highlight w:val="auto"/>
              </w:rPr>
            </w:pPr>
            <w:r>
              <w:rPr>
                <w:rFonts w:ascii="仿宋_GB2312" w:eastAsia="仿宋_GB2312" w:cs="仿宋_GB2312" w:hint="eastAsia"/>
                <w:color w:val="000000"/>
                <w:kern w:val="0"/>
                <w:sz w:val="24"/>
                <w:highlight w:val="auto"/>
              </w:rPr>
              <w:t>绩效指标完成情况</w:t>
            </w:r>
          </w:p>
        </w:tc>
        <w:tc>
          <w:tcPr>
            <w:tcW w:w="764"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一级指标</w:t>
            </w:r>
          </w:p>
        </w:tc>
        <w:tc>
          <w:tcPr>
            <w:tcW w:w="1048"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二级指标</w:t>
            </w:r>
          </w:p>
        </w:tc>
        <w:tc>
          <w:tcPr>
            <w:tcW w:w="764"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三级指标</w:t>
            </w:r>
          </w:p>
        </w:tc>
        <w:tc>
          <w:tcPr>
            <w:tcW w:w="2934" w:type="dxa"/>
            <w:gridSpan w:val="2"/>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指标评价内容</w:t>
            </w:r>
          </w:p>
        </w:tc>
        <w:tc>
          <w:tcPr>
            <w:tcW w:w="1618"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预期指标值(包含数字及文字描述)</w:t>
            </w:r>
          </w:p>
        </w:tc>
        <w:tc>
          <w:tcPr>
            <w:tcW w:w="1945"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实际完成指标值(包含数字及文字描述)</w:t>
            </w:r>
          </w:p>
        </w:tc>
      </w:tr>
      <w:tr>
        <w:trPr>
          <w:trHeight w:val="56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vAlign w:val="center"/>
          </w:tcPr>
          <w:p/>
        </w:tc>
        <w:tc>
          <w:tcPr>
            <w:tcW w:w="1048"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vAlign w:val="center"/>
          </w:tcPr>
          <w:p/>
        </w:tc>
        <w:tc>
          <w:tcPr>
            <w:tcW w:w="2934" w:type="dxa"/>
            <w:gridSpan w:val="2"/>
            <w:vMerge/>
            <w:tcBorders>
              <w:top w:val="single" w:sz="4" w:space="0" w:color="000000"/>
              <w:left w:val="single" w:sz="4" w:space="0" w:color="000000"/>
              <w:bottom w:val="single" w:sz="4" w:space="0" w:color="000000"/>
              <w:right w:val="single" w:sz="4" w:space="0" w:color="000000"/>
            </w:tcBorders>
            <w:noWrap/>
            <w:vAlign w:val="center"/>
          </w:tcPr>
          <w:p/>
        </w:tc>
        <w:tc>
          <w:tcPr>
            <w:tcW w:w="1618" w:type="dxa"/>
            <w:vMerge/>
            <w:tcBorders>
              <w:top w:val="single" w:sz="4" w:space="0" w:color="000000"/>
              <w:left w:val="single" w:sz="4" w:space="0" w:color="000000"/>
              <w:bottom w:val="single" w:sz="4" w:space="0" w:color="000000"/>
              <w:right w:val="single" w:sz="4" w:space="0" w:color="000000"/>
            </w:tcBorders>
            <w:noWrap/>
            <w:vAlign w:val="center"/>
          </w:tcPr>
          <w:p/>
        </w:tc>
        <w:tc>
          <w:tcPr>
            <w:tcW w:w="1945" w:type="dxa"/>
            <w:vMerge/>
            <w:tcBorders>
              <w:top w:val="single" w:sz="4" w:space="0" w:color="000000"/>
              <w:left w:val="single" w:sz="4" w:space="0" w:color="000000"/>
              <w:bottom w:val="single" w:sz="4" w:space="0" w:color="000000"/>
              <w:right w:val="single" w:sz="4" w:space="0" w:color="000000"/>
            </w:tcBorders>
            <w:noWrap/>
            <w:vAlign w:val="center"/>
          </w:tcPr>
          <w:p/>
        </w:tc>
      </w:tr>
      <w:tr>
        <w:trPr>
          <w:trHeight w:val="56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vAlign w:val="center"/>
          </w:tcPr>
          <w:p/>
        </w:tc>
        <w:tc>
          <w:tcPr>
            <w:tcW w:w="1048"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vAlign w:val="center"/>
          </w:tcPr>
          <w:p/>
        </w:tc>
        <w:tc>
          <w:tcPr>
            <w:tcW w:w="2934" w:type="dxa"/>
            <w:gridSpan w:val="2"/>
            <w:vMerge/>
            <w:tcBorders>
              <w:top w:val="single" w:sz="4" w:space="0" w:color="000000"/>
              <w:left w:val="single" w:sz="4" w:space="0" w:color="000000"/>
              <w:bottom w:val="single" w:sz="4" w:space="0" w:color="000000"/>
              <w:right w:val="single" w:sz="4" w:space="0" w:color="000000"/>
            </w:tcBorders>
            <w:noWrap/>
            <w:vAlign w:val="center"/>
          </w:tcPr>
          <w:p/>
        </w:tc>
        <w:tc>
          <w:tcPr>
            <w:tcW w:w="1618" w:type="dxa"/>
            <w:vMerge/>
            <w:tcBorders>
              <w:top w:val="single" w:sz="4" w:space="0" w:color="000000"/>
              <w:left w:val="single" w:sz="4" w:space="0" w:color="000000"/>
              <w:bottom w:val="single" w:sz="4" w:space="0" w:color="000000"/>
              <w:right w:val="single" w:sz="4" w:space="0" w:color="000000"/>
            </w:tcBorders>
            <w:noWrap/>
            <w:vAlign w:val="center"/>
          </w:tcPr>
          <w:p/>
        </w:tc>
        <w:tc>
          <w:tcPr>
            <w:tcW w:w="1945" w:type="dxa"/>
            <w:vMerge/>
            <w:tcBorders>
              <w:top w:val="single" w:sz="4" w:space="0" w:color="000000"/>
              <w:left w:val="single" w:sz="4" w:space="0" w:color="000000"/>
              <w:bottom w:val="single" w:sz="4" w:space="0" w:color="000000"/>
              <w:right w:val="single" w:sz="4" w:space="0" w:color="000000"/>
            </w:tcBorders>
            <w:noWrap/>
            <w:vAlign w:val="center"/>
          </w:tcPr>
          <w:p/>
        </w:tc>
      </w:tr>
      <w:tr>
        <w:trPr>
          <w:trHeight w:val="76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项目决策</w:t>
            </w: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绩效目标</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目标内容</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项目预期提供的产品、服务、效益或其他目标明确,即绩效目标实际明确个数/应当明确个数×100%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r>
      <w:tr>
        <w:trPr>
          <w:trHeight w:val="64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进度计划</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项目计划实施进度明确</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明确</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明确</w:t>
            </w:r>
          </w:p>
        </w:tc>
      </w:tr>
      <w:tr>
        <w:trPr>
          <w:trHeight w:val="69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目标匹配</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绩效目标设定符合实际需求的抽样项目点个数/抽样项目点总数×100%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r>
      <w:tr>
        <w:trPr>
          <w:trHeight w:val="76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决策依据</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政策依据</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项目符合党中央、国务院和省委、省政府决策部署；符合当前经济社会发展需要</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实施规划</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连续性项目根据需要制定中长期实施规划</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有</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有</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vMerge/>
            <w:tcBorders>
              <w:top w:val="single" w:sz="4" w:space="0" w:color="000000"/>
              <w:left w:val="single" w:sz="4" w:space="0" w:color="000000"/>
              <w:bottom w:val="single" w:sz="4" w:space="0" w:color="000000"/>
              <w:right w:val="single" w:sz="4" w:space="0" w:color="000000"/>
            </w:tcBorders>
            <w:noWrap/>
            <w:vAlign w:val="center"/>
          </w:tcP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实施规划符合实际，并根据情况变化适时调整</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vMerge w:val="restart"/>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管理制度</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制定项目资金管理办法</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是</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是</w:t>
            </w:r>
          </w:p>
        </w:tc>
      </w:tr>
      <w:tr>
        <w:trPr>
          <w:trHeight w:val="75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vMerge/>
            <w:tcBorders>
              <w:top w:val="single" w:sz="4" w:space="0" w:color="000000"/>
              <w:left w:val="single" w:sz="4" w:space="0" w:color="000000"/>
              <w:bottom w:val="single" w:sz="4" w:space="0" w:color="000000"/>
              <w:right w:val="single" w:sz="4" w:space="0" w:color="000000"/>
            </w:tcBorders>
            <w:noWrap/>
            <w:vAlign w:val="center"/>
          </w:tcP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项目资金分配决策程序明确</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明确</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明确</w:t>
            </w:r>
          </w:p>
        </w:tc>
      </w:tr>
      <w:tr>
        <w:trPr>
          <w:trHeight w:val="82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资金分配</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分配方法</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资金分配方法是否科学合理</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合理</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合理</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分配过程</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分配过程符合相关规定</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76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分配结果</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审核把关</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符合申报条件的抽样项目点个数/抽样项目点总数×100%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r>
      <w:tr>
        <w:trPr>
          <w:trHeight w:val="102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资金集中</w:t>
            </w:r>
          </w:p>
        </w:tc>
        <w:tc>
          <w:tcPr>
            <w:tcW w:w="118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集中</w:t>
            </w:r>
          </w:p>
        </w:tc>
        <w:tc>
          <w:tcPr>
            <w:tcW w:w="175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财政资金占项目资金总额比重较小项目个数/项目总数×100%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r>
      <w:tr>
        <w:trPr>
          <w:trHeight w:val="73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（均衡）</w:t>
            </w:r>
          </w:p>
        </w:tc>
        <w:tc>
          <w:tcPr>
            <w:tcW w:w="118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均衡</w:t>
            </w:r>
          </w:p>
        </w:tc>
        <w:tc>
          <w:tcPr>
            <w:tcW w:w="175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按实际分配结果选择客观因素测算验证资金分配方法制定、分配要素设定、基础数据应用、测算依据选取等是否科学合理（2分）</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合理</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合理</w:t>
            </w:r>
          </w:p>
        </w:tc>
      </w:tr>
      <w:tr>
        <w:trPr>
          <w:trHeight w:val="54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项目管理</w:t>
            </w: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资金到位</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分配时效</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县级主管部门按规定及时分配资金</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r>
      <w:tr>
        <w:trPr>
          <w:trHeight w:val="115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资金拨付</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按规定及时拨付资金</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资金管理</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使用范围</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资金使用是否合规</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是</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是</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支付依据</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资金支付依据符合规定，即支付依旧合规资金量/资金总量×100%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开支标准</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资金开支标准符合规定，即开支标准合规资金量/资金总量×100%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73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财务管理</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财务制度</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财务制度健全，管理规范</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规范</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规范</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会计核算</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会计核算规范</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规范</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规范</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组织实施（4分）</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项目调整</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项目调整严格履行相关手续</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履行</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履行</w:t>
            </w:r>
          </w:p>
        </w:tc>
      </w:tr>
      <w:tr>
        <w:trPr>
          <w:trHeight w:val="85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投资变更</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项目投资变更额/项目总投入×100%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否</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否</w:t>
            </w:r>
          </w:p>
        </w:tc>
      </w:tr>
      <w:tr>
        <w:trPr>
          <w:trHeight w:val="76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制度执行</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严格执行项目有关制度规定</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严格</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严格</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项目绩效</w:t>
            </w: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项目完成</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完成数量</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实际完成任务量/绩效目标设定任务量×100%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完成质量</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符合绩效目标设定的验收标准，达到行业基准水平</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79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完成时效</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（实际完成时间-绩效目标设定完成时间）/绩效目标设定完成时间×100%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r>
      <w:tr>
        <w:trPr>
          <w:trHeight w:val="28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完成成本</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（实际完成成本-预计完成成本）/预计完成成本×100%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好</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好</w:t>
            </w:r>
          </w:p>
        </w:tc>
      </w:tr>
      <w:tr>
        <w:trPr>
          <w:trHeight w:val="72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项目效益</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经济效益</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反映相关产出对经济社会发展带来的影响和效果，根据项目实际细化具体指标。</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r>
      <w:tr>
        <w:trPr>
          <w:trHeight w:val="735"/>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社会效益</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反映相关产出对社会发展带来的影响和效果，根据项目实际细化具体指标。</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r>
      <w:tr>
        <w:trPr>
          <w:trHeight w:val="72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生态效益</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反映相关产出对自然环境带来的影响和效果，根据项目实际细化具体指标。</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r>
      <w:tr>
        <w:trPr>
          <w:trHeight w:val="75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可持续效益</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反映相关产出带来影响的可持续期限，根据项目实际细化具体指标。</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r>
      <w:tr>
        <w:trPr>
          <w:trHeight w:val="1080"/>
        </w:trPr>
        <w:tc>
          <w:tcPr>
            <w:tcW w:w="1253" w:type="dxa"/>
            <w:vMerge/>
            <w:tcBorders>
              <w:top w:val="single" w:sz="4" w:space="0" w:color="000000"/>
              <w:left w:val="single" w:sz="4" w:space="0" w:color="000000"/>
              <w:bottom w:val="single" w:sz="4" w:space="0" w:color="000000"/>
              <w:right w:val="single" w:sz="4" w:space="0" w:color="000000"/>
            </w:tcBorders>
            <w:noWrap/>
            <w:vAlign w:val="center"/>
          </w:tcPr>
          <w:p/>
        </w:tc>
        <w:tc>
          <w:tcPr>
            <w:tcW w:w="764" w:type="dxa"/>
            <w:vMerge/>
            <w:tcBorders>
              <w:top w:val="single" w:sz="4" w:space="0" w:color="000000"/>
              <w:left w:val="single" w:sz="4" w:space="0" w:color="000000"/>
              <w:bottom w:val="single" w:sz="4" w:space="0" w:color="000000"/>
              <w:right w:val="single" w:sz="4" w:space="0" w:color="000000"/>
            </w:tcBorders>
            <w:noWrap/>
            <w:textDirection w:val="tbRlV"/>
            <w:vAlign w:val="center"/>
          </w:tcPr>
          <w:p/>
        </w:tc>
        <w:tc>
          <w:tcPr>
            <w:tcW w:w="1048"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满意度</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服务对象满意度</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反映服务对象或项目受益人对相关产出及其影响的认可程度，根据项目实际细化具体指标。</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满意</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满意</w:t>
            </w:r>
          </w:p>
        </w:tc>
      </w:tr>
      <w:tr>
        <w:trPr>
          <w:trHeight w:val="285"/>
        </w:trPr>
        <w:tc>
          <w:tcPr>
            <w:tcW w:w="10326" w:type="dxa"/>
            <w:gridSpan w:val="8"/>
            <w:tcBorders>
              <w:top w:val="nil"/>
              <w:left w:val="nil"/>
              <w:bottom w:val="nil"/>
              <w:right w:val="nil"/>
            </w:tcBorders>
            <w:noWrap/>
            <w:vAlign w:val="center"/>
          </w:tcPr>
          <w:p>
            <w:pPr>
              <w:widowControl/>
              <w:spacing w:line="240" w:lineRule="atLeast"/>
              <w:jc w:val="center"/>
              <w:textAlignment w:val="center"/>
              <w:rPr>
                <w:rFonts w:ascii="黑体" w:eastAsia="黑体" w:cs="黑体"/>
                <w:bCs/>
                <w:color w:val="000000"/>
                <w:kern w:val="0"/>
                <w:sz w:val="36"/>
                <w:szCs w:val="36"/>
                <w:highlight w:val="auto"/>
              </w:rPr>
            </w:pPr>
          </w:p>
          <w:p>
            <w:pPr>
              <w:widowControl/>
              <w:spacing w:line="240" w:lineRule="atLeast"/>
              <w:jc w:val="center"/>
              <w:textAlignment w:val="center"/>
              <w:rPr>
                <w:rFonts w:ascii="黑体" w:eastAsia="黑体" w:cs="黑体"/>
                <w:bCs/>
                <w:color w:val="000000"/>
                <w:kern w:val="0"/>
                <w:sz w:val="36"/>
                <w:szCs w:val="36"/>
                <w:highlight w:val="auto"/>
              </w:rPr>
            </w:pPr>
          </w:p>
          <w:p>
            <w:pPr>
              <w:widowControl/>
              <w:spacing w:line="240" w:lineRule="atLeast"/>
              <w:jc w:val="center"/>
              <w:textAlignment w:val="center"/>
              <w:rPr>
                <w:rFonts w:ascii="黑体" w:eastAsia="黑体" w:cs="黑体" w:hint="eastAsia"/>
                <w:bCs/>
                <w:color w:val="000000"/>
                <w:kern w:val="0"/>
                <w:sz w:val="36"/>
                <w:szCs w:val="36"/>
                <w:highlight w:val="auto"/>
              </w:rPr>
            </w:pPr>
          </w:p>
          <w:p>
            <w:pPr>
              <w:widowControl/>
              <w:spacing w:line="240" w:lineRule="atLeast"/>
              <w:jc w:val="center"/>
              <w:textAlignment w:val="center"/>
              <w:rPr>
                <w:rFonts w:ascii="黑体" w:eastAsia="黑体" w:cs="黑体"/>
                <w:bCs/>
                <w:color w:val="000000"/>
                <w:kern w:val="0"/>
                <w:sz w:val="36"/>
                <w:szCs w:val="36"/>
                <w:highlight w:val="auto"/>
              </w:rPr>
            </w:pPr>
            <w:r>
              <w:rPr>
                <w:rFonts w:ascii="黑体" w:eastAsia="黑体" w:cs="黑体" w:hint="eastAsia"/>
                <w:bCs/>
                <w:color w:val="000000"/>
                <w:kern w:val="0"/>
                <w:sz w:val="36"/>
                <w:szCs w:val="36"/>
                <w:highlight w:val="auto"/>
              </w:rPr>
              <w:t>项目支出绩效目标完成情况表（</w:t>
            </w:r>
            <w:r>
              <w:rPr>
                <w:rFonts w:ascii="黑体" w:eastAsia="黑体" w:cs="黑体" w:hint="eastAsia"/>
                <w:bCs/>
                <w:color w:val="000000"/>
                <w:kern w:val="0"/>
                <w:sz w:val="36"/>
                <w:szCs w:val="36"/>
                <w:lang w:val="en-US" w:eastAsia="zh-CN"/>
                <w:highlight w:val="auto"/>
              </w:rPr>
              <w:t>4</w:t>
            </w:r>
            <w:r>
              <w:rPr>
                <w:rFonts w:ascii="黑体" w:eastAsia="黑体" w:cs="黑体" w:hint="eastAsia"/>
                <w:bCs/>
                <w:color w:val="000000"/>
                <w:kern w:val="0"/>
                <w:sz w:val="36"/>
                <w:szCs w:val="36"/>
                <w:highlight w:val="auto"/>
              </w:rPr>
              <w:t>）</w:t>
            </w:r>
          </w:p>
          <w:p>
            <w:pPr>
              <w:widowControl/>
              <w:spacing w:line="240" w:lineRule="atLeast"/>
              <w:jc w:val="center"/>
              <w:textAlignment w:val="center"/>
              <w:rPr>
                <w:rFonts w:ascii="宋体" w:cs="宋体"/>
                <w:b/>
                <w:color w:val="000000"/>
                <w:sz w:val="24"/>
                <w:highlight w:val="auto"/>
              </w:rPr>
            </w:pPr>
            <w:r>
              <w:rPr>
                <w:rFonts w:ascii="黑体" w:eastAsia="黑体" w:cs="黑体" w:hint="eastAsia"/>
                <w:bCs/>
                <w:color w:val="000000"/>
                <w:kern w:val="0"/>
                <w:sz w:val="36"/>
                <w:szCs w:val="36"/>
                <w:highlight w:val="auto"/>
              </w:rPr>
              <w:t>（201</w:t>
            </w:r>
            <w:r>
              <w:rPr>
                <w:rFonts w:ascii="黑体" w:eastAsia="黑体" w:cs="黑体" w:hint="eastAsia"/>
                <w:bCs/>
                <w:color w:val="000000"/>
                <w:kern w:val="0"/>
                <w:sz w:val="36"/>
                <w:szCs w:val="36"/>
                <w:lang w:val="en-US" w:eastAsia="zh-CN"/>
                <w:highlight w:val="auto"/>
              </w:rPr>
              <w:t>9</w:t>
            </w:r>
            <w:r>
              <w:rPr>
                <w:rFonts w:ascii="黑体" w:eastAsia="黑体" w:cs="黑体" w:hint="eastAsia"/>
                <w:bCs/>
                <w:color w:val="000000"/>
                <w:kern w:val="0"/>
                <w:sz w:val="36"/>
                <w:szCs w:val="36"/>
                <w:highlight w:val="auto"/>
              </w:rPr>
              <w:t>年度）</w:t>
            </w:r>
          </w:p>
        </w:tc>
      </w:tr>
      <w:tr>
        <w:trPr>
          <w:trHeight w:val="285"/>
        </w:trPr>
        <w:tc>
          <w:tcPr>
            <w:tcW w:w="3065" w:type="dxa"/>
            <w:gridSpan w:val="3"/>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项目名称</w:t>
            </w:r>
          </w:p>
        </w:tc>
        <w:tc>
          <w:tcPr>
            <w:tcW w:w="7261" w:type="dxa"/>
            <w:gridSpan w:val="5"/>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lang w:eastAsia="zh-CN"/>
                <w:highlight w:val="auto"/>
              </w:rPr>
              <w:t>调整</w:t>
            </w:r>
            <w:r>
              <w:rPr>
                <w:rFonts w:ascii="仿宋_GB2312" w:eastAsia="仿宋_GB2312" w:cs="宋体" w:hint="eastAsia"/>
                <w:color w:val="000000"/>
                <w:kern w:val="0"/>
                <w:sz w:val="24"/>
                <w:lang w:val="en-US" w:eastAsia="zh-CN"/>
                <w:highlight w:val="auto"/>
              </w:rPr>
              <w:t>2019年</w:t>
            </w:r>
            <w:r>
              <w:rPr>
                <w:rFonts w:ascii="仿宋_GB2312" w:eastAsia="仿宋_GB2312" w:cs="宋体" w:hint="eastAsia"/>
                <w:color w:val="000000"/>
                <w:kern w:val="0"/>
                <w:sz w:val="24"/>
                <w:lang w:eastAsia="zh-CN"/>
                <w:highlight w:val="auto"/>
              </w:rPr>
              <w:t>对口援建项目资金，汶川县交流交往及经贸活动项目</w:t>
            </w:r>
          </w:p>
        </w:tc>
      </w:tr>
      <w:tr>
        <w:trPr>
          <w:trHeight w:val="285"/>
        </w:trPr>
        <w:tc>
          <w:tcPr>
            <w:tcW w:w="3065" w:type="dxa"/>
            <w:gridSpan w:val="3"/>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预算单位</w:t>
            </w:r>
          </w:p>
        </w:tc>
        <w:tc>
          <w:tcPr>
            <w:tcW w:w="7261" w:type="dxa"/>
            <w:gridSpan w:val="5"/>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hint="eastAsia"/>
                <w:color w:val="000000"/>
                <w:kern w:val="0"/>
                <w:sz w:val="24"/>
                <w:lang w:eastAsia="zh-CN"/>
                <w:highlight w:val="auto"/>
              </w:rPr>
            </w:pPr>
            <w:r>
              <w:rPr>
                <w:rFonts w:ascii="仿宋_GB2312" w:eastAsia="仿宋_GB2312" w:cs="宋体" w:hint="eastAsia"/>
                <w:color w:val="000000"/>
                <w:kern w:val="0"/>
                <w:sz w:val="24"/>
                <w:lang w:eastAsia="zh-CN"/>
                <w:highlight w:val="auto"/>
              </w:rPr>
              <w:t>汶川县投资促进博览中心</w:t>
            </w:r>
          </w:p>
        </w:tc>
      </w:tr>
      <w:tr>
        <w:trPr>
          <w:trHeight w:val="285"/>
        </w:trPr>
        <w:tc>
          <w:tcPr>
            <w:tcW w:w="1253"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预算执行情况(万元</w:t>
            </w:r>
          </w:p>
        </w:tc>
        <w:tc>
          <w:tcPr>
            <w:tcW w:w="1812"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预算数:</w:t>
            </w:r>
          </w:p>
        </w:tc>
        <w:tc>
          <w:tcPr>
            <w:tcW w:w="1946"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lang w:val="en-US" w:eastAsia="zh-CN"/>
                <w:highlight w:val="auto"/>
              </w:rPr>
              <w:t>7</w:t>
            </w:r>
            <w:r>
              <w:rPr>
                <w:rFonts w:ascii="仿宋_GB2312" w:eastAsia="仿宋_GB2312" w:cs="宋体" w:hint="eastAsia"/>
                <w:color w:val="000000"/>
                <w:kern w:val="0"/>
                <w:sz w:val="24"/>
                <w:highlight w:val="auto"/>
              </w:rPr>
              <w:t>万元</w:t>
            </w:r>
          </w:p>
        </w:tc>
        <w:tc>
          <w:tcPr>
            <w:tcW w:w="175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执行数:</w:t>
            </w:r>
          </w:p>
        </w:tc>
        <w:tc>
          <w:tcPr>
            <w:tcW w:w="3563"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lang w:val="en-US" w:eastAsia="zh-CN"/>
                <w:highlight w:val="auto"/>
              </w:rPr>
            </w:pPr>
            <w:r>
              <w:rPr>
                <w:rFonts w:ascii="仿宋_GB2312" w:eastAsia="仿宋_GB2312" w:cs="宋体" w:hint="eastAsia"/>
                <w:color w:val="000000"/>
                <w:kern w:val="0"/>
                <w:sz w:val="24"/>
                <w:lang w:val="en-US" w:eastAsia="zh-CN"/>
                <w:highlight w:val="auto"/>
              </w:rPr>
              <w:t>7万元</w:t>
            </w:r>
          </w:p>
        </w:tc>
      </w:tr>
      <w:tr>
        <w:trPr>
          <w:trHeight w:val="318"/>
        </w:trPr>
        <w:tc>
          <w:tcPr>
            <w:tcW w:w="1253"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p>
        </w:tc>
        <w:tc>
          <w:tcPr>
            <w:tcW w:w="1812"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其中-财政拨款:</w:t>
            </w:r>
          </w:p>
        </w:tc>
        <w:tc>
          <w:tcPr>
            <w:tcW w:w="1946"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lang w:val="en-US" w:eastAsia="zh-CN"/>
                <w:highlight w:val="auto"/>
              </w:rPr>
              <w:t>7</w:t>
            </w:r>
            <w:r>
              <w:rPr>
                <w:rFonts w:ascii="仿宋_GB2312" w:eastAsia="仿宋_GB2312" w:cs="宋体" w:hint="eastAsia"/>
                <w:color w:val="000000"/>
                <w:kern w:val="0"/>
                <w:sz w:val="24"/>
                <w:highlight w:val="auto"/>
              </w:rPr>
              <w:t>万元</w:t>
            </w:r>
          </w:p>
        </w:tc>
        <w:tc>
          <w:tcPr>
            <w:tcW w:w="175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其中-财政拨款:</w:t>
            </w:r>
          </w:p>
        </w:tc>
        <w:tc>
          <w:tcPr>
            <w:tcW w:w="3563"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lang w:val="en-US" w:eastAsia="zh-CN"/>
                <w:highlight w:val="auto"/>
              </w:rPr>
            </w:pPr>
            <w:r>
              <w:rPr>
                <w:rFonts w:ascii="仿宋_GB2312" w:eastAsia="仿宋_GB2312" w:cs="宋体" w:hint="eastAsia"/>
                <w:color w:val="000000"/>
                <w:kern w:val="0"/>
                <w:sz w:val="24"/>
                <w:lang w:val="en-US" w:eastAsia="zh-CN"/>
                <w:highlight w:val="auto"/>
              </w:rPr>
              <w:t>7万元</w:t>
            </w:r>
          </w:p>
        </w:tc>
      </w:tr>
      <w:tr>
        <w:trPr>
          <w:trHeight w:val="285"/>
        </w:trPr>
        <w:tc>
          <w:tcPr>
            <w:tcW w:w="1253"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p>
        </w:tc>
        <w:tc>
          <w:tcPr>
            <w:tcW w:w="1812"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rPr>
              <w:t>其他</w:t>
            </w:r>
            <w:r>
              <w:rPr>
                <w:rFonts w:ascii="仿宋_GB2312" w:eastAsia="仿宋_GB2312" w:cs="宋体" w:hint="eastAsia"/>
                <w:color w:val="000000"/>
                <w:kern w:val="0"/>
                <w:sz w:val="24"/>
                <w:highlight w:val="auto"/>
              </w:rPr>
              <w:t>资金:</w:t>
            </w:r>
          </w:p>
        </w:tc>
        <w:tc>
          <w:tcPr>
            <w:tcW w:w="1946"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p>
        </w:tc>
        <w:tc>
          <w:tcPr>
            <w:tcW w:w="175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rPr>
              <w:t>其他</w:t>
            </w:r>
            <w:r>
              <w:rPr>
                <w:rFonts w:ascii="仿宋_GB2312" w:eastAsia="仿宋_GB2312" w:cs="宋体" w:hint="eastAsia"/>
                <w:color w:val="000000"/>
                <w:kern w:val="0"/>
                <w:sz w:val="24"/>
                <w:highlight w:val="auto"/>
              </w:rPr>
              <w:t>资金:</w:t>
            </w:r>
          </w:p>
        </w:tc>
        <w:tc>
          <w:tcPr>
            <w:tcW w:w="3563"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p>
        </w:tc>
      </w:tr>
      <w:tr>
        <w:trPr>
          <w:trHeight w:val="285"/>
        </w:trPr>
        <w:tc>
          <w:tcPr>
            <w:tcW w:w="1253"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年度目标完成情况</w:t>
            </w:r>
          </w:p>
        </w:tc>
        <w:tc>
          <w:tcPr>
            <w:tcW w:w="2576" w:type="dxa"/>
            <w:gridSpan w:val="3"/>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预期目标</w:t>
            </w:r>
          </w:p>
        </w:tc>
        <w:tc>
          <w:tcPr>
            <w:tcW w:w="6497" w:type="dxa"/>
            <w:gridSpan w:val="4"/>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r>
              <w:rPr>
                <w:rFonts w:ascii="仿宋_GB2312" w:eastAsia="仿宋_GB2312" w:cs="宋体" w:hint="eastAsia"/>
                <w:color w:val="000000"/>
                <w:kern w:val="0"/>
                <w:sz w:val="24"/>
                <w:highlight w:val="auto"/>
              </w:rPr>
              <w:t>实际完成目标</w:t>
            </w:r>
          </w:p>
        </w:tc>
      </w:tr>
      <w:tr>
        <w:trPr>
          <w:trHeight w:val="1920"/>
        </w:trPr>
        <w:tc>
          <w:tcPr>
            <w:tcW w:w="1253"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kern w:val="0"/>
                <w:sz w:val="24"/>
                <w:highlight w:val="auto"/>
              </w:rPr>
            </w:pPr>
          </w:p>
        </w:tc>
        <w:tc>
          <w:tcPr>
            <w:tcW w:w="2576" w:type="dxa"/>
            <w:gridSpan w:val="3"/>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仿宋_GB2312" w:hint="eastAsia"/>
                <w:sz w:val="24"/>
                <w:lang w:eastAsia="zh-CN"/>
                <w:highlight w:val="auto"/>
              </w:rPr>
            </w:pPr>
            <w:r>
              <w:rPr>
                <w:rFonts w:ascii="仿宋_GB2312" w:eastAsia="仿宋_GB2312" w:cs="仿宋_GB2312" w:hint="eastAsia"/>
                <w:sz w:val="24"/>
                <w:lang w:eastAsia="zh-CN"/>
                <w:highlight w:val="auto"/>
              </w:rPr>
              <w:t>开展交往交流、经贸活动项目（招商引资推介等）</w:t>
            </w:r>
          </w:p>
        </w:tc>
        <w:tc>
          <w:tcPr>
            <w:tcW w:w="6497" w:type="dxa"/>
            <w:gridSpan w:val="4"/>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仿宋_GB2312" w:hint="eastAsia"/>
                <w:sz w:val="24"/>
                <w:lang w:eastAsia="zh-CN"/>
                <w:highlight w:val="auto"/>
              </w:rPr>
            </w:pPr>
            <w:r>
              <w:rPr>
                <w:rFonts w:ascii="仿宋_GB2312" w:eastAsia="仿宋_GB2312" w:cs="仿宋_GB2312" w:hint="eastAsia"/>
                <w:sz w:val="24"/>
                <w:lang w:eastAsia="zh-CN"/>
                <w:highlight w:val="auto"/>
              </w:rPr>
              <w:t>资金主要用于准备参加</w:t>
            </w:r>
            <w:r>
              <w:rPr>
                <w:rFonts w:ascii="仿宋_GB2312" w:eastAsia="仿宋_GB2312" w:cs="仿宋_GB2312" w:hint="eastAsia"/>
                <w:sz w:val="24"/>
                <w:lang w:val="en-US" w:eastAsia="zh-CN"/>
                <w:highlight w:val="auto"/>
              </w:rPr>
              <w:t>2019年亚洲物流及航运会议四川省专题论坛、中国义乌国际森林产品博览会、中国义乌小商品博览会等会议的推介汶川县招商引资项目资料印制、推介词翻译费、招商指南。</w:t>
            </w:r>
          </w:p>
        </w:tc>
      </w:tr>
      <w:tr>
        <w:trPr>
          <w:trHeight w:val="560"/>
        </w:trPr>
        <w:tc>
          <w:tcPr>
            <w:tcW w:w="1253"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仿宋_GB2312"/>
                <w:color w:val="000000"/>
                <w:sz w:val="24"/>
                <w:highlight w:val="auto"/>
              </w:rPr>
            </w:pPr>
            <w:r>
              <w:rPr>
                <w:rFonts w:ascii="仿宋_GB2312" w:eastAsia="仿宋_GB2312" w:cs="仿宋_GB2312" w:hint="eastAsia"/>
                <w:color w:val="000000"/>
                <w:kern w:val="0"/>
                <w:sz w:val="24"/>
                <w:highlight w:val="auto"/>
              </w:rPr>
              <w:t>绩效指标完成情况</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一级指标</w:t>
            </w:r>
          </w:p>
        </w:tc>
        <w:tc>
          <w:tcPr>
            <w:tcW w:w="1048"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二级指标</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三级指标</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指标评价内容</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预期指标值(包含数字及文字描述)</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b/>
                <w:color w:val="000000"/>
                <w:sz w:val="20"/>
                <w:szCs w:val="20"/>
                <w:highlight w:val="auto"/>
              </w:rPr>
            </w:pPr>
            <w:r>
              <w:rPr>
                <w:rFonts w:ascii="仿宋_GB2312" w:eastAsia="仿宋_GB2312" w:cs="宋体" w:hint="eastAsia"/>
                <w:b/>
                <w:color w:val="000000"/>
                <w:kern w:val="0"/>
                <w:sz w:val="20"/>
                <w:szCs w:val="20"/>
                <w:highlight w:val="auto"/>
              </w:rPr>
              <w:t>实际完成指标值(包含数字及文字描述)</w:t>
            </w:r>
          </w:p>
        </w:tc>
      </w:tr>
      <w:tr>
        <w:trPr>
          <w:trHeight w:val="560"/>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b/>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b/>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b/>
                <w:color w:val="000000"/>
                <w:sz w:val="20"/>
                <w:szCs w:val="20"/>
                <w:highlight w:val="auto"/>
              </w:rPr>
            </w:pP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b/>
                <w:color w:val="000000"/>
                <w:sz w:val="20"/>
                <w:szCs w:val="20"/>
                <w:highlight w:val="auto"/>
              </w:rPr>
            </w:pP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b/>
                <w:color w:val="000000"/>
                <w:sz w:val="20"/>
                <w:szCs w:val="20"/>
                <w:highlight w:val="auto"/>
              </w:rPr>
            </w:pP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b/>
                <w:color w:val="000000"/>
                <w:sz w:val="20"/>
                <w:szCs w:val="20"/>
                <w:highlight w:val="auto"/>
              </w:rPr>
            </w:pPr>
          </w:p>
        </w:tc>
      </w:tr>
      <w:tr>
        <w:trPr>
          <w:trHeight w:val="560"/>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b/>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b/>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b/>
                <w:color w:val="000000"/>
                <w:sz w:val="20"/>
                <w:szCs w:val="20"/>
                <w:highlight w:val="auto"/>
              </w:rPr>
            </w:pP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b/>
                <w:color w:val="000000"/>
                <w:sz w:val="20"/>
                <w:szCs w:val="20"/>
                <w:highlight w:val="auto"/>
              </w:rPr>
            </w:pP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b/>
                <w:color w:val="000000"/>
                <w:sz w:val="20"/>
                <w:szCs w:val="20"/>
                <w:highlight w:val="auto"/>
              </w:rPr>
            </w:pP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b/>
                <w:color w:val="000000"/>
                <w:sz w:val="20"/>
                <w:szCs w:val="20"/>
                <w:highlight w:val="auto"/>
              </w:rPr>
            </w:pPr>
          </w:p>
        </w:tc>
      </w:tr>
      <w:tr>
        <w:trPr>
          <w:trHeight w:val="76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项目决策</w:t>
            </w: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绩效目标</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目标内容</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项目预期提供的产品、服务、效益或其他目标明确,即绩效目标实际明确个数/应当明确个数×100%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r>
      <w:tr>
        <w:trPr>
          <w:trHeight w:val="64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进度计划</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项目计划实施进度明确</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明确</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明确</w:t>
            </w:r>
          </w:p>
        </w:tc>
      </w:tr>
      <w:tr>
        <w:trPr>
          <w:trHeight w:val="690"/>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目标匹配</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绩效目标设定符合实际需求的抽样项目点个数/抽样项目点总数×100%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r>
      <w:tr>
        <w:trPr>
          <w:trHeight w:val="76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决策依据</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政策依据</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项目符合党中央、国务院和省委、省政府决策部署；符合当前经济社会发展需要</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28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实施规划</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连续性项目根据需要制定中长期实施规划</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有</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有</w:t>
            </w:r>
          </w:p>
        </w:tc>
      </w:tr>
      <w:tr>
        <w:trPr>
          <w:trHeight w:val="28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实施规划符合实际，并根据情况变化适时调整</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28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管理制度</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制定项目资金管理办法</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是</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是</w:t>
            </w:r>
          </w:p>
        </w:tc>
      </w:tr>
      <w:tr>
        <w:trPr>
          <w:trHeight w:val="750"/>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项目资金分配决策程序明确</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明确</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明确</w:t>
            </w:r>
          </w:p>
        </w:tc>
      </w:tr>
      <w:tr>
        <w:trPr>
          <w:trHeight w:val="82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资金分配</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分配方法</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资金分配方法是否科学合理</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合理</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合理</w:t>
            </w:r>
          </w:p>
        </w:tc>
      </w:tr>
      <w:tr>
        <w:trPr>
          <w:trHeight w:val="28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分配过程</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分配过程符合相关规定</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76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分配结果</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审核把关</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符合申报条件的抽样项目点个数/抽样项目点总数×100%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r>
      <w:tr>
        <w:trPr>
          <w:trHeight w:val="1020"/>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资金集中</w:t>
            </w:r>
          </w:p>
        </w:tc>
        <w:tc>
          <w:tcPr>
            <w:tcW w:w="118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集中</w:t>
            </w:r>
          </w:p>
        </w:tc>
        <w:tc>
          <w:tcPr>
            <w:tcW w:w="175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财政资金占项目资金总额比重较小项目个数/项目总数×100%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r>
      <w:tr>
        <w:trPr>
          <w:trHeight w:val="73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（均衡）</w:t>
            </w:r>
          </w:p>
        </w:tc>
        <w:tc>
          <w:tcPr>
            <w:tcW w:w="118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均衡</w:t>
            </w:r>
          </w:p>
        </w:tc>
        <w:tc>
          <w:tcPr>
            <w:tcW w:w="1752"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按实际分配结果选择客观因素测算验证资金分配方法制定、分配要素设定、基础数据应用、测算依据选取等是否科学合理（2分）</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合理</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合理</w:t>
            </w:r>
          </w:p>
        </w:tc>
      </w:tr>
      <w:tr>
        <w:trPr>
          <w:trHeight w:val="540"/>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项目管理</w:t>
            </w: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资金到位</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分配时效</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县级主管部门按规定及时分配资金</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r>
      <w:tr>
        <w:trPr>
          <w:trHeight w:val="115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资金拨付</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按规定及时拨付资金</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r>
      <w:tr>
        <w:trPr>
          <w:trHeight w:val="28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资金管理</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使用范围</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资金使用是否合规</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是</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是</w:t>
            </w:r>
          </w:p>
        </w:tc>
      </w:tr>
      <w:tr>
        <w:trPr>
          <w:trHeight w:val="28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支付依据</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资金支付依据符合规定，即支付依旧合规资金量/资金总量×100%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28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开支标准</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资金开支标准符合规定，即开支标准合规资金量/资金总量×100%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73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财务管理</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财务制度</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财务制度健全，管理规范</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规范</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规范</w:t>
            </w:r>
          </w:p>
        </w:tc>
      </w:tr>
      <w:tr>
        <w:trPr>
          <w:trHeight w:val="28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会计核算</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会计核算规范</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规范</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规范</w:t>
            </w:r>
          </w:p>
        </w:tc>
      </w:tr>
      <w:tr>
        <w:trPr>
          <w:trHeight w:val="28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组织实施（4分）</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项目调整</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项目调整严格履行相关手续</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履行</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履行</w:t>
            </w:r>
          </w:p>
        </w:tc>
      </w:tr>
      <w:tr>
        <w:trPr>
          <w:trHeight w:val="85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投资变更</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项目投资变更额/项目总投入×100%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否</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否</w:t>
            </w:r>
          </w:p>
        </w:tc>
      </w:tr>
      <w:tr>
        <w:trPr>
          <w:trHeight w:val="76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制度执行</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严格执行项目有关制度规定</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严格</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严格</w:t>
            </w:r>
          </w:p>
        </w:tc>
      </w:tr>
      <w:tr>
        <w:trPr>
          <w:trHeight w:val="28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项目绩效</w:t>
            </w: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项目完成</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完成数量</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实际完成任务量/绩效目标设定任务量×100%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1个</w:t>
            </w:r>
          </w:p>
        </w:tc>
      </w:tr>
      <w:tr>
        <w:trPr>
          <w:trHeight w:val="28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完成质量</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符合绩效目标设定的验收标准，达到行业基准水平</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符合</w:t>
            </w:r>
          </w:p>
        </w:tc>
      </w:tr>
      <w:tr>
        <w:trPr>
          <w:trHeight w:val="79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完成时效</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（实际完成时间-绩效目标设定完成时间）/绩效目标设定完成时间×100%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及时</w:t>
            </w:r>
          </w:p>
        </w:tc>
      </w:tr>
      <w:tr>
        <w:trPr>
          <w:trHeight w:val="28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完成成本</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（实际完成成本-预计完成成本）/预计完成成本×100%</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好</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好</w:t>
            </w:r>
          </w:p>
        </w:tc>
      </w:tr>
      <w:tr>
        <w:trPr>
          <w:trHeight w:val="720"/>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widowControl/>
              <w:spacing w:line="240" w:lineRule="atLeast"/>
              <w:jc w:val="center"/>
              <w:textAlignment w:val="bottom"/>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项目效益</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经济效益</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反映相关产出对经济社会发展带来的影响和效果，根据项目实际细化具体指标。</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r>
      <w:tr>
        <w:trPr>
          <w:trHeight w:val="735"/>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社会效益</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反映相关产出对社会发展带来的影响和效果，根据项目实际细化具体指标。</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r>
      <w:tr>
        <w:trPr>
          <w:trHeight w:val="720"/>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生态效益</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反映相关产出对自然环境带来的影响和效果，根据项目实际细化具体指标。</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r>
      <w:tr>
        <w:trPr>
          <w:trHeight w:val="750"/>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可持续效益</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bottom"/>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反映相关产出带来影响的可持续期限，根据项目实际细化具体指标。</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无</w:t>
            </w:r>
          </w:p>
        </w:tc>
      </w:tr>
      <w:tr>
        <w:trPr>
          <w:trHeight w:val="1080"/>
        </w:trPr>
        <w:tc>
          <w:tcPr>
            <w:tcW w:w="1253"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仿宋_GB2312"/>
                <w:color w:val="000000"/>
                <w:sz w:val="24"/>
                <w:highlight w:val="auto"/>
              </w:rPr>
            </w:pPr>
          </w:p>
        </w:tc>
        <w:tc>
          <w:tcPr>
            <w:tcW w:w="764" w:type="dxa"/>
            <w:tcBorders>
              <w:top w:val="single" w:sz="4" w:space="0" w:color="000000"/>
              <w:left w:val="single" w:sz="4" w:space="0" w:color="000000"/>
              <w:bottom w:val="single" w:sz="4" w:space="0" w:color="000000"/>
              <w:right w:val="single" w:sz="4" w:space="0" w:color="000000"/>
            </w:tcBorders>
            <w:noWrap/>
            <w:textDirection w:val="tbRlV"/>
            <w:vAlign w:val="center"/>
          </w:tcPr>
          <w:p>
            <w:pPr>
              <w:spacing w:line="240" w:lineRule="atLeast"/>
              <w:jc w:val="center"/>
              <w:rPr>
                <w:rFonts w:ascii="仿宋_GB2312" w:eastAsia="仿宋_GB2312" w:cs="宋体"/>
                <w:color w:val="000000"/>
                <w:sz w:val="20"/>
                <w:szCs w:val="20"/>
                <w:highlight w:val="auto"/>
              </w:rPr>
            </w:pPr>
          </w:p>
        </w:tc>
        <w:tc>
          <w:tcPr>
            <w:tcW w:w="1048"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sz w:val="20"/>
                <w:szCs w:val="20"/>
                <w:highlight w:val="auto"/>
              </w:rPr>
            </w:pPr>
            <w:r>
              <w:rPr>
                <w:rFonts w:ascii="仿宋_GB2312" w:eastAsia="仿宋_GB2312" w:cs="宋体" w:hint="eastAsia"/>
                <w:color w:val="000000"/>
                <w:kern w:val="0"/>
                <w:sz w:val="20"/>
                <w:szCs w:val="20"/>
                <w:highlight w:val="auto"/>
              </w:rPr>
              <w:t>满意度</w:t>
            </w:r>
          </w:p>
        </w:tc>
        <w:tc>
          <w:tcPr>
            <w:tcW w:w="764" w:type="dxa"/>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服务对象满意度</w:t>
            </w:r>
          </w:p>
        </w:tc>
        <w:tc>
          <w:tcPr>
            <w:tcW w:w="2934" w:type="dxa"/>
            <w:gridSpan w:val="2"/>
            <w:tcBorders>
              <w:top w:val="single" w:sz="4" w:space="0" w:color="000000"/>
              <w:left w:val="single" w:sz="4" w:space="0" w:color="000000"/>
              <w:bottom w:val="single" w:sz="4" w:space="0" w:color="000000"/>
              <w:right w:val="single" w:sz="4" w:space="0" w:color="000000"/>
            </w:tcBorders>
            <w:noWrap/>
            <w:vAlign w:val="center"/>
          </w:tcPr>
          <w:p>
            <w:pPr>
              <w:widowControl/>
              <w:spacing w:line="240" w:lineRule="atLeast"/>
              <w:jc w:val="center"/>
              <w:textAlignment w:val="center"/>
              <w:rPr>
                <w:rFonts w:ascii="仿宋_GB2312" w:eastAsia="仿宋_GB2312" w:cs="宋体"/>
                <w:color w:val="000000"/>
                <w:sz w:val="18"/>
                <w:szCs w:val="18"/>
                <w:highlight w:val="auto"/>
              </w:rPr>
            </w:pPr>
            <w:r>
              <w:rPr>
                <w:rFonts w:ascii="仿宋_GB2312" w:eastAsia="仿宋_GB2312" w:cs="宋体" w:hint="eastAsia"/>
                <w:color w:val="000000"/>
                <w:kern w:val="0"/>
                <w:sz w:val="18"/>
                <w:szCs w:val="18"/>
                <w:highlight w:val="auto"/>
              </w:rPr>
              <w:t>反映服务对象或项目受益人对相关产出及其影响的认可程度，根据项目实际细化具体指标。</w:t>
            </w:r>
          </w:p>
        </w:tc>
        <w:tc>
          <w:tcPr>
            <w:tcW w:w="1618"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满意</w:t>
            </w:r>
          </w:p>
        </w:tc>
        <w:tc>
          <w:tcPr>
            <w:tcW w:w="1945" w:type="dxa"/>
            <w:tcBorders>
              <w:top w:val="single" w:sz="4" w:space="0" w:color="000000"/>
              <w:left w:val="single" w:sz="4" w:space="0" w:color="000000"/>
              <w:bottom w:val="single" w:sz="4" w:space="0" w:color="000000"/>
              <w:right w:val="single" w:sz="4" w:space="0" w:color="000000"/>
            </w:tcBorders>
            <w:noWrap/>
            <w:vAlign w:val="center"/>
          </w:tcPr>
          <w:p>
            <w:pPr>
              <w:spacing w:line="240" w:lineRule="atLeast"/>
              <w:jc w:val="center"/>
              <w:rPr>
                <w:rFonts w:ascii="仿宋_GB2312" w:eastAsia="仿宋_GB2312" w:cs="宋体"/>
                <w:color w:val="000000"/>
                <w:sz w:val="18"/>
                <w:szCs w:val="18"/>
                <w:highlight w:val="auto"/>
              </w:rPr>
            </w:pPr>
            <w:r>
              <w:rPr>
                <w:rFonts w:ascii="仿宋_GB2312" w:eastAsia="仿宋_GB2312" w:cs="宋体" w:hint="eastAsia"/>
                <w:color w:val="000000"/>
                <w:sz w:val="18"/>
                <w:szCs w:val="18"/>
                <w:highlight w:val="auto"/>
              </w:rPr>
              <w:t>满意</w:t>
            </w:r>
          </w:p>
        </w:tc>
      </w:tr>
    </w:tbl>
    <w:p>
      <w:pPr>
        <w:pStyle w:val="24"/>
        <w:rPr>
          <w:rFonts w:hint="eastAsia"/>
          <w:highlight w:val="auto"/>
        </w:rPr>
      </w:pPr>
    </w:p>
    <w:p>
      <w:pPr>
        <w:numPr>
          <w:ilvl w:val="0"/>
          <w:numId w:val="3"/>
        </w:numPr>
        <w:spacing w:line="580" w:lineRule="exact"/>
        <w:ind w:left="0" w:firstLineChars="200" w:firstLine="640"/>
        <w:rPr>
          <w:rFonts w:ascii="仿宋_GB2312" w:eastAsia="仿宋_GB2312" w:cs="仿宋_GB2312" w:hint="eastAsia"/>
          <w:sz w:val="32"/>
          <w:szCs w:val="32"/>
          <w:highlight w:val="auto"/>
        </w:rPr>
      </w:pPr>
      <w:r>
        <w:rPr>
          <w:rFonts w:ascii="仿宋_GB2312" w:eastAsia="仿宋_GB2312" w:cs="仿宋_GB2312" w:hint="eastAsia"/>
          <w:b/>
          <w:bCs/>
          <w:sz w:val="32"/>
          <w:szCs w:val="32"/>
          <w:highlight w:val="auto"/>
        </w:rPr>
        <w:t>部门开展绩效评价结果。</w:t>
      </w:r>
    </w:p>
    <w:p>
      <w:pPr>
        <w:spacing w:line="560" w:lineRule="exact"/>
        <w:ind w:firstLineChars="200" w:firstLine="640"/>
        <w:rPr>
          <w:rFonts w:ascii="方正小标宋简体" w:eastAsia="方正小标宋简体" w:cs="方正小标宋简体"/>
          <w:sz w:val="44"/>
          <w:szCs w:val="44"/>
          <w:highlight w:val="auto"/>
        </w:rPr>
      </w:pPr>
      <w:r>
        <w:rPr>
          <w:rFonts w:ascii="仿宋_GB2312" w:eastAsia="仿宋_GB2312" w:hint="eastAsia"/>
          <w:color w:val="000000"/>
          <w:sz w:val="32"/>
          <w:szCs w:val="32"/>
          <w:lang w:val="zh-CN"/>
          <w:highlight w:val="auto"/>
        </w:rPr>
        <w:t>严格按照《预算法》进行本级预算编制，中央转移支付资金按照文件要求下达，专项转移支付严格根据分地区分项目进行编制；部门预算执行到位，严格按照预算管理进行支付并做到节能降耗，“三公”经费严格按照年初预算执行；严格按照《政府会计制度》和《政府会计准则》的规定设置的会计科目，建立了科学有效的会计核算方式，均真实、合法、准确的反映各项收支活动；建立健全了内控制度，加强和完善了经费收支和财务管理，积极配合各级财政部门开展相关经费的考评工作；本单位在资金使用过程中，合理使用各项资金，严格执行各项经费开支范围和标准，</w:t>
      </w:r>
      <w:r>
        <w:rPr>
          <w:rFonts w:ascii="仿宋_GB2312" w:eastAsia="仿宋_GB2312" w:hint="eastAsia"/>
          <w:color w:val="000000"/>
          <w:sz w:val="32"/>
          <w:szCs w:val="32"/>
          <w:highlight w:val="auto"/>
        </w:rPr>
        <w:t>确保专款专用；在账务报销过程中贯彻执行国家颁布的有关财务制度，严格按照《会计法》规定以完整、合法的原始凭证及财务报销手续进行报账、核算，做到了手续齐备、内容真实、数据准确、账目清晰，认真及时的填报了各项年度统计报表；在整个财务收支管理中做到了会计核算与财政收支账一致，实现了会计电算化，在采购资金支出时手续齐备，采购的固定资产及时登记并入账；严格落实《党政机关厉行节约反对浪费条例》的相关规定，进一步规范了“三公经费”的管理并严格控制了“三公经费”的支出。</w:t>
      </w:r>
    </w:p>
    <w:p>
      <w:pPr>
        <w:spacing w:line="580" w:lineRule="exact"/>
        <w:rPr>
          <w:rFonts w:ascii="仿宋_GB2312" w:eastAsia="仿宋_GB2312" w:cs="仿宋_GB2312" w:hint="eastAsia"/>
          <w:sz w:val="44"/>
          <w:szCs w:val="44"/>
          <w:highlight w:val="auto"/>
        </w:rPr>
      </w:pPr>
    </w:p>
    <w:p>
      <w:pPr>
        <w:spacing w:line="560" w:lineRule="exact"/>
        <w:ind w:firstLineChars="200" w:firstLine="640"/>
        <w:rPr>
          <w:rStyle w:val="2Char"/>
          <w:rFonts w:ascii="黑体" w:eastAsia="黑体" w:cs="黑体" w:hint="eastAsia"/>
          <w:b w:val="0"/>
          <w:highlight w:val="auto"/>
        </w:rPr>
      </w:pPr>
      <w:bookmarkStart w:id="53" w:name="_Toc20297166"/>
      <w:bookmarkStart w:id="54" w:name="_Toc15377221"/>
      <w:r>
        <w:rPr>
          <w:rStyle w:val="2Char"/>
          <w:rFonts w:ascii="黑体" w:eastAsia="黑体" w:cs="黑体" w:hint="eastAsia"/>
          <w:b w:val="0"/>
          <w:highlight w:val="auto"/>
        </w:rPr>
        <w:t>十一、其他重要事项的情况说明</w:t>
      </w:r>
      <w:bookmarkEnd w:id="53"/>
      <w:bookmarkEnd w:id="54"/>
    </w:p>
    <w:p>
      <w:pPr>
        <w:spacing w:line="560" w:lineRule="exact"/>
        <w:ind w:firstLineChars="200" w:firstLine="640"/>
        <w:rPr>
          <w:rFonts w:ascii="楷体" w:eastAsia="楷体" w:cs="楷体"/>
          <w:color w:val="000000"/>
          <w:sz w:val="32"/>
          <w:szCs w:val="32"/>
          <w:highlight w:val="auto"/>
        </w:rPr>
      </w:pPr>
      <w:bookmarkStart w:id="55" w:name="_Toc15377222"/>
      <w:r>
        <w:rPr>
          <w:rFonts w:ascii="楷体" w:eastAsia="楷体" w:cs="楷体" w:hint="eastAsia"/>
          <w:b/>
          <w:color w:val="000000"/>
          <w:sz w:val="32"/>
          <w:szCs w:val="32"/>
          <w:highlight w:val="auto"/>
        </w:rPr>
        <w:t>（一）机关运行经费支出情况</w:t>
      </w:r>
      <w:bookmarkEnd w:id="55"/>
    </w:p>
    <w:p>
      <w:pPr>
        <w:spacing w:line="560" w:lineRule="exact"/>
        <w:ind w:firstLineChars="200" w:firstLine="640"/>
        <w:rPr>
          <w:rFonts w:ascii="仿宋_GB2312" w:eastAsia="仿宋_GB2312"/>
          <w:color w:val="000000"/>
          <w:sz w:val="32"/>
          <w:szCs w:val="32"/>
          <w:lang w:val="en-US" w:eastAsia="zh-CN"/>
          <w:highlight w:val="auto"/>
        </w:rPr>
      </w:pPr>
      <w:r>
        <w:rPr>
          <w:rFonts w:ascii="仿宋_GB2312" w:eastAsia="仿宋_GB2312"/>
          <w:color w:val="000000"/>
          <w:sz w:val="32"/>
          <w:szCs w:val="32"/>
          <w:highlight w:val="auto"/>
        </w:rPr>
        <w:t>201</w:t>
      </w:r>
      <w:r>
        <w:rPr>
          <w:rFonts w:ascii="仿宋_GB2312" w:eastAsia="仿宋_GB2312" w:hint="eastAsia"/>
          <w:color w:val="000000"/>
          <w:sz w:val="32"/>
          <w:szCs w:val="32"/>
          <w:lang w:val="en-US" w:eastAsia="zh-CN"/>
          <w:highlight w:val="auto"/>
        </w:rPr>
        <w:t>9</w:t>
      </w:r>
      <w:r>
        <w:rPr>
          <w:rFonts w:ascii="仿宋_GB2312" w:eastAsia="仿宋_GB2312" w:hint="eastAsia"/>
          <w:color w:val="000000"/>
          <w:sz w:val="32"/>
          <w:szCs w:val="32"/>
          <w:highlight w:val="auto"/>
        </w:rPr>
        <w:t>年，</w:t>
      </w:r>
      <w:r>
        <w:rPr>
          <w:rFonts w:ascii="仿宋_GB2312" w:eastAsia="仿宋_GB2312" w:hint="eastAsia"/>
          <w:color w:val="000000"/>
          <w:sz w:val="32"/>
          <w:szCs w:val="32"/>
          <w:lang w:val="en-US" w:eastAsia="zh-CN"/>
          <w:highlight w:val="auto"/>
        </w:rPr>
        <w:t>我中心</w:t>
      </w:r>
      <w:r>
        <w:rPr>
          <w:rFonts w:ascii="仿宋_GB2312" w:eastAsia="仿宋_GB2312" w:hint="eastAsia"/>
          <w:color w:val="000000"/>
          <w:sz w:val="32"/>
          <w:szCs w:val="32"/>
          <w:highlight w:val="auto"/>
        </w:rPr>
        <w:t>机关运行经费</w:t>
      </w:r>
      <w:r>
        <w:rPr>
          <w:rFonts w:ascii="仿宋_GB2312" w:eastAsia="仿宋_GB2312" w:hint="eastAsia"/>
          <w:color w:val="000000"/>
          <w:sz w:val="32"/>
          <w:szCs w:val="32"/>
          <w:lang w:val="en-US" w:eastAsia="zh-CN"/>
          <w:highlight w:val="auto"/>
        </w:rPr>
        <w:t>商贸事务</w:t>
      </w:r>
      <w:r>
        <w:rPr>
          <w:rFonts w:ascii="仿宋_GB2312" w:eastAsia="仿宋_GB2312" w:hint="eastAsia"/>
          <w:color w:val="000000"/>
          <w:sz w:val="32"/>
          <w:szCs w:val="32"/>
          <w:highlight w:val="auto"/>
        </w:rPr>
        <w:t>支出</w:t>
      </w:r>
      <w:r>
        <w:rPr>
          <w:rFonts w:ascii="仿宋_GB2312" w:eastAsia="仿宋_GB2312" w:hint="eastAsia"/>
          <w:color w:val="000000"/>
          <w:sz w:val="32"/>
          <w:szCs w:val="32"/>
          <w:lang w:val="en-US" w:eastAsia="zh-CN"/>
          <w:highlight w:val="auto"/>
        </w:rPr>
        <w:t>268.43</w:t>
      </w:r>
      <w:r>
        <w:rPr>
          <w:rFonts w:ascii="仿宋_GB2312" w:eastAsia="仿宋_GB2312" w:hint="eastAsia"/>
          <w:color w:val="000000"/>
          <w:sz w:val="32"/>
          <w:szCs w:val="32"/>
          <w:highlight w:val="auto"/>
        </w:rPr>
        <w:t>万元，</w:t>
      </w:r>
      <w:r>
        <w:rPr>
          <w:rFonts w:ascii="仿宋_GB2312" w:eastAsia="仿宋_GB2312" w:hint="eastAsia"/>
          <w:color w:val="000000"/>
          <w:sz w:val="32"/>
          <w:szCs w:val="32"/>
          <w:lang w:val="en-US" w:eastAsia="zh-CN"/>
          <w:highlight w:val="auto"/>
        </w:rPr>
        <w:t>其中机关事业运行支出175.9元，其他商贸事务支出92.53万元。</w:t>
      </w:r>
    </w:p>
    <w:p>
      <w:pPr>
        <w:spacing w:line="560" w:lineRule="exact"/>
        <w:ind w:firstLineChars="200" w:firstLine="640"/>
        <w:rPr>
          <w:rFonts w:ascii="仿宋" w:eastAsia="仿宋"/>
          <w:b/>
          <w:color w:val="000000"/>
          <w:sz w:val="32"/>
          <w:szCs w:val="32"/>
          <w:highlight w:val="auto"/>
        </w:rPr>
      </w:pPr>
      <w:r>
        <w:rPr>
          <w:rFonts w:ascii="仿宋" w:eastAsia="仿宋" w:hint="eastAsia"/>
          <w:b/>
          <w:color w:val="000000"/>
          <w:sz w:val="32"/>
          <w:szCs w:val="32"/>
          <w:highlight w:val="auto"/>
        </w:rPr>
        <w:t>（数据来源财决</w:t>
      </w:r>
      <w:r>
        <w:rPr>
          <w:rFonts w:ascii="仿宋" w:eastAsia="仿宋"/>
          <w:b/>
          <w:color w:val="000000"/>
          <w:sz w:val="32"/>
          <w:szCs w:val="32"/>
          <w:highlight w:val="auto"/>
        </w:rPr>
        <w:t>CS05</w:t>
      </w:r>
      <w:r>
        <w:rPr>
          <w:rFonts w:ascii="仿宋" w:eastAsia="仿宋" w:hint="eastAsia"/>
          <w:b/>
          <w:color w:val="000000"/>
          <w:sz w:val="32"/>
          <w:szCs w:val="32"/>
          <w:highlight w:val="auto"/>
        </w:rPr>
        <w:t>表）</w:t>
      </w:r>
    </w:p>
    <w:p>
      <w:pPr>
        <w:autoSpaceDE w:val="0"/>
        <w:autoSpaceDN w:val="0"/>
        <w:adjustRightInd w:val="0"/>
        <w:spacing w:line="560" w:lineRule="exact"/>
        <w:ind w:firstLineChars="200" w:firstLine="640"/>
        <w:rPr>
          <w:rFonts w:ascii="楷体" w:eastAsia="楷体" w:cs="楷体"/>
          <w:b/>
          <w:color w:val="000000"/>
          <w:sz w:val="32"/>
          <w:szCs w:val="32"/>
          <w:highlight w:val="auto"/>
        </w:rPr>
      </w:pPr>
      <w:bookmarkStart w:id="56" w:name="_Toc15377223"/>
      <w:r>
        <w:rPr>
          <w:rFonts w:ascii="楷体" w:eastAsia="楷体" w:cs="楷体" w:hint="eastAsia"/>
          <w:b/>
          <w:color w:val="000000"/>
          <w:sz w:val="32"/>
          <w:szCs w:val="32"/>
          <w:highlight w:val="auto"/>
        </w:rPr>
        <w:t>（二）政府采购支出情况</w:t>
      </w:r>
      <w:bookmarkEnd w:id="56"/>
    </w:p>
    <w:p>
      <w:pPr>
        <w:spacing w:line="560" w:lineRule="exact"/>
        <w:ind w:firstLineChars="200" w:firstLine="640"/>
        <w:rPr>
          <w:rFonts w:ascii="仿宋_GB2312" w:eastAsia="仿宋_GB2312"/>
          <w:color w:val="000000"/>
          <w:sz w:val="32"/>
          <w:szCs w:val="32"/>
          <w:highlight w:val="auto"/>
        </w:rPr>
      </w:pPr>
      <w:r>
        <w:rPr>
          <w:rFonts w:ascii="仿宋_GB2312" w:eastAsia="仿宋_GB2312"/>
          <w:color w:val="000000"/>
          <w:sz w:val="32"/>
          <w:szCs w:val="32"/>
          <w:highlight w:val="auto"/>
        </w:rPr>
        <w:t>201</w:t>
      </w:r>
      <w:r>
        <w:rPr>
          <w:rFonts w:ascii="仿宋_GB2312" w:eastAsia="仿宋_GB2312" w:hint="eastAsia"/>
          <w:color w:val="000000"/>
          <w:sz w:val="32"/>
          <w:szCs w:val="32"/>
          <w:lang w:val="en-US" w:eastAsia="zh-CN"/>
          <w:highlight w:val="auto"/>
        </w:rPr>
        <w:t>9</w:t>
      </w:r>
      <w:r>
        <w:rPr>
          <w:rFonts w:ascii="仿宋_GB2312" w:eastAsia="仿宋_GB2312" w:hint="eastAsia"/>
          <w:color w:val="000000"/>
          <w:sz w:val="32"/>
          <w:szCs w:val="32"/>
          <w:highlight w:val="auto"/>
        </w:rPr>
        <w:t>年，政府采购支出总额0万元，其中：政府采购货物支出0万元、政府采购工程支出0万元、政府采购服务支出0万元。主要用于无（具体工作）。授予中小企业合同金额0万元，占政府采购支出总额的0</w:t>
      </w:r>
      <w:r>
        <w:rPr>
          <w:rFonts w:ascii="仿宋_GB2312" w:eastAsia="仿宋_GB2312"/>
          <w:color w:val="000000"/>
          <w:sz w:val="32"/>
          <w:szCs w:val="32"/>
          <w:highlight w:val="auto"/>
        </w:rPr>
        <w:t>%</w:t>
      </w:r>
      <w:r>
        <w:rPr>
          <w:rFonts w:ascii="仿宋_GB2312" w:eastAsia="仿宋_GB2312" w:hint="eastAsia"/>
          <w:color w:val="000000"/>
          <w:sz w:val="32"/>
          <w:szCs w:val="32"/>
          <w:highlight w:val="auto"/>
        </w:rPr>
        <w:t>，其中：授予小微企业合同金额0万元，占政府采购支出总额的0</w:t>
      </w:r>
      <w:r>
        <w:rPr>
          <w:rFonts w:ascii="仿宋_GB2312" w:eastAsia="仿宋_GB2312"/>
          <w:color w:val="000000"/>
          <w:sz w:val="32"/>
          <w:szCs w:val="32"/>
          <w:highlight w:val="auto"/>
        </w:rPr>
        <w:t>%</w:t>
      </w:r>
      <w:r>
        <w:rPr>
          <w:rFonts w:ascii="仿宋_GB2312" w:eastAsia="仿宋_GB2312" w:hint="eastAsia"/>
          <w:color w:val="000000"/>
          <w:sz w:val="32"/>
          <w:szCs w:val="32"/>
          <w:highlight w:val="auto"/>
        </w:rPr>
        <w:t>。</w:t>
      </w:r>
    </w:p>
    <w:p>
      <w:pPr>
        <w:autoSpaceDE w:val="0"/>
        <w:autoSpaceDN w:val="0"/>
        <w:adjustRightInd w:val="0"/>
        <w:spacing w:line="560" w:lineRule="exact"/>
        <w:ind w:firstLineChars="200" w:firstLine="640"/>
        <w:rPr>
          <w:rFonts w:ascii="仿宋" w:eastAsia="仿宋"/>
          <w:b/>
          <w:color w:val="000000"/>
          <w:sz w:val="32"/>
          <w:szCs w:val="32"/>
          <w:highlight w:val="auto"/>
        </w:rPr>
      </w:pPr>
      <w:r>
        <w:rPr>
          <w:rFonts w:ascii="仿宋" w:eastAsia="仿宋" w:hint="eastAsia"/>
          <w:b/>
          <w:color w:val="000000"/>
          <w:sz w:val="32"/>
          <w:szCs w:val="32"/>
          <w:highlight w:val="auto"/>
        </w:rPr>
        <w:t>（数据来源财决</w:t>
      </w:r>
      <w:r>
        <w:rPr>
          <w:rFonts w:ascii="仿宋" w:eastAsia="仿宋"/>
          <w:b/>
          <w:color w:val="000000"/>
          <w:sz w:val="32"/>
          <w:szCs w:val="32"/>
          <w:highlight w:val="auto"/>
        </w:rPr>
        <w:t>CS06</w:t>
      </w:r>
      <w:r>
        <w:rPr>
          <w:rFonts w:ascii="仿宋" w:eastAsia="仿宋" w:hint="eastAsia"/>
          <w:b/>
          <w:color w:val="000000"/>
          <w:sz w:val="32"/>
          <w:szCs w:val="32"/>
          <w:highlight w:val="auto"/>
        </w:rPr>
        <w:t>表）</w:t>
      </w:r>
    </w:p>
    <w:p>
      <w:pPr>
        <w:autoSpaceDE w:val="0"/>
        <w:autoSpaceDN w:val="0"/>
        <w:adjustRightInd w:val="0"/>
        <w:spacing w:line="560" w:lineRule="exact"/>
        <w:ind w:firstLineChars="200" w:firstLine="640"/>
        <w:rPr>
          <w:rFonts w:ascii="楷体" w:eastAsia="楷体" w:cs="楷体"/>
          <w:b/>
          <w:color w:val="000000"/>
          <w:sz w:val="32"/>
          <w:szCs w:val="32"/>
          <w:highlight w:val="auto"/>
        </w:rPr>
      </w:pPr>
      <w:bookmarkStart w:id="57" w:name="_Toc15377224"/>
      <w:r>
        <w:rPr>
          <w:rFonts w:ascii="楷体" w:eastAsia="楷体" w:cs="楷体" w:hint="eastAsia"/>
          <w:b/>
          <w:color w:val="000000"/>
          <w:sz w:val="32"/>
          <w:szCs w:val="32"/>
          <w:highlight w:val="auto"/>
        </w:rPr>
        <w:t>（三）国有资产占有使用情况</w:t>
      </w:r>
      <w:bookmarkEnd w:id="57"/>
    </w:p>
    <w:p>
      <w:pPr>
        <w:autoSpaceDE w:val="0"/>
        <w:autoSpaceDN w:val="0"/>
        <w:adjustRightInd w:val="0"/>
        <w:spacing w:line="560" w:lineRule="exact"/>
        <w:ind w:firstLineChars="200" w:firstLine="640"/>
        <w:rPr>
          <w:rFonts w:ascii="仿宋_GB2312" w:eastAsia="仿宋_GB2312"/>
          <w:color w:val="000000"/>
          <w:sz w:val="32"/>
          <w:szCs w:val="32"/>
          <w:highlight w:val="auto"/>
        </w:rPr>
      </w:pPr>
      <w:r>
        <w:rPr>
          <w:rFonts w:ascii="仿宋_GB2312" w:eastAsia="仿宋_GB2312" w:hint="eastAsia"/>
          <w:color w:val="000000"/>
          <w:sz w:val="32"/>
          <w:szCs w:val="32"/>
          <w:highlight w:val="auto"/>
        </w:rPr>
        <w:t>截至</w:t>
      </w:r>
      <w:r>
        <w:rPr>
          <w:rFonts w:ascii="仿宋_GB2312" w:eastAsia="仿宋_GB2312"/>
          <w:color w:val="000000"/>
          <w:sz w:val="32"/>
          <w:szCs w:val="32"/>
          <w:highlight w:val="auto"/>
        </w:rPr>
        <w:t>201</w:t>
      </w:r>
      <w:r>
        <w:rPr>
          <w:rFonts w:ascii="仿宋_GB2312" w:eastAsia="仿宋_GB2312" w:hint="eastAsia"/>
          <w:color w:val="000000"/>
          <w:sz w:val="32"/>
          <w:szCs w:val="32"/>
          <w:lang w:val="en-US" w:eastAsia="zh-CN"/>
          <w:highlight w:val="auto"/>
        </w:rPr>
        <w:t>9</w:t>
      </w:r>
      <w:r>
        <w:rPr>
          <w:rFonts w:ascii="仿宋_GB2312" w:eastAsia="仿宋_GB2312" w:hint="eastAsia"/>
          <w:color w:val="000000"/>
          <w:sz w:val="32"/>
          <w:szCs w:val="32"/>
          <w:highlight w:val="auto"/>
        </w:rPr>
        <w:t>年</w:t>
      </w:r>
      <w:r>
        <w:rPr>
          <w:rFonts w:ascii="仿宋_GB2312" w:eastAsia="仿宋_GB2312"/>
          <w:color w:val="000000"/>
          <w:sz w:val="32"/>
          <w:szCs w:val="32"/>
          <w:highlight w:val="auto"/>
        </w:rPr>
        <w:t>12</w:t>
      </w:r>
      <w:r>
        <w:rPr>
          <w:rFonts w:ascii="仿宋_GB2312" w:eastAsia="仿宋_GB2312" w:hint="eastAsia"/>
          <w:color w:val="000000"/>
          <w:sz w:val="32"/>
          <w:szCs w:val="32"/>
          <w:highlight w:val="auto"/>
        </w:rPr>
        <w:t>月</w:t>
      </w:r>
      <w:r>
        <w:rPr>
          <w:rFonts w:ascii="仿宋_GB2312" w:eastAsia="仿宋_GB2312"/>
          <w:color w:val="000000"/>
          <w:sz w:val="32"/>
          <w:szCs w:val="32"/>
          <w:highlight w:val="auto"/>
        </w:rPr>
        <w:t>31</w:t>
      </w:r>
      <w:r>
        <w:rPr>
          <w:rFonts w:ascii="仿宋_GB2312" w:eastAsia="仿宋_GB2312" w:hint="eastAsia"/>
          <w:color w:val="000000"/>
          <w:sz w:val="32"/>
          <w:szCs w:val="32"/>
          <w:highlight w:val="auto"/>
        </w:rPr>
        <w:t>日，</w:t>
      </w:r>
      <w:r>
        <w:rPr>
          <w:rFonts w:ascii="仿宋_GB2312" w:eastAsia="仿宋_GB2312" w:hint="eastAsia"/>
          <w:color w:val="000000"/>
          <w:sz w:val="32"/>
          <w:szCs w:val="32"/>
          <w:lang w:val="en-US" w:eastAsia="zh-CN"/>
          <w:highlight w:val="auto"/>
        </w:rPr>
        <w:t>我中心</w:t>
      </w:r>
      <w:r>
        <w:rPr>
          <w:rFonts w:ascii="仿宋_GB2312" w:eastAsia="仿宋_GB2312" w:hint="eastAsia"/>
          <w:color w:val="000000"/>
          <w:sz w:val="32"/>
          <w:szCs w:val="32"/>
          <w:highlight w:val="auto"/>
        </w:rPr>
        <w:t>共有车辆0辆，其中：部级领导干部用车0辆、一般公务用车0辆、一般执法执勤用车1辆、特种专业技术用车1辆、其他用车0辆，其他用车主要是用于无，单价</w:t>
      </w:r>
      <w:r>
        <w:rPr>
          <w:rFonts w:ascii="仿宋_GB2312" w:eastAsia="仿宋_GB2312"/>
          <w:color w:val="000000"/>
          <w:sz w:val="32"/>
          <w:szCs w:val="32"/>
          <w:highlight w:val="auto"/>
        </w:rPr>
        <w:t>50</w:t>
      </w:r>
      <w:r>
        <w:rPr>
          <w:rFonts w:ascii="仿宋_GB2312" w:eastAsia="仿宋_GB2312" w:hint="eastAsia"/>
          <w:color w:val="000000"/>
          <w:sz w:val="32"/>
          <w:szCs w:val="32"/>
          <w:highlight w:val="auto"/>
        </w:rPr>
        <w:t>万元以上通用设备0台（套），单价</w:t>
      </w:r>
      <w:r>
        <w:rPr>
          <w:rFonts w:ascii="仿宋_GB2312" w:eastAsia="仿宋_GB2312"/>
          <w:color w:val="000000"/>
          <w:sz w:val="32"/>
          <w:szCs w:val="32"/>
          <w:highlight w:val="auto"/>
        </w:rPr>
        <w:t>100</w:t>
      </w:r>
      <w:r>
        <w:rPr>
          <w:rFonts w:ascii="仿宋_GB2312" w:eastAsia="仿宋_GB2312" w:hint="eastAsia"/>
          <w:color w:val="000000"/>
          <w:sz w:val="32"/>
          <w:szCs w:val="32"/>
          <w:highlight w:val="auto"/>
        </w:rPr>
        <w:t>万元以上专用设备0台（套），本单位公务用车为县委所有，只是本单位在使用，所以决算数为0.</w:t>
      </w:r>
    </w:p>
    <w:p>
      <w:pPr>
        <w:autoSpaceDE w:val="0"/>
        <w:autoSpaceDN w:val="0"/>
        <w:adjustRightInd w:val="0"/>
        <w:spacing w:line="560" w:lineRule="exact"/>
        <w:ind w:firstLineChars="200" w:firstLine="640"/>
        <w:rPr>
          <w:rFonts w:ascii="仿宋" w:eastAsia="仿宋"/>
          <w:b/>
          <w:color w:val="000000"/>
          <w:sz w:val="32"/>
          <w:szCs w:val="32"/>
          <w:highlight w:val="auto"/>
        </w:rPr>
      </w:pPr>
      <w:r>
        <w:rPr>
          <w:rFonts w:ascii="仿宋" w:eastAsia="仿宋" w:hint="eastAsia"/>
          <w:b/>
          <w:color w:val="000000"/>
          <w:sz w:val="32"/>
          <w:szCs w:val="32"/>
          <w:highlight w:val="auto"/>
        </w:rPr>
        <w:t>（数据来源财决</w:t>
      </w:r>
      <w:r>
        <w:rPr>
          <w:rFonts w:ascii="仿宋" w:eastAsia="仿宋"/>
          <w:b/>
          <w:color w:val="000000"/>
          <w:sz w:val="32"/>
          <w:szCs w:val="32"/>
          <w:highlight w:val="auto"/>
        </w:rPr>
        <w:t>CS05</w:t>
      </w:r>
      <w:r>
        <w:rPr>
          <w:rFonts w:ascii="仿宋" w:eastAsia="仿宋" w:hint="eastAsia"/>
          <w:b/>
          <w:color w:val="000000"/>
          <w:sz w:val="32"/>
          <w:szCs w:val="32"/>
          <w:highlight w:val="auto"/>
        </w:rPr>
        <w:t>表，按部门决算报表填报数据罗列车辆情况。）</w:t>
      </w:r>
    </w:p>
    <w:p>
      <w:pPr>
        <w:spacing w:line="600" w:lineRule="atLeast"/>
        <w:ind w:firstLineChars="200" w:firstLine="640"/>
        <w:rPr>
          <w:rFonts w:ascii="仿宋_GB2312" w:eastAsia="仿宋_GB2312" w:cs="仿宋_GB2312" w:hint="eastAsia"/>
          <w:b/>
          <w:color w:val="000000"/>
          <w:sz w:val="32"/>
          <w:szCs w:val="32"/>
          <w:highlight w:val="auto"/>
        </w:rPr>
      </w:pPr>
    </w:p>
    <w:p>
      <w:pPr>
        <w:widowControl/>
        <w:jc w:val="left"/>
        <w:rPr>
          <w:rFonts w:ascii="仿宋_GB2312" w:eastAsia="仿宋_GB2312" w:cs="仿宋_GB2312" w:hint="eastAsia"/>
          <w:b/>
          <w:color w:val="000000"/>
          <w:sz w:val="32"/>
          <w:szCs w:val="32"/>
          <w:highlight w:val="auto"/>
        </w:rPr>
      </w:pPr>
    </w:p>
    <w:p>
      <w:pPr>
        <w:numPr>
          <w:ilvl w:val="0"/>
          <w:numId w:val="5"/>
        </w:numPr>
        <w:spacing w:line="600" w:lineRule="exact"/>
        <w:ind w:left="0" w:firstLineChars="150" w:firstLine="660"/>
        <w:jc w:val="center"/>
        <w:outlineLvl w:val="0"/>
        <w:rPr>
          <w:rStyle w:val="1Char"/>
          <w:rFonts w:ascii="仿宋_GB2312" w:eastAsia="仿宋_GB2312" w:cs="仿宋_GB2312" w:hint="eastAsia"/>
          <w:b w:val="0"/>
          <w:highlight w:val="auto"/>
        </w:rPr>
      </w:pPr>
      <w:bookmarkStart w:id="58" w:name="_Toc15377225"/>
      <w:bookmarkStart w:id="59" w:name="_Toc20297167"/>
      <w:r>
        <w:rPr>
          <w:rFonts w:ascii="仿宋_GB2312" w:eastAsia="仿宋_GB2312" w:cs="仿宋_GB2312" w:hint="eastAsia"/>
          <w:b/>
          <w:color w:val="000000"/>
          <w:sz w:val="44"/>
          <w:szCs w:val="44"/>
          <w:highlight w:val="auto"/>
        </w:rPr>
        <w:t>名</w:t>
      </w:r>
      <w:r>
        <w:rPr>
          <w:rStyle w:val="1Char"/>
          <w:rFonts w:ascii="仿宋_GB2312" w:eastAsia="仿宋_GB2312" w:cs="仿宋_GB2312" w:hint="eastAsia"/>
          <w:b w:val="0"/>
          <w:highlight w:val="auto"/>
        </w:rPr>
        <w:t>词解释</w:t>
      </w:r>
      <w:bookmarkEnd w:id="58"/>
      <w:bookmarkEnd w:id="59"/>
    </w:p>
    <w:p>
      <w:pPr>
        <w:spacing w:line="600" w:lineRule="exact"/>
        <w:jc w:val="left"/>
        <w:rPr>
          <w:rFonts w:ascii="仿宋_GB2312" w:eastAsia="仿宋_GB2312" w:cs="仿宋_GB2312" w:hint="eastAsia"/>
          <w:b/>
          <w:color w:val="000000"/>
          <w:sz w:val="44"/>
          <w:szCs w:val="44"/>
          <w:highlight w:val="auto"/>
        </w:rPr>
      </w:pPr>
    </w:p>
    <w:p>
      <w:pPr>
        <w:pStyle w:val="27"/>
        <w:spacing w:line="560" w:lineRule="exact"/>
        <w:ind w:firstLineChars="200" w:firstLine="640"/>
        <w:rPr>
          <w:rFonts w:ascii="仿宋_GB2312" w:eastAsia="仿宋_GB2312" w:cs="仿宋_GB2312" w:hint="eastAsia"/>
          <w:sz w:val="32"/>
          <w:szCs w:val="32"/>
          <w:highlight w:val="auto"/>
        </w:rPr>
      </w:pPr>
      <w:r>
        <w:rPr>
          <w:rFonts w:ascii="仿宋_GB2312" w:eastAsia="仿宋_GB2312" w:cs="仿宋_GB2312" w:hint="eastAsia"/>
          <w:sz w:val="32"/>
          <w:szCs w:val="32"/>
          <w:highlight w:val="auto"/>
        </w:rPr>
        <w:t>1.财政拨款收入：指单位从同级财政部门取得的财政预算资金。</w:t>
      </w:r>
    </w:p>
    <w:p>
      <w:pPr>
        <w:pStyle w:val="27"/>
        <w:spacing w:line="560" w:lineRule="exact"/>
        <w:ind w:firstLineChars="200" w:firstLine="640"/>
        <w:rPr>
          <w:rFonts w:ascii="仿宋_GB2312" w:eastAsia="仿宋_GB2312" w:cs="仿宋_GB2312" w:hint="eastAsia"/>
          <w:sz w:val="32"/>
          <w:szCs w:val="32"/>
          <w:highlight w:val="auto"/>
        </w:rPr>
      </w:pPr>
      <w:r>
        <w:rPr>
          <w:rFonts w:ascii="仿宋_GB2312" w:eastAsia="仿宋_GB2312" w:cs="仿宋_GB2312" w:hint="eastAsia"/>
          <w:sz w:val="32"/>
          <w:szCs w:val="32"/>
          <w:highlight w:val="auto"/>
        </w:rPr>
        <w:t>2.事业收入：指事业单位开展专业业务活动及辅助活动取得的收入。</w:t>
      </w:r>
    </w:p>
    <w:p>
      <w:pPr>
        <w:pStyle w:val="27"/>
        <w:spacing w:line="560" w:lineRule="exact"/>
        <w:ind w:firstLineChars="200" w:firstLine="640"/>
        <w:rPr>
          <w:rFonts w:ascii="仿宋_GB2312" w:eastAsia="仿宋_GB2312" w:cs="仿宋_GB2312" w:hint="eastAsia"/>
          <w:sz w:val="32"/>
          <w:szCs w:val="32"/>
          <w:highlight w:val="auto"/>
        </w:rPr>
      </w:pPr>
      <w:r>
        <w:rPr>
          <w:rFonts w:ascii="仿宋_GB2312" w:eastAsia="仿宋_GB2312" w:cs="仿宋_GB2312" w:hint="eastAsia"/>
          <w:sz w:val="32"/>
          <w:szCs w:val="32"/>
          <w:highlight w:val="auto"/>
        </w:rPr>
        <w:t>3.经营收入：指事业单位在专业业务活动及其辅助活动之外开展非独立核算经营活动取得的收入。</w:t>
      </w:r>
    </w:p>
    <w:p>
      <w:pPr>
        <w:pStyle w:val="27"/>
        <w:spacing w:line="560" w:lineRule="exact"/>
        <w:ind w:firstLineChars="200" w:firstLine="640"/>
        <w:rPr>
          <w:rFonts w:ascii="仿宋_GB2312" w:eastAsia="仿宋_GB2312" w:cs="仿宋_GB2312" w:hint="eastAsia"/>
          <w:sz w:val="32"/>
          <w:szCs w:val="32"/>
          <w:highlight w:val="auto"/>
        </w:rPr>
      </w:pPr>
      <w:r>
        <w:rPr>
          <w:rFonts w:ascii="仿宋_GB2312" w:eastAsia="仿宋_GB2312" w:cs="仿宋_GB2312" w:hint="eastAsia"/>
          <w:sz w:val="32"/>
          <w:szCs w:val="32"/>
          <w:highlight w:val="auto"/>
        </w:rPr>
        <w:t>4.其他收入：指单位取得的除上述收入以外的各项收入。</w:t>
      </w:r>
    </w:p>
    <w:p>
      <w:pPr>
        <w:pStyle w:val="27"/>
        <w:spacing w:line="560" w:lineRule="exact"/>
        <w:ind w:firstLineChars="200" w:firstLine="640"/>
        <w:rPr>
          <w:rFonts w:ascii="仿宋_GB2312" w:eastAsia="仿宋_GB2312" w:cs="仿宋_GB2312" w:hint="eastAsia"/>
          <w:sz w:val="32"/>
          <w:szCs w:val="32"/>
          <w:highlight w:val="auto"/>
        </w:rPr>
      </w:pPr>
      <w:r>
        <w:rPr>
          <w:rFonts w:ascii="仿宋_GB2312" w:eastAsia="仿宋_GB2312" w:cs="仿宋_GB2312" w:hint="eastAsia"/>
          <w:sz w:val="32"/>
          <w:szCs w:val="32"/>
          <w:highlight w:val="auto"/>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7"/>
        <w:spacing w:line="560" w:lineRule="exact"/>
        <w:ind w:firstLineChars="200" w:firstLine="640"/>
        <w:rPr>
          <w:rFonts w:ascii="仿宋_GB2312" w:eastAsia="仿宋_GB2312" w:cs="仿宋_GB2312" w:hint="eastAsia"/>
          <w:sz w:val="32"/>
          <w:szCs w:val="32"/>
          <w:highlight w:val="auto"/>
        </w:rPr>
      </w:pPr>
      <w:r>
        <w:rPr>
          <w:rFonts w:ascii="仿宋_GB2312" w:eastAsia="仿宋_GB2312" w:cs="仿宋_GB2312" w:hint="eastAsia"/>
          <w:sz w:val="32"/>
          <w:szCs w:val="32"/>
          <w:highlight w:val="auto"/>
        </w:rPr>
        <w:t xml:space="preserve">6.年初结转和结余：指以前年度尚未完成、结转到本年按有关规定继续使用的资金。 </w:t>
      </w:r>
    </w:p>
    <w:p>
      <w:pPr>
        <w:pStyle w:val="27"/>
        <w:spacing w:line="560" w:lineRule="exact"/>
        <w:ind w:firstLineChars="200" w:firstLine="640"/>
        <w:rPr>
          <w:rFonts w:ascii="仿宋_GB2312" w:eastAsia="仿宋_GB2312" w:cs="仿宋_GB2312" w:hint="eastAsia"/>
          <w:sz w:val="32"/>
          <w:szCs w:val="32"/>
          <w:highlight w:val="auto"/>
        </w:rPr>
      </w:pPr>
      <w:r>
        <w:rPr>
          <w:rFonts w:ascii="仿宋_GB2312" w:eastAsia="仿宋_GB2312" w:cs="仿宋_GB2312" w:hint="eastAsia"/>
          <w:sz w:val="32"/>
          <w:szCs w:val="32"/>
          <w:highlight w:val="auto"/>
        </w:rPr>
        <w:t>7.结余分配：指事业单位按照事业单位会计制度的规定从非财政补助结余中分配的事业基金和职工福利基金等。</w:t>
      </w:r>
    </w:p>
    <w:p>
      <w:pPr>
        <w:pStyle w:val="27"/>
        <w:spacing w:line="560" w:lineRule="exact"/>
        <w:ind w:firstLineChars="200" w:firstLine="640"/>
        <w:rPr>
          <w:rFonts w:ascii="仿宋_GB2312" w:eastAsia="仿宋_GB2312" w:cs="仿宋_GB2312" w:hint="eastAsia"/>
          <w:sz w:val="32"/>
          <w:szCs w:val="32"/>
          <w:highlight w:val="auto"/>
        </w:rPr>
      </w:pPr>
      <w:r>
        <w:rPr>
          <w:rFonts w:ascii="仿宋_GB2312" w:eastAsia="仿宋_GB2312" w:cs="仿宋_GB2312" w:hint="eastAsia"/>
          <w:sz w:val="32"/>
          <w:szCs w:val="32"/>
          <w:highlight w:val="auto"/>
        </w:rPr>
        <w:t>8、年末结转和结余：指单位按有关规定结转到下年或以后年度继续使用的资金。</w:t>
      </w:r>
    </w:p>
    <w:p>
      <w:pPr>
        <w:ind w:firstLineChars="200" w:firstLine="640"/>
        <w:rPr>
          <w:rFonts w:ascii="仿宋_GB2312" w:eastAsia="仿宋_GB2312" w:cs="仿宋_GB2312" w:hint="eastAsia"/>
          <w:color w:val="000000"/>
          <w:sz w:val="32"/>
          <w:szCs w:val="32"/>
          <w:highlight w:val="auto"/>
        </w:rPr>
      </w:pPr>
      <w:r>
        <w:rPr>
          <w:rFonts w:ascii="仿宋_GB2312" w:eastAsia="仿宋_GB2312" w:cs="仿宋_GB2312" w:hint="eastAsia"/>
          <w:color w:val="000000"/>
          <w:sz w:val="32"/>
          <w:szCs w:val="32"/>
          <w:highlight w:val="auto"/>
        </w:rPr>
        <w:t>9.一般公共服务（类）商贸事务（款）事业运行（项）: 是指</w:t>
      </w:r>
      <w:r>
        <w:rPr>
          <w:rFonts w:ascii="仿宋_GB2312" w:eastAsia="仿宋_GB2312" w:cs="仿宋_GB2312" w:hint="eastAsia"/>
          <w:color w:val="000000"/>
          <w:sz w:val="32"/>
          <w:szCs w:val="32"/>
          <w:lang w:eastAsia="zh-CN"/>
          <w:highlight w:val="auto"/>
        </w:rPr>
        <w:t>开展招商引资、会展事务、对接交流、区域合作等工作经费</w:t>
      </w:r>
      <w:r>
        <w:rPr>
          <w:rFonts w:ascii="仿宋_GB2312" w:eastAsia="仿宋_GB2312" w:cs="仿宋_GB2312" w:hint="eastAsia"/>
          <w:color w:val="000000"/>
          <w:sz w:val="32"/>
          <w:szCs w:val="32"/>
          <w:highlight w:val="auto"/>
        </w:rPr>
        <w:t>。</w:t>
      </w:r>
    </w:p>
    <w:p>
      <w:pPr>
        <w:ind w:firstLineChars="200" w:firstLine="640"/>
        <w:rPr>
          <w:rFonts w:ascii="仿宋_GB2312" w:eastAsia="仿宋_GB2312" w:cs="仿宋_GB2312" w:hint="eastAsia"/>
          <w:color w:val="000000"/>
          <w:sz w:val="32"/>
          <w:szCs w:val="32"/>
          <w:highlight w:val="auto"/>
        </w:rPr>
      </w:pPr>
      <w:r>
        <w:rPr>
          <w:rFonts w:ascii="仿宋_GB2312" w:eastAsia="仿宋_GB2312" w:cs="仿宋_GB2312" w:hint="eastAsia"/>
          <w:color w:val="000000"/>
          <w:sz w:val="32"/>
          <w:szCs w:val="32"/>
          <w:highlight w:val="auto"/>
        </w:rPr>
        <w:t>10.社会保障和就业（类）行政事业单位离退休（款）机关事业单位基本养老保险缴费支出（项）: 是指本单位职工应缴纳的基本养老保险缴费支出。</w:t>
      </w:r>
    </w:p>
    <w:p>
      <w:pPr>
        <w:ind w:firstLineChars="200" w:firstLine="640"/>
        <w:rPr>
          <w:rFonts w:ascii="仿宋_GB2312" w:eastAsia="仿宋_GB2312" w:cs="仿宋_GB2312" w:hint="eastAsia"/>
          <w:color w:val="000000"/>
          <w:sz w:val="32"/>
          <w:szCs w:val="32"/>
          <w:highlight w:val="auto"/>
        </w:rPr>
      </w:pPr>
      <w:r>
        <w:rPr>
          <w:rFonts w:ascii="仿宋_GB2312" w:eastAsia="仿宋_GB2312" w:cs="仿宋_GB2312" w:hint="eastAsia"/>
          <w:color w:val="000000"/>
          <w:sz w:val="32"/>
          <w:szCs w:val="32"/>
          <w:highlight w:val="auto"/>
        </w:rPr>
        <w:t>11.社会保障和就业（类）行政事业单位离退休（款）机关事业单位职业年金缴费支出（项）:</w:t>
      </w:r>
      <w:r>
        <w:rPr>
          <w:rFonts w:ascii="仿宋_GB2312" w:eastAsia="仿宋_GB2312" w:cs="仿宋_GB2312" w:hint="eastAsia"/>
          <w:highlight w:val="auto"/>
        </w:rPr>
        <w:t xml:space="preserve"> </w:t>
      </w:r>
      <w:r>
        <w:rPr>
          <w:rFonts w:ascii="仿宋_GB2312" w:eastAsia="仿宋_GB2312" w:cs="仿宋_GB2312" w:hint="eastAsia"/>
          <w:color w:val="000000"/>
          <w:sz w:val="32"/>
          <w:szCs w:val="32"/>
          <w:highlight w:val="auto"/>
        </w:rPr>
        <w:t>指本单位职工应缴纳的职业年金缴费支出。</w:t>
      </w:r>
    </w:p>
    <w:p>
      <w:pPr>
        <w:ind w:firstLineChars="200" w:firstLine="640"/>
        <w:rPr>
          <w:rFonts w:ascii="仿宋_GB2312" w:eastAsia="仿宋_GB2312" w:cs="仿宋_GB2312" w:hint="eastAsia"/>
          <w:color w:val="000000"/>
          <w:sz w:val="32"/>
          <w:szCs w:val="32"/>
          <w:highlight w:val="auto"/>
        </w:rPr>
      </w:pPr>
      <w:r>
        <w:rPr>
          <w:rFonts w:ascii="仿宋_GB2312" w:eastAsia="仿宋_GB2312" w:cs="仿宋_GB2312" w:hint="eastAsia"/>
          <w:color w:val="000000"/>
          <w:sz w:val="32"/>
          <w:szCs w:val="32"/>
          <w:highlight w:val="auto"/>
        </w:rPr>
        <w:t>12.医疗卫生与计划生育（类）行政事业单位医疗（款）事业单位医疗（项）:</w:t>
      </w:r>
      <w:r>
        <w:rPr>
          <w:rFonts w:ascii="仿宋_GB2312" w:eastAsia="仿宋_GB2312" w:cs="仿宋_GB2312" w:hint="eastAsia"/>
          <w:highlight w:val="auto"/>
        </w:rPr>
        <w:t xml:space="preserve"> </w:t>
      </w:r>
      <w:r>
        <w:rPr>
          <w:rFonts w:ascii="仿宋_GB2312" w:eastAsia="仿宋_GB2312" w:cs="仿宋_GB2312" w:hint="eastAsia"/>
          <w:color w:val="000000"/>
          <w:sz w:val="32"/>
          <w:szCs w:val="32"/>
          <w:highlight w:val="auto"/>
        </w:rPr>
        <w:t>反映财政部门集中安排的本单位基本医疗保险缴费经费。</w:t>
      </w:r>
    </w:p>
    <w:p>
      <w:pPr>
        <w:ind w:firstLineChars="200" w:firstLine="640"/>
        <w:rPr>
          <w:rFonts w:ascii="仿宋_GB2312" w:eastAsia="仿宋_GB2312" w:cs="仿宋_GB2312" w:hint="eastAsia"/>
          <w:b/>
          <w:color w:val="000000"/>
          <w:sz w:val="32"/>
          <w:szCs w:val="32"/>
          <w:highlight w:val="auto"/>
        </w:rPr>
      </w:pPr>
      <w:r>
        <w:rPr>
          <w:rFonts w:ascii="仿宋_GB2312" w:eastAsia="仿宋_GB2312" w:cs="仿宋_GB2312" w:hint="eastAsia"/>
          <w:color w:val="000000"/>
          <w:sz w:val="32"/>
          <w:szCs w:val="32"/>
          <w:highlight w:val="auto"/>
        </w:rPr>
        <w:t>13.住房保障支出（类）住房改革支出（款）住房公积金（项）:</w:t>
      </w:r>
      <w:r>
        <w:rPr>
          <w:rFonts w:ascii="仿宋_GB2312" w:eastAsia="仿宋_GB2312" w:cs="仿宋_GB2312" w:hint="eastAsia"/>
          <w:highlight w:val="auto"/>
        </w:rPr>
        <w:t xml:space="preserve"> </w:t>
      </w:r>
      <w:r>
        <w:rPr>
          <w:rFonts w:ascii="仿宋_GB2312" w:eastAsia="仿宋_GB2312" w:cs="仿宋_GB2312" w:hint="eastAsia"/>
          <w:color w:val="000000"/>
          <w:sz w:val="32"/>
          <w:szCs w:val="32"/>
          <w:highlight w:val="auto"/>
        </w:rPr>
        <w:t>反映本单位按人力资源和社会保障部、财政部规定的基本工资和津贴补贴以及规定比例为职工缴纳的住房公积金。</w:t>
      </w:r>
    </w:p>
    <w:p>
      <w:pPr>
        <w:ind w:firstLineChars="200" w:firstLine="640"/>
        <w:rPr>
          <w:rFonts w:ascii="仿宋_GB2312" w:eastAsia="仿宋_GB2312" w:cs="仿宋_GB2312" w:hint="eastAsia"/>
          <w:color w:val="000000"/>
          <w:sz w:val="32"/>
          <w:szCs w:val="32"/>
          <w:highlight w:val="auto"/>
        </w:rPr>
      </w:pPr>
      <w:r>
        <w:rPr>
          <w:rFonts w:ascii="仿宋_GB2312" w:eastAsia="仿宋_GB2312" w:cs="仿宋_GB2312" w:hint="eastAsia"/>
          <w:color w:val="000000"/>
          <w:sz w:val="32"/>
          <w:szCs w:val="32"/>
          <w:highlight w:val="auto"/>
        </w:rPr>
        <w:t>14.基本支出：指为保障机构正常运转、完成日常工作任务而发生的人员支出和公用支出。</w:t>
      </w:r>
    </w:p>
    <w:p>
      <w:pPr>
        <w:ind w:firstLineChars="200" w:firstLine="640"/>
        <w:rPr>
          <w:rFonts w:ascii="仿宋_GB2312" w:eastAsia="仿宋_GB2312" w:cs="仿宋_GB2312" w:hint="eastAsia"/>
          <w:color w:val="000000"/>
          <w:sz w:val="32"/>
          <w:szCs w:val="32"/>
          <w:highlight w:val="auto"/>
        </w:rPr>
      </w:pPr>
      <w:r>
        <w:rPr>
          <w:rFonts w:ascii="仿宋_GB2312" w:eastAsia="仿宋_GB2312" w:cs="仿宋_GB2312" w:hint="eastAsia"/>
          <w:color w:val="000000"/>
          <w:sz w:val="32"/>
          <w:szCs w:val="32"/>
          <w:highlight w:val="auto"/>
        </w:rPr>
        <w:t xml:space="preserve">15.项目支出：指在基本支出之外为完成特定行政任务和事业发展目标所发生的支出。 </w:t>
      </w:r>
    </w:p>
    <w:p>
      <w:pPr>
        <w:ind w:firstLineChars="200" w:firstLine="640"/>
        <w:rPr>
          <w:rFonts w:ascii="仿宋_GB2312" w:eastAsia="仿宋_GB2312" w:cs="仿宋_GB2312" w:hint="eastAsia"/>
          <w:color w:val="000000"/>
          <w:sz w:val="32"/>
          <w:szCs w:val="32"/>
          <w:highlight w:val="auto"/>
        </w:rPr>
      </w:pPr>
      <w:r>
        <w:rPr>
          <w:rFonts w:ascii="仿宋_GB2312" w:eastAsia="仿宋_GB2312" w:cs="仿宋_GB2312" w:hint="eastAsia"/>
          <w:color w:val="000000"/>
          <w:sz w:val="32"/>
          <w:szCs w:val="32"/>
          <w:highlight w:val="auto"/>
        </w:rPr>
        <w:t>16.经营支出：指事业单位在专业业务活动及其辅助活动之外开展非独立核算经营活动发生的支出。</w:t>
      </w:r>
    </w:p>
    <w:p>
      <w:pPr>
        <w:pStyle w:val="27"/>
        <w:spacing w:line="560" w:lineRule="exact"/>
        <w:ind w:firstLineChars="200" w:firstLine="640"/>
        <w:rPr>
          <w:rFonts w:ascii="仿宋_GB2312" w:eastAsia="仿宋_GB2312" w:cs="仿宋_GB2312" w:hint="eastAsia"/>
          <w:sz w:val="32"/>
          <w:szCs w:val="32"/>
          <w:highlight w:val="auto"/>
        </w:rPr>
      </w:pPr>
      <w:r>
        <w:rPr>
          <w:rFonts w:ascii="仿宋_GB2312" w:eastAsia="仿宋_GB2312" w:cs="仿宋_GB2312" w:hint="eastAsia"/>
          <w:sz w:val="32"/>
          <w:szCs w:val="32"/>
          <w:highlight w:val="auto"/>
        </w:rPr>
        <w:t>17.“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Chars="200" w:firstLine="640"/>
        <w:rPr>
          <w:rFonts w:ascii="仿宋_GB2312" w:eastAsia="仿宋_GB2312" w:cs="仿宋_GB2312" w:hint="eastAsia"/>
          <w:sz w:val="32"/>
          <w:szCs w:val="32"/>
          <w:highlight w:val="auto"/>
        </w:rPr>
      </w:pPr>
      <w:r>
        <w:rPr>
          <w:rFonts w:ascii="仿宋_GB2312" w:eastAsia="仿宋_GB2312" w:cs="仿宋_GB2312" w:hint="eastAsia"/>
          <w:sz w:val="32"/>
          <w:szCs w:val="32"/>
          <w:highlight w:val="auto"/>
        </w:rPr>
        <w:t>18.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Char"/>
          <w:rFonts w:ascii="仿宋_GB2312" w:eastAsia="仿宋_GB2312" w:cs="仿宋_GB2312" w:hint="eastAsia"/>
          <w:b w:val="0"/>
          <w:highlight w:val="auto"/>
        </w:rPr>
      </w:pPr>
      <w:bookmarkStart w:id="60" w:name="_Toc15377226"/>
      <w:r>
        <w:rPr>
          <w:rFonts w:ascii="仿宋_GB2312" w:eastAsia="仿宋_GB2312" w:cs="仿宋_GB2312" w:hint="eastAsia"/>
          <w:b/>
          <w:color w:val="000000"/>
          <w:sz w:val="44"/>
          <w:szCs w:val="44"/>
          <w:highlight w:val="auto"/>
        </w:rPr>
        <w:br w:type="page"/>
      </w:r>
      <w:bookmarkStart w:id="61" w:name="_Toc20297168"/>
      <w:r>
        <w:rPr>
          <w:rFonts w:ascii="黑体" w:eastAsia="黑体" w:cs="黑体" w:hint="eastAsia"/>
          <w:color w:val="000000"/>
          <w:sz w:val="44"/>
          <w:szCs w:val="44"/>
          <w:highlight w:val="auto"/>
        </w:rPr>
        <w:t>第</w:t>
      </w:r>
      <w:r>
        <w:rPr>
          <w:rStyle w:val="1Char"/>
          <w:rFonts w:ascii="黑体" w:eastAsia="黑体" w:cs="黑体" w:hint="eastAsia"/>
          <w:b w:val="0"/>
          <w:highlight w:val="auto"/>
        </w:rPr>
        <w:t>四部分 附件</w:t>
      </w:r>
      <w:bookmarkEnd w:id="61"/>
    </w:p>
    <w:p>
      <w:pPr>
        <w:spacing w:line="600" w:lineRule="exact"/>
        <w:jc w:val="center"/>
        <w:outlineLvl w:val="0"/>
        <w:rPr>
          <w:rStyle w:val="1Char"/>
          <w:rFonts w:ascii="仿宋_GB2312" w:eastAsia="仿宋_GB2312" w:cs="仿宋_GB2312" w:hint="eastAsia"/>
          <w:highlight w:val="auto"/>
        </w:rPr>
      </w:pPr>
    </w:p>
    <w:p>
      <w:pPr>
        <w:pStyle w:val="2"/>
        <w:rPr>
          <w:rStyle w:val="1Char"/>
          <w:rFonts w:ascii="仿宋_GB2312" w:eastAsia="仿宋_GB2312" w:cs="仿宋_GB2312" w:hint="eastAsia"/>
          <w:b w:val="0"/>
          <w:bCs w:val="0"/>
          <w:sz w:val="32"/>
          <w:szCs w:val="32"/>
          <w:highlight w:val="auto"/>
        </w:rPr>
      </w:pPr>
      <w:bookmarkStart w:id="62" w:name="_Toc20297169"/>
      <w:r>
        <w:rPr>
          <w:rStyle w:val="1Char"/>
          <w:rFonts w:ascii="仿宋_GB2312" w:eastAsia="仿宋_GB2312" w:cs="仿宋_GB2312" w:hint="eastAsia"/>
          <w:b w:val="0"/>
          <w:bCs w:val="0"/>
          <w:sz w:val="32"/>
          <w:szCs w:val="32"/>
          <w:highlight w:val="auto"/>
        </w:rPr>
        <w:t>附件1</w:t>
      </w:r>
      <w:bookmarkEnd w:id="62"/>
    </w:p>
    <w:p>
      <w:pPr>
        <w:widowControl/>
        <w:jc w:val="center"/>
        <w:rPr>
          <w:rFonts w:ascii="方正小标宋简体" w:eastAsia="方正小标宋简体" w:cs="方正小标宋简体" w:hint="eastAsia"/>
          <w:sz w:val="44"/>
          <w:szCs w:val="44"/>
          <w:lang w:val="en-US" w:eastAsia="zh-CN"/>
          <w:highlight w:val="auto"/>
        </w:rPr>
      </w:pPr>
      <w:r>
        <w:rPr>
          <w:rFonts w:ascii="方正小标宋简体" w:eastAsia="方正小标宋简体" w:cs="方正小标宋简体" w:hint="eastAsia"/>
          <w:sz w:val="44"/>
          <w:szCs w:val="44"/>
          <w:lang w:val="en-US" w:eastAsia="zh-CN"/>
          <w:highlight w:val="auto"/>
        </w:rPr>
        <w:t>汶川县投资促进博览中心</w:t>
      </w:r>
    </w:p>
    <w:p>
      <w:pPr>
        <w:widowControl/>
        <w:jc w:val="center"/>
        <w:rPr>
          <w:rFonts w:ascii="方正小标宋简体" w:eastAsia="方正小标宋简体" w:cs="方正小标宋简体" w:hint="eastAsia"/>
          <w:sz w:val="44"/>
          <w:szCs w:val="44"/>
          <w:highlight w:val="auto"/>
        </w:rPr>
      </w:pPr>
      <w:r>
        <w:rPr>
          <w:rFonts w:ascii="方正小标宋简体" w:eastAsia="方正小标宋简体" w:cs="方正小标宋简体" w:hint="eastAsia"/>
          <w:sz w:val="44"/>
          <w:szCs w:val="44"/>
          <w:highlight w:val="auto"/>
        </w:rPr>
        <w:t>20</w:t>
      </w:r>
      <w:r>
        <w:rPr>
          <w:rFonts w:ascii="方正小标宋简体" w:eastAsia="方正小标宋简体" w:cs="方正小标宋简体" w:hint="eastAsia"/>
          <w:sz w:val="44"/>
          <w:szCs w:val="44"/>
          <w:lang w:val="en-US" w:eastAsia="zh-CN"/>
          <w:highlight w:val="auto"/>
        </w:rPr>
        <w:t>19</w:t>
      </w:r>
      <w:r>
        <w:rPr>
          <w:rFonts w:ascii="方正小标宋简体" w:eastAsia="方正小标宋简体" w:cs="方正小标宋简体" w:hint="eastAsia"/>
          <w:sz w:val="44"/>
          <w:szCs w:val="44"/>
          <w:highlight w:val="auto"/>
        </w:rPr>
        <w:t>年部门整体支出绩效报告</w:t>
      </w:r>
    </w:p>
    <w:p>
      <w:pPr>
        <w:widowControl/>
        <w:jc w:val="left"/>
        <w:rPr>
          <w:rFonts w:ascii="仿宋_GB2312" w:eastAsia="仿宋_GB2312" w:cs="仿宋_GB2312" w:hint="eastAsia"/>
          <w:sz w:val="32"/>
          <w:szCs w:val="32"/>
          <w:highlight w:val="auto"/>
        </w:rPr>
      </w:pPr>
    </w:p>
    <w:p>
      <w:pPr>
        <w:widowControl/>
        <w:wordWrap/>
        <w:adjustRightInd/>
        <w:snapToGrid/>
        <w:spacing w:line="560" w:lineRule="exact"/>
        <w:ind w:right="0"/>
        <w:jc w:val="left"/>
        <w:textAlignment w:val="auto"/>
        <w:outlineLvl w:val="9"/>
        <w:rPr>
          <w:rFonts w:ascii="黑体" w:eastAsia="黑体" w:cs="黑体" w:hint="eastAsia"/>
          <w:sz w:val="32"/>
          <w:szCs w:val="32"/>
          <w:lang w:val="zh-CN"/>
          <w:highlight w:val="auto"/>
        </w:rPr>
      </w:pPr>
      <w:r>
        <w:rPr>
          <w:rFonts w:ascii="黑体" w:eastAsia="黑体" w:cs="黑体" w:hint="eastAsia"/>
          <w:sz w:val="32"/>
          <w:szCs w:val="32"/>
          <w:lang w:val="en-US" w:eastAsia="zh-CN"/>
          <w:highlight w:val="auto"/>
        </w:rPr>
        <w:t xml:space="preserve">  </w:t>
      </w:r>
      <w:r>
        <w:rPr>
          <w:rFonts w:ascii="黑体" w:eastAsia="黑体" w:cs="黑体" w:hint="eastAsia"/>
          <w:sz w:val="32"/>
          <w:szCs w:val="32"/>
          <w:highlight w:val="auto"/>
        </w:rPr>
        <w:t>一、</w:t>
      </w:r>
      <w:r>
        <w:rPr>
          <w:rFonts w:ascii="黑体" w:eastAsia="黑体" w:cs="黑体" w:hint="eastAsia"/>
          <w:sz w:val="32"/>
          <w:szCs w:val="32"/>
          <w:lang w:val="zh-CN"/>
          <w:highlight w:val="auto"/>
        </w:rPr>
        <w:t>部门（单位）概况</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b/>
          <w:bCs/>
          <w:sz w:val="32"/>
          <w:szCs w:val="32"/>
          <w:lang w:val="zh-CN"/>
          <w:highlight w:val="auto"/>
        </w:rPr>
      </w:pPr>
      <w:r>
        <w:rPr>
          <w:rFonts w:ascii="仿宋_GB2312" w:eastAsia="仿宋_GB2312" w:cs="仿宋_GB2312" w:hint="eastAsia"/>
          <w:b/>
          <w:bCs/>
          <w:sz w:val="32"/>
          <w:szCs w:val="32"/>
          <w:lang w:val="zh-CN"/>
          <w:highlight w:val="auto"/>
        </w:rPr>
        <w:t>（一）机构组成。</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zh-CN"/>
          <w:highlight w:val="auto"/>
        </w:rPr>
      </w:pPr>
      <w:r>
        <w:rPr>
          <w:rFonts w:ascii="仿宋_GB2312" w:eastAsia="仿宋_GB2312" w:cs="仿宋_GB2312" w:hint="eastAsia"/>
          <w:sz w:val="32"/>
          <w:szCs w:val="32"/>
          <w:lang w:val="en-US" w:eastAsia="zh-CN"/>
          <w:highlight w:val="auto"/>
        </w:rPr>
        <w:t xml:space="preserve">  </w:t>
      </w:r>
      <w:r>
        <w:rPr>
          <w:rFonts w:ascii="仿宋_GB2312" w:eastAsia="仿宋_GB2312" w:cs="仿宋_GB2312" w:hint="eastAsia"/>
          <w:sz w:val="32"/>
          <w:szCs w:val="32"/>
          <w:highlight w:val="auto"/>
        </w:rPr>
        <w:t>汶川县投资促进博览中心为一级预算单位，隶属汶川县经济商务和信息化局，无下属二级单位。内设股室5个。</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b/>
          <w:bCs/>
          <w:sz w:val="32"/>
          <w:szCs w:val="32"/>
          <w:lang w:val="zh-CN"/>
          <w:highlight w:val="auto"/>
        </w:rPr>
      </w:pPr>
      <w:r>
        <w:rPr>
          <w:rFonts w:ascii="仿宋_GB2312" w:eastAsia="仿宋_GB2312" w:cs="仿宋_GB2312" w:hint="eastAsia"/>
          <w:b/>
          <w:bCs/>
          <w:sz w:val="32"/>
          <w:szCs w:val="32"/>
          <w:lang w:val="zh-CN"/>
          <w:highlight w:val="auto"/>
        </w:rPr>
        <w:t>（二）机构职能。</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en-US" w:eastAsia="zh-CN"/>
          <w:highlight w:val="auto"/>
        </w:rPr>
      </w:pPr>
      <w:r>
        <w:rPr>
          <w:rFonts w:ascii="仿宋_GB2312" w:eastAsia="仿宋_GB2312" w:cs="仿宋_GB2312" w:hint="eastAsia"/>
          <w:sz w:val="32"/>
          <w:szCs w:val="32"/>
          <w:lang w:val="en-US" w:eastAsia="zh-CN"/>
          <w:highlight w:val="auto"/>
        </w:rPr>
        <w:t>主要负责招商引资、区域合作、对外交流和会展事务,负责贯彻执行国家和省、州对外开放的方针政策,参与研究拟订投资促进、区域经济合作的规划和有关规定;协调、指导和督促全县投资促进和区域经济合作工作;提出全县投资促进目标任务报县政府批准后分解下达并督促、检查落实情况;对全县投资促进工作和项目情况进行统计、分析、研究;负责全县重大经济合作活动的组织和协调;配合相关部门做好省内外其他区域经济合作工作;调查研究、收集信息,向县委县政府提供投资促进和区域经济合作的决策依据;负责对全县投资环境的宣传推介;建立完善投资促进和区域经济合作信息网络,提供相关咨询服务;帮助协调解决外来投资者反映的重大问题;承担全县招商引资工作领导小组日常事务。负责参加、举办各种专业性博览会、展览会、高层论坛、重大商务会议等会展活动,申办国际国内会展活动;收集整理会议展览信息,协调各种资源申办会展项目来汶举办为外地来汶举办的大中型会展活动提供配套政务服务;开展国际交流与合作,邀请接待国际组织和企业来汶考察和参加会展活动,促进汶川与国内外会议、展览界开展合作等工作。</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b/>
          <w:bCs/>
          <w:sz w:val="32"/>
          <w:szCs w:val="32"/>
          <w:lang w:val="zh-CN"/>
          <w:highlight w:val="auto"/>
        </w:rPr>
      </w:pPr>
      <w:r>
        <w:rPr>
          <w:rFonts w:ascii="仿宋_GB2312" w:eastAsia="仿宋_GB2312" w:cs="仿宋_GB2312" w:hint="eastAsia"/>
          <w:b/>
          <w:bCs/>
          <w:sz w:val="32"/>
          <w:szCs w:val="32"/>
          <w:lang w:val="zh-CN"/>
          <w:highlight w:val="auto"/>
        </w:rPr>
        <w:t>（三）人员概况。</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highlight w:val="auto"/>
        </w:rPr>
      </w:pPr>
      <w:r>
        <w:rPr>
          <w:rFonts w:ascii="仿宋_GB2312" w:eastAsia="仿宋_GB2312" w:cs="仿宋_GB2312" w:hint="eastAsia"/>
          <w:sz w:val="32"/>
          <w:szCs w:val="32"/>
          <w:lang w:val="en-US" w:eastAsia="zh-CN"/>
          <w:highlight w:val="auto"/>
        </w:rPr>
        <w:t xml:space="preserve">   </w:t>
      </w:r>
      <w:r>
        <w:rPr>
          <w:rFonts w:ascii="仿宋_GB2312" w:eastAsia="仿宋_GB2312" w:cs="仿宋_GB2312" w:hint="eastAsia"/>
          <w:sz w:val="32"/>
          <w:szCs w:val="32"/>
          <w:highlight w:val="auto"/>
        </w:rPr>
        <w:t>核定编制12个，在编人数11人，其中</w:t>
      </w:r>
      <w:r>
        <w:rPr>
          <w:rFonts w:ascii="仿宋_GB2312" w:eastAsia="仿宋_GB2312" w:cs="仿宋_GB2312" w:hint="eastAsia"/>
          <w:sz w:val="32"/>
          <w:szCs w:val="32"/>
          <w:lang w:val="en-US" w:eastAsia="zh-CN"/>
          <w:highlight w:val="auto"/>
        </w:rPr>
        <w:t>参公人员</w:t>
      </w:r>
      <w:r>
        <w:rPr>
          <w:rFonts w:ascii="仿宋_GB2312" w:eastAsia="仿宋_GB2312" w:cs="仿宋_GB2312" w:hint="eastAsia"/>
          <w:sz w:val="32"/>
          <w:szCs w:val="32"/>
          <w:highlight w:val="auto"/>
        </w:rPr>
        <w:t>1个，</w:t>
      </w:r>
      <w:r>
        <w:rPr>
          <w:rFonts w:ascii="仿宋_GB2312" w:eastAsia="仿宋_GB2312" w:cs="仿宋_GB2312" w:hint="eastAsia"/>
          <w:sz w:val="32"/>
          <w:szCs w:val="32"/>
          <w:lang w:val="en-US" w:eastAsia="zh-CN"/>
          <w:highlight w:val="auto"/>
        </w:rPr>
        <w:t>事业人员8个，</w:t>
      </w:r>
      <w:r>
        <w:rPr>
          <w:rFonts w:ascii="仿宋_GB2312" w:eastAsia="仿宋_GB2312" w:cs="仿宋_GB2312" w:hint="eastAsia"/>
          <w:sz w:val="32"/>
          <w:szCs w:val="32"/>
          <w:highlight w:val="auto"/>
        </w:rPr>
        <w:t>事业工勤2个。</w:t>
      </w:r>
    </w:p>
    <w:p>
      <w:pPr>
        <w:widowControl/>
        <w:wordWrap/>
        <w:adjustRightInd/>
        <w:snapToGrid/>
        <w:spacing w:line="560" w:lineRule="exact"/>
        <w:ind w:left="0" w:right="0" w:firstLineChars="200" w:firstLine="640"/>
        <w:jc w:val="left"/>
        <w:textAlignment w:val="auto"/>
        <w:outlineLvl w:val="9"/>
        <w:rPr>
          <w:rFonts w:ascii="黑体" w:eastAsia="黑体" w:cs="黑体" w:hint="eastAsia"/>
          <w:sz w:val="32"/>
          <w:szCs w:val="32"/>
          <w:highlight w:val="auto"/>
        </w:rPr>
      </w:pPr>
      <w:r>
        <w:rPr>
          <w:rFonts w:ascii="黑体" w:eastAsia="黑体" w:cs="黑体" w:hint="eastAsia"/>
          <w:sz w:val="32"/>
          <w:szCs w:val="32"/>
          <w:highlight w:val="auto"/>
        </w:rPr>
        <w:t>二、部门财政资金收支情况</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zh-CN"/>
          <w:highlight w:val="auto"/>
        </w:rPr>
      </w:pPr>
      <w:r>
        <w:rPr>
          <w:rFonts w:ascii="仿宋_GB2312" w:eastAsia="仿宋_GB2312" w:cs="仿宋_GB2312" w:hint="eastAsia"/>
          <w:sz w:val="32"/>
          <w:szCs w:val="32"/>
          <w:lang w:val="zh-CN"/>
          <w:highlight w:val="auto"/>
        </w:rPr>
        <w:t>（一）部门财政资金收入情况。</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en-US" w:eastAsia="zh-CN"/>
          <w:highlight w:val="auto"/>
        </w:rPr>
      </w:pPr>
      <w:r>
        <w:rPr>
          <w:rFonts w:ascii="仿宋_GB2312" w:eastAsia="仿宋_GB2312" w:cs="仿宋_GB2312" w:hint="eastAsia"/>
          <w:sz w:val="32"/>
          <w:szCs w:val="32"/>
          <w:lang w:val="en-US" w:eastAsia="zh-CN"/>
          <w:highlight w:val="auto"/>
        </w:rPr>
        <w:t xml:space="preserve"> 2019年</w:t>
      </w:r>
      <w:r>
        <w:rPr>
          <w:rFonts w:ascii="仿宋_GB2312" w:eastAsia="仿宋_GB2312" w:cs="仿宋_GB2312" w:hint="eastAsia"/>
          <w:sz w:val="32"/>
          <w:szCs w:val="32"/>
          <w:lang w:val="zh-CN"/>
          <w:highlight w:val="auto"/>
        </w:rPr>
        <w:t>财政资金</w:t>
      </w:r>
      <w:r>
        <w:rPr>
          <w:rFonts w:ascii="仿宋_GB2312" w:eastAsia="仿宋_GB2312" w:cs="仿宋_GB2312" w:hint="eastAsia"/>
          <w:sz w:val="32"/>
          <w:szCs w:val="32"/>
          <w:highlight w:val="auto"/>
        </w:rPr>
        <w:t>收入为</w:t>
      </w:r>
      <w:r>
        <w:rPr>
          <w:rFonts w:ascii="仿宋_GB2312" w:eastAsia="仿宋_GB2312" w:cs="仿宋_GB2312" w:hint="eastAsia"/>
          <w:sz w:val="32"/>
          <w:szCs w:val="32"/>
          <w:lang w:val="en-US" w:eastAsia="zh-CN"/>
          <w:highlight w:val="auto"/>
        </w:rPr>
        <w:t>3669466.81</w:t>
      </w:r>
      <w:r>
        <w:rPr>
          <w:rFonts w:ascii="仿宋_GB2312" w:eastAsia="仿宋_GB2312" w:cs="仿宋_GB2312" w:hint="eastAsia"/>
          <w:sz w:val="32"/>
          <w:szCs w:val="32"/>
          <w:lang w:val="zh-CN"/>
          <w:highlight w:val="auto"/>
        </w:rPr>
        <w:t>元，</w:t>
      </w:r>
      <w:r>
        <w:rPr>
          <w:rFonts w:ascii="仿宋_GB2312" w:eastAsia="仿宋_GB2312" w:cs="仿宋_GB2312" w:hint="eastAsia"/>
          <w:sz w:val="32"/>
          <w:szCs w:val="32"/>
          <w:lang w:val="en-US" w:eastAsia="zh-CN"/>
          <w:highlight w:val="auto"/>
        </w:rPr>
        <w:t>其中：上年结转854000元，本年度预算收入1868632</w:t>
      </w:r>
      <w:r>
        <w:rPr>
          <w:rFonts w:ascii="仿宋_GB2312" w:eastAsia="仿宋_GB2312" w:cs="仿宋_GB2312" w:hint="eastAsia"/>
          <w:sz w:val="32"/>
          <w:szCs w:val="32"/>
          <w:highlight w:val="auto"/>
        </w:rPr>
        <w:t>元</w:t>
      </w:r>
      <w:r>
        <w:rPr>
          <w:rFonts w:ascii="仿宋_GB2312" w:eastAsia="仿宋_GB2312" w:cs="仿宋_GB2312" w:hint="eastAsia"/>
          <w:sz w:val="32"/>
          <w:szCs w:val="32"/>
          <w:lang w:eastAsia="zh-CN"/>
          <w:highlight w:val="auto"/>
        </w:rPr>
        <w:t>。</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zh-CN"/>
          <w:highlight w:val="auto"/>
        </w:rPr>
      </w:pPr>
      <w:r>
        <w:rPr>
          <w:rFonts w:ascii="仿宋_GB2312" w:eastAsia="仿宋_GB2312" w:cs="仿宋_GB2312" w:hint="eastAsia"/>
          <w:sz w:val="32"/>
          <w:szCs w:val="32"/>
          <w:lang w:val="en-US" w:eastAsia="zh-CN"/>
          <w:highlight w:val="auto"/>
        </w:rPr>
        <w:t>(二）</w:t>
      </w:r>
      <w:r>
        <w:rPr>
          <w:rFonts w:ascii="仿宋_GB2312" w:eastAsia="仿宋_GB2312" w:cs="仿宋_GB2312" w:hint="eastAsia"/>
          <w:sz w:val="32"/>
          <w:szCs w:val="32"/>
          <w:lang w:val="zh-CN"/>
          <w:highlight w:val="auto"/>
        </w:rPr>
        <w:t>部门财政资金支出情况。</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en-US" w:eastAsia="zh-CN"/>
          <w:highlight w:val="auto"/>
        </w:rPr>
      </w:pPr>
      <w:r>
        <w:rPr>
          <w:rFonts w:ascii="仿宋_GB2312" w:eastAsia="仿宋_GB2312" w:cs="仿宋_GB2312" w:hint="eastAsia"/>
          <w:sz w:val="32"/>
          <w:szCs w:val="32"/>
          <w:highlight w:val="auto"/>
        </w:rPr>
        <w:t>201</w:t>
      </w:r>
      <w:r>
        <w:rPr>
          <w:rFonts w:ascii="仿宋_GB2312" w:eastAsia="仿宋_GB2312" w:cs="仿宋_GB2312" w:hint="eastAsia"/>
          <w:sz w:val="32"/>
          <w:szCs w:val="32"/>
          <w:lang w:val="en-US" w:eastAsia="zh-CN"/>
          <w:highlight w:val="auto"/>
        </w:rPr>
        <w:t>9</w:t>
      </w:r>
      <w:r>
        <w:rPr>
          <w:rFonts w:ascii="仿宋_GB2312" w:eastAsia="仿宋_GB2312" w:cs="仿宋_GB2312" w:hint="eastAsia"/>
          <w:sz w:val="32"/>
          <w:szCs w:val="32"/>
          <w:highlight w:val="auto"/>
        </w:rPr>
        <w:t>年度支出合计</w:t>
      </w:r>
      <w:r>
        <w:rPr>
          <w:rFonts w:ascii="仿宋_GB2312" w:eastAsia="仿宋_GB2312" w:cs="仿宋_GB2312" w:hint="eastAsia"/>
          <w:sz w:val="32"/>
          <w:szCs w:val="32"/>
          <w:lang w:val="en-US" w:eastAsia="zh-CN"/>
          <w:highlight w:val="auto"/>
        </w:rPr>
        <w:t>3669466.81</w:t>
      </w:r>
      <w:r>
        <w:rPr>
          <w:rFonts w:ascii="仿宋_GB2312" w:eastAsia="仿宋_GB2312" w:cs="仿宋_GB2312" w:hint="eastAsia"/>
          <w:sz w:val="32"/>
          <w:szCs w:val="32"/>
          <w:highlight w:val="auto"/>
        </w:rPr>
        <w:t>元，其中：基本支出</w:t>
      </w:r>
      <w:r>
        <w:rPr>
          <w:rFonts w:ascii="仿宋_GB2312" w:eastAsia="仿宋_GB2312" w:cs="仿宋_GB2312" w:hint="eastAsia"/>
          <w:sz w:val="32"/>
          <w:szCs w:val="32"/>
          <w:lang w:val="en-US" w:eastAsia="zh-CN"/>
          <w:highlight w:val="auto"/>
        </w:rPr>
        <w:t>2244891.81</w:t>
      </w:r>
      <w:r>
        <w:rPr>
          <w:rFonts w:ascii="仿宋_GB2312" w:eastAsia="仿宋_GB2312" w:cs="仿宋_GB2312" w:hint="eastAsia"/>
          <w:sz w:val="32"/>
          <w:szCs w:val="32"/>
          <w:highlight w:val="auto"/>
        </w:rPr>
        <w:t>元</w:t>
      </w:r>
      <w:r>
        <w:rPr>
          <w:rFonts w:ascii="仿宋_GB2312" w:eastAsia="仿宋_GB2312" w:cs="仿宋_GB2312" w:hint="eastAsia"/>
          <w:sz w:val="32"/>
          <w:szCs w:val="32"/>
          <w:lang w:eastAsia="zh-CN"/>
          <w:highlight w:val="auto"/>
        </w:rPr>
        <w:t>（</w:t>
      </w:r>
      <w:r>
        <w:rPr>
          <w:rFonts w:ascii="仿宋_GB2312" w:eastAsia="仿宋_GB2312" w:cs="仿宋_GB2312" w:hint="eastAsia"/>
          <w:sz w:val="32"/>
          <w:szCs w:val="32"/>
          <w:lang w:val="en-US" w:eastAsia="zh-CN"/>
          <w:highlight w:val="auto"/>
        </w:rPr>
        <w:t>人员经费1783482.8元，日常公用经费461409.01元</w:t>
      </w:r>
      <w:r>
        <w:rPr>
          <w:rFonts w:ascii="仿宋_GB2312" w:eastAsia="仿宋_GB2312" w:cs="仿宋_GB2312" w:hint="eastAsia"/>
          <w:sz w:val="32"/>
          <w:szCs w:val="32"/>
          <w:lang w:eastAsia="zh-CN"/>
          <w:highlight w:val="auto"/>
        </w:rPr>
        <w:t>），</w:t>
      </w:r>
      <w:r>
        <w:rPr>
          <w:rFonts w:ascii="仿宋_GB2312" w:eastAsia="仿宋_GB2312" w:cs="仿宋_GB2312" w:hint="eastAsia"/>
          <w:sz w:val="32"/>
          <w:szCs w:val="32"/>
          <w:lang w:val="en-US" w:eastAsia="zh-CN"/>
          <w:highlight w:val="auto"/>
        </w:rPr>
        <w:t>占总体支出的61.17%</w:t>
      </w:r>
      <w:r>
        <w:rPr>
          <w:rFonts w:ascii="仿宋_GB2312" w:eastAsia="仿宋_GB2312" w:cs="仿宋_GB2312" w:hint="eastAsia"/>
          <w:sz w:val="32"/>
          <w:szCs w:val="32"/>
          <w:highlight w:val="auto"/>
        </w:rPr>
        <w:t>；</w:t>
      </w:r>
      <w:r>
        <w:rPr>
          <w:rFonts w:ascii="仿宋_GB2312" w:eastAsia="仿宋_GB2312" w:cs="仿宋_GB2312" w:hint="eastAsia"/>
          <w:sz w:val="32"/>
          <w:szCs w:val="32"/>
          <w:lang w:eastAsia="zh-CN"/>
          <w:highlight w:val="auto"/>
        </w:rPr>
        <w:t>项目支出</w:t>
      </w:r>
      <w:r>
        <w:rPr>
          <w:rFonts w:ascii="仿宋_GB2312" w:eastAsia="仿宋_GB2312" w:cs="仿宋_GB2312" w:hint="eastAsia"/>
          <w:sz w:val="32"/>
          <w:szCs w:val="32"/>
          <w:lang w:val="en-US" w:eastAsia="zh-CN"/>
          <w:highlight w:val="auto"/>
        </w:rPr>
        <w:t>1424575</w:t>
      </w:r>
      <w:r>
        <w:rPr>
          <w:rFonts w:ascii="仿宋_GB2312" w:eastAsia="仿宋_GB2312" w:cs="仿宋_GB2312" w:hint="eastAsia"/>
          <w:sz w:val="32"/>
          <w:szCs w:val="32"/>
          <w:highlight w:val="auto"/>
        </w:rPr>
        <w:t>元</w:t>
      </w:r>
      <w:r>
        <w:rPr>
          <w:rFonts w:ascii="仿宋_GB2312" w:eastAsia="仿宋_GB2312" w:cs="仿宋_GB2312" w:hint="eastAsia"/>
          <w:sz w:val="32"/>
          <w:szCs w:val="32"/>
          <w:lang w:eastAsia="zh-CN"/>
          <w:highlight w:val="auto"/>
        </w:rPr>
        <w:t>，</w:t>
      </w:r>
      <w:r>
        <w:rPr>
          <w:rFonts w:ascii="仿宋_GB2312" w:eastAsia="仿宋_GB2312" w:cs="仿宋_GB2312" w:hint="eastAsia"/>
          <w:sz w:val="32"/>
          <w:szCs w:val="32"/>
          <w:lang w:val="en-US" w:eastAsia="zh-CN"/>
          <w:highlight w:val="auto"/>
        </w:rPr>
        <w:t>占总体支出的38.83%</w:t>
      </w:r>
      <w:r>
        <w:rPr>
          <w:rFonts w:ascii="仿宋_GB2312" w:eastAsia="仿宋_GB2312" w:cs="仿宋_GB2312" w:hint="eastAsia"/>
          <w:sz w:val="32"/>
          <w:szCs w:val="32"/>
          <w:highlight w:val="auto"/>
        </w:rPr>
        <w:t>。</w:t>
      </w:r>
    </w:p>
    <w:p>
      <w:pPr>
        <w:widowControl/>
        <w:wordWrap/>
        <w:adjustRightInd/>
        <w:snapToGrid/>
        <w:spacing w:line="560" w:lineRule="exact"/>
        <w:ind w:left="0" w:right="0" w:firstLineChars="200" w:firstLine="640"/>
        <w:jc w:val="left"/>
        <w:textAlignment w:val="auto"/>
        <w:outlineLvl w:val="9"/>
        <w:rPr>
          <w:rFonts w:ascii="黑体" w:eastAsia="黑体" w:cs="黑体" w:hint="eastAsia"/>
          <w:sz w:val="32"/>
          <w:szCs w:val="32"/>
          <w:highlight w:val="auto"/>
        </w:rPr>
      </w:pPr>
      <w:r>
        <w:rPr>
          <w:rFonts w:ascii="黑体" w:eastAsia="黑体" w:cs="黑体" w:hint="eastAsia"/>
          <w:sz w:val="32"/>
          <w:szCs w:val="32"/>
          <w:lang w:val="en-US" w:eastAsia="zh-CN"/>
          <w:highlight w:val="auto"/>
        </w:rPr>
        <w:t xml:space="preserve"> </w:t>
      </w:r>
      <w:r>
        <w:rPr>
          <w:rFonts w:ascii="黑体" w:eastAsia="黑体" w:cs="黑体" w:hint="eastAsia"/>
          <w:sz w:val="32"/>
          <w:szCs w:val="32"/>
          <w:highlight w:val="auto"/>
        </w:rPr>
        <w:t>三、部门财政支出管理情况</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b/>
          <w:bCs/>
          <w:sz w:val="32"/>
          <w:szCs w:val="32"/>
          <w:lang w:val="zh-CN"/>
          <w:highlight w:val="auto"/>
        </w:rPr>
      </w:pPr>
      <w:r>
        <w:rPr>
          <w:rFonts w:ascii="仿宋_GB2312" w:eastAsia="仿宋_GB2312" w:cs="仿宋_GB2312" w:hint="eastAsia"/>
          <w:b/>
          <w:bCs/>
          <w:sz w:val="32"/>
          <w:szCs w:val="32"/>
          <w:lang w:val="zh-CN"/>
          <w:highlight w:val="auto"/>
        </w:rPr>
        <w:t>（一）预算编制情况。</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zh-CN"/>
          <w:highlight w:val="auto"/>
        </w:rPr>
      </w:pPr>
      <w:r>
        <w:rPr>
          <w:rFonts w:ascii="仿宋_GB2312" w:eastAsia="仿宋_GB2312" w:cs="仿宋_GB2312" w:hint="eastAsia"/>
          <w:sz w:val="32"/>
          <w:szCs w:val="32"/>
          <w:lang w:val="en-US" w:eastAsia="zh-CN"/>
          <w:highlight w:val="auto"/>
        </w:rPr>
        <w:t>根据</w:t>
      </w:r>
      <w:r>
        <w:rPr>
          <w:rFonts w:ascii="仿宋_GB2312" w:eastAsia="仿宋_GB2312" w:cs="仿宋_GB2312" w:hint="eastAsia"/>
          <w:sz w:val="32"/>
          <w:szCs w:val="32"/>
          <w:highlight w:val="auto"/>
        </w:rPr>
        <w:t>《汶川县财政局关于编制县级20</w:t>
      </w:r>
      <w:r>
        <w:rPr>
          <w:rFonts w:ascii="仿宋_GB2312" w:eastAsia="仿宋_GB2312" w:cs="仿宋_GB2312" w:hint="eastAsia"/>
          <w:sz w:val="32"/>
          <w:szCs w:val="32"/>
          <w:lang w:val="en-US" w:eastAsia="zh-CN"/>
          <w:highlight w:val="auto"/>
        </w:rPr>
        <w:t>20-2022</w:t>
      </w:r>
      <w:r>
        <w:rPr>
          <w:rFonts w:ascii="仿宋_GB2312" w:eastAsia="仿宋_GB2312" w:cs="仿宋_GB2312" w:hint="eastAsia"/>
          <w:sz w:val="32"/>
          <w:szCs w:val="32"/>
          <w:highlight w:val="auto"/>
        </w:rPr>
        <w:t>年</w:t>
      </w:r>
      <w:r>
        <w:rPr>
          <w:rFonts w:ascii="仿宋_GB2312" w:eastAsia="仿宋_GB2312" w:cs="仿宋_GB2312" w:hint="eastAsia"/>
          <w:sz w:val="32"/>
          <w:szCs w:val="32"/>
          <w:lang w:eastAsia="zh-CN"/>
          <w:highlight w:val="auto"/>
        </w:rPr>
        <w:t>中期财政规划及</w:t>
      </w:r>
      <w:r>
        <w:rPr>
          <w:rFonts w:ascii="仿宋_GB2312" w:eastAsia="仿宋_GB2312" w:cs="仿宋_GB2312" w:hint="eastAsia"/>
          <w:sz w:val="32"/>
          <w:szCs w:val="32"/>
          <w:lang w:val="en-US" w:eastAsia="zh-CN"/>
          <w:highlight w:val="auto"/>
        </w:rPr>
        <w:t>2020年</w:t>
      </w:r>
      <w:r>
        <w:rPr>
          <w:rFonts w:ascii="仿宋_GB2312" w:eastAsia="仿宋_GB2312" w:cs="仿宋_GB2312" w:hint="eastAsia"/>
          <w:sz w:val="32"/>
          <w:szCs w:val="32"/>
          <w:highlight w:val="auto"/>
        </w:rPr>
        <w:t>部门预算的通知》</w:t>
      </w:r>
      <w:r>
        <w:rPr>
          <w:rFonts w:ascii="仿宋_GB2312" w:eastAsia="仿宋_GB2312" w:cs="仿宋_GB2312" w:hint="eastAsia"/>
          <w:sz w:val="32"/>
          <w:szCs w:val="32"/>
          <w:lang w:eastAsia="zh-CN"/>
          <w:highlight w:val="auto"/>
        </w:rPr>
        <w:t>（</w:t>
      </w:r>
      <w:r>
        <w:rPr>
          <w:rFonts w:ascii="仿宋_GB2312" w:eastAsia="仿宋_GB2312" w:cs="仿宋_GB2312" w:hint="eastAsia"/>
          <w:sz w:val="32"/>
          <w:szCs w:val="32"/>
          <w:highlight w:val="auto"/>
        </w:rPr>
        <w:t>汶财</w:t>
      </w:r>
      <w:r>
        <w:rPr>
          <w:rFonts w:ascii="仿宋_GB2312" w:eastAsia="仿宋_GB2312" w:cs="仿宋_GB2312" w:hint="eastAsia"/>
          <w:sz w:val="32"/>
          <w:szCs w:val="32"/>
          <w:lang w:eastAsia="zh-CN"/>
          <w:highlight w:val="auto"/>
        </w:rPr>
        <w:t>函</w:t>
      </w:r>
      <w:r>
        <w:rPr>
          <w:rFonts w:ascii="仿宋_GB2312" w:eastAsia="仿宋_GB2312" w:cs="仿宋_GB2312" w:hint="eastAsia"/>
          <w:sz w:val="32"/>
          <w:szCs w:val="32"/>
          <w:lang w:val="en-US" w:eastAsia="zh-CN"/>
          <w:highlight w:val="auto"/>
        </w:rPr>
        <w:t>[2019]134</w:t>
      </w:r>
      <w:r>
        <w:rPr>
          <w:rFonts w:ascii="仿宋_GB2312" w:eastAsia="仿宋_GB2312" w:cs="仿宋_GB2312" w:hint="eastAsia"/>
          <w:sz w:val="32"/>
          <w:szCs w:val="32"/>
          <w:highlight w:val="auto"/>
        </w:rPr>
        <w:t>号</w:t>
      </w:r>
      <w:r>
        <w:rPr>
          <w:rFonts w:ascii="仿宋_GB2312" w:eastAsia="仿宋_GB2312" w:cs="仿宋_GB2312" w:hint="eastAsia"/>
          <w:sz w:val="32"/>
          <w:szCs w:val="32"/>
          <w:lang w:eastAsia="zh-CN"/>
          <w:highlight w:val="auto"/>
        </w:rPr>
        <w:t>）</w:t>
      </w:r>
      <w:r>
        <w:rPr>
          <w:rFonts w:ascii="仿宋_GB2312" w:eastAsia="仿宋_GB2312" w:cs="仿宋_GB2312" w:hint="eastAsia"/>
          <w:sz w:val="32"/>
          <w:szCs w:val="32"/>
          <w:highlight w:val="auto"/>
        </w:rPr>
        <w:t>文件要求</w:t>
      </w:r>
      <w:r>
        <w:rPr>
          <w:rFonts w:ascii="仿宋_GB2312" w:eastAsia="仿宋_GB2312" w:cs="仿宋_GB2312" w:hint="eastAsia"/>
          <w:sz w:val="32"/>
          <w:szCs w:val="32"/>
          <w:lang w:eastAsia="zh-CN"/>
          <w:highlight w:val="auto"/>
        </w:rPr>
        <w:t>，</w:t>
      </w:r>
      <w:r>
        <w:rPr>
          <w:rFonts w:ascii="仿宋_GB2312" w:eastAsia="仿宋_GB2312" w:cs="仿宋_GB2312" w:hint="eastAsia"/>
          <w:sz w:val="32"/>
          <w:szCs w:val="32"/>
          <w:highlight w:val="auto"/>
        </w:rPr>
        <w:t>我</w:t>
      </w:r>
      <w:r>
        <w:rPr>
          <w:rFonts w:ascii="仿宋_GB2312" w:eastAsia="仿宋_GB2312" w:cs="仿宋_GB2312" w:hint="eastAsia"/>
          <w:sz w:val="32"/>
          <w:szCs w:val="32"/>
          <w:lang w:val="en-US" w:eastAsia="zh-CN"/>
          <w:highlight w:val="auto"/>
        </w:rPr>
        <w:t>中心</w:t>
      </w:r>
      <w:r>
        <w:rPr>
          <w:rFonts w:ascii="仿宋_GB2312" w:eastAsia="仿宋_GB2312" w:cs="仿宋_GB2312" w:hint="eastAsia"/>
          <w:sz w:val="32"/>
          <w:szCs w:val="32"/>
          <w:highlight w:val="auto"/>
        </w:rPr>
        <w:t>积极开展了</w:t>
      </w:r>
      <w:r>
        <w:rPr>
          <w:rFonts w:ascii="仿宋_GB2312" w:eastAsia="仿宋_GB2312" w:cs="仿宋_GB2312" w:hint="eastAsia"/>
          <w:sz w:val="32"/>
          <w:szCs w:val="32"/>
          <w:lang w:eastAsia="zh-CN"/>
          <w:highlight w:val="auto"/>
        </w:rPr>
        <w:t>预算编制</w:t>
      </w:r>
      <w:r>
        <w:rPr>
          <w:rFonts w:ascii="仿宋_GB2312" w:eastAsia="仿宋_GB2312" w:cs="仿宋_GB2312" w:hint="eastAsia"/>
          <w:sz w:val="32"/>
          <w:szCs w:val="32"/>
          <w:highlight w:val="auto"/>
        </w:rPr>
        <w:t>工作。按照文件精神在编制预算中坚持勤俭节约，从严从紧编制预算，健全厉行节约长效机制；</w:t>
      </w:r>
      <w:r>
        <w:rPr>
          <w:rFonts w:ascii="仿宋_GB2312" w:eastAsia="仿宋_GB2312" w:cs="仿宋_GB2312" w:hint="eastAsia"/>
          <w:sz w:val="32"/>
          <w:szCs w:val="32"/>
          <w:lang w:val="zh-CN"/>
          <w:highlight w:val="auto"/>
        </w:rPr>
        <w:t>按照预算管理有关规定，预算的编制实行综合预算制度，即全部收入和支出都反映在预算中。</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zh-CN"/>
          <w:highlight w:val="auto"/>
        </w:rPr>
      </w:pPr>
      <w:r>
        <w:rPr>
          <w:rFonts w:ascii="仿宋_GB2312" w:eastAsia="仿宋_GB2312" w:cs="仿宋_GB2312" w:hint="eastAsia"/>
          <w:b/>
          <w:bCs/>
          <w:sz w:val="32"/>
          <w:szCs w:val="32"/>
          <w:lang w:val="zh-CN"/>
          <w:highlight w:val="auto"/>
        </w:rPr>
        <w:t>（二）执行管理情况。</w:t>
      </w:r>
      <w:r>
        <w:rPr>
          <w:rFonts w:ascii="仿宋_GB2312" w:eastAsia="仿宋_GB2312" w:cs="仿宋_GB2312" w:hint="eastAsia"/>
          <w:sz w:val="32"/>
          <w:szCs w:val="32"/>
          <w:lang w:val="zh-CN"/>
          <w:highlight w:val="auto"/>
        </w:rPr>
        <w:tab/>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en-US" w:eastAsia="zh-CN"/>
          <w:highlight w:val="auto"/>
        </w:rPr>
      </w:pPr>
      <w:r>
        <w:rPr>
          <w:rFonts w:ascii="仿宋_GB2312" w:eastAsia="仿宋_GB2312" w:cs="仿宋_GB2312" w:hint="eastAsia"/>
          <w:sz w:val="32"/>
          <w:szCs w:val="32"/>
          <w:highlight w:val="auto"/>
        </w:rPr>
        <w:t>强化底线思维，狠抓风险防控，进一步完善审批制度，强化预算执行管理。在保证各项工作顺利运转的同时，确保各项财务收支符合国家的法律、法规和财经纪律。</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en-US" w:eastAsia="zh-CN"/>
          <w:highlight w:val="auto"/>
        </w:rPr>
      </w:pPr>
      <w:r>
        <w:rPr>
          <w:rFonts w:ascii="仿宋_GB2312" w:eastAsia="仿宋_GB2312" w:cs="仿宋_GB2312" w:hint="eastAsia"/>
          <w:sz w:val="32"/>
          <w:szCs w:val="32"/>
          <w:highlight w:val="auto"/>
        </w:rPr>
        <w:t>在财政资金执行进度中，采取月初有计划，科学合理的安排资金，认真严肃的审核每一笔业务支出。在当年6月、9月及时查看资金进度使用情况，11月份通算全年资金运行情况，同时加快资金使用进度。</w:t>
        <w:br/>
      </w:r>
      <w:r>
        <w:rPr>
          <w:rFonts w:ascii="仿宋_GB2312" w:eastAsia="仿宋_GB2312" w:cs="仿宋_GB2312" w:hint="eastAsia"/>
          <w:sz w:val="32"/>
          <w:szCs w:val="32"/>
          <w:lang w:val="en-US" w:eastAsia="zh-CN"/>
          <w:highlight w:val="auto"/>
        </w:rPr>
        <w:t xml:space="preserve">    </w:t>
      </w:r>
      <w:r>
        <w:rPr>
          <w:rFonts w:ascii="仿宋_GB2312" w:eastAsia="仿宋_GB2312" w:cs="仿宋_GB2312" w:hint="eastAsia"/>
          <w:sz w:val="32"/>
          <w:szCs w:val="32"/>
          <w:highlight w:val="auto"/>
        </w:rPr>
        <w:t>我</w:t>
      </w:r>
      <w:r>
        <w:rPr>
          <w:rFonts w:ascii="仿宋_GB2312" w:eastAsia="仿宋_GB2312" w:cs="仿宋_GB2312" w:hint="eastAsia"/>
          <w:sz w:val="32"/>
          <w:szCs w:val="32"/>
          <w:lang w:val="en-US" w:eastAsia="zh-CN"/>
          <w:highlight w:val="auto"/>
        </w:rPr>
        <w:t>中心</w:t>
      </w:r>
      <w:r>
        <w:rPr>
          <w:rFonts w:ascii="仿宋_GB2312" w:eastAsia="仿宋_GB2312" w:cs="仿宋_GB2312" w:hint="eastAsia"/>
          <w:sz w:val="32"/>
          <w:szCs w:val="32"/>
          <w:highlight w:val="auto"/>
        </w:rPr>
        <w:t>严格执行厉行节约有关规定，进一步规范“三公”经费管理，从严控制“三公”经费开支。</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b/>
          <w:bCs/>
          <w:sz w:val="32"/>
          <w:szCs w:val="32"/>
          <w:lang w:val="zh-CN"/>
          <w:highlight w:val="auto"/>
        </w:rPr>
      </w:pPr>
      <w:r>
        <w:rPr>
          <w:rFonts w:ascii="仿宋_GB2312" w:eastAsia="仿宋_GB2312" w:cs="仿宋_GB2312" w:hint="eastAsia"/>
          <w:b/>
          <w:bCs/>
          <w:sz w:val="32"/>
          <w:szCs w:val="32"/>
          <w:lang w:val="zh-CN"/>
          <w:highlight w:val="auto"/>
        </w:rPr>
        <w:t>（三）综合管理情况。</w:t>
      </w:r>
    </w:p>
    <w:p>
      <w:pPr>
        <w:widowControl/>
        <w:wordWrap/>
        <w:adjustRightInd/>
        <w:snapToGrid/>
        <w:spacing w:line="560" w:lineRule="exact"/>
        <w:ind w:right="0"/>
        <w:jc w:val="left"/>
        <w:textAlignment w:val="auto"/>
        <w:outlineLvl w:val="9"/>
        <w:rPr>
          <w:rFonts w:ascii="仿宋_GB2312" w:eastAsia="仿宋_GB2312" w:cs="仿宋_GB2312" w:hint="eastAsia"/>
          <w:sz w:val="32"/>
          <w:szCs w:val="32"/>
          <w:highlight w:val="auto"/>
        </w:rPr>
      </w:pPr>
      <w:r>
        <w:rPr>
          <w:rFonts w:ascii="仿宋_GB2312" w:eastAsia="仿宋_GB2312" w:cs="仿宋_GB2312" w:hint="eastAsia"/>
          <w:b/>
          <w:bCs/>
          <w:sz w:val="32"/>
          <w:szCs w:val="32"/>
          <w:lang w:val="en-US" w:eastAsia="zh-CN"/>
          <w:highlight w:val="auto"/>
        </w:rPr>
        <w:t xml:space="preserve">  </w:t>
      </w:r>
      <w:r>
        <w:rPr>
          <w:rFonts w:ascii="仿宋_GB2312" w:eastAsia="仿宋_GB2312" w:cs="仿宋_GB2312" w:hint="eastAsia"/>
          <w:b/>
          <w:bCs/>
          <w:sz w:val="32"/>
          <w:szCs w:val="32"/>
          <w:highlight w:val="auto"/>
        </w:rPr>
        <w:t>1</w:t>
      </w:r>
      <w:r>
        <w:rPr>
          <w:rFonts w:ascii="仿宋_GB2312" w:eastAsia="仿宋_GB2312" w:cs="仿宋_GB2312" w:hint="eastAsia"/>
          <w:b/>
          <w:bCs/>
          <w:sz w:val="32"/>
          <w:szCs w:val="32"/>
          <w:lang w:val="en-US" w:eastAsia="zh-CN"/>
          <w:highlight w:val="auto"/>
        </w:rPr>
        <w:t>.</w:t>
      </w:r>
      <w:r>
        <w:rPr>
          <w:rFonts w:ascii="仿宋_GB2312" w:eastAsia="仿宋_GB2312" w:cs="仿宋_GB2312" w:hint="eastAsia"/>
          <w:b/>
          <w:bCs/>
          <w:sz w:val="32"/>
          <w:szCs w:val="32"/>
          <w:highlight w:val="auto"/>
        </w:rPr>
        <w:t>财务管理情况。</w:t>
      </w:r>
      <w:r>
        <w:rPr>
          <w:rFonts w:ascii="仿宋_GB2312" w:eastAsia="仿宋_GB2312" w:cs="仿宋_GB2312" w:hint="eastAsia"/>
          <w:sz w:val="32"/>
          <w:szCs w:val="32"/>
          <w:highlight w:val="auto"/>
        </w:rPr>
        <w:br/>
        <w:t>   </w:t>
      </w:r>
      <w:r>
        <w:rPr>
          <w:rFonts w:ascii="仿宋_GB2312" w:eastAsia="仿宋_GB2312" w:cs="仿宋_GB2312" w:hint="eastAsia"/>
          <w:sz w:val="32"/>
          <w:szCs w:val="32"/>
          <w:lang w:val="en-US" w:eastAsia="zh-CN"/>
          <w:highlight w:val="auto"/>
        </w:rPr>
        <w:t xml:space="preserve"> 我中心</w:t>
      </w:r>
      <w:r>
        <w:rPr>
          <w:rFonts w:ascii="仿宋_GB2312" w:eastAsia="仿宋_GB2312" w:cs="仿宋_GB2312" w:hint="eastAsia"/>
          <w:sz w:val="32"/>
          <w:szCs w:val="32"/>
          <w:highlight w:val="auto"/>
        </w:rPr>
        <w:t>严格执行《行政单位会计制度》，建立机关财务管理制度，规范账务处理，会计凭证和财务报告真实完整，不做假账。加强三公经费管理，严格控制三公经费支出。明确一般性支出的开支范围和标准，严格报账审核。机关公务接待、会议费、差旅费严格按照荣县党政机关公务接待、会议费、差旅费管理办法执行。</w:t>
        <w:br/>
        <w:t> </w:t>
      </w:r>
      <w:r>
        <w:rPr>
          <w:rFonts w:ascii="仿宋_GB2312" w:eastAsia="仿宋_GB2312" w:cs="仿宋_GB2312" w:hint="eastAsia"/>
          <w:b/>
          <w:bCs/>
          <w:sz w:val="32"/>
          <w:szCs w:val="32"/>
          <w:highlight w:val="auto"/>
        </w:rPr>
        <w:t>  </w:t>
      </w:r>
      <w:r>
        <w:rPr>
          <w:rFonts w:ascii="仿宋_GB2312" w:eastAsia="仿宋_GB2312" w:cs="仿宋_GB2312" w:hint="eastAsia"/>
          <w:b/>
          <w:bCs/>
          <w:sz w:val="32"/>
          <w:szCs w:val="32"/>
          <w:lang w:val="en-US" w:eastAsia="zh-CN"/>
          <w:highlight w:val="auto"/>
        </w:rPr>
        <w:t xml:space="preserve">  </w:t>
      </w:r>
      <w:r>
        <w:rPr>
          <w:rFonts w:ascii="仿宋_GB2312" w:eastAsia="仿宋_GB2312" w:cs="仿宋_GB2312" w:hint="eastAsia"/>
          <w:b/>
          <w:bCs/>
          <w:sz w:val="32"/>
          <w:szCs w:val="32"/>
          <w:highlight w:val="auto"/>
        </w:rPr>
        <w:t>2</w:t>
      </w:r>
      <w:r>
        <w:rPr>
          <w:rFonts w:ascii="仿宋_GB2312" w:eastAsia="仿宋_GB2312" w:cs="仿宋_GB2312" w:hint="eastAsia"/>
          <w:b/>
          <w:bCs/>
          <w:sz w:val="32"/>
          <w:szCs w:val="32"/>
          <w:lang w:val="en-US" w:eastAsia="zh-CN"/>
          <w:highlight w:val="auto"/>
        </w:rPr>
        <w:t>.</w:t>
      </w:r>
      <w:r>
        <w:rPr>
          <w:rFonts w:ascii="仿宋_GB2312" w:eastAsia="仿宋_GB2312" w:cs="仿宋_GB2312" w:hint="eastAsia"/>
          <w:b/>
          <w:bCs/>
          <w:sz w:val="32"/>
          <w:szCs w:val="32"/>
          <w:highlight w:val="auto"/>
        </w:rPr>
        <w:t>资产管理情况：</w:t>
      </w:r>
      <w:r>
        <w:rPr>
          <w:rFonts w:ascii="仿宋_GB2312" w:eastAsia="仿宋_GB2312" w:cs="仿宋_GB2312" w:hint="eastAsia"/>
          <w:sz w:val="32"/>
          <w:szCs w:val="32"/>
          <w:highlight w:val="auto"/>
        </w:rPr>
        <w:t>加强资产管理，机关资产录入国有资产管理信息系统，每项资产建立了资产卡片，实行动态管理，完成资产清查工作。报废、毁损、处</w:t>
      </w:r>
      <w:r>
        <w:rPr>
          <w:rFonts w:ascii="仿宋_GB2312" w:eastAsia="仿宋_GB2312" w:cs="仿宋_GB2312" w:hint="eastAsia"/>
          <w:sz w:val="32"/>
          <w:szCs w:val="32"/>
          <w:lang w:val="en-US" w:eastAsia="zh-CN"/>
          <w:highlight w:val="auto"/>
        </w:rPr>
        <w:t>置</w:t>
      </w:r>
      <w:r>
        <w:rPr>
          <w:rFonts w:ascii="仿宋_GB2312" w:eastAsia="仿宋_GB2312" w:cs="仿宋_GB2312" w:hint="eastAsia"/>
          <w:sz w:val="32"/>
          <w:szCs w:val="32"/>
          <w:highlight w:val="auto"/>
        </w:rPr>
        <w:t>固定资产，根据《</w:t>
      </w:r>
      <w:r>
        <w:rPr>
          <w:rFonts w:ascii="仿宋_GB2312" w:eastAsia="仿宋_GB2312" w:cs="仿宋_GB2312" w:hint="eastAsia"/>
          <w:sz w:val="32"/>
          <w:szCs w:val="32"/>
          <w:lang w:val="en-US" w:eastAsia="zh-CN"/>
          <w:highlight w:val="auto"/>
        </w:rPr>
        <w:t>汶川县</w:t>
      </w:r>
      <w:r>
        <w:rPr>
          <w:rFonts w:ascii="仿宋_GB2312" w:eastAsia="仿宋_GB2312" w:cs="仿宋_GB2312" w:hint="eastAsia"/>
          <w:sz w:val="32"/>
          <w:szCs w:val="32"/>
          <w:highlight w:val="auto"/>
        </w:rPr>
        <w:t>行政事业单位国有资产处置管理暂行办法》规定办理相关报批手续,根据财政的批复，及时进行账务调整。</w:t>
        <w:br/>
        <w:t>   </w:t>
      </w:r>
      <w:r>
        <w:rPr>
          <w:rFonts w:ascii="仿宋_GB2312" w:eastAsia="仿宋_GB2312" w:cs="仿宋_GB2312" w:hint="eastAsia"/>
          <w:b/>
          <w:bCs/>
          <w:sz w:val="32"/>
          <w:szCs w:val="32"/>
          <w:highlight w:val="auto"/>
        </w:rPr>
        <w:t xml:space="preserve"> 3</w:t>
      </w:r>
      <w:r>
        <w:rPr>
          <w:rFonts w:ascii="仿宋_GB2312" w:eastAsia="仿宋_GB2312" w:cs="仿宋_GB2312" w:hint="eastAsia"/>
          <w:b/>
          <w:bCs/>
          <w:sz w:val="32"/>
          <w:szCs w:val="32"/>
          <w:lang w:val="en-US" w:eastAsia="zh-CN"/>
          <w:highlight w:val="auto"/>
        </w:rPr>
        <w:t>.</w:t>
      </w:r>
      <w:r>
        <w:rPr>
          <w:rFonts w:ascii="仿宋_GB2312" w:eastAsia="仿宋_GB2312" w:cs="仿宋_GB2312" w:hint="eastAsia"/>
          <w:b/>
          <w:bCs/>
          <w:sz w:val="32"/>
          <w:szCs w:val="32"/>
          <w:highlight w:val="auto"/>
        </w:rPr>
        <w:t>内控制度管理情况：</w:t>
      </w:r>
      <w:r>
        <w:rPr>
          <w:rFonts w:ascii="仿宋_GB2312" w:eastAsia="仿宋_GB2312" w:cs="仿宋_GB2312" w:hint="eastAsia"/>
          <w:sz w:val="32"/>
          <w:szCs w:val="32"/>
          <w:highlight w:val="auto"/>
        </w:rPr>
        <w:br/>
        <w:t>    机关建立和健全了预算业务管理、收支业务管理、政府采购业务管理、资产管理、合同管理等内部控制制度。查找了风险点，完善了业务流程。使经济业务管理更规范，健康。</w:t>
        <w:br/>
        <w:t>  </w:t>
      </w:r>
      <w:r>
        <w:rPr>
          <w:rFonts w:ascii="仿宋_GB2312" w:eastAsia="仿宋_GB2312" w:cs="仿宋_GB2312" w:hint="eastAsia"/>
          <w:b/>
          <w:bCs/>
          <w:sz w:val="32"/>
          <w:szCs w:val="32"/>
          <w:highlight w:val="auto"/>
        </w:rPr>
        <w:t>  4</w:t>
      </w:r>
      <w:r>
        <w:rPr>
          <w:rFonts w:ascii="仿宋_GB2312" w:eastAsia="仿宋_GB2312" w:cs="仿宋_GB2312" w:hint="eastAsia"/>
          <w:b/>
          <w:bCs/>
          <w:sz w:val="32"/>
          <w:szCs w:val="32"/>
          <w:lang w:val="en-US" w:eastAsia="zh-CN"/>
          <w:highlight w:val="auto"/>
        </w:rPr>
        <w:t>.</w:t>
      </w:r>
      <w:r>
        <w:rPr>
          <w:rFonts w:ascii="仿宋_GB2312" w:eastAsia="仿宋_GB2312" w:cs="仿宋_GB2312" w:hint="eastAsia"/>
          <w:b/>
          <w:bCs/>
          <w:sz w:val="32"/>
          <w:szCs w:val="32"/>
          <w:highlight w:val="auto"/>
        </w:rPr>
        <w:t>政府采购管理情况：</w:t>
      </w:r>
      <w:r>
        <w:rPr>
          <w:rFonts w:ascii="仿宋_GB2312" w:eastAsia="仿宋_GB2312" w:cs="仿宋_GB2312" w:hint="eastAsia"/>
          <w:sz w:val="32"/>
          <w:szCs w:val="32"/>
          <w:highlight w:val="auto"/>
        </w:rPr>
        <w:t>机关的货物购置、工程和服务项目，按照规定实行政府采购。加强对政府采购业务控制，按照规定选择政府采购方式、发布政府采购信息。对政府采购变更政府采购方式等事项加强内部审核，严格履行审批手续。</w:t>
        <w:br/>
        <w:t>   </w:t>
      </w:r>
      <w:r>
        <w:rPr>
          <w:rFonts w:ascii="仿宋_GB2312" w:eastAsia="仿宋_GB2312" w:cs="仿宋_GB2312" w:hint="eastAsia"/>
          <w:b/>
          <w:bCs/>
          <w:sz w:val="32"/>
          <w:szCs w:val="32"/>
          <w:highlight w:val="auto"/>
        </w:rPr>
        <w:t xml:space="preserve"> 5</w:t>
      </w:r>
      <w:r>
        <w:rPr>
          <w:rFonts w:ascii="仿宋_GB2312" w:eastAsia="仿宋_GB2312" w:cs="仿宋_GB2312" w:hint="eastAsia"/>
          <w:b/>
          <w:bCs/>
          <w:sz w:val="32"/>
          <w:szCs w:val="32"/>
          <w:lang w:val="en-US" w:eastAsia="zh-CN"/>
          <w:highlight w:val="auto"/>
        </w:rPr>
        <w:t>.</w:t>
      </w:r>
      <w:r>
        <w:rPr>
          <w:rFonts w:ascii="仿宋_GB2312" w:eastAsia="仿宋_GB2312" w:cs="仿宋_GB2312" w:hint="eastAsia"/>
          <w:b/>
          <w:bCs/>
          <w:sz w:val="32"/>
          <w:szCs w:val="32"/>
          <w:highlight w:val="auto"/>
        </w:rPr>
        <w:t>依法接受财政等监督。</w:t>
      </w:r>
      <w:r>
        <w:rPr>
          <w:rFonts w:ascii="仿宋_GB2312" w:eastAsia="仿宋_GB2312" w:cs="仿宋_GB2312" w:hint="eastAsia"/>
          <w:sz w:val="32"/>
          <w:szCs w:val="32"/>
          <w:highlight w:val="auto"/>
        </w:rPr>
        <w:t>遵守财经法规，严格财经纪律，依法接受财政、审计、巡察监督，按时上报开展滥发奖金、工资、补贴问题和严肃财经纪律等自查报告。　</w:t>
      </w:r>
    </w:p>
    <w:p>
      <w:pPr>
        <w:widowControl/>
        <w:wordWrap/>
        <w:adjustRightInd/>
        <w:snapToGrid/>
        <w:spacing w:line="560" w:lineRule="exact"/>
        <w:ind w:left="0" w:right="0" w:firstLineChars="200" w:firstLine="640"/>
        <w:jc w:val="left"/>
        <w:textAlignment w:val="auto"/>
        <w:outlineLvl w:val="9"/>
        <w:rPr>
          <w:rFonts w:ascii="黑体" w:eastAsia="黑体" w:cs="黑体" w:hint="eastAsia"/>
          <w:sz w:val="32"/>
          <w:szCs w:val="32"/>
          <w:highlight w:val="auto"/>
        </w:rPr>
      </w:pPr>
      <w:r>
        <w:rPr>
          <w:rFonts w:ascii="黑体" w:eastAsia="黑体" w:cs="黑体" w:hint="eastAsia"/>
          <w:sz w:val="32"/>
          <w:szCs w:val="32"/>
          <w:highlight w:val="auto"/>
        </w:rPr>
        <w:t>四、评价结论及建议</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b/>
          <w:bCs/>
          <w:sz w:val="32"/>
          <w:szCs w:val="32"/>
          <w:lang w:val="zh-CN"/>
          <w:highlight w:val="auto"/>
        </w:rPr>
      </w:pPr>
      <w:r>
        <w:rPr>
          <w:rFonts w:ascii="仿宋_GB2312" w:eastAsia="仿宋_GB2312" w:cs="仿宋_GB2312" w:hint="eastAsia"/>
          <w:b/>
          <w:bCs/>
          <w:sz w:val="32"/>
          <w:szCs w:val="32"/>
          <w:lang w:val="zh-CN"/>
          <w:highlight w:val="auto"/>
        </w:rPr>
        <w:t>（一）评价结论。</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zh-CN"/>
          <w:highlight w:val="auto"/>
        </w:rPr>
      </w:pPr>
      <w:r>
        <w:rPr>
          <w:rFonts w:ascii="仿宋_GB2312" w:eastAsia="仿宋_GB2312" w:cs="仿宋_GB2312" w:hint="eastAsia"/>
          <w:sz w:val="32"/>
          <w:szCs w:val="32"/>
          <w:lang w:val="en-US" w:eastAsia="zh-CN"/>
          <w:highlight w:val="auto"/>
        </w:rPr>
        <w:t>2019年以来</w:t>
      </w:r>
      <w:r>
        <w:rPr>
          <w:rFonts w:ascii="仿宋_GB2312" w:eastAsia="仿宋_GB2312" w:cs="仿宋_GB2312" w:hint="eastAsia"/>
          <w:sz w:val="32"/>
          <w:szCs w:val="32"/>
          <w:lang w:val="zh-CN"/>
          <w:highlight w:val="auto"/>
        </w:rPr>
        <w:t>，根据年初工作规划和重点性工作，全</w:t>
      </w:r>
      <w:r>
        <w:rPr>
          <w:rFonts w:ascii="仿宋_GB2312" w:eastAsia="仿宋_GB2312" w:cs="仿宋_GB2312" w:hint="eastAsia"/>
          <w:sz w:val="32"/>
          <w:szCs w:val="32"/>
          <w:lang w:val="en-US" w:eastAsia="zh-CN"/>
          <w:highlight w:val="auto"/>
        </w:rPr>
        <w:t>单位</w:t>
      </w:r>
      <w:r>
        <w:rPr>
          <w:rFonts w:ascii="仿宋_GB2312" w:eastAsia="仿宋_GB2312" w:cs="仿宋_GB2312" w:hint="eastAsia"/>
          <w:sz w:val="32"/>
          <w:szCs w:val="32"/>
          <w:lang w:val="zh-CN"/>
          <w:highlight w:val="auto"/>
        </w:rPr>
        <w:t>上下团结一心，锐意进取，各项工作取得了较大成绩，较好的完成了年度工作目标。通过加强预算收支管理，不断建立健全内部管理制度，梳理内部管理流程，部门整体支出管理情况得到提升。部门整体支出绩效情况如下：</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b/>
          <w:bCs/>
          <w:sz w:val="32"/>
          <w:szCs w:val="32"/>
          <w:lang w:val="zh-CN"/>
          <w:highlight w:val="auto"/>
        </w:rPr>
      </w:pPr>
      <w:r>
        <w:rPr>
          <w:rFonts w:ascii="仿宋_GB2312" w:eastAsia="仿宋_GB2312" w:cs="仿宋_GB2312" w:hint="eastAsia"/>
          <w:b/>
          <w:bCs/>
          <w:sz w:val="32"/>
          <w:szCs w:val="32"/>
          <w:lang w:val="en-US" w:eastAsia="zh-CN"/>
          <w:highlight w:val="auto"/>
        </w:rPr>
        <w:t>1.</w:t>
      </w:r>
      <w:r>
        <w:rPr>
          <w:rFonts w:ascii="仿宋_GB2312" w:eastAsia="仿宋_GB2312" w:cs="仿宋_GB2312" w:hint="eastAsia"/>
          <w:b/>
          <w:bCs/>
          <w:sz w:val="32"/>
          <w:szCs w:val="32"/>
          <w:lang w:val="zh-CN"/>
          <w:highlight w:val="auto"/>
        </w:rPr>
        <w:t>经济效益评价</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zh-CN"/>
          <w:highlight w:val="auto"/>
        </w:rPr>
      </w:pPr>
      <w:r>
        <w:rPr>
          <w:rFonts w:ascii="仿宋_GB2312" w:eastAsia="仿宋_GB2312" w:cs="仿宋_GB2312" w:hint="eastAsia"/>
          <w:sz w:val="32"/>
          <w:szCs w:val="32"/>
          <w:lang w:val="zh-CN"/>
          <w:highlight w:val="auto"/>
        </w:rPr>
        <w:t>（</w:t>
      </w:r>
      <w:r>
        <w:rPr>
          <w:rFonts w:ascii="仿宋_GB2312" w:eastAsia="仿宋_GB2312" w:cs="仿宋_GB2312" w:hint="eastAsia"/>
          <w:sz w:val="32"/>
          <w:szCs w:val="32"/>
          <w:lang w:val="en-US" w:eastAsia="zh-CN"/>
          <w:highlight w:val="auto"/>
        </w:rPr>
        <w:t>1</w:t>
      </w:r>
      <w:r>
        <w:rPr>
          <w:rFonts w:ascii="仿宋_GB2312" w:eastAsia="仿宋_GB2312" w:cs="仿宋_GB2312" w:hint="eastAsia"/>
          <w:sz w:val="32"/>
          <w:szCs w:val="32"/>
          <w:lang w:val="zh-CN"/>
          <w:highlight w:val="auto"/>
        </w:rPr>
        <w:t>）预算执行方面，支出总额控制在预算总额以内。</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zh-CN"/>
          <w:highlight w:val="auto"/>
        </w:rPr>
      </w:pPr>
      <w:r>
        <w:rPr>
          <w:rFonts w:ascii="仿宋_GB2312" w:eastAsia="仿宋_GB2312" w:cs="仿宋_GB2312" w:hint="eastAsia"/>
          <w:sz w:val="32"/>
          <w:szCs w:val="32"/>
          <w:lang w:val="zh-CN"/>
          <w:highlight w:val="auto"/>
        </w:rPr>
        <w:t>（</w:t>
      </w:r>
      <w:r>
        <w:rPr>
          <w:rFonts w:ascii="仿宋_GB2312" w:eastAsia="仿宋_GB2312" w:cs="仿宋_GB2312" w:hint="eastAsia"/>
          <w:sz w:val="32"/>
          <w:szCs w:val="32"/>
          <w:lang w:val="en-US" w:eastAsia="zh-CN"/>
          <w:highlight w:val="auto"/>
        </w:rPr>
        <w:t>2</w:t>
      </w:r>
      <w:r>
        <w:rPr>
          <w:rFonts w:ascii="仿宋_GB2312" w:eastAsia="仿宋_GB2312" w:cs="仿宋_GB2312" w:hint="eastAsia"/>
          <w:sz w:val="32"/>
          <w:szCs w:val="32"/>
          <w:lang w:val="zh-CN"/>
          <w:highlight w:val="auto"/>
        </w:rPr>
        <w:t>）预算管理方面，制度执行总体较为有效。</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zh-CN"/>
          <w:highlight w:val="auto"/>
        </w:rPr>
      </w:pPr>
      <w:r>
        <w:rPr>
          <w:rFonts w:ascii="仿宋_GB2312" w:eastAsia="仿宋_GB2312" w:cs="仿宋_GB2312" w:hint="eastAsia"/>
          <w:sz w:val="32"/>
          <w:szCs w:val="32"/>
          <w:lang w:val="zh-CN"/>
          <w:highlight w:val="auto"/>
        </w:rPr>
        <w:t>（</w:t>
      </w:r>
      <w:r>
        <w:rPr>
          <w:rFonts w:ascii="仿宋_GB2312" w:eastAsia="仿宋_GB2312" w:cs="仿宋_GB2312" w:hint="eastAsia"/>
          <w:sz w:val="32"/>
          <w:szCs w:val="32"/>
          <w:lang w:val="en-US" w:eastAsia="zh-CN"/>
          <w:highlight w:val="auto"/>
        </w:rPr>
        <w:t>3</w:t>
      </w:r>
      <w:r>
        <w:rPr>
          <w:rFonts w:ascii="仿宋_GB2312" w:eastAsia="仿宋_GB2312" w:cs="仿宋_GB2312" w:hint="eastAsia"/>
          <w:sz w:val="32"/>
          <w:szCs w:val="32"/>
          <w:lang w:val="zh-CN"/>
          <w:highlight w:val="auto"/>
        </w:rPr>
        <w:t>）资产管理方面，建立了资产管理制度，定期进行了盘点和资产清理，总体执行较好。</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b/>
          <w:bCs/>
          <w:sz w:val="32"/>
          <w:szCs w:val="32"/>
          <w:lang w:val="zh-CN"/>
          <w:highlight w:val="auto"/>
        </w:rPr>
      </w:pPr>
      <w:r>
        <w:rPr>
          <w:rFonts w:ascii="仿宋_GB2312" w:eastAsia="仿宋_GB2312" w:cs="仿宋_GB2312" w:hint="eastAsia"/>
          <w:b/>
          <w:bCs/>
          <w:sz w:val="32"/>
          <w:szCs w:val="32"/>
          <w:lang w:val="en-US" w:eastAsia="zh-CN"/>
          <w:highlight w:val="auto"/>
        </w:rPr>
        <w:t>2.</w:t>
      </w:r>
      <w:r>
        <w:rPr>
          <w:rFonts w:ascii="仿宋_GB2312" w:eastAsia="仿宋_GB2312" w:cs="仿宋_GB2312" w:hint="eastAsia"/>
          <w:b/>
          <w:bCs/>
          <w:sz w:val="32"/>
          <w:szCs w:val="32"/>
          <w:lang w:val="zh-CN"/>
          <w:highlight w:val="auto"/>
        </w:rPr>
        <w:t>社会公众满意度评价</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zh-CN"/>
          <w:highlight w:val="auto"/>
        </w:rPr>
      </w:pPr>
      <w:r>
        <w:rPr>
          <w:rFonts w:ascii="仿宋_GB2312" w:eastAsia="仿宋_GB2312" w:cs="仿宋_GB2312" w:hint="eastAsia"/>
          <w:sz w:val="32"/>
          <w:szCs w:val="32"/>
          <w:lang w:val="zh-CN"/>
          <w:highlight w:val="auto"/>
        </w:rPr>
        <w:t>201</w:t>
      </w:r>
      <w:r>
        <w:rPr>
          <w:rFonts w:ascii="仿宋_GB2312" w:eastAsia="仿宋_GB2312" w:cs="仿宋_GB2312" w:hint="eastAsia"/>
          <w:sz w:val="32"/>
          <w:szCs w:val="32"/>
          <w:lang w:val="en-US" w:eastAsia="zh-CN"/>
          <w:highlight w:val="auto"/>
        </w:rPr>
        <w:t>9</w:t>
      </w:r>
      <w:r>
        <w:rPr>
          <w:rFonts w:ascii="仿宋_GB2312" w:eastAsia="仿宋_GB2312" w:cs="仿宋_GB2312" w:hint="eastAsia"/>
          <w:sz w:val="32"/>
          <w:szCs w:val="32"/>
          <w:lang w:val="zh-CN"/>
          <w:highlight w:val="auto"/>
        </w:rPr>
        <w:t>年我</w:t>
      </w:r>
      <w:r>
        <w:rPr>
          <w:rFonts w:ascii="仿宋_GB2312" w:eastAsia="仿宋_GB2312" w:cs="仿宋_GB2312" w:hint="eastAsia"/>
          <w:sz w:val="32"/>
          <w:szCs w:val="32"/>
          <w:lang w:val="en-US" w:eastAsia="zh-CN"/>
          <w:highlight w:val="auto"/>
        </w:rPr>
        <w:t>中心</w:t>
      </w:r>
      <w:r>
        <w:rPr>
          <w:rFonts w:ascii="仿宋_GB2312" w:eastAsia="仿宋_GB2312" w:cs="仿宋_GB2312" w:hint="eastAsia"/>
          <w:sz w:val="32"/>
          <w:szCs w:val="32"/>
          <w:lang w:val="zh-CN"/>
          <w:highlight w:val="auto"/>
        </w:rPr>
        <w:t>认真贯彻落实党</w:t>
      </w:r>
      <w:r>
        <w:rPr>
          <w:rFonts w:ascii="仿宋_GB2312" w:eastAsia="仿宋_GB2312" w:cs="仿宋_GB2312" w:hint="eastAsia"/>
          <w:sz w:val="32"/>
          <w:szCs w:val="32"/>
          <w:lang w:val="en-US" w:eastAsia="zh-CN"/>
          <w:highlight w:val="auto"/>
        </w:rPr>
        <w:t>相关</w:t>
      </w:r>
      <w:r>
        <w:rPr>
          <w:rFonts w:ascii="仿宋_GB2312" w:eastAsia="仿宋_GB2312" w:cs="仿宋_GB2312" w:hint="eastAsia"/>
          <w:sz w:val="32"/>
          <w:szCs w:val="32"/>
          <w:lang w:val="zh-CN"/>
          <w:highlight w:val="auto"/>
        </w:rPr>
        <w:t>会</w:t>
      </w:r>
      <w:r>
        <w:rPr>
          <w:rFonts w:ascii="仿宋_GB2312" w:eastAsia="仿宋_GB2312" w:cs="仿宋_GB2312" w:hint="eastAsia"/>
          <w:sz w:val="32"/>
          <w:szCs w:val="32"/>
          <w:lang w:val="en-US" w:eastAsia="zh-CN"/>
          <w:highlight w:val="auto"/>
        </w:rPr>
        <w:t>议</w:t>
      </w:r>
      <w:r>
        <w:rPr>
          <w:rFonts w:ascii="仿宋_GB2312" w:eastAsia="仿宋_GB2312" w:cs="仿宋_GB2312" w:hint="eastAsia"/>
          <w:sz w:val="32"/>
          <w:szCs w:val="32"/>
          <w:lang w:val="zh-CN"/>
          <w:highlight w:val="auto"/>
        </w:rPr>
        <w:t>精神，创先争优，通过全年不定期的持续高压整治，社会公众或服务对象满意度达9</w:t>
      </w:r>
      <w:r>
        <w:rPr>
          <w:rFonts w:ascii="仿宋_GB2312" w:eastAsia="仿宋_GB2312" w:cs="仿宋_GB2312" w:hint="eastAsia"/>
          <w:sz w:val="32"/>
          <w:szCs w:val="32"/>
          <w:lang w:val="en-US" w:eastAsia="zh-CN"/>
          <w:highlight w:val="auto"/>
        </w:rPr>
        <w:t>5</w:t>
      </w:r>
      <w:r>
        <w:rPr>
          <w:rFonts w:ascii="仿宋_GB2312" w:eastAsia="仿宋_GB2312" w:cs="仿宋_GB2312" w:hint="eastAsia"/>
          <w:sz w:val="32"/>
          <w:szCs w:val="32"/>
          <w:lang w:val="zh-CN"/>
          <w:highlight w:val="auto"/>
        </w:rPr>
        <w:t>%以上，得到了群众的认可。</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b/>
          <w:bCs/>
          <w:sz w:val="32"/>
          <w:szCs w:val="32"/>
          <w:lang w:val="zh-CN"/>
          <w:highlight w:val="auto"/>
        </w:rPr>
      </w:pPr>
      <w:r>
        <w:rPr>
          <w:rFonts w:ascii="仿宋_GB2312" w:eastAsia="仿宋_GB2312" w:cs="仿宋_GB2312" w:hint="eastAsia"/>
          <w:b/>
          <w:bCs/>
          <w:sz w:val="32"/>
          <w:szCs w:val="32"/>
          <w:lang w:val="zh-CN"/>
          <w:highlight w:val="auto"/>
        </w:rPr>
        <w:t>（二）存在问题。</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zh-CN"/>
          <w:highlight w:val="auto"/>
        </w:rPr>
      </w:pPr>
      <w:r>
        <w:rPr>
          <w:rFonts w:ascii="仿宋_GB2312" w:eastAsia="仿宋_GB2312" w:cs="仿宋_GB2312" w:hint="eastAsia"/>
          <w:sz w:val="32"/>
          <w:szCs w:val="32"/>
          <w:lang w:val="en-US" w:eastAsia="zh-CN"/>
          <w:highlight w:val="auto"/>
        </w:rPr>
        <w:t>1.</w:t>
      </w:r>
      <w:r>
        <w:rPr>
          <w:rFonts w:ascii="仿宋_GB2312" w:eastAsia="仿宋_GB2312" w:cs="仿宋_GB2312" w:hint="eastAsia"/>
          <w:sz w:val="32"/>
          <w:szCs w:val="32"/>
          <w:lang w:val="zh-CN"/>
          <w:highlight w:val="auto"/>
        </w:rPr>
        <w:t>财务监督管理机制有待加强</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zh-CN"/>
          <w:highlight w:val="auto"/>
        </w:rPr>
      </w:pPr>
      <w:r>
        <w:rPr>
          <w:rFonts w:ascii="仿宋_GB2312" w:eastAsia="仿宋_GB2312" w:cs="仿宋_GB2312" w:hint="eastAsia"/>
          <w:sz w:val="32"/>
          <w:szCs w:val="32"/>
          <w:lang w:val="en-US" w:eastAsia="zh-CN"/>
          <w:highlight w:val="auto"/>
        </w:rPr>
        <w:t>2.</w:t>
      </w:r>
      <w:r>
        <w:rPr>
          <w:rFonts w:ascii="仿宋_GB2312" w:eastAsia="仿宋_GB2312" w:cs="仿宋_GB2312" w:hint="eastAsia"/>
          <w:sz w:val="32"/>
          <w:szCs w:val="32"/>
          <w:lang w:val="zh-CN"/>
          <w:highlight w:val="auto"/>
        </w:rPr>
        <w:t>财务会计基础工作有待加强。</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zh-CN"/>
          <w:highlight w:val="auto"/>
        </w:rPr>
      </w:pPr>
      <w:r>
        <w:rPr>
          <w:rFonts w:ascii="仿宋_GB2312" w:eastAsia="仿宋_GB2312" w:cs="仿宋_GB2312" w:hint="eastAsia"/>
          <w:sz w:val="32"/>
          <w:szCs w:val="32"/>
          <w:lang w:val="en-US" w:eastAsia="zh-CN"/>
          <w:highlight w:val="auto"/>
        </w:rPr>
        <w:t>3.</w:t>
      </w:r>
      <w:r>
        <w:rPr>
          <w:rFonts w:ascii="仿宋_GB2312" w:eastAsia="仿宋_GB2312" w:cs="仿宋_GB2312" w:hint="eastAsia"/>
          <w:sz w:val="32"/>
          <w:szCs w:val="32"/>
          <w:lang w:val="zh-CN"/>
          <w:highlight w:val="auto"/>
        </w:rPr>
        <w:t>财务工作越来越规范，对财务工作人员的工作水平也要求越来越高。</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b/>
          <w:bCs/>
          <w:sz w:val="32"/>
          <w:szCs w:val="32"/>
          <w:lang w:val="zh-CN"/>
          <w:highlight w:val="auto"/>
        </w:rPr>
      </w:pPr>
      <w:r>
        <w:rPr>
          <w:rFonts w:ascii="仿宋_GB2312" w:eastAsia="仿宋_GB2312" w:cs="仿宋_GB2312" w:hint="eastAsia"/>
          <w:b/>
          <w:bCs/>
          <w:sz w:val="32"/>
          <w:szCs w:val="32"/>
          <w:lang w:val="zh-CN"/>
          <w:highlight w:val="auto"/>
        </w:rPr>
        <w:t>（</w:t>
      </w:r>
      <w:r>
        <w:rPr>
          <w:rFonts w:ascii="仿宋_GB2312" w:eastAsia="仿宋_GB2312" w:cs="仿宋_GB2312" w:hint="eastAsia"/>
          <w:b/>
          <w:bCs/>
          <w:sz w:val="32"/>
          <w:szCs w:val="32"/>
          <w:lang w:val="en-US" w:eastAsia="zh-CN"/>
          <w:highlight w:val="auto"/>
        </w:rPr>
        <w:t>三</w:t>
      </w:r>
      <w:r>
        <w:rPr>
          <w:rFonts w:ascii="仿宋_GB2312" w:eastAsia="仿宋_GB2312" w:cs="仿宋_GB2312" w:hint="eastAsia"/>
          <w:b/>
          <w:bCs/>
          <w:sz w:val="32"/>
          <w:szCs w:val="32"/>
          <w:lang w:val="zh-CN"/>
          <w:highlight w:val="auto"/>
        </w:rPr>
        <w:t>）改进措施和有关建议</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zh-CN"/>
          <w:highlight w:val="auto"/>
        </w:rPr>
      </w:pPr>
      <w:r>
        <w:rPr>
          <w:rFonts w:ascii="仿宋_GB2312" w:eastAsia="仿宋_GB2312" w:cs="仿宋_GB2312" w:hint="eastAsia"/>
          <w:sz w:val="32"/>
          <w:szCs w:val="32"/>
          <w:lang w:val="en-US" w:eastAsia="zh-CN"/>
          <w:highlight w:val="auto"/>
        </w:rPr>
        <w:t>1.</w:t>
      </w:r>
      <w:r>
        <w:rPr>
          <w:rFonts w:ascii="仿宋_GB2312" w:eastAsia="仿宋_GB2312" w:cs="仿宋_GB2312" w:hint="eastAsia"/>
          <w:sz w:val="32"/>
          <w:szCs w:val="32"/>
          <w:lang w:val="zh-CN"/>
          <w:highlight w:val="auto"/>
        </w:rPr>
        <w:t>加强监管财务监督及制度约束，对财务制度的执行情况进行全过程监督管理，维护财务制度的严肃性。</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zh-CN"/>
          <w:highlight w:val="auto"/>
        </w:rPr>
      </w:pPr>
      <w:r>
        <w:rPr>
          <w:rFonts w:ascii="仿宋_GB2312" w:eastAsia="仿宋_GB2312" w:cs="仿宋_GB2312" w:hint="eastAsia"/>
          <w:sz w:val="32"/>
          <w:szCs w:val="32"/>
          <w:lang w:val="en-US" w:eastAsia="zh-CN"/>
          <w:highlight w:val="auto"/>
        </w:rPr>
        <w:t>2.</w:t>
      </w:r>
      <w:r>
        <w:rPr>
          <w:rFonts w:ascii="仿宋_GB2312" w:eastAsia="仿宋_GB2312" w:cs="仿宋_GB2312" w:hint="eastAsia"/>
          <w:sz w:val="32"/>
          <w:szCs w:val="32"/>
          <w:lang w:val="zh-CN"/>
          <w:highlight w:val="auto"/>
        </w:rPr>
        <w:t>进一步加强会计基础工作，规范原始凭证和自制凭证的管理。</w:t>
      </w:r>
    </w:p>
    <w:p>
      <w:pPr>
        <w:widowControl/>
        <w:wordWrap/>
        <w:adjustRightInd/>
        <w:snapToGrid/>
        <w:spacing w:line="560" w:lineRule="exact"/>
        <w:ind w:left="0" w:right="0" w:firstLineChars="200" w:firstLine="640"/>
        <w:jc w:val="left"/>
        <w:textAlignment w:val="auto"/>
        <w:outlineLvl w:val="9"/>
        <w:rPr>
          <w:rFonts w:ascii="仿宋_GB2312" w:eastAsia="仿宋_GB2312" w:cs="仿宋_GB2312" w:hint="eastAsia"/>
          <w:sz w:val="32"/>
          <w:szCs w:val="32"/>
          <w:lang w:val="zh-CN"/>
          <w:highlight w:val="auto"/>
        </w:rPr>
      </w:pPr>
      <w:r>
        <w:rPr>
          <w:rFonts w:ascii="仿宋_GB2312" w:eastAsia="仿宋_GB2312" w:cs="仿宋_GB2312" w:hint="eastAsia"/>
          <w:sz w:val="32"/>
          <w:szCs w:val="32"/>
          <w:lang w:val="en-US" w:eastAsia="zh-CN"/>
          <w:highlight w:val="auto"/>
        </w:rPr>
        <w:t>3.</w:t>
      </w:r>
      <w:r>
        <w:rPr>
          <w:rFonts w:ascii="仿宋_GB2312" w:eastAsia="仿宋_GB2312" w:cs="仿宋_GB2312" w:hint="eastAsia"/>
          <w:sz w:val="32"/>
          <w:szCs w:val="32"/>
          <w:lang w:val="zh-CN"/>
          <w:highlight w:val="auto"/>
        </w:rPr>
        <w:t>加强会计人员的培训，多组织参加业务方面的培训，提高自身的专业业务水平与责任心。</w:t>
      </w:r>
    </w:p>
    <w:p>
      <w:pPr>
        <w:widowControl/>
        <w:jc w:val="left"/>
        <w:rPr>
          <w:rFonts w:ascii="仿宋_GB2312" w:eastAsia="仿宋_GB2312" w:cs="仿宋_GB2312" w:hint="eastAsia"/>
          <w:sz w:val="32"/>
          <w:szCs w:val="32"/>
          <w:highlight w:val="auto"/>
        </w:rPr>
      </w:pPr>
    </w:p>
    <w:p>
      <w:pPr>
        <w:spacing w:line="580" w:lineRule="exact"/>
        <w:ind w:firstLineChars="200" w:firstLine="640"/>
        <w:rPr>
          <w:rFonts w:ascii="仿宋_GB2312" w:eastAsia="仿宋_GB2312" w:cs="仿宋_GB2312" w:hint="eastAsia"/>
          <w:sz w:val="32"/>
          <w:szCs w:val="32"/>
          <w:highlight w:val="auto"/>
        </w:rPr>
      </w:pPr>
    </w:p>
    <w:p>
      <w:pPr>
        <w:widowControl/>
        <w:jc w:val="left"/>
        <w:rPr>
          <w:rFonts w:ascii="仿宋_GB2312" w:eastAsia="仿宋_GB2312" w:cs="仿宋_GB2312" w:hint="eastAsia"/>
          <w:sz w:val="32"/>
          <w:szCs w:val="32"/>
          <w:highlight w:val="auto"/>
        </w:rPr>
      </w:pPr>
      <w:r>
        <w:rPr>
          <w:rFonts w:ascii="仿宋_GB2312" w:eastAsia="仿宋_GB2312" w:cs="仿宋_GB2312" w:hint="eastAsia"/>
          <w:sz w:val="32"/>
          <w:szCs w:val="32"/>
          <w:highlight w:val="auto"/>
        </w:rPr>
        <w:br w:type="page"/>
      </w:r>
    </w:p>
    <w:p>
      <w:pPr>
        <w:pStyle w:val="2"/>
        <w:rPr>
          <w:rStyle w:val="1Char"/>
          <w:rFonts w:ascii="仿宋_GB2312" w:eastAsia="仿宋_GB2312" w:cs="仿宋_GB2312" w:hint="eastAsia"/>
          <w:b w:val="0"/>
          <w:bCs w:val="0"/>
          <w:sz w:val="32"/>
          <w:szCs w:val="32"/>
          <w:highlight w:val="auto"/>
        </w:rPr>
      </w:pPr>
      <w:bookmarkStart w:id="63" w:name="_Toc20297171"/>
      <w:r>
        <w:rPr>
          <w:rStyle w:val="1Char"/>
          <w:rFonts w:ascii="仿宋_GB2312" w:eastAsia="仿宋_GB2312" w:cs="仿宋_GB2312" w:hint="eastAsia"/>
          <w:b w:val="0"/>
          <w:bCs w:val="0"/>
          <w:sz w:val="32"/>
          <w:szCs w:val="32"/>
          <w:highlight w:val="auto"/>
        </w:rPr>
        <w:t>附件2</w:t>
      </w:r>
      <w:bookmarkEnd w:id="63"/>
    </w:p>
    <w:p>
      <w:pPr>
        <w:spacing w:line="580" w:lineRule="exact"/>
        <w:jc w:val="center"/>
        <w:rPr>
          <w:rFonts w:ascii="方正小标宋简体" w:eastAsia="方正小标宋简体" w:cs="方正小标宋简体" w:hint="eastAsia"/>
          <w:sz w:val="44"/>
          <w:szCs w:val="44"/>
          <w:highlight w:val="auto"/>
        </w:rPr>
      </w:pPr>
      <w:r>
        <w:rPr>
          <w:rFonts w:ascii="方正小标宋简体" w:eastAsia="方正小标宋简体" w:cs="方正小标宋简体" w:hint="eastAsia"/>
          <w:sz w:val="44"/>
          <w:szCs w:val="44"/>
          <w:highlight w:val="auto"/>
        </w:rPr>
        <w:t>201</w:t>
      </w:r>
      <w:r>
        <w:rPr>
          <w:rFonts w:ascii="方正小标宋简体" w:eastAsia="方正小标宋简体" w:cs="方正小标宋简体" w:hint="eastAsia"/>
          <w:sz w:val="44"/>
          <w:szCs w:val="44"/>
          <w:lang w:val="en-US" w:eastAsia="zh-CN"/>
          <w:highlight w:val="auto"/>
        </w:rPr>
        <w:t>9</w:t>
      </w:r>
      <w:r>
        <w:rPr>
          <w:rFonts w:ascii="方正小标宋简体" w:eastAsia="方正小标宋简体" w:cs="方正小标宋简体" w:hint="eastAsia"/>
          <w:sz w:val="44"/>
          <w:szCs w:val="44"/>
          <w:highlight w:val="auto"/>
        </w:rPr>
        <w:t>年投博</w:t>
      </w:r>
      <w:r>
        <w:rPr>
          <w:rFonts w:ascii="方正小标宋简体" w:eastAsia="方正小标宋简体" w:cs="方正小标宋简体" w:hint="eastAsia"/>
          <w:sz w:val="44"/>
          <w:szCs w:val="44"/>
          <w:lang w:eastAsia="zh-CN"/>
          <w:highlight w:val="auto"/>
        </w:rPr>
        <w:t>中心</w:t>
      </w:r>
      <w:r>
        <w:rPr>
          <w:rFonts w:ascii="方正小标宋简体" w:eastAsia="方正小标宋简体" w:cs="方正小标宋简体" w:hint="eastAsia"/>
          <w:sz w:val="44"/>
          <w:szCs w:val="44"/>
          <w:highlight w:val="auto"/>
        </w:rPr>
        <w:t>项目支出绩效评价报告</w:t>
      </w:r>
    </w:p>
    <w:p>
      <w:pPr>
        <w:spacing w:line="580" w:lineRule="exact"/>
        <w:ind w:firstLineChars="200" w:firstLine="640"/>
        <w:rPr>
          <w:rFonts w:ascii="仿宋_GB2312" w:eastAsia="仿宋_GB2312" w:cs="仿宋_GB2312" w:hint="eastAsia"/>
          <w:sz w:val="32"/>
          <w:szCs w:val="32"/>
          <w:highlight w:val="auto"/>
        </w:rPr>
      </w:pPr>
    </w:p>
    <w:p>
      <w:pPr>
        <w:spacing w:line="560" w:lineRule="exact"/>
        <w:ind w:firstLineChars="200" w:firstLine="640"/>
        <w:rPr>
          <w:rFonts w:ascii="黑体" w:eastAsia="黑体" w:cs="黑体"/>
          <w:sz w:val="32"/>
          <w:szCs w:val="32"/>
        </w:rPr>
      </w:pPr>
      <w:r>
        <w:rPr>
          <w:rFonts w:ascii="黑体" w:eastAsia="黑体" w:cs="黑体" w:hint="eastAsia"/>
          <w:sz w:val="32"/>
          <w:szCs w:val="32"/>
        </w:rPr>
        <w:t>一、评价工作开展及项目情况</w:t>
      </w:r>
    </w:p>
    <w:p>
      <w:r>
        <w:rPr>
          <w:rFonts w:cs="仿宋_GB2312" w:hint="eastAsia"/>
          <w:bCs/>
          <w:color w:val="000000"/>
          <w:sz w:val="32"/>
          <w:szCs w:val="32"/>
          <w:lang w:val="en-US" w:eastAsia="zh-CN"/>
          <w:highlight w:val="auto"/>
        </w:rPr>
        <w:t xml:space="preserve">    </w:t>
      </w:r>
      <w:r>
        <w:rPr>
          <w:rFonts w:ascii="仿宋_GB2312" w:eastAsia="仿宋_GB2312" w:cs="仿宋_GB2312" w:hint="eastAsia"/>
          <w:sz w:val="32"/>
          <w:szCs w:val="32"/>
          <w:lang w:val="en-US" w:eastAsia="zh-CN"/>
          <w:highlight w:val="auto"/>
        </w:rPr>
        <w:t>按照《阿坝藏族羌族自治州鼓励投资优惠政策若干规定》和《汶川县关于实施健康免税岛政策鼓励康养经济建设的十条措施》的有关规定,为充分支持企业长远发展实际需求,确保企业如期有效开展既定研发和市场拓展等工作。通过项目实施，助力汶川应急产业发展、提升公务员应急管理能力、培养公众基本应急素质、带动促进周边共同发展。</w:t>
      </w:r>
    </w:p>
    <w:p>
      <w:pPr>
        <w:spacing w:line="560" w:lineRule="exact"/>
        <w:rPr>
          <w:rFonts w:ascii="仿宋_GB2312" w:eastAsia="仿宋_GB2312" w:cs="仿宋_GB2312"/>
          <w:color w:val="auto"/>
          <w:sz w:val="32"/>
          <w:szCs w:val="32"/>
          <w:highlight w:val="auto"/>
        </w:rPr>
      </w:pPr>
      <w:r>
        <w:rPr>
          <w:rFonts w:ascii="仿宋_GB2312" w:eastAsia="仿宋_GB2312" w:cs="仿宋_GB2312" w:hint="eastAsia"/>
          <w:sz w:val="32"/>
          <w:szCs w:val="32"/>
          <w:lang w:val="en-US" w:eastAsia="zh-CN"/>
          <w:highlight w:val="auto"/>
        </w:rPr>
        <w:t xml:space="preserve">    </w:t>
      </w:r>
      <w:r>
        <w:rPr>
          <w:rFonts w:ascii="仿宋_GB2312" w:eastAsia="仿宋_GB2312" w:cs="仿宋_GB2312" w:hint="eastAsia"/>
          <w:sz w:val="32"/>
          <w:szCs w:val="32"/>
          <w:lang w:eastAsia="zh-CN"/>
          <w:highlight w:val="auto"/>
        </w:rPr>
        <w:t>为减轻企业负担，帮助企业渡过难关，按照议定事项“免除报建、配套费用、安全费用、环保等县政府收取各项规费”按照“先交后补”的原则，由公司先行缴纳城市建设配套费，根据项目建设进度逐步予以补助。</w:t>
      </w:r>
    </w:p>
    <w:p>
      <w:pPr>
        <w:spacing w:line="560" w:lineRule="exact"/>
        <w:ind w:firstLineChars="200" w:firstLine="640"/>
        <w:rPr>
          <w:rFonts w:ascii="仿宋_GB2312" w:eastAsia="仿宋_GB2312" w:cs="仿宋_GB2312" w:hint="eastAsia"/>
          <w:bCs/>
          <w:color w:val="000000"/>
          <w:sz w:val="32"/>
          <w:szCs w:val="32"/>
          <w:highlight w:val="auto"/>
        </w:rPr>
      </w:pPr>
      <w:r>
        <w:rPr>
          <w:rFonts w:ascii="仿宋_GB2312" w:eastAsia="仿宋_GB2312" w:cs="仿宋_GB2312" w:hint="eastAsia"/>
          <w:color w:val="auto"/>
          <w:sz w:val="32"/>
          <w:szCs w:val="32"/>
          <w:lang w:val="en-US" w:eastAsia="zh-CN"/>
          <w:highlight w:val="auto"/>
        </w:rPr>
        <w:t xml:space="preserve"> </w:t>
      </w:r>
      <w:r>
        <w:rPr>
          <w:rFonts w:ascii="仿宋_GB2312" w:eastAsia="仿宋_GB2312" w:cs="仿宋_GB2312" w:hint="eastAsia"/>
          <w:color w:val="auto"/>
          <w:sz w:val="32"/>
          <w:szCs w:val="32"/>
          <w:lang w:eastAsia="zh-CN"/>
          <w:highlight w:val="auto"/>
        </w:rPr>
        <w:t>有效利用东西部扶贫协作和对口资源消费扶贫项目资金组织好汶川县专业合作社、农户通过展示展销切实有效带动贫困人口增收。通过项目资金实施，合力合理推进项目进度，</w:t>
      </w:r>
      <w:r>
        <w:rPr>
          <w:rFonts w:ascii="仿宋_GB2312" w:eastAsia="仿宋_GB2312" w:cs="仿宋_GB2312" w:hint="eastAsia"/>
          <w:color w:val="auto"/>
          <w:sz w:val="32"/>
          <w:szCs w:val="32"/>
          <w:lang w:val="en-US" w:eastAsia="zh-CN"/>
          <w:highlight w:val="auto"/>
        </w:rPr>
        <w:t>已完成全部消费扶贫项目，资金拨付进度达到100%。</w:t>
      </w:r>
      <w:r>
        <w:rPr>
          <w:rFonts w:ascii="仿宋_GB2312" w:eastAsia="仿宋_GB2312" w:cs="仿宋_GB2312" w:hint="eastAsia"/>
          <w:color w:val="auto"/>
          <w:sz w:val="32"/>
          <w:szCs w:val="32"/>
          <w:lang w:eastAsia="zh-CN"/>
          <w:highlight w:val="auto"/>
        </w:rPr>
        <w:t>通过项目资金惠及贫困人口生产劳动就业达150余人次，帮助贫困户实现增收167.85万元，有效发挥了消费扶贫资金的杠杆作用。</w:t>
      </w:r>
    </w:p>
    <w:p>
      <w:pPr>
        <w:spacing w:line="560" w:lineRule="exact"/>
        <w:ind w:firstLineChars="200" w:firstLine="640"/>
        <w:rPr>
          <w:rFonts w:ascii="黑体" w:eastAsia="黑体" w:cs="黑体"/>
          <w:sz w:val="32"/>
          <w:szCs w:val="32"/>
        </w:rPr>
      </w:pPr>
      <w:r>
        <w:rPr>
          <w:rFonts w:ascii="黑体" w:eastAsia="黑体" w:cs="黑体" w:hint="eastAsia"/>
          <w:sz w:val="32"/>
          <w:szCs w:val="32"/>
        </w:rPr>
        <w:t>二、评价结论及绩效分析</w:t>
      </w:r>
    </w:p>
    <w:p>
      <w:pPr>
        <w:spacing w:line="560" w:lineRule="exact"/>
        <w:ind w:firstLineChars="200" w:firstLine="640"/>
        <w:rPr>
          <w:rFonts w:ascii="楷体" w:eastAsia="楷体" w:cs="楷体"/>
          <w:b/>
          <w:bCs/>
          <w:sz w:val="32"/>
          <w:szCs w:val="32"/>
        </w:rPr>
      </w:pPr>
      <w:r>
        <w:rPr>
          <w:rFonts w:ascii="楷体" w:eastAsia="楷体" w:cs="楷体" w:hint="eastAsia"/>
          <w:b/>
          <w:bCs/>
          <w:sz w:val="32"/>
          <w:szCs w:val="32"/>
        </w:rPr>
        <w:t>（一）评价结论</w:t>
      </w:r>
    </w:p>
    <w:p>
      <w:pPr>
        <w:spacing w:line="56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我</w:t>
      </w:r>
      <w:r>
        <w:rPr>
          <w:rFonts w:ascii="仿宋_GB2312" w:eastAsia="仿宋_GB2312" w:hint="eastAsia"/>
          <w:color w:val="000000"/>
          <w:sz w:val="32"/>
          <w:szCs w:val="32"/>
          <w:shd w:val="clear" w:color="auto" w:fill="FFFFFF"/>
          <w:lang w:eastAsia="zh-CN"/>
        </w:rPr>
        <w:t>中心</w:t>
      </w:r>
      <w:r>
        <w:rPr>
          <w:rFonts w:ascii="仿宋_GB2312" w:eastAsia="仿宋_GB2312" w:hint="eastAsia"/>
          <w:color w:val="000000"/>
          <w:sz w:val="32"/>
          <w:szCs w:val="32"/>
          <w:shd w:val="clear" w:color="auto" w:fill="FFFFFF"/>
        </w:rPr>
        <w:t>严格按照执行财务管理相关制度和经费管理办法规定，财务制度健全，管理规范，做到了专款专用，无贪污、截留、挪用现象。</w:t>
      </w:r>
    </w:p>
    <w:p>
      <w:pPr>
        <w:spacing w:line="560" w:lineRule="exact"/>
        <w:ind w:firstLineChars="200" w:firstLine="640"/>
        <w:rPr>
          <w:rFonts w:ascii="楷体" w:eastAsia="楷体" w:cs="楷体"/>
          <w:b/>
          <w:bCs/>
          <w:sz w:val="32"/>
          <w:szCs w:val="32"/>
        </w:rPr>
      </w:pPr>
      <w:r>
        <w:rPr>
          <w:rFonts w:ascii="楷体" w:eastAsia="楷体" w:cs="楷体" w:hint="eastAsia"/>
          <w:b/>
          <w:bCs/>
          <w:sz w:val="32"/>
          <w:szCs w:val="32"/>
        </w:rPr>
        <w:t>（二）绩效分析</w:t>
      </w:r>
    </w:p>
    <w:p>
      <w:pPr>
        <w:spacing w:line="560" w:lineRule="exact"/>
        <w:ind w:firstLineChars="200" w:firstLine="640"/>
        <w:rPr>
          <w:rFonts w:ascii="仿宋" w:eastAsia="仿宋" w:cs="仿宋_GB2312"/>
          <w:b/>
          <w:bCs/>
          <w:sz w:val="32"/>
          <w:szCs w:val="32"/>
        </w:rPr>
      </w:pPr>
      <w:r>
        <w:rPr>
          <w:rFonts w:ascii="仿宋" w:eastAsia="仿宋" w:cs="仿宋_GB2312"/>
          <w:b/>
          <w:bCs/>
          <w:sz w:val="32"/>
          <w:szCs w:val="32"/>
        </w:rPr>
        <w:t>1</w:t>
      </w:r>
      <w:r>
        <w:rPr>
          <w:rFonts w:ascii="仿宋" w:eastAsia="仿宋" w:cs="仿宋_GB2312" w:hint="eastAsia"/>
          <w:b/>
          <w:bCs/>
          <w:sz w:val="32"/>
          <w:szCs w:val="32"/>
        </w:rPr>
        <w:t>.</w:t>
      </w:r>
      <w:r>
        <w:rPr>
          <w:rFonts w:ascii="仿宋" w:eastAsia="仿宋" w:cs="仿宋_GB2312"/>
          <w:b/>
          <w:bCs/>
          <w:sz w:val="32"/>
          <w:szCs w:val="32"/>
        </w:rPr>
        <w:t>项目决策</w:t>
      </w:r>
    </w:p>
    <w:p>
      <w:r>
        <w:rPr>
          <w:rFonts w:cs="仿宋_GB2312" w:hint="eastAsia"/>
          <w:bCs/>
          <w:color w:val="000000"/>
          <w:sz w:val="32"/>
          <w:szCs w:val="32"/>
          <w:lang w:val="en-US" w:eastAsia="zh-CN"/>
          <w:highlight w:val="auto"/>
        </w:rPr>
        <w:t xml:space="preserve">   </w:t>
      </w:r>
      <w:r>
        <w:rPr>
          <w:rFonts w:ascii="仿宋_GB2312" w:eastAsia="仿宋_GB2312" w:cs="仿宋_GB2312" w:hint="eastAsia"/>
          <w:sz w:val="32"/>
          <w:szCs w:val="32"/>
          <w:lang w:val="en-US" w:eastAsia="zh-CN"/>
          <w:highlight w:val="auto"/>
        </w:rPr>
        <w:t>按照《阿坝藏族羌族自治州鼓励投资优惠政策若干规定》和《汶川县关于实施健康免税岛政策鼓励康养经济建设的十条措施》的有关规定,为充分支持企业长远发展实际需求,确保企业如期有效开展既定研发和市场拓展等工作。</w:t>
      </w:r>
      <w:r>
        <w:rPr>
          <w:rFonts w:ascii="仿宋_GB2312" w:eastAsia="仿宋_GB2312" w:cs="仿宋_GB2312" w:hint="eastAsia"/>
          <w:color w:val="auto"/>
          <w:sz w:val="32"/>
          <w:szCs w:val="32"/>
          <w:lang w:eastAsia="zh-CN"/>
          <w:highlight w:val="auto"/>
        </w:rPr>
        <w:t>有效利用东西部扶贫协作和对口资源消费扶贫项目资金组织好汶川县专业合作社、农户通过展示展销切实有效带动贫困人口增收。</w:t>
      </w:r>
    </w:p>
    <w:p>
      <w:pPr>
        <w:spacing w:line="560" w:lineRule="exact"/>
        <w:ind w:firstLineChars="200" w:firstLine="640"/>
        <w:rPr>
          <w:rFonts w:ascii="楷体" w:eastAsia="楷体" w:cs="楷体"/>
          <w:b/>
          <w:bCs/>
          <w:sz w:val="32"/>
          <w:szCs w:val="32"/>
        </w:rPr>
      </w:pPr>
      <w:r>
        <w:rPr>
          <w:rFonts w:ascii="楷体" w:eastAsia="楷体" w:cs="楷体" w:hint="eastAsia"/>
          <w:b/>
          <w:bCs/>
          <w:sz w:val="32"/>
          <w:szCs w:val="32"/>
        </w:rPr>
        <w:t>2.项目管理</w:t>
      </w:r>
    </w:p>
    <w:p>
      <w:pPr>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批复到位的经费，项目资金日常支出严格按照用款计划、用款标准，并制度项目资金管理办法、中长期规划等制度建设等，严格监督检查，做到专款专用，不存在违规使用情况，加强对财务人员的培训，切实提高基层财务人员的业务水平和工作技能，确保工作顺利开展。</w:t>
      </w:r>
    </w:p>
    <w:p>
      <w:pPr>
        <w:spacing w:line="560" w:lineRule="exact"/>
        <w:ind w:firstLineChars="200" w:firstLine="640"/>
        <w:rPr>
          <w:rFonts w:ascii="楷体" w:eastAsia="楷体" w:cs="楷体"/>
          <w:b/>
          <w:bCs/>
          <w:sz w:val="32"/>
          <w:szCs w:val="32"/>
        </w:rPr>
      </w:pPr>
      <w:r>
        <w:rPr>
          <w:rFonts w:ascii="楷体" w:eastAsia="楷体" w:cs="楷体" w:hint="eastAsia"/>
          <w:b/>
          <w:bCs/>
          <w:sz w:val="32"/>
          <w:szCs w:val="32"/>
        </w:rPr>
        <w:t>3.项目绩效</w:t>
      </w:r>
    </w:p>
    <w:p>
      <w:pPr>
        <w:spacing w:line="56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lang w:eastAsia="zh-CN"/>
        </w:rPr>
        <w:t>“走出去”展销汶川特色产品，“引进来”展示汶川良好形象。</w:t>
      </w:r>
      <w:r>
        <w:rPr>
          <w:rFonts w:ascii="仿宋_GB2312" w:eastAsia="仿宋_GB2312" w:hint="eastAsia"/>
          <w:sz w:val="32"/>
          <w:szCs w:val="32"/>
          <w:shd w:val="clear" w:color="auto" w:fill="FFFFFF"/>
        </w:rPr>
        <w:t>组织县内活动</w:t>
      </w:r>
      <w:r>
        <w:rPr>
          <w:rFonts w:ascii="仿宋_GB2312" w:eastAsia="仿宋_GB2312" w:hint="eastAsia"/>
          <w:sz w:val="32"/>
          <w:szCs w:val="32"/>
          <w:shd w:val="clear" w:color="auto" w:fill="FFFFFF"/>
          <w:lang w:eastAsia="zh-CN"/>
        </w:rPr>
        <w:t>，帮助贫困户脱贫奔康。严谨灵活推进消费扶贫项目，项目完成进度和资金拨付进度均为</w:t>
      </w:r>
      <w:r>
        <w:rPr>
          <w:rFonts w:ascii="仿宋_GB2312" w:eastAsia="仿宋_GB2312" w:hint="eastAsia"/>
          <w:sz w:val="32"/>
          <w:szCs w:val="32"/>
          <w:shd w:val="clear" w:color="auto" w:fill="FFFFFF"/>
          <w:lang w:val="en-US" w:eastAsia="zh-CN"/>
        </w:rPr>
        <w:t>100%。</w:t>
      </w:r>
    </w:p>
    <w:p>
      <w:pPr>
        <w:spacing w:line="560" w:lineRule="exact"/>
        <w:ind w:firstLineChars="200" w:firstLine="640"/>
        <w:rPr>
          <w:rFonts w:ascii="黑体" w:eastAsia="黑体" w:cs="黑体"/>
          <w:sz w:val="32"/>
          <w:szCs w:val="32"/>
        </w:rPr>
      </w:pPr>
      <w:r>
        <w:rPr>
          <w:rFonts w:ascii="黑体" w:eastAsia="黑体" w:cs="黑体" w:hint="eastAsia"/>
          <w:sz w:val="32"/>
          <w:szCs w:val="32"/>
        </w:rPr>
        <w:t>三、存在主要问题</w:t>
      </w:r>
    </w:p>
    <w:p>
      <w:pPr>
        <w:widowControl/>
        <w:spacing w:line="560" w:lineRule="exact"/>
        <w:ind w:firstLineChars="200" w:firstLine="640"/>
        <w:jc w:val="left"/>
        <w:rPr>
          <w:rFonts w:ascii="仿宋" w:eastAsia="仿宋" w:cs="仿宋_GB2312"/>
          <w:sz w:val="32"/>
          <w:szCs w:val="32"/>
        </w:rPr>
      </w:pPr>
      <w:r>
        <w:rPr>
          <w:rFonts w:eastAsia="仿宋_GB2312" w:hint="eastAsia"/>
          <w:sz w:val="32"/>
        </w:rPr>
        <w:t>前期支付进度较慢，</w:t>
      </w:r>
      <w:r>
        <w:rPr>
          <w:rFonts w:ascii="仿宋_GB2312" w:eastAsia="仿宋_GB2312" w:hint="eastAsia"/>
          <w:sz w:val="32"/>
        </w:rPr>
        <w:t>工作经费的适用范围有限，导致资金使用效益不高。</w:t>
      </w:r>
      <w:r>
        <w:rPr>
          <w:rFonts w:ascii="仿宋_GB2312" w:eastAsia="仿宋_GB2312" w:hint="eastAsia"/>
          <w:color w:val="000000"/>
          <w:sz w:val="30"/>
          <w:szCs w:val="30"/>
        </w:rPr>
        <w:t>一是</w:t>
      </w:r>
      <w:r>
        <w:rPr>
          <w:rFonts w:ascii="仿宋_GB2312" w:eastAsia="仿宋_GB2312" w:cs="宋体" w:hint="eastAsia"/>
          <w:color w:val="000000"/>
          <w:sz w:val="30"/>
          <w:szCs w:val="30"/>
        </w:rPr>
        <w:t>财政收入规模单一，收入结构不合理</w:t>
      </w:r>
      <w:r>
        <w:rPr>
          <w:rFonts w:ascii="仿宋_GB2312" w:eastAsia="仿宋_GB2312" w:hint="eastAsia"/>
          <w:color w:val="000000"/>
          <w:sz w:val="30"/>
          <w:szCs w:val="30"/>
        </w:rPr>
        <w:t>。二是</w:t>
      </w:r>
      <w:r>
        <w:rPr>
          <w:rFonts w:ascii="仿宋_GB2312" w:eastAsia="仿宋_GB2312" w:cs="宋体" w:hint="eastAsia"/>
          <w:color w:val="000000"/>
          <w:sz w:val="30"/>
          <w:szCs w:val="30"/>
        </w:rPr>
        <w:t>财政管理还不很规范，财经纪律还有待进一步加强。</w:t>
      </w:r>
    </w:p>
    <w:p>
      <w:pPr>
        <w:spacing w:line="560" w:lineRule="exact"/>
        <w:ind w:firstLineChars="200" w:firstLine="640"/>
        <w:rPr>
          <w:rFonts w:ascii="黑体" w:eastAsia="黑体" w:cs="黑体"/>
          <w:sz w:val="32"/>
          <w:szCs w:val="32"/>
        </w:rPr>
      </w:pPr>
      <w:r>
        <w:rPr>
          <w:rFonts w:ascii="黑体" w:eastAsia="黑体" w:cs="黑体" w:hint="eastAsia"/>
          <w:sz w:val="32"/>
          <w:szCs w:val="32"/>
        </w:rPr>
        <w:t>四、相关措施建议</w:t>
      </w:r>
    </w:p>
    <w:p>
      <w:pPr>
        <w:pStyle w:val="23"/>
        <w:widowControl/>
        <w:spacing w:before="150" w:beforeAutospacing="0" w:after="150" w:afterAutospacing="0" w:line="560" w:lineRule="exact"/>
        <w:ind w:firstLineChars="250" w:firstLine="800"/>
        <w:rPr>
          <w:rFonts w:ascii="仿宋_GB2312" w:eastAsia="仿宋_GB2312"/>
          <w:sz w:val="32"/>
          <w:szCs w:val="32"/>
        </w:rPr>
      </w:pPr>
      <w:r>
        <w:rPr>
          <w:rFonts w:ascii="仿宋_GB2312" w:eastAsia="仿宋_GB2312" w:hint="eastAsia"/>
          <w:sz w:val="32"/>
          <w:szCs w:val="32"/>
        </w:rPr>
        <w:t>制定合理的年度工作计划和年度经费支出预算，确保全年经费支出均衡。对经费使用情况及时统计，并将统计情况反馈至各个庭室，对不合理的支出及时进行调整，提高经费使用效益。建立和完善内部控制建设，形成系统的内部财务管理制度。加强对专项资金的管理，按工作要求加快专项资金使用进度，切实发挥资金效益。</w:t>
      </w:r>
    </w:p>
    <w:p>
      <w:pPr>
        <w:spacing w:line="580" w:lineRule="exact"/>
        <w:ind w:firstLineChars="200" w:firstLine="640"/>
        <w:rPr>
          <w:rFonts w:ascii="仿宋_GB2312" w:eastAsia="仿宋_GB2312" w:cs="仿宋_GB2312" w:hint="eastAsia"/>
          <w:sz w:val="32"/>
          <w:szCs w:val="32"/>
          <w:highlight w:val="auto"/>
        </w:rPr>
      </w:pPr>
    </w:p>
    <w:p>
      <w:pPr>
        <w:spacing w:line="580" w:lineRule="exact"/>
        <w:ind w:firstLineChars="200" w:firstLine="640"/>
        <w:rPr>
          <w:rFonts w:ascii="仿宋_GB2312" w:eastAsia="仿宋_GB2312" w:cs="仿宋_GB2312" w:hint="eastAsia"/>
          <w:sz w:val="32"/>
          <w:szCs w:val="32"/>
          <w:highlight w:val="auto"/>
        </w:rPr>
      </w:pPr>
    </w:p>
    <w:p>
      <w:pPr>
        <w:spacing w:line="580" w:lineRule="exact"/>
        <w:ind w:firstLineChars="200" w:firstLine="640"/>
        <w:rPr>
          <w:rFonts w:ascii="仿宋_GB2312" w:eastAsia="仿宋_GB2312" w:cs="仿宋_GB2312" w:hint="eastAsia"/>
          <w:sz w:val="32"/>
          <w:szCs w:val="32"/>
          <w:highlight w:val="auto"/>
        </w:rPr>
      </w:pPr>
    </w:p>
    <w:p>
      <w:pPr>
        <w:spacing w:line="580" w:lineRule="exact"/>
        <w:ind w:firstLineChars="200" w:firstLine="640"/>
        <w:rPr>
          <w:rFonts w:ascii="仿宋_GB2312" w:eastAsia="仿宋_GB2312" w:cs="仿宋_GB2312" w:hint="eastAsia"/>
          <w:sz w:val="32"/>
          <w:szCs w:val="32"/>
          <w:highlight w:val="auto"/>
        </w:rPr>
      </w:pPr>
    </w:p>
    <w:p>
      <w:pPr>
        <w:spacing w:line="580" w:lineRule="exact"/>
        <w:ind w:firstLineChars="200" w:firstLine="640"/>
        <w:rPr>
          <w:rFonts w:ascii="仿宋_GB2312" w:eastAsia="仿宋_GB2312" w:cs="仿宋_GB2312" w:hint="eastAsia"/>
          <w:sz w:val="32"/>
          <w:szCs w:val="32"/>
          <w:highlight w:val="auto"/>
        </w:rPr>
      </w:pPr>
    </w:p>
    <w:p>
      <w:pPr>
        <w:spacing w:line="580" w:lineRule="exact"/>
        <w:ind w:firstLineChars="200" w:firstLine="640"/>
        <w:rPr>
          <w:rFonts w:ascii="仿宋_GB2312" w:eastAsia="仿宋_GB2312" w:cs="仿宋_GB2312" w:hint="eastAsia"/>
          <w:sz w:val="32"/>
          <w:szCs w:val="32"/>
          <w:highlight w:val="auto"/>
        </w:rPr>
      </w:pPr>
    </w:p>
    <w:p>
      <w:pPr>
        <w:spacing w:line="580" w:lineRule="exact"/>
        <w:ind w:firstLineChars="200" w:firstLine="640"/>
        <w:rPr>
          <w:rFonts w:ascii="仿宋_GB2312" w:eastAsia="仿宋_GB2312" w:cs="仿宋_GB2312" w:hint="eastAsia"/>
          <w:sz w:val="32"/>
          <w:szCs w:val="32"/>
          <w:highlight w:val="auto"/>
        </w:rPr>
      </w:pPr>
    </w:p>
    <w:p>
      <w:pPr>
        <w:spacing w:line="580" w:lineRule="exact"/>
        <w:ind w:firstLineChars="200" w:firstLine="640"/>
        <w:rPr>
          <w:rFonts w:ascii="仿宋_GB2312" w:eastAsia="仿宋_GB2312" w:cs="仿宋_GB2312" w:hint="eastAsia"/>
          <w:sz w:val="32"/>
          <w:szCs w:val="32"/>
          <w:highlight w:val="auto"/>
        </w:rPr>
      </w:pPr>
    </w:p>
    <w:p>
      <w:pPr>
        <w:spacing w:line="580" w:lineRule="exact"/>
        <w:ind w:firstLineChars="200" w:firstLine="640"/>
        <w:rPr>
          <w:rFonts w:ascii="仿宋_GB2312" w:eastAsia="仿宋_GB2312" w:cs="仿宋_GB2312" w:hint="eastAsia"/>
          <w:sz w:val="32"/>
          <w:szCs w:val="32"/>
          <w:highlight w:val="auto"/>
        </w:rPr>
      </w:pPr>
    </w:p>
    <w:p>
      <w:pPr>
        <w:spacing w:line="580" w:lineRule="exact"/>
        <w:ind w:firstLineChars="200" w:firstLine="640"/>
        <w:rPr>
          <w:rFonts w:ascii="仿宋_GB2312" w:eastAsia="仿宋_GB2312" w:cs="仿宋_GB2312" w:hint="eastAsia"/>
          <w:sz w:val="32"/>
          <w:szCs w:val="32"/>
          <w:highlight w:val="auto"/>
        </w:rPr>
      </w:pPr>
    </w:p>
    <w:p>
      <w:pPr>
        <w:spacing w:line="580" w:lineRule="exact"/>
        <w:ind w:firstLineChars="200" w:firstLine="640"/>
        <w:rPr>
          <w:rFonts w:ascii="仿宋_GB2312" w:eastAsia="仿宋_GB2312" w:cs="仿宋_GB2312" w:hint="eastAsia"/>
          <w:sz w:val="32"/>
          <w:szCs w:val="32"/>
          <w:highlight w:val="auto"/>
        </w:rPr>
      </w:pPr>
    </w:p>
    <w:p>
      <w:pPr>
        <w:spacing w:line="580" w:lineRule="exact"/>
        <w:ind w:firstLineChars="200" w:firstLine="640"/>
        <w:rPr>
          <w:rFonts w:ascii="仿宋_GB2312" w:eastAsia="仿宋_GB2312" w:cs="仿宋_GB2312" w:hint="eastAsia"/>
          <w:sz w:val="32"/>
          <w:szCs w:val="32"/>
          <w:highlight w:val="auto"/>
        </w:rPr>
      </w:pPr>
    </w:p>
    <w:p>
      <w:pPr>
        <w:spacing w:line="580" w:lineRule="exact"/>
        <w:rPr>
          <w:rFonts w:ascii="仿宋_GB2312" w:eastAsia="仿宋_GB2312" w:cs="仿宋_GB2312" w:hint="eastAsia"/>
          <w:sz w:val="32"/>
          <w:szCs w:val="32"/>
          <w:highlight w:val="auto"/>
        </w:rPr>
      </w:pPr>
    </w:p>
    <w:p>
      <w:pPr>
        <w:spacing w:line="580" w:lineRule="exact"/>
        <w:ind w:firstLineChars="200" w:firstLine="640"/>
        <w:rPr>
          <w:rFonts w:ascii="仿宋_GB2312" w:eastAsia="仿宋_GB2312" w:cs="仿宋_GB2312" w:hint="eastAsia"/>
          <w:sz w:val="32"/>
          <w:szCs w:val="32"/>
          <w:highlight w:val="auto"/>
        </w:rPr>
      </w:pPr>
    </w:p>
    <w:p>
      <w:pPr>
        <w:spacing w:line="600" w:lineRule="exact"/>
        <w:jc w:val="center"/>
        <w:outlineLvl w:val="0"/>
        <w:rPr>
          <w:rStyle w:val="1Char"/>
          <w:rFonts w:ascii="仿宋_GB2312" w:eastAsia="仿宋_GB2312" w:cs="仿宋_GB2312" w:hint="eastAsia"/>
          <w:b w:val="0"/>
          <w:highlight w:val="auto"/>
        </w:rPr>
      </w:pPr>
      <w:bookmarkStart w:id="64" w:name="_Toc20297172"/>
      <w:r>
        <w:rPr>
          <w:rFonts w:ascii="仿宋_GB2312" w:eastAsia="仿宋_GB2312" w:cs="仿宋_GB2312" w:hint="eastAsia"/>
          <w:color w:val="000000"/>
          <w:sz w:val="44"/>
          <w:szCs w:val="44"/>
          <w:highlight w:val="auto"/>
        </w:rPr>
        <w:t>第</w:t>
      </w:r>
      <w:r>
        <w:rPr>
          <w:rStyle w:val="1Char"/>
          <w:rFonts w:ascii="仿宋_GB2312" w:eastAsia="仿宋_GB2312" w:cs="仿宋_GB2312" w:hint="eastAsia"/>
          <w:b w:val="0"/>
          <w:highlight w:val="auto"/>
        </w:rPr>
        <w:t>五部分 附表</w:t>
      </w:r>
      <w:bookmarkEnd w:id="60"/>
      <w:bookmarkEnd w:id="64"/>
    </w:p>
    <w:p>
      <w:pPr>
        <w:spacing w:line="600" w:lineRule="exact"/>
        <w:jc w:val="center"/>
        <w:outlineLvl w:val="0"/>
        <w:rPr>
          <w:rFonts w:ascii="仿宋_GB2312" w:eastAsia="仿宋_GB2312" w:cs="仿宋_GB2312" w:hint="eastAsia"/>
          <w:b/>
          <w:color w:val="000000"/>
          <w:sz w:val="44"/>
          <w:szCs w:val="44"/>
          <w:highlight w:val="auto"/>
        </w:rPr>
      </w:pPr>
    </w:p>
    <w:p>
      <w:pPr>
        <w:pStyle w:val="2"/>
        <w:rPr>
          <w:rFonts w:ascii="仿宋_GB2312" w:eastAsia="仿宋_GB2312" w:cs="仿宋_GB2312" w:hint="eastAsia"/>
          <w:color w:val="000000"/>
          <w:highlight w:val="auto"/>
        </w:rPr>
      </w:pPr>
      <w:bookmarkStart w:id="65" w:name="_Toc20297173"/>
      <w:r>
        <w:rPr>
          <w:rFonts w:ascii="仿宋_GB2312" w:eastAsia="仿宋_GB2312" w:cs="仿宋_GB2312" w:hint="eastAsia"/>
          <w:b w:val="0"/>
          <w:color w:val="000000"/>
          <w:highlight w:val="auto"/>
        </w:rPr>
        <w:t>一、收</w:t>
      </w:r>
      <w:r>
        <w:rPr>
          <w:rStyle w:val="2Char"/>
          <w:rFonts w:ascii="仿宋_GB2312" w:eastAsia="仿宋_GB2312" w:cs="仿宋_GB2312" w:hint="eastAsia"/>
          <w:b w:val="0"/>
          <w:bCs w:val="0"/>
          <w:highlight w:val="auto"/>
        </w:rPr>
        <w:t>入支出决算总表</w:t>
      </w:r>
      <w:bookmarkEnd w:id="65"/>
    </w:p>
    <w:p>
      <w:pPr>
        <w:pStyle w:val="2"/>
        <w:rPr>
          <w:rFonts w:ascii="仿宋_GB2312" w:eastAsia="仿宋_GB2312" w:cs="仿宋_GB2312" w:hint="eastAsia"/>
          <w:color w:val="000000"/>
          <w:highlight w:val="auto"/>
        </w:rPr>
      </w:pPr>
      <w:bookmarkStart w:id="66" w:name="_Toc20297174"/>
      <w:r>
        <w:rPr>
          <w:rFonts w:ascii="仿宋_GB2312" w:eastAsia="仿宋_GB2312" w:cs="仿宋_GB2312" w:hint="eastAsia"/>
          <w:b w:val="0"/>
          <w:color w:val="000000"/>
          <w:highlight w:val="auto"/>
        </w:rPr>
        <w:t>二、收</w:t>
      </w:r>
      <w:r>
        <w:rPr>
          <w:rStyle w:val="2Char"/>
          <w:rFonts w:ascii="仿宋_GB2312" w:eastAsia="仿宋_GB2312" w:cs="仿宋_GB2312" w:hint="eastAsia"/>
          <w:b w:val="0"/>
          <w:bCs w:val="0"/>
          <w:highlight w:val="auto"/>
        </w:rPr>
        <w:t>入总表</w:t>
      </w:r>
      <w:bookmarkEnd w:id="66"/>
    </w:p>
    <w:p>
      <w:pPr>
        <w:pStyle w:val="2"/>
        <w:rPr>
          <w:rFonts w:ascii="仿宋_GB2312" w:eastAsia="仿宋_GB2312" w:cs="仿宋_GB2312" w:hint="eastAsia"/>
          <w:color w:val="000000"/>
          <w:highlight w:val="auto"/>
        </w:rPr>
      </w:pPr>
      <w:bookmarkStart w:id="67" w:name="_Toc20297175"/>
      <w:r>
        <w:rPr>
          <w:rStyle w:val="2Char"/>
          <w:rFonts w:ascii="仿宋_GB2312" w:eastAsia="仿宋_GB2312" w:cs="仿宋_GB2312" w:hint="eastAsia"/>
          <w:b w:val="0"/>
          <w:bCs w:val="0"/>
          <w:highlight w:val="auto"/>
        </w:rPr>
        <w:t>三、</w:t>
      </w:r>
      <w:r>
        <w:rPr>
          <w:rFonts w:ascii="仿宋_GB2312" w:eastAsia="仿宋_GB2312" w:cs="仿宋_GB2312" w:hint="eastAsia"/>
          <w:b w:val="0"/>
          <w:color w:val="000000"/>
          <w:highlight w:val="auto"/>
        </w:rPr>
        <w:t>支</w:t>
      </w:r>
      <w:r>
        <w:rPr>
          <w:rStyle w:val="2Char"/>
          <w:rFonts w:ascii="仿宋_GB2312" w:eastAsia="仿宋_GB2312" w:cs="仿宋_GB2312" w:hint="eastAsia"/>
          <w:b w:val="0"/>
          <w:bCs w:val="0"/>
          <w:highlight w:val="auto"/>
        </w:rPr>
        <w:t>出总表</w:t>
      </w:r>
      <w:bookmarkEnd w:id="67"/>
    </w:p>
    <w:p>
      <w:pPr>
        <w:pStyle w:val="2"/>
        <w:rPr>
          <w:rFonts w:ascii="仿宋_GB2312" w:eastAsia="仿宋_GB2312" w:cs="仿宋_GB2312" w:hint="eastAsia"/>
          <w:b w:val="0"/>
          <w:color w:val="000000"/>
          <w:highlight w:val="auto"/>
        </w:rPr>
      </w:pPr>
      <w:bookmarkStart w:id="68" w:name="_Toc20297176"/>
      <w:r>
        <w:rPr>
          <w:rStyle w:val="2Char"/>
          <w:rFonts w:ascii="仿宋_GB2312" w:eastAsia="仿宋_GB2312" w:cs="仿宋_GB2312" w:hint="eastAsia"/>
          <w:b w:val="0"/>
          <w:bCs w:val="0"/>
          <w:highlight w:val="auto"/>
        </w:rPr>
        <w:t>四、</w:t>
      </w:r>
      <w:r>
        <w:rPr>
          <w:rFonts w:ascii="仿宋_GB2312" w:eastAsia="仿宋_GB2312" w:cs="仿宋_GB2312" w:hint="eastAsia"/>
          <w:b w:val="0"/>
          <w:color w:val="000000"/>
          <w:highlight w:val="auto"/>
        </w:rPr>
        <w:t>财</w:t>
      </w:r>
      <w:r>
        <w:rPr>
          <w:rStyle w:val="2Char"/>
          <w:rFonts w:ascii="仿宋_GB2312" w:eastAsia="仿宋_GB2312" w:cs="仿宋_GB2312" w:hint="eastAsia"/>
          <w:b w:val="0"/>
          <w:bCs w:val="0"/>
          <w:highlight w:val="auto"/>
        </w:rPr>
        <w:t>政拨款收入支出决算总表</w:t>
      </w:r>
      <w:bookmarkEnd w:id="68"/>
    </w:p>
    <w:p>
      <w:pPr>
        <w:pStyle w:val="2"/>
        <w:rPr>
          <w:rFonts w:ascii="仿宋_GB2312" w:eastAsia="仿宋_GB2312" w:cs="仿宋_GB2312" w:hint="eastAsia"/>
          <w:color w:val="000000"/>
          <w:highlight w:val="auto"/>
        </w:rPr>
      </w:pPr>
      <w:bookmarkStart w:id="69" w:name="_Toc20297177"/>
      <w:r>
        <w:rPr>
          <w:rStyle w:val="2Char"/>
          <w:rFonts w:ascii="仿宋_GB2312" w:eastAsia="仿宋_GB2312" w:cs="仿宋_GB2312" w:hint="eastAsia"/>
          <w:b w:val="0"/>
          <w:bCs w:val="0"/>
          <w:highlight w:val="auto"/>
        </w:rPr>
        <w:t>五、</w:t>
      </w:r>
      <w:r>
        <w:rPr>
          <w:rFonts w:ascii="仿宋_GB2312" w:eastAsia="仿宋_GB2312" w:cs="仿宋_GB2312" w:hint="eastAsia"/>
          <w:b w:val="0"/>
          <w:color w:val="000000"/>
          <w:highlight w:val="auto"/>
        </w:rPr>
        <w:t>财</w:t>
      </w:r>
      <w:r>
        <w:rPr>
          <w:rStyle w:val="2Char"/>
          <w:rFonts w:ascii="仿宋_GB2312" w:eastAsia="仿宋_GB2312" w:cs="仿宋_GB2312" w:hint="eastAsia"/>
          <w:b w:val="0"/>
          <w:bCs w:val="0"/>
          <w:highlight w:val="auto"/>
        </w:rPr>
        <w:t>政拨款支出决算明细表（政府经济分类科目）</w:t>
      </w:r>
      <w:bookmarkEnd w:id="69"/>
    </w:p>
    <w:p>
      <w:pPr>
        <w:pStyle w:val="2"/>
        <w:rPr>
          <w:rFonts w:ascii="仿宋_GB2312" w:eastAsia="仿宋_GB2312" w:cs="仿宋_GB2312" w:hint="eastAsia"/>
          <w:color w:val="000000"/>
          <w:highlight w:val="auto"/>
        </w:rPr>
      </w:pPr>
      <w:bookmarkStart w:id="70" w:name="_Toc20297178"/>
      <w:r>
        <w:rPr>
          <w:rStyle w:val="2Char"/>
          <w:rFonts w:ascii="仿宋_GB2312" w:eastAsia="仿宋_GB2312" w:cs="仿宋_GB2312" w:hint="eastAsia"/>
          <w:b w:val="0"/>
          <w:bCs w:val="0"/>
          <w:highlight w:val="auto"/>
        </w:rPr>
        <w:t>六、</w:t>
      </w:r>
      <w:r>
        <w:rPr>
          <w:rFonts w:ascii="仿宋_GB2312" w:eastAsia="仿宋_GB2312" w:cs="仿宋_GB2312" w:hint="eastAsia"/>
          <w:b w:val="0"/>
          <w:color w:val="000000"/>
          <w:highlight w:val="auto"/>
        </w:rPr>
        <w:t>一</w:t>
      </w:r>
      <w:r>
        <w:rPr>
          <w:rStyle w:val="2Char"/>
          <w:rFonts w:ascii="仿宋_GB2312" w:eastAsia="仿宋_GB2312" w:cs="仿宋_GB2312" w:hint="eastAsia"/>
          <w:b w:val="0"/>
          <w:bCs w:val="0"/>
          <w:highlight w:val="auto"/>
        </w:rPr>
        <w:t>般公共预算财政拨款支出决算表</w:t>
      </w:r>
      <w:bookmarkEnd w:id="70"/>
    </w:p>
    <w:p>
      <w:pPr>
        <w:pStyle w:val="2"/>
        <w:rPr>
          <w:rFonts w:ascii="仿宋_GB2312" w:eastAsia="仿宋_GB2312" w:cs="仿宋_GB2312" w:hint="eastAsia"/>
          <w:color w:val="000000"/>
          <w:highlight w:val="auto"/>
        </w:rPr>
      </w:pPr>
      <w:bookmarkStart w:id="71" w:name="_Toc20297179"/>
      <w:r>
        <w:rPr>
          <w:rStyle w:val="2Char"/>
          <w:rFonts w:ascii="仿宋_GB2312" w:eastAsia="仿宋_GB2312" w:cs="仿宋_GB2312" w:hint="eastAsia"/>
          <w:b w:val="0"/>
          <w:bCs w:val="0"/>
          <w:highlight w:val="auto"/>
        </w:rPr>
        <w:t>七、</w:t>
      </w:r>
      <w:r>
        <w:rPr>
          <w:rFonts w:ascii="仿宋_GB2312" w:eastAsia="仿宋_GB2312" w:cs="仿宋_GB2312" w:hint="eastAsia"/>
          <w:b w:val="0"/>
          <w:color w:val="000000"/>
          <w:highlight w:val="auto"/>
        </w:rPr>
        <w:t>一</w:t>
      </w:r>
      <w:r>
        <w:rPr>
          <w:rStyle w:val="2Char"/>
          <w:rFonts w:ascii="仿宋_GB2312" w:eastAsia="仿宋_GB2312" w:cs="仿宋_GB2312" w:hint="eastAsia"/>
          <w:b w:val="0"/>
          <w:bCs w:val="0"/>
          <w:highlight w:val="auto"/>
        </w:rPr>
        <w:t>般公共预算财政拨款支出决算明细表</w:t>
      </w:r>
      <w:bookmarkEnd w:id="71"/>
    </w:p>
    <w:p>
      <w:pPr>
        <w:pStyle w:val="2"/>
        <w:rPr>
          <w:rFonts w:ascii="仿宋_GB2312" w:eastAsia="仿宋_GB2312" w:cs="仿宋_GB2312" w:hint="eastAsia"/>
          <w:color w:val="000000"/>
          <w:highlight w:val="auto"/>
        </w:rPr>
      </w:pPr>
      <w:bookmarkStart w:id="72" w:name="_Toc20297180"/>
      <w:r>
        <w:rPr>
          <w:rStyle w:val="2Char"/>
          <w:rFonts w:ascii="仿宋_GB2312" w:eastAsia="仿宋_GB2312" w:cs="仿宋_GB2312" w:hint="eastAsia"/>
          <w:b w:val="0"/>
          <w:bCs w:val="0"/>
          <w:highlight w:val="auto"/>
        </w:rPr>
        <w:t>八、</w:t>
      </w:r>
      <w:r>
        <w:rPr>
          <w:rFonts w:ascii="仿宋_GB2312" w:eastAsia="仿宋_GB2312" w:cs="仿宋_GB2312" w:hint="eastAsia"/>
          <w:b w:val="0"/>
          <w:color w:val="000000"/>
          <w:highlight w:val="auto"/>
        </w:rPr>
        <w:t>一</w:t>
      </w:r>
      <w:r>
        <w:rPr>
          <w:rStyle w:val="2Char"/>
          <w:rFonts w:ascii="仿宋_GB2312" w:eastAsia="仿宋_GB2312" w:cs="仿宋_GB2312" w:hint="eastAsia"/>
          <w:b w:val="0"/>
          <w:bCs w:val="0"/>
          <w:highlight w:val="auto"/>
        </w:rPr>
        <w:t>般公共预算财政拨款基本支出决算表</w:t>
      </w:r>
      <w:bookmarkEnd w:id="72"/>
    </w:p>
    <w:p>
      <w:pPr>
        <w:pStyle w:val="2"/>
        <w:rPr>
          <w:rFonts w:ascii="仿宋_GB2312" w:eastAsia="仿宋_GB2312" w:cs="仿宋_GB2312" w:hint="eastAsia"/>
          <w:color w:val="000000"/>
          <w:highlight w:val="auto"/>
        </w:rPr>
      </w:pPr>
      <w:bookmarkStart w:id="73" w:name="_Toc20297181"/>
      <w:r>
        <w:rPr>
          <w:rStyle w:val="2Char"/>
          <w:rFonts w:ascii="仿宋_GB2312" w:eastAsia="仿宋_GB2312" w:cs="仿宋_GB2312" w:hint="eastAsia"/>
          <w:b w:val="0"/>
          <w:bCs w:val="0"/>
          <w:highlight w:val="auto"/>
        </w:rPr>
        <w:t>九、</w:t>
      </w:r>
      <w:r>
        <w:rPr>
          <w:rFonts w:ascii="仿宋_GB2312" w:eastAsia="仿宋_GB2312" w:cs="仿宋_GB2312" w:hint="eastAsia"/>
          <w:b w:val="0"/>
          <w:color w:val="000000"/>
          <w:highlight w:val="auto"/>
        </w:rPr>
        <w:t>一</w:t>
      </w:r>
      <w:r>
        <w:rPr>
          <w:rStyle w:val="2Char"/>
          <w:rFonts w:ascii="仿宋_GB2312" w:eastAsia="仿宋_GB2312" w:cs="仿宋_GB2312" w:hint="eastAsia"/>
          <w:b w:val="0"/>
          <w:bCs w:val="0"/>
          <w:highlight w:val="auto"/>
        </w:rPr>
        <w:t>般公共预算财政拨款项目支出决算表</w:t>
      </w:r>
      <w:bookmarkEnd w:id="73"/>
    </w:p>
    <w:p>
      <w:pPr>
        <w:pStyle w:val="2"/>
        <w:rPr>
          <w:rFonts w:ascii="仿宋_GB2312" w:eastAsia="仿宋_GB2312" w:cs="仿宋_GB2312" w:hint="eastAsia"/>
          <w:color w:val="000000"/>
          <w:highlight w:val="auto"/>
        </w:rPr>
      </w:pPr>
      <w:bookmarkStart w:id="74" w:name="_Toc20297182"/>
      <w:r>
        <w:rPr>
          <w:rStyle w:val="2Char"/>
          <w:rFonts w:ascii="仿宋_GB2312" w:eastAsia="仿宋_GB2312" w:cs="仿宋_GB2312" w:hint="eastAsia"/>
          <w:b w:val="0"/>
          <w:bCs w:val="0"/>
          <w:highlight w:val="auto"/>
        </w:rPr>
        <w:t>十、</w:t>
      </w:r>
      <w:r>
        <w:rPr>
          <w:rFonts w:ascii="仿宋_GB2312" w:eastAsia="仿宋_GB2312" w:cs="仿宋_GB2312" w:hint="eastAsia"/>
          <w:b w:val="0"/>
          <w:color w:val="000000"/>
          <w:highlight w:val="auto"/>
        </w:rPr>
        <w:t>一</w:t>
      </w:r>
      <w:r>
        <w:rPr>
          <w:rStyle w:val="2Char"/>
          <w:rFonts w:ascii="仿宋_GB2312" w:eastAsia="仿宋_GB2312" w:cs="仿宋_GB2312" w:hint="eastAsia"/>
          <w:b w:val="0"/>
          <w:bCs w:val="0"/>
          <w:highlight w:val="auto"/>
        </w:rPr>
        <w:t>般公共预算财政拨款“三公”经费支出决算表</w:t>
      </w:r>
      <w:bookmarkEnd w:id="74"/>
    </w:p>
    <w:p>
      <w:pPr>
        <w:pStyle w:val="2"/>
        <w:rPr>
          <w:rFonts w:ascii="仿宋_GB2312" w:eastAsia="仿宋_GB2312" w:cs="仿宋_GB2312" w:hint="eastAsia"/>
          <w:color w:val="000000"/>
          <w:highlight w:val="auto"/>
        </w:rPr>
      </w:pPr>
      <w:bookmarkStart w:id="75" w:name="_Toc20297183"/>
      <w:r>
        <w:rPr>
          <w:rStyle w:val="2Char"/>
          <w:rFonts w:ascii="仿宋_GB2312" w:eastAsia="仿宋_GB2312" w:cs="仿宋_GB2312" w:hint="eastAsia"/>
          <w:b w:val="0"/>
          <w:bCs w:val="0"/>
          <w:highlight w:val="auto"/>
        </w:rPr>
        <w:t>十一、</w:t>
      </w:r>
      <w:r>
        <w:rPr>
          <w:rFonts w:ascii="仿宋_GB2312" w:eastAsia="仿宋_GB2312" w:cs="仿宋_GB2312" w:hint="eastAsia"/>
          <w:b w:val="0"/>
          <w:color w:val="000000"/>
          <w:highlight w:val="auto"/>
        </w:rPr>
        <w:t>政</w:t>
      </w:r>
      <w:r>
        <w:rPr>
          <w:rStyle w:val="2Char"/>
          <w:rFonts w:ascii="仿宋_GB2312" w:eastAsia="仿宋_GB2312" w:cs="仿宋_GB2312" w:hint="eastAsia"/>
          <w:b w:val="0"/>
          <w:bCs w:val="0"/>
          <w:highlight w:val="auto"/>
        </w:rPr>
        <w:t>府性基金预算财政拨款收入支出决算表</w:t>
      </w:r>
      <w:bookmarkEnd w:id="75"/>
    </w:p>
    <w:p>
      <w:pPr>
        <w:pStyle w:val="2"/>
        <w:rPr>
          <w:rFonts w:ascii="仿宋_GB2312" w:eastAsia="仿宋_GB2312" w:cs="仿宋_GB2312" w:hint="eastAsia"/>
          <w:color w:val="000000"/>
          <w:highlight w:val="auto"/>
        </w:rPr>
      </w:pPr>
      <w:bookmarkStart w:id="76" w:name="_Toc20297184"/>
      <w:r>
        <w:rPr>
          <w:rStyle w:val="2Char"/>
          <w:rFonts w:ascii="仿宋_GB2312" w:eastAsia="仿宋_GB2312" w:cs="仿宋_GB2312" w:hint="eastAsia"/>
          <w:b w:val="0"/>
          <w:bCs w:val="0"/>
          <w:highlight w:val="auto"/>
        </w:rPr>
        <w:t>十二、</w:t>
      </w:r>
      <w:r>
        <w:rPr>
          <w:rFonts w:ascii="仿宋_GB2312" w:eastAsia="仿宋_GB2312" w:cs="仿宋_GB2312" w:hint="eastAsia"/>
          <w:b w:val="0"/>
          <w:color w:val="000000"/>
          <w:highlight w:val="auto"/>
        </w:rPr>
        <w:t>政</w:t>
      </w:r>
      <w:r>
        <w:rPr>
          <w:rStyle w:val="2Char"/>
          <w:rFonts w:ascii="仿宋_GB2312" w:eastAsia="仿宋_GB2312" w:cs="仿宋_GB2312" w:hint="eastAsia"/>
          <w:b w:val="0"/>
          <w:bCs w:val="0"/>
          <w:highlight w:val="auto"/>
        </w:rPr>
        <w:t>府性基金预算财政拨款“三公”经费支出决算表</w:t>
      </w:r>
      <w:bookmarkEnd w:id="76"/>
    </w:p>
    <w:p>
      <w:pPr>
        <w:pStyle w:val="2"/>
        <w:rPr>
          <w:rFonts w:ascii="仿宋_GB2312" w:eastAsia="仿宋_GB2312" w:cs="仿宋_GB2312" w:hint="eastAsia"/>
          <w:color w:val="000000"/>
          <w:highlight w:val="auto"/>
        </w:rPr>
      </w:pPr>
      <w:bookmarkStart w:id="77" w:name="_Toc20297185"/>
      <w:r>
        <w:rPr>
          <w:rStyle w:val="2Char"/>
          <w:rFonts w:ascii="仿宋_GB2312" w:eastAsia="仿宋_GB2312" w:cs="仿宋_GB2312" w:hint="eastAsia"/>
          <w:b w:val="0"/>
          <w:bCs w:val="0"/>
          <w:highlight w:val="auto"/>
        </w:rPr>
        <w:t>十三、</w:t>
      </w:r>
      <w:r>
        <w:rPr>
          <w:rFonts w:ascii="仿宋_GB2312" w:eastAsia="仿宋_GB2312" w:cs="仿宋_GB2312" w:hint="eastAsia"/>
          <w:b w:val="0"/>
          <w:color w:val="000000"/>
          <w:highlight w:val="auto"/>
        </w:rPr>
        <w:t>国</w:t>
      </w:r>
      <w:r>
        <w:rPr>
          <w:rStyle w:val="2Char"/>
          <w:rFonts w:ascii="仿宋_GB2312" w:eastAsia="仿宋_GB2312" w:cs="仿宋_GB2312" w:hint="eastAsia"/>
          <w:b w:val="0"/>
          <w:bCs w:val="0"/>
          <w:highlight w:val="auto"/>
        </w:rPr>
        <w:t>有资本经营预算支出决算表</w:t>
      </w:r>
      <w:bookmarkEnd w:id="77"/>
    </w:p>
    <w:sectPr>
      <w:footerReference w:type="first" r:id="rId4"/>
      <w:type w:val="continuous"/>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auto"/>
    <w:pitch w:val="variable"/>
    <w:sig w:usb0="00000001" w:usb1="080E0000" w:usb2="00000000" w:usb3="00000000" w:csb0="00040000" w:csb1="00000000"/>
  </w:font>
  <w:font w:name="方正小标宋简体">
    <w:panose1 w:val="02010601030101010101"/>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楷体">
    <w:panose1 w:val="02010609060101010101"/>
    <w:charset w:val="86"/>
    <w:family w:val="auto"/>
    <w:pitch w:val="variable"/>
    <w:sig w:usb0="800002BF" w:usb1="38CF7CFA" w:usb2="00000016" w:usb3="00000000" w:csb0="00040001" w:csb1="00000000"/>
  </w:font>
  <w:font w:name="Cambria">
    <w:panose1 w:val="02040503050406030204"/>
    <w:charset w:val="00"/>
    <w:family w:val="auto"/>
    <w:pitch w:val="variable"/>
    <w:sig w:usb0="E00002FF" w:usb1="400004FF" w:usb2="00000000" w:usb3="00000000" w:csb0="2000019F" w:csb1="00000000"/>
  </w:font>
  <w:font w:name="宋体">
    <w:panose1 w:val="02010600030101010101"/>
    <w:charset w:val="86"/>
    <w:family w:val="auto"/>
    <w:pitch w:val="variable"/>
    <w:sig w:usb0="00000003" w:usb1="288F0000" w:usb2="00000006" w:usb3="00000000" w:csb0="00040001" w:csb1="00000000"/>
  </w:font>
  <w:font w:name="Times New Roman">
    <w:panose1 w:val="02020603050405020304"/>
    <w:charset w:val="01"/>
    <w:family w:val="auto"/>
    <w:pitch w:val="variable"/>
    <w:sig w:usb0="E0002AFF" w:usb1="C0007841" w:usb2="00000009" w:usb3="00000000" w:csb0="400001FF" w:csb1="FFFF0000"/>
  </w:font>
  <w:font w:name="仿宋">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2000019F" w:csb1="00000000"/>
  </w:font>
  <w:font w:name="楷体_GB2312">
    <w:panose1 w:val="02010609030101010101"/>
    <w:charset w:val="86"/>
    <w:family w:val="auto"/>
    <w:pitch w:val="variable"/>
    <w:sig w:usb0="00000001" w:usb1="080E0000" w:usb2="0000000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tabs>
        <w:tab w:val="center" w:pos="4153"/>
        <w:tab w:val="right" w:pos="8306"/>
      </w:tabs>
    </w:pPr>
  </w:p>
  <w:p>
    <w:pPr>
      <w:pStyle w:val="15"/>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tabs>
        <w:tab w:val="center" w:pos="4153"/>
        <w:tab w:val="right" w:pos="8306"/>
      </w:tabs>
      <w:jc w:val="center"/>
    </w:pPr>
    <w:r>
      <w:fldChar w:fldCharType="begin"/>
    </w:r>
    <w:r>
      <w:instrText>PAGE   \* MERGEFORMAT</w:instrText>
    </w:r>
    <w:r>
      <w:fldChar w:fldCharType="separate"/>
    </w:r>
    <w:r>
      <w:t>11</w:t>
    </w:r>
    <w:r>
      <w:fldChar w:fldCharType="end"/>
    </w:r>
  </w:p>
  <w:p>
    <w:pPr>
      <w:pStyle w:val="15"/>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01AC2F42"/>
    <w:multiLevelType w:val="singleLevel"/>
    <w:tmpl w:val="01AC2F42"/>
    <w:lvl w:ilvl="0">
      <w:start w:val="3"/>
      <w:numFmt w:val="decimal"/>
      <w:lvlRestart w:val="0"/>
      <w:lvlText w:val="%1."/>
      <w:lvlJc w:val="left"/>
      <w:pPr>
        <w:ind w:left="0" w:hanging="0"/>
      </w:pPr>
    </w:lvl>
  </w:abstractNum>
  <w:abstractNum w:abstractNumId="1">
    <w:nsid w:val="CF652CEC"/>
    <w:multiLevelType w:val="singleLevel"/>
    <w:tmpl w:val="CF652CEC"/>
    <w:lvl w:ilvl="0">
      <w:start w:val="9"/>
      <w:numFmt w:val="chineseCounting"/>
      <w:lvlRestart w:val="0"/>
      <w:suff w:val="nothing"/>
      <w:lvlText w:val="%1、"/>
      <w:lvlJc w:val="left"/>
      <w:pPr>
        <w:ind w:left="0" w:hanging="0"/>
      </w:pPr>
      <w:rPr>
        <w:rFonts w:hint="eastAsia"/>
      </w:rPr>
    </w:lvl>
  </w:abstractNum>
  <w:abstractNum w:abstractNumId="2">
    <w:nsid w:val="EC0BEF30"/>
    <w:multiLevelType w:val="singleLevel"/>
    <w:tmpl w:val="EC0BEF30"/>
    <w:lvl w:ilvl="0">
      <w:start w:val="1"/>
      <w:numFmt w:val="chineseCounting"/>
      <w:lvlRestart w:val="0"/>
      <w:suff w:val="nothing"/>
      <w:lvlText w:val="（%1）"/>
      <w:lvlJc w:val="left"/>
      <w:pPr>
        <w:ind w:left="0" w:hanging="0"/>
      </w:pPr>
      <w:rPr>
        <w:rFonts w:ascii="楷体_GB2312" w:hAnsi="楷体_GB2312" w:eastAsia="楷体_GB2312" w:cs="楷体_GB2312" w:hint="eastAsia"/>
        <w:b/>
        <w:bCs/>
        <w:sz w:val="32"/>
        <w:szCs w:val="32"/>
      </w:rPr>
    </w:lvl>
  </w:abstractNum>
  <w:abstractNum w:abstractNumId="3">
    <w:nsid w:val="5F73EF90"/>
    <w:multiLevelType w:val="singleLevel"/>
    <w:tmpl w:val="5F73EF90"/>
    <w:lvl w:ilvl="0">
      <w:start w:val="1"/>
      <w:numFmt w:val="decimal"/>
      <w:lvlRestart w:val="0"/>
      <w:suff w:val="nothing"/>
      <w:lvlText w:val="%1."/>
      <w:lvlJc w:val="left"/>
      <w:pPr>
        <w:ind w:left="0" w:hanging="0"/>
      </w:pPr>
    </w:lvl>
  </w:abstractNum>
  <w:abstractNum w:abstractNumId="4">
    <w:nsid w:val="E2FA047D"/>
    <w:multiLevelType w:val="singleLevel"/>
    <w:tmpl w:val="E2FA047D"/>
    <w:lvl w:ilvl="0">
      <w:start w:val="3"/>
      <w:numFmt w:val="chineseCounting"/>
      <w:lvlRestart w:val="0"/>
      <w:suff w:val="space"/>
      <w:lvlText w:val="第%1部分"/>
      <w:lvlJc w:val="left"/>
      <w:pPr>
        <w:ind w:left="0" w:hanging="0"/>
      </w:pPr>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docVars>
    <w:docVar w:name="commondata" w:val="eyJoZGlkIjoiMzM1ZjgyYmRlNWI1ZTM4ZDNlMWUzODdkMDFlMjAzYTc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eastAsia="宋体" w:cs="黑体" w:hAnsi="Cambria"/>
      <w:b/>
      <w:bCs/>
      <w:sz w:val="32"/>
      <w:szCs w:val="32"/>
    </w:rPr>
  </w:style>
  <w:style w:type="character" w:customStyle="1" w:styleId="2Char">
    <w:name w:val="heading 2 Char"/>
    <w:basedOn w:val="10"/>
    <w:link w:val="2"/>
    <w:rPr>
      <w:rFonts w:ascii="Cambria" w:eastAsia="宋体" w:cs="黑体"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before="280" w:after="290" w:line="377" w:lineRule="auto"/>
      <w:outlineLvl w:val="3"/>
    </w:pPr>
    <w:rPr>
      <w:rFonts w:ascii="Cambria" w:eastAsia="宋体" w:cs="黑体" w:hAnsi="Cambria"/>
      <w:b/>
      <w:bCs/>
      <w:sz w:val="28"/>
      <w:szCs w:val="28"/>
    </w:rPr>
  </w:style>
  <w:style w:type="character" w:default="1" w:styleId="10">
    <w:name w:val="Default Paragraph Font"/>
  </w:style>
  <w:style w:type="paragraph" w:styleId="15">
    <w:name w:val="footer"/>
    <w:basedOn w:val="0"/>
    <w:pPr>
      <w:tabs>
        <w:tab w:val="center" w:pos="4153"/>
        <w:tab w:val="right" w:pos="8306"/>
      </w:tabs>
      <w:snapToGrid w:val="0"/>
      <w:jc w:val="left"/>
    </w:pPr>
    <w:rPr>
      <w:rFonts w:ascii="Calibri" w:hAnsi="Calibri"/>
      <w:kern w:val="0"/>
      <w:sz w:val="18"/>
      <w:szCs w:val="18"/>
    </w:rPr>
  </w:style>
  <w:style w:type="paragraph" w:styleId="16">
    <w:name w:val="Body Text"/>
    <w:basedOn w:val="0"/>
    <w:pPr>
      <w:spacing w:beforeLines="30" w:before="30"/>
    </w:pPr>
    <w:rPr>
      <w:rFonts w:ascii="仿宋_GB2312" w:eastAsia="仿宋_GB2312"/>
      <w:kern w:val="0"/>
      <w:sz w:val="30"/>
    </w:rPr>
  </w:style>
  <w:style w:type="paragraph" w:styleId="17">
    <w:name w:val="Body Text Indent"/>
    <w:basedOn w:val="0"/>
    <w:pPr>
      <w:spacing w:after="120"/>
      <w:ind w:leftChars="200" w:left="200"/>
    </w:pPr>
    <w:rPr>
      <w:szCs w:val="20"/>
    </w:rPr>
  </w:style>
  <w:style w:type="paragraph" w:styleId="18">
    <w:name w:val="toc 3"/>
    <w:basedOn w:val="0"/>
    <w:next w:val="0"/>
    <w:pPr>
      <w:tabs>
        <w:tab w:val="right" w:leader="dot" w:pos="8296"/>
      </w:tabs>
      <w:ind w:leftChars="400" w:left="400"/>
    </w:pPr>
  </w:style>
  <w:style w:type="paragraph" w:styleId="19">
    <w:name w:val="Balloon Text"/>
    <w:basedOn w:val="0"/>
    <w:rPr>
      <w:sz w:val="18"/>
      <w:szCs w:val="18"/>
    </w:rPr>
  </w:style>
  <w:style w:type="paragraph" w:styleId="20">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1">
    <w:name w:val="toc 1"/>
    <w:basedOn w:val="0"/>
    <w:next w:val="0"/>
    <w:pPr>
      <w:tabs>
        <w:tab w:val="right" w:leader="dot" w:pos="8296"/>
      </w:tabs>
      <w:spacing w:before="93"/>
      <w:jc w:val="center"/>
    </w:pPr>
    <w:rPr>
      <w:rFonts w:ascii="仿宋" w:eastAsia="仿宋"/>
      <w:sz w:val="28"/>
      <w:szCs w:val="28"/>
    </w:rPr>
  </w:style>
  <w:style w:type="paragraph" w:styleId="22">
    <w:name w:val="toc 2"/>
    <w:basedOn w:val="0"/>
    <w:next w:val="0"/>
    <w:pPr>
      <w:tabs>
        <w:tab w:val="right" w:leader="dot" w:pos="8296"/>
      </w:tabs>
      <w:ind w:leftChars="200" w:left="200"/>
    </w:pPr>
  </w:style>
  <w:style w:type="paragraph" w:styleId="23">
    <w:name w:val="Normal (Web)"/>
    <w:basedOn w:val="0"/>
    <w:pPr>
      <w:spacing w:before="100" w:beforeAutospacing="1" w:after="100" w:afterAutospacing="1"/>
      <w:jc w:val="left"/>
    </w:pPr>
    <w:rPr>
      <w:rFonts w:ascii="Calibri" w:hAnsi="Calibri"/>
      <w:kern w:val="0"/>
      <w:sz w:val="24"/>
    </w:rPr>
  </w:style>
  <w:style w:type="paragraph" w:styleId="24">
    <w:name w:val="Body Text First Indent 2"/>
    <w:basedOn w:val="17"/>
    <w:pPr>
      <w:ind w:firstLineChars="200" w:firstLine="200"/>
    </w:pPr>
  </w:style>
  <w:style w:type="character" w:styleId="25">
    <w:name w:val="Strong"/>
    <w:basedOn w:val="10"/>
    <w:rPr>
      <w:b/>
    </w:rPr>
  </w:style>
  <w:style w:type="character" w:styleId="26">
    <w:name w:val="Hyperlink"/>
    <w:basedOn w:val="10"/>
    <w:rPr>
      <w:color w:val="0000FF"/>
      <w:u w:val="single"/>
    </w:rPr>
  </w:style>
  <w:style w:type="paragraph" w:customStyle="1" w:styleId="27">
    <w:name w:val="Default"/>
    <w:pPr>
      <w:widowControl w:val="0"/>
      <w:autoSpaceDE w:val="0"/>
      <w:autoSpaceDN w:val="0"/>
      <w:adjustRightInd w:val="0"/>
    </w:pPr>
    <w:rPr>
      <w:rFonts w:ascii="仿宋" w:eastAsia="仿宋" w:cs="仿宋"/>
      <w:color w:val="000000"/>
      <w:sz w:val="24"/>
      <w:szCs w:val="24"/>
      <w:lang w:val="en-US" w:eastAsia="zh-CN" w:bidi="ar-SA"/>
    </w:rPr>
  </w:style>
  <w:style w:type="paragraph" w:customStyle="1" w:styleId="28">
    <w:name w:val="List Paragraph"/>
    <w:basedOn w:val="0"/>
    <w:pPr>
      <w:ind w:firstLineChars="200" w:firstLine="200"/>
    </w:pPr>
  </w:style>
  <w:style w:type="paragraph" w:customStyle="1" w:styleId="29">
    <w:name w:val="TOC Heading"/>
    <w:basedOn w:val="1"/>
    <w:next w:val="0"/>
    <w:pPr>
      <w:keepNext/>
      <w:keepLines/>
      <w:widowControl/>
      <w:spacing w:before="480" w:after="0" w:line="276" w:lineRule="auto"/>
      <w:jc w:val="left"/>
      <w:outlineLvl w:val="9"/>
    </w:pPr>
    <w:rPr>
      <w:rFonts w:ascii="Cambria" w:eastAsia="宋体" w:cs="黑体" w:hAnsi="Cambria"/>
      <w:color w:val="365F90"/>
      <w:kern w:val="0"/>
      <w:sz w:val="28"/>
      <w:szCs w:val="28"/>
    </w:rPr>
  </w:style>
  <w:style w:type="character" w:customStyle="1" w:styleId="30">
    <w:name w:val="Header Char"/>
    <w:basedOn w:val="10"/>
    <w:rPr>
      <w:rFonts w:ascii="Times New Roman" w:hAnsi="Times New Roman"/>
      <w:sz w:val="18"/>
      <w:szCs w:val="18"/>
    </w:rPr>
  </w:style>
  <w:style w:type="character" w:customStyle="1" w:styleId="31">
    <w:name w:val="Footer Char"/>
    <w:basedOn w:val="10"/>
    <w:rPr>
      <w:rFonts w:ascii="Times New Roman" w:hAnsi="Times New Roman"/>
      <w:sz w:val="18"/>
      <w:szCs w:val="18"/>
    </w:rPr>
  </w:style>
  <w:style w:type="character" w:customStyle="1" w:styleId="32">
    <w:name w:val="Body Text Char"/>
    <w:basedOn w:val="10"/>
    <w:rPr>
      <w:rFonts w:ascii="Times New Roman" w:hAnsi="Times New Roman"/>
      <w:szCs w:val="24"/>
    </w:rPr>
  </w:style>
  <w:style w:type="character" w:customStyle="1" w:styleId="33">
    <w:name w:val="页脚 字符"/>
    <w:basedOn w:val="10"/>
  </w:style>
  <w:style w:type="paragraph" w:customStyle="1" w:styleId="34">
    <w:name w:val="正文文本1"/>
    <w:basedOn w:val="0"/>
    <w:pPr>
      <w:spacing w:before="93"/>
    </w:pPr>
    <w:rPr>
      <w:rFonts w:ascii="仿宋_GB2312" w:eastAsia="仿宋_GB2312" w:cs="Times New Roman"/>
      <w:kern w:val="0"/>
      <w:sz w:val="30"/>
      <w:szCs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image" Target="media/2.png"/><Relationship Id="rId6" Type="http://schemas.openxmlformats.org/officeDocument/2006/relationships/image" Target="media/5.png"/><Relationship Id="rId7" Type="http://schemas.openxmlformats.org/officeDocument/2006/relationships/image" Target="media/8.png"/><Relationship Id="rId8" Type="http://schemas.openxmlformats.org/officeDocument/2006/relationships/image" Target="media/2.png"/><Relationship Id="rId9" Type="http://schemas.openxmlformats.org/officeDocument/2006/relationships/image" Target="media/13.png"/><Relationship Id="rId10" Type="http://schemas.openxmlformats.org/officeDocument/2006/relationships/image" Target="media/16.png"/><Relationship Id="rId11" Type="http://schemas.openxmlformats.org/officeDocument/2006/relationships/image" Target="media/19.png"/><Relationship Id="rId12" Type="http://schemas.openxmlformats.org/officeDocument/2006/relationships/styles" Target="styles.xml"/><Relationship Id="rId13" Type="http://schemas.openxmlformats.org/officeDocument/2006/relationships/numbering" Target="numbering.xml"/><Relationship Id="rId14" Type="http://schemas.openxmlformats.org/officeDocument/2006/relationships/fontTable" Target="fontTable.xml"/></Relationships>
</file>

<file path=docProps/app.xml><?xml version="1.0" encoding="utf-8"?>
<Properties xmlns="http://schemas.openxmlformats.org/officeDocument/2006/extended-properties">
  <Template>Normal.eit</Template>
  <TotalTime>9</TotalTime>
  <Application>Yozo_Office27021597764231179</Application>
  <Pages>45</Pages>
  <Words>19437</Words>
  <Characters>20472</Characters>
  <Lines>1724</Lines>
  <Paragraphs>922</Paragraphs>
  <CharactersWithSpaces>20616</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张彬茜</dc:creator>
  <cp:lastModifiedBy>Administrator</cp:lastModifiedBy>
  <cp:revision>0</cp:revision>
  <cp:lastPrinted>2019-10-17T08:42:00Z</cp:lastPrinted>
  <dcterms:created xsi:type="dcterms:W3CDTF">2019-10-11T09:08:00Z</dcterms:created>
  <dcterms:modified xsi:type="dcterms:W3CDTF">2023-07-17T03:45:34Z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2052-11.1.0.11636</vt:lpwstr>
  </property>
  <property fmtid="{D5CDD505-2E9C-101B-9397-08002B2CF9AE}" pid="3" name="ICV">
    <vt:lpwstr>4A374973D2E34A85AE70F8AC3BBBF6CF</vt:lpwstr>
  </property>
</Properties>
</file>