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highlight w:val="green"/>
        </w:rPr>
      </w:pPr>
      <w:bookmarkStart w:id="0" w:name="_Toc15306267"/>
    </w:p>
    <w:p>
      <w:pPr>
        <w:spacing w:line="600" w:lineRule="exact"/>
        <w:jc w:val="center"/>
        <w:outlineLvl w:val="0"/>
        <w:rPr>
          <w:rFonts w:ascii="方正小标宋简体" w:hAnsi="宋体" w:eastAsia="方正小标宋简体"/>
          <w:color w:val="000000"/>
          <w:sz w:val="72"/>
          <w:szCs w:val="72"/>
          <w:highlight w:val="green"/>
        </w:rPr>
      </w:pPr>
    </w:p>
    <w:p>
      <w:pPr>
        <w:spacing w:line="600" w:lineRule="exact"/>
        <w:jc w:val="center"/>
        <w:outlineLvl w:val="0"/>
        <w:rPr>
          <w:rFonts w:ascii="方正小标宋简体" w:hAnsi="宋体" w:eastAsia="方正小标宋简体"/>
          <w:color w:val="000000"/>
          <w:sz w:val="72"/>
          <w:szCs w:val="72"/>
          <w:highlight w:val="green"/>
        </w:rPr>
      </w:pPr>
    </w:p>
    <w:p>
      <w:pPr>
        <w:spacing w:line="600" w:lineRule="exact"/>
        <w:jc w:val="center"/>
        <w:outlineLvl w:val="0"/>
        <w:rPr>
          <w:rFonts w:ascii="方正小标宋简体" w:hAnsi="宋体" w:eastAsia="方正小标宋简体"/>
          <w:color w:val="000000"/>
          <w:sz w:val="72"/>
          <w:szCs w:val="72"/>
          <w:highlight w:val="green"/>
        </w:rPr>
      </w:pPr>
    </w:p>
    <w:p>
      <w:pPr>
        <w:adjustRightInd w:val="0"/>
        <w:snapToGrid w:val="0"/>
        <w:spacing w:line="360" w:lineRule="auto"/>
        <w:jc w:val="center"/>
        <w:outlineLvl w:val="0"/>
        <w:rPr>
          <w:rFonts w:ascii="方正小标宋简体" w:hAnsi="宋体" w:eastAsia="方正小标宋简体"/>
          <w:color w:val="000000"/>
          <w:sz w:val="72"/>
          <w:szCs w:val="72"/>
          <w:highlight w:val="none"/>
        </w:rPr>
      </w:pPr>
      <w:bookmarkStart w:id="1" w:name="_Toc15377193"/>
      <w:bookmarkStart w:id="2" w:name="_Toc15396475"/>
      <w:bookmarkStart w:id="3" w:name="_Toc15378441"/>
      <w:bookmarkStart w:id="4" w:name="_Toc15377425"/>
      <w:bookmarkStart w:id="5" w:name="_Toc15396597"/>
      <w:r>
        <w:rPr>
          <w:rFonts w:ascii="黑体" w:hAnsi="黑体" w:eastAsia="黑体"/>
          <w:color w:val="000000"/>
          <w:sz w:val="72"/>
          <w:szCs w:val="72"/>
          <w:highlight w:val="none"/>
        </w:rPr>
        <w:t>201</w:t>
      </w:r>
      <w:r>
        <w:rPr>
          <w:rFonts w:hint="eastAsia" w:ascii="黑体" w:hAnsi="黑体" w:eastAsia="黑体"/>
          <w:color w:val="000000"/>
          <w:sz w:val="72"/>
          <w:szCs w:val="72"/>
          <w:highlight w:val="none"/>
        </w:rPr>
        <w:t>9</w:t>
      </w:r>
      <w:r>
        <w:rPr>
          <w:rFonts w:hint="eastAsia" w:ascii="方正小标宋简体" w:hAnsi="宋体" w:eastAsia="方正小标宋简体"/>
          <w:color w:val="000000"/>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highlight w:val="none"/>
        </w:rPr>
      </w:pPr>
      <w:bookmarkStart w:id="6" w:name="_Toc15396476"/>
      <w:bookmarkStart w:id="7" w:name="_Toc15377194"/>
      <w:bookmarkStart w:id="8" w:name="_Toc15396598"/>
      <w:bookmarkStart w:id="9" w:name="_Toc15377426"/>
      <w:bookmarkStart w:id="10" w:name="_Toc15378442"/>
      <w:r>
        <w:rPr>
          <w:rFonts w:hint="eastAsia" w:ascii="方正小标宋简体" w:hAnsi="宋体" w:eastAsia="方正小标宋简体"/>
          <w:color w:val="000000"/>
          <w:spacing w:val="-28"/>
          <w:sz w:val="72"/>
          <w:szCs w:val="72"/>
          <w:highlight w:val="none"/>
        </w:rPr>
        <w:t>四川省</w:t>
      </w:r>
      <w:bookmarkEnd w:id="0"/>
      <w:bookmarkStart w:id="11" w:name="_Toc15306268"/>
      <w:r>
        <w:rPr>
          <w:rFonts w:hint="eastAsia" w:ascii="方正小标宋简体" w:hAnsi="宋体" w:eastAsia="方正小标宋简体"/>
          <w:color w:val="000000"/>
          <w:spacing w:val="-28"/>
          <w:sz w:val="72"/>
          <w:szCs w:val="72"/>
          <w:highlight w:val="none"/>
          <w:lang w:eastAsia="zh-CN"/>
        </w:rPr>
        <w:t>汶川县概算审查中心</w:t>
      </w:r>
      <w:r>
        <w:rPr>
          <w:rFonts w:hint="eastAsia" w:ascii="方正小标宋简体" w:hAnsi="宋体" w:eastAsia="方正小标宋简体"/>
          <w:color w:val="000000"/>
          <w:sz w:val="72"/>
          <w:szCs w:val="72"/>
          <w:highlight w:val="none"/>
        </w:rPr>
        <w:t>部门决算</w:t>
      </w:r>
      <w:bookmarkEnd w:id="6"/>
      <w:bookmarkEnd w:id="7"/>
      <w:bookmarkEnd w:id="8"/>
      <w:bookmarkEnd w:id="9"/>
      <w:bookmarkEnd w:id="10"/>
      <w:bookmarkEnd w:id="11"/>
    </w:p>
    <w:p>
      <w:pPr>
        <w:widowControl/>
        <w:jc w:val="center"/>
        <w:rPr>
          <w:rFonts w:ascii="方正小标宋简体" w:hAnsi="宋体" w:eastAsia="方正小标宋简体"/>
          <w:color w:val="000000"/>
          <w:sz w:val="36"/>
          <w:szCs w:val="36"/>
          <w:highlight w:val="green"/>
        </w:rPr>
      </w:pPr>
    </w:p>
    <w:p>
      <w:pPr>
        <w:rPr>
          <w:rFonts w:ascii="方正小标宋简体" w:hAnsi="宋体" w:eastAsia="方正小标宋简体"/>
          <w:sz w:val="36"/>
          <w:szCs w:val="36"/>
          <w:highlight w:val="green"/>
        </w:rPr>
      </w:pPr>
    </w:p>
    <w:p>
      <w:pPr>
        <w:rPr>
          <w:rFonts w:ascii="方正小标宋简体" w:hAnsi="宋体" w:eastAsia="方正小标宋简体"/>
          <w:sz w:val="36"/>
          <w:szCs w:val="36"/>
          <w:highlight w:val="green"/>
        </w:rPr>
      </w:pPr>
    </w:p>
    <w:p>
      <w:pPr>
        <w:rPr>
          <w:rFonts w:ascii="方正小标宋简体" w:hAnsi="宋体" w:eastAsia="方正小标宋简体"/>
          <w:sz w:val="36"/>
          <w:szCs w:val="36"/>
          <w:highlight w:val="green"/>
        </w:rPr>
      </w:pPr>
    </w:p>
    <w:p>
      <w:pPr>
        <w:rPr>
          <w:rFonts w:ascii="方正小标宋简体" w:hAnsi="宋体" w:eastAsia="方正小标宋简体"/>
          <w:sz w:val="36"/>
          <w:szCs w:val="36"/>
          <w:highlight w:val="green"/>
        </w:rPr>
      </w:pPr>
    </w:p>
    <w:p>
      <w:pPr>
        <w:rPr>
          <w:rFonts w:ascii="方正小标宋简体" w:hAnsi="宋体" w:eastAsia="方正小标宋简体"/>
          <w:sz w:val="36"/>
          <w:szCs w:val="36"/>
          <w:highlight w:val="green"/>
        </w:rPr>
      </w:pPr>
    </w:p>
    <w:p>
      <w:pPr>
        <w:rPr>
          <w:rFonts w:ascii="方正小标宋简体" w:hAnsi="宋体" w:eastAsia="方正小标宋简体"/>
          <w:sz w:val="36"/>
          <w:szCs w:val="36"/>
          <w:highlight w:val="green"/>
        </w:rPr>
      </w:pPr>
    </w:p>
    <w:p>
      <w:pPr>
        <w:widowControl/>
        <w:jc w:val="center"/>
        <w:rPr>
          <w:rFonts w:ascii="方正小标宋简体" w:hAnsi="宋体" w:eastAsia="方正小标宋简体"/>
          <w:sz w:val="36"/>
          <w:szCs w:val="36"/>
          <w:highlight w:val="green"/>
        </w:rPr>
      </w:pPr>
    </w:p>
    <w:p>
      <w:pPr>
        <w:widowControl/>
        <w:jc w:val="center"/>
        <w:rPr>
          <w:rFonts w:ascii="黑体" w:hAnsi="黑体" w:eastAsia="黑体"/>
          <w:color w:val="000000"/>
          <w:sz w:val="48"/>
          <w:szCs w:val="48"/>
          <w:highlight w:val="none"/>
        </w:rPr>
      </w:pPr>
      <w:r>
        <w:rPr>
          <w:rFonts w:ascii="方正小标宋简体" w:hAnsi="宋体" w:eastAsia="方正小标宋简体"/>
          <w:sz w:val="36"/>
          <w:szCs w:val="36"/>
          <w:highlight w:val="green"/>
        </w:rPr>
        <w:br w:type="page"/>
      </w:r>
      <w:r>
        <w:rPr>
          <w:rFonts w:hint="eastAsia" w:ascii="黑体" w:hAnsi="黑体" w:eastAsia="黑体"/>
          <w:color w:val="000000"/>
          <w:sz w:val="48"/>
          <w:szCs w:val="48"/>
          <w:highlight w:val="none"/>
        </w:rPr>
        <w:t>目录</w:t>
      </w:r>
    </w:p>
    <w:p>
      <w:pPr>
        <w:widowControl/>
        <w:jc w:val="center"/>
        <w:rPr>
          <w:rFonts w:ascii="黑体" w:hAnsi="黑体" w:eastAsia="黑体" w:cstheme="minorBidi"/>
          <w:sz w:val="28"/>
          <w:szCs w:val="28"/>
          <w:highlight w:val="none"/>
        </w:rPr>
      </w:pPr>
    </w:p>
    <w:p>
      <w:pPr>
        <w:rPr>
          <w:highlight w:val="none"/>
        </w:rPr>
      </w:pPr>
    </w:p>
    <w:p>
      <w:pPr>
        <w:rPr>
          <w:highlight w:val="none"/>
        </w:rPr>
      </w:pPr>
    </w:p>
    <w:p>
      <w:pPr>
        <w:pStyle w:val="12"/>
        <w:adjustRightInd w:val="0"/>
        <w:snapToGrid w:val="0"/>
        <w:spacing w:before="0" w:line="440" w:lineRule="exact"/>
        <w:jc w:val="left"/>
        <w:rPr>
          <w:rFonts w:cstheme="minorBidi"/>
          <w:sz w:val="24"/>
          <w:szCs w:val="24"/>
          <w:highlight w:val="none"/>
        </w:rPr>
      </w:pPr>
      <w:r>
        <w:rPr>
          <w:rFonts w:hint="eastAsia"/>
          <w:sz w:val="24"/>
          <w:highlight w:val="none"/>
        </w:rPr>
        <w:t>第一部分</w:t>
      </w:r>
      <w:r>
        <w:rPr>
          <w:sz w:val="24"/>
          <w:highlight w:val="none"/>
        </w:rPr>
        <w:t xml:space="preserve"> </w:t>
      </w:r>
      <w:r>
        <w:rPr>
          <w:rFonts w:hint="eastAsia"/>
          <w:sz w:val="24"/>
          <w:highlight w:val="none"/>
        </w:rPr>
        <w:t>部门概况</w:t>
      </w:r>
    </w:p>
    <w:p>
      <w:pPr>
        <w:pStyle w:val="13"/>
        <w:adjustRightInd w:val="0"/>
        <w:snapToGrid w:val="0"/>
        <w:spacing w:line="440" w:lineRule="exact"/>
        <w:jc w:val="left"/>
        <w:rPr>
          <w:rFonts w:ascii="仿宋" w:hAnsi="仿宋" w:eastAsia="仿宋"/>
          <w:sz w:val="24"/>
          <w:highlight w:val="none"/>
        </w:rPr>
      </w:pPr>
      <w:r>
        <w:rPr>
          <w:rFonts w:hint="eastAsia"/>
          <w:sz w:val="24"/>
          <w:highlight w:val="none"/>
        </w:rPr>
        <w:t>一、基本职能及主要工作</w:t>
      </w:r>
    </w:p>
    <w:p>
      <w:pPr>
        <w:pStyle w:val="13"/>
        <w:adjustRightInd w:val="0"/>
        <w:snapToGrid w:val="0"/>
        <w:spacing w:line="440" w:lineRule="exact"/>
        <w:jc w:val="left"/>
        <w:rPr>
          <w:rFonts w:ascii="仿宋" w:hAnsi="仿宋" w:eastAsia="仿宋" w:cstheme="minorBidi"/>
          <w:sz w:val="24"/>
          <w:highlight w:val="none"/>
        </w:rPr>
      </w:pPr>
      <w:r>
        <w:rPr>
          <w:rFonts w:hint="eastAsia"/>
          <w:sz w:val="24"/>
          <w:highlight w:val="none"/>
        </w:rPr>
        <w:t>二、机构设置</w:t>
      </w:r>
    </w:p>
    <w:p>
      <w:pPr>
        <w:pStyle w:val="12"/>
        <w:adjustRightInd w:val="0"/>
        <w:snapToGrid w:val="0"/>
        <w:spacing w:before="0" w:line="440" w:lineRule="exact"/>
        <w:jc w:val="left"/>
        <w:rPr>
          <w:sz w:val="24"/>
          <w:szCs w:val="24"/>
          <w:highlight w:val="none"/>
        </w:rPr>
      </w:pPr>
      <w:r>
        <w:rPr>
          <w:rFonts w:hint="eastAsia"/>
          <w:sz w:val="24"/>
          <w:highlight w:val="none"/>
        </w:rPr>
        <w:t>第二部分度部门决算情况说明</w:t>
      </w:r>
    </w:p>
    <w:p>
      <w:pPr>
        <w:pStyle w:val="13"/>
        <w:adjustRightInd w:val="0"/>
        <w:snapToGrid w:val="0"/>
        <w:spacing w:line="440" w:lineRule="exact"/>
        <w:jc w:val="left"/>
        <w:rPr>
          <w:rFonts w:ascii="仿宋" w:hAnsi="仿宋" w:eastAsia="仿宋" w:cstheme="minorBidi"/>
          <w:sz w:val="24"/>
          <w:highlight w:val="none"/>
        </w:rPr>
      </w:pPr>
      <w:r>
        <w:rPr>
          <w:rFonts w:hint="eastAsia"/>
          <w:sz w:val="24"/>
          <w:highlight w:val="none"/>
        </w:rPr>
        <w:t>一、收入支出决算总体情况说明</w:t>
      </w:r>
    </w:p>
    <w:p>
      <w:pPr>
        <w:pStyle w:val="13"/>
        <w:adjustRightInd w:val="0"/>
        <w:snapToGrid w:val="0"/>
        <w:spacing w:line="440" w:lineRule="exact"/>
        <w:jc w:val="left"/>
        <w:rPr>
          <w:rFonts w:ascii="仿宋" w:hAnsi="仿宋" w:eastAsia="仿宋" w:cstheme="minorBidi"/>
          <w:sz w:val="24"/>
          <w:highlight w:val="none"/>
        </w:rPr>
      </w:pPr>
      <w:r>
        <w:rPr>
          <w:rFonts w:hint="eastAsia"/>
          <w:sz w:val="24"/>
          <w:highlight w:val="none"/>
        </w:rPr>
        <w:t>二、收入决算情况说明</w:t>
      </w:r>
    </w:p>
    <w:p>
      <w:pPr>
        <w:pStyle w:val="13"/>
        <w:adjustRightInd w:val="0"/>
        <w:snapToGrid w:val="0"/>
        <w:spacing w:line="440" w:lineRule="exact"/>
        <w:jc w:val="left"/>
        <w:rPr>
          <w:rFonts w:ascii="仿宋" w:hAnsi="仿宋" w:eastAsia="仿宋" w:cstheme="minorBidi"/>
          <w:sz w:val="24"/>
          <w:highlight w:val="none"/>
        </w:rPr>
      </w:pPr>
      <w:r>
        <w:rPr>
          <w:rFonts w:hint="eastAsia"/>
          <w:sz w:val="24"/>
          <w:highlight w:val="none"/>
        </w:rPr>
        <w:t>三、支出决算情况说明</w:t>
      </w:r>
    </w:p>
    <w:p>
      <w:pPr>
        <w:pStyle w:val="13"/>
        <w:adjustRightInd w:val="0"/>
        <w:snapToGrid w:val="0"/>
        <w:spacing w:line="440" w:lineRule="exact"/>
        <w:jc w:val="left"/>
        <w:rPr>
          <w:rFonts w:ascii="仿宋" w:hAnsi="仿宋" w:eastAsia="仿宋" w:cstheme="minorBidi"/>
          <w:sz w:val="24"/>
          <w:highlight w:val="none"/>
        </w:rPr>
      </w:pPr>
      <w:r>
        <w:rPr>
          <w:rFonts w:hint="eastAsia"/>
          <w:sz w:val="24"/>
          <w:highlight w:val="none"/>
        </w:rPr>
        <w:t>四、财政拨款收入支出决算总体情况说明</w:t>
      </w:r>
    </w:p>
    <w:p>
      <w:pPr>
        <w:pStyle w:val="13"/>
        <w:adjustRightInd w:val="0"/>
        <w:snapToGrid w:val="0"/>
        <w:spacing w:line="440" w:lineRule="exact"/>
        <w:jc w:val="left"/>
        <w:rPr>
          <w:rFonts w:ascii="仿宋" w:hAnsi="仿宋" w:eastAsia="仿宋" w:cstheme="minorBidi"/>
          <w:sz w:val="24"/>
          <w:highlight w:val="none"/>
        </w:rPr>
      </w:pPr>
      <w:r>
        <w:rPr>
          <w:rFonts w:hint="eastAsia"/>
          <w:sz w:val="24"/>
          <w:highlight w:val="none"/>
        </w:rPr>
        <w:t>五、一般公共预算财政拨款支出决算情况说明</w:t>
      </w:r>
    </w:p>
    <w:p>
      <w:pPr>
        <w:pStyle w:val="13"/>
        <w:adjustRightInd w:val="0"/>
        <w:snapToGrid w:val="0"/>
        <w:spacing w:line="440" w:lineRule="exact"/>
        <w:jc w:val="left"/>
        <w:rPr>
          <w:rFonts w:ascii="仿宋" w:hAnsi="仿宋" w:eastAsia="仿宋" w:cstheme="minorBidi"/>
          <w:sz w:val="24"/>
          <w:highlight w:val="none"/>
        </w:rPr>
      </w:pPr>
      <w:r>
        <w:rPr>
          <w:rFonts w:hint="eastAsia"/>
          <w:sz w:val="24"/>
          <w:highlight w:val="none"/>
        </w:rPr>
        <w:t>六、一般公共预算财政拨款基本支出决算情况说明</w:t>
      </w:r>
    </w:p>
    <w:p>
      <w:pPr>
        <w:pStyle w:val="13"/>
        <w:adjustRightInd w:val="0"/>
        <w:snapToGrid w:val="0"/>
        <w:spacing w:line="440" w:lineRule="exact"/>
        <w:jc w:val="left"/>
        <w:rPr>
          <w:rFonts w:ascii="仿宋" w:hAnsi="仿宋" w:eastAsia="仿宋" w:cstheme="minorBidi"/>
          <w:sz w:val="24"/>
          <w:highlight w:val="none"/>
        </w:rPr>
      </w:pPr>
      <w:r>
        <w:rPr>
          <w:rFonts w:hint="eastAsia"/>
          <w:sz w:val="24"/>
          <w:highlight w:val="none"/>
        </w:rPr>
        <w:t>七、</w:t>
      </w:r>
      <w:r>
        <w:rPr>
          <w:sz w:val="24"/>
          <w:highlight w:val="none"/>
        </w:rPr>
        <w:t>“</w:t>
      </w:r>
      <w:r>
        <w:rPr>
          <w:rFonts w:hint="eastAsia"/>
          <w:sz w:val="24"/>
          <w:highlight w:val="none"/>
        </w:rPr>
        <w:t>三公”经费财政拨款支出决算情况说明</w:t>
      </w:r>
    </w:p>
    <w:p>
      <w:pPr>
        <w:pStyle w:val="13"/>
        <w:adjustRightInd w:val="0"/>
        <w:snapToGrid w:val="0"/>
        <w:spacing w:line="440" w:lineRule="exact"/>
        <w:jc w:val="left"/>
        <w:rPr>
          <w:rFonts w:ascii="仿宋" w:hAnsi="仿宋" w:eastAsia="仿宋" w:cstheme="minorBidi"/>
          <w:sz w:val="24"/>
          <w:highlight w:val="none"/>
        </w:rPr>
      </w:pPr>
      <w:r>
        <w:rPr>
          <w:rFonts w:hint="eastAsia"/>
          <w:sz w:val="24"/>
          <w:highlight w:val="none"/>
        </w:rPr>
        <w:t>八、政府性基金预算支出决算情况说明</w:t>
      </w:r>
    </w:p>
    <w:p>
      <w:pPr>
        <w:pStyle w:val="13"/>
        <w:adjustRightInd w:val="0"/>
        <w:snapToGrid w:val="0"/>
        <w:spacing w:line="440" w:lineRule="exact"/>
        <w:ind w:leftChars="0"/>
        <w:jc w:val="left"/>
        <w:rPr>
          <w:rFonts w:ascii="仿宋" w:hAnsi="仿宋" w:eastAsia="仿宋"/>
          <w:sz w:val="24"/>
          <w:highlight w:val="none"/>
        </w:rPr>
      </w:pPr>
      <w:r>
        <w:rPr>
          <w:rFonts w:hint="eastAsia" w:ascii="仿宋" w:hAnsi="仿宋" w:eastAsia="仿宋"/>
          <w:sz w:val="24"/>
          <w:highlight w:val="none"/>
        </w:rPr>
        <w:t>九、</w:t>
      </w:r>
      <w:r>
        <w:rPr>
          <w:sz w:val="24"/>
          <w:highlight w:val="none"/>
        </w:rPr>
        <w:t xml:space="preserve"> 国</w:t>
      </w:r>
      <w:r>
        <w:rPr>
          <w:rFonts w:hint="eastAsia"/>
          <w:sz w:val="24"/>
          <w:highlight w:val="none"/>
        </w:rPr>
        <w:t>有资本经营预算支出决算情况说明</w:t>
      </w:r>
    </w:p>
    <w:p>
      <w:pPr>
        <w:adjustRightInd w:val="0"/>
        <w:snapToGrid w:val="0"/>
        <w:spacing w:line="440" w:lineRule="exact"/>
        <w:ind w:firstLine="480" w:firstLineChars="200"/>
        <w:jc w:val="left"/>
        <w:rPr>
          <w:rFonts w:ascii="仿宋" w:hAnsi="仿宋" w:eastAsia="仿宋" w:cstheme="minorBidi"/>
          <w:sz w:val="24"/>
          <w:highlight w:val="none"/>
        </w:rPr>
      </w:pPr>
      <w:r>
        <w:rPr>
          <w:rStyle w:val="18"/>
          <w:rFonts w:hint="eastAsia" w:ascii="仿宋" w:hAnsi="仿宋" w:eastAsia="仿宋"/>
          <w:color w:val="000000" w:themeColor="text1"/>
          <w:sz w:val="24"/>
          <w:highlight w:val="none"/>
          <w:u w:val="none"/>
        </w:rPr>
        <w:t>十、</w:t>
      </w:r>
      <w:r>
        <w:rPr>
          <w:rFonts w:hint="eastAsia"/>
          <w:sz w:val="24"/>
          <w:highlight w:val="none"/>
        </w:rPr>
        <w:t>其他重要事项的情况说明</w:t>
      </w:r>
      <w:r>
        <w:rPr>
          <w:rFonts w:ascii="仿宋" w:hAnsi="仿宋" w:eastAsia="仿宋"/>
          <w:sz w:val="24"/>
          <w:highlight w:val="none"/>
        </w:rPr>
        <w:tab/>
      </w:r>
    </w:p>
    <w:p>
      <w:pPr>
        <w:pStyle w:val="12"/>
        <w:adjustRightInd w:val="0"/>
        <w:snapToGrid w:val="0"/>
        <w:spacing w:before="0" w:line="440" w:lineRule="exact"/>
        <w:jc w:val="left"/>
        <w:rPr>
          <w:rFonts w:cstheme="minorBidi"/>
          <w:sz w:val="24"/>
          <w:szCs w:val="24"/>
          <w:highlight w:val="none"/>
        </w:rPr>
      </w:pPr>
      <w:r>
        <w:rPr>
          <w:rFonts w:hint="eastAsia"/>
          <w:sz w:val="24"/>
          <w:highlight w:val="none"/>
        </w:rPr>
        <w:t>第三部分</w:t>
      </w:r>
      <w:r>
        <w:rPr>
          <w:sz w:val="24"/>
          <w:highlight w:val="none"/>
        </w:rPr>
        <w:t xml:space="preserve"> </w:t>
      </w:r>
      <w:r>
        <w:rPr>
          <w:rFonts w:hint="eastAsia"/>
          <w:sz w:val="24"/>
          <w:highlight w:val="none"/>
        </w:rPr>
        <w:t>名词解释</w:t>
      </w:r>
    </w:p>
    <w:p>
      <w:pPr>
        <w:pStyle w:val="12"/>
        <w:adjustRightInd w:val="0"/>
        <w:snapToGrid w:val="0"/>
        <w:spacing w:before="0" w:line="440" w:lineRule="exact"/>
        <w:jc w:val="left"/>
        <w:rPr>
          <w:rFonts w:cstheme="minorBidi"/>
          <w:sz w:val="24"/>
          <w:szCs w:val="24"/>
          <w:highlight w:val="none"/>
        </w:rPr>
      </w:pPr>
      <w:r>
        <w:rPr>
          <w:rFonts w:hint="eastAsia"/>
          <w:sz w:val="24"/>
          <w:highlight w:val="none"/>
        </w:rPr>
        <w:t>第四部分</w:t>
      </w:r>
      <w:r>
        <w:rPr>
          <w:sz w:val="24"/>
          <w:highlight w:val="none"/>
        </w:rPr>
        <w:t xml:space="preserve"> </w:t>
      </w:r>
      <w:r>
        <w:rPr>
          <w:rFonts w:hint="eastAsia"/>
          <w:sz w:val="24"/>
          <w:highlight w:val="none"/>
        </w:rPr>
        <w:t>附件</w:t>
      </w:r>
    </w:p>
    <w:p>
      <w:pPr>
        <w:pStyle w:val="13"/>
        <w:adjustRightInd w:val="0"/>
        <w:snapToGrid w:val="0"/>
        <w:spacing w:line="440" w:lineRule="exact"/>
        <w:jc w:val="left"/>
        <w:rPr>
          <w:rFonts w:ascii="仿宋" w:hAnsi="仿宋" w:eastAsia="仿宋" w:cstheme="minorBidi"/>
          <w:sz w:val="24"/>
          <w:highlight w:val="none"/>
        </w:rPr>
      </w:pPr>
      <w:r>
        <w:rPr>
          <w:rFonts w:hint="eastAsia"/>
          <w:sz w:val="24"/>
          <w:highlight w:val="none"/>
        </w:rPr>
        <w:t>附件</w:t>
      </w:r>
      <w:r>
        <w:rPr>
          <w:sz w:val="24"/>
          <w:highlight w:val="none"/>
        </w:rPr>
        <w:t>1</w:t>
      </w:r>
    </w:p>
    <w:p>
      <w:pPr>
        <w:pStyle w:val="13"/>
        <w:adjustRightInd w:val="0"/>
        <w:snapToGrid w:val="0"/>
        <w:spacing w:line="440" w:lineRule="exact"/>
        <w:jc w:val="left"/>
        <w:rPr>
          <w:rFonts w:ascii="仿宋" w:hAnsi="仿宋" w:eastAsia="仿宋" w:cstheme="minorBidi"/>
          <w:sz w:val="24"/>
          <w:highlight w:val="none"/>
        </w:rPr>
      </w:pPr>
      <w:r>
        <w:rPr>
          <w:rFonts w:hint="eastAsia"/>
          <w:sz w:val="24"/>
          <w:highlight w:val="none"/>
        </w:rPr>
        <w:t>附件</w:t>
      </w:r>
      <w:r>
        <w:rPr>
          <w:sz w:val="24"/>
          <w:highlight w:val="none"/>
        </w:rPr>
        <w:t>2</w:t>
      </w:r>
    </w:p>
    <w:p>
      <w:pPr>
        <w:pStyle w:val="12"/>
        <w:adjustRightInd w:val="0"/>
        <w:snapToGrid w:val="0"/>
        <w:spacing w:before="0" w:line="440" w:lineRule="exact"/>
        <w:jc w:val="left"/>
        <w:rPr>
          <w:rFonts w:cstheme="minorBidi"/>
          <w:sz w:val="24"/>
          <w:szCs w:val="24"/>
          <w:highlight w:val="none"/>
        </w:rPr>
      </w:pPr>
      <w:r>
        <w:rPr>
          <w:rFonts w:hint="eastAsia"/>
          <w:sz w:val="24"/>
          <w:highlight w:val="none"/>
        </w:rPr>
        <w:t>第五部分</w:t>
      </w:r>
      <w:r>
        <w:rPr>
          <w:sz w:val="24"/>
          <w:highlight w:val="none"/>
        </w:rPr>
        <w:t xml:space="preserve"> </w:t>
      </w:r>
      <w:r>
        <w:rPr>
          <w:rFonts w:hint="eastAsia"/>
          <w:sz w:val="24"/>
          <w:highlight w:val="none"/>
        </w:rPr>
        <w:t>附表</w:t>
      </w:r>
    </w:p>
    <w:p>
      <w:pPr>
        <w:pStyle w:val="13"/>
        <w:adjustRightInd w:val="0"/>
        <w:snapToGrid w:val="0"/>
        <w:spacing w:line="440" w:lineRule="exact"/>
        <w:jc w:val="left"/>
        <w:rPr>
          <w:rFonts w:ascii="仿宋" w:hAnsi="仿宋" w:eastAsia="仿宋" w:cstheme="minorBidi"/>
          <w:sz w:val="24"/>
          <w:highlight w:val="none"/>
        </w:rPr>
      </w:pPr>
      <w:r>
        <w:rPr>
          <w:rFonts w:hint="eastAsia" w:ascii="仿宋" w:hAnsi="仿宋" w:eastAsia="仿宋"/>
          <w:sz w:val="24"/>
          <w:highlight w:val="none"/>
        </w:rPr>
        <w:t>一、</w:t>
      </w:r>
      <w:r>
        <w:rPr>
          <w:rFonts w:hint="eastAsia"/>
          <w:sz w:val="24"/>
          <w:highlight w:val="none"/>
        </w:rPr>
        <w:t>收入支出决算总表</w:t>
      </w:r>
    </w:p>
    <w:p>
      <w:pPr>
        <w:pStyle w:val="13"/>
        <w:adjustRightInd w:val="0"/>
        <w:snapToGrid w:val="0"/>
        <w:spacing w:line="440" w:lineRule="exact"/>
        <w:jc w:val="left"/>
        <w:rPr>
          <w:rFonts w:ascii="仿宋" w:hAnsi="仿宋" w:eastAsia="仿宋" w:cstheme="minorBidi"/>
          <w:sz w:val="24"/>
          <w:highlight w:val="none"/>
        </w:rPr>
      </w:pPr>
      <w:r>
        <w:rPr>
          <w:rFonts w:hint="eastAsia" w:ascii="仿宋" w:hAnsi="仿宋" w:eastAsia="仿宋"/>
          <w:sz w:val="24"/>
          <w:highlight w:val="none"/>
        </w:rPr>
        <w:t>二、</w:t>
      </w:r>
      <w:r>
        <w:rPr>
          <w:rFonts w:hint="eastAsia"/>
          <w:sz w:val="24"/>
          <w:highlight w:val="none"/>
        </w:rPr>
        <w:t>收入</w:t>
      </w:r>
      <w:r>
        <w:rPr>
          <w:rFonts w:hint="eastAsia" w:ascii="仿宋" w:hAnsi="仿宋" w:eastAsia="仿宋"/>
          <w:sz w:val="24"/>
          <w:highlight w:val="none"/>
        </w:rPr>
        <w:t>决算</w:t>
      </w:r>
      <w:r>
        <w:rPr>
          <w:rFonts w:hint="eastAsia"/>
          <w:sz w:val="24"/>
          <w:highlight w:val="none"/>
        </w:rPr>
        <w:t>表</w:t>
      </w:r>
    </w:p>
    <w:p>
      <w:pPr>
        <w:pStyle w:val="13"/>
        <w:adjustRightInd w:val="0"/>
        <w:snapToGrid w:val="0"/>
        <w:spacing w:line="440" w:lineRule="exact"/>
        <w:jc w:val="left"/>
        <w:rPr>
          <w:rFonts w:ascii="仿宋" w:hAnsi="仿宋" w:eastAsia="仿宋" w:cstheme="minorBidi"/>
          <w:sz w:val="24"/>
          <w:highlight w:val="none"/>
        </w:rPr>
      </w:pPr>
      <w:r>
        <w:rPr>
          <w:rFonts w:hint="eastAsia" w:ascii="仿宋" w:hAnsi="仿宋" w:eastAsia="仿宋"/>
          <w:sz w:val="24"/>
          <w:highlight w:val="none"/>
        </w:rPr>
        <w:t>三、</w:t>
      </w:r>
      <w:r>
        <w:rPr>
          <w:rFonts w:hint="eastAsia"/>
          <w:sz w:val="24"/>
          <w:highlight w:val="none"/>
        </w:rPr>
        <w:t>支出</w:t>
      </w:r>
      <w:r>
        <w:rPr>
          <w:rFonts w:hint="eastAsia" w:ascii="仿宋" w:hAnsi="仿宋" w:eastAsia="仿宋"/>
          <w:sz w:val="24"/>
          <w:highlight w:val="none"/>
        </w:rPr>
        <w:t>决算</w:t>
      </w:r>
      <w:r>
        <w:rPr>
          <w:rFonts w:hint="eastAsia"/>
          <w:sz w:val="24"/>
          <w:highlight w:val="none"/>
        </w:rPr>
        <w:t>表</w:t>
      </w:r>
    </w:p>
    <w:p>
      <w:pPr>
        <w:pStyle w:val="13"/>
        <w:adjustRightInd w:val="0"/>
        <w:snapToGrid w:val="0"/>
        <w:spacing w:line="440" w:lineRule="exact"/>
        <w:jc w:val="left"/>
        <w:rPr>
          <w:rFonts w:ascii="仿宋" w:hAnsi="仿宋" w:eastAsia="仿宋" w:cstheme="minorBidi"/>
          <w:sz w:val="24"/>
          <w:highlight w:val="none"/>
        </w:rPr>
      </w:pPr>
      <w:r>
        <w:rPr>
          <w:rFonts w:hint="eastAsia" w:ascii="仿宋" w:hAnsi="仿宋" w:eastAsia="仿宋"/>
          <w:sz w:val="24"/>
          <w:highlight w:val="none"/>
        </w:rPr>
        <w:t>四、</w:t>
      </w:r>
      <w:r>
        <w:rPr>
          <w:rFonts w:hint="eastAsia"/>
          <w:sz w:val="24"/>
          <w:highlight w:val="none"/>
        </w:rPr>
        <w:t>财政拨款收入支出决算总表</w:t>
      </w:r>
    </w:p>
    <w:p>
      <w:pPr>
        <w:pStyle w:val="13"/>
        <w:adjustRightInd w:val="0"/>
        <w:snapToGrid w:val="0"/>
        <w:spacing w:line="440" w:lineRule="exact"/>
        <w:jc w:val="left"/>
        <w:rPr>
          <w:rFonts w:ascii="仿宋" w:hAnsi="仿宋" w:eastAsia="仿宋"/>
          <w:sz w:val="24"/>
          <w:highlight w:val="none"/>
        </w:rPr>
      </w:pPr>
      <w:r>
        <w:rPr>
          <w:rFonts w:hint="eastAsia" w:ascii="仿宋" w:hAnsi="仿宋" w:eastAsia="仿宋"/>
          <w:sz w:val="24"/>
          <w:highlight w:val="none"/>
        </w:rPr>
        <w:t>五、财政拨款支出决算明细表</w:t>
      </w:r>
    </w:p>
    <w:p>
      <w:pPr>
        <w:pStyle w:val="13"/>
        <w:adjustRightInd w:val="0"/>
        <w:snapToGrid w:val="0"/>
        <w:spacing w:line="440" w:lineRule="exact"/>
        <w:jc w:val="left"/>
        <w:rPr>
          <w:rFonts w:ascii="仿宋" w:hAnsi="仿宋" w:eastAsia="仿宋" w:cstheme="minorBidi"/>
          <w:sz w:val="24"/>
          <w:highlight w:val="none"/>
        </w:rPr>
      </w:pPr>
      <w:r>
        <w:rPr>
          <w:rFonts w:hint="eastAsia" w:ascii="仿宋" w:hAnsi="仿宋" w:eastAsia="仿宋"/>
          <w:sz w:val="24"/>
          <w:highlight w:val="none"/>
        </w:rPr>
        <w:t>六、</w:t>
      </w:r>
      <w:r>
        <w:rPr>
          <w:rFonts w:hint="eastAsia"/>
          <w:sz w:val="24"/>
          <w:highlight w:val="none"/>
        </w:rPr>
        <w:t>一般公共预算财政拨款支出决算表</w:t>
      </w:r>
    </w:p>
    <w:p>
      <w:pPr>
        <w:pStyle w:val="13"/>
        <w:adjustRightInd w:val="0"/>
        <w:snapToGrid w:val="0"/>
        <w:spacing w:line="440" w:lineRule="exact"/>
        <w:jc w:val="left"/>
        <w:rPr>
          <w:rFonts w:ascii="仿宋" w:hAnsi="仿宋" w:eastAsia="仿宋" w:cstheme="minorBidi"/>
          <w:sz w:val="24"/>
          <w:highlight w:val="none"/>
        </w:rPr>
      </w:pPr>
      <w:r>
        <w:rPr>
          <w:rFonts w:hint="eastAsia" w:ascii="仿宋" w:hAnsi="仿宋" w:eastAsia="仿宋"/>
          <w:sz w:val="24"/>
          <w:highlight w:val="none"/>
        </w:rPr>
        <w:t>七、</w:t>
      </w:r>
      <w:r>
        <w:rPr>
          <w:rFonts w:hint="eastAsia"/>
          <w:sz w:val="24"/>
          <w:highlight w:val="none"/>
        </w:rPr>
        <w:t>一般公共预算财政拨款支出决算明细表</w:t>
      </w:r>
    </w:p>
    <w:p>
      <w:pPr>
        <w:pStyle w:val="13"/>
        <w:adjustRightInd w:val="0"/>
        <w:snapToGrid w:val="0"/>
        <w:spacing w:line="440" w:lineRule="exact"/>
        <w:jc w:val="left"/>
        <w:rPr>
          <w:rFonts w:ascii="仿宋" w:hAnsi="仿宋" w:eastAsia="仿宋" w:cstheme="minorBidi"/>
          <w:sz w:val="24"/>
          <w:highlight w:val="none"/>
        </w:rPr>
      </w:pPr>
      <w:r>
        <w:rPr>
          <w:rFonts w:hint="eastAsia" w:ascii="仿宋" w:hAnsi="仿宋" w:eastAsia="仿宋"/>
          <w:sz w:val="24"/>
          <w:highlight w:val="none"/>
        </w:rPr>
        <w:t>八、</w:t>
      </w:r>
      <w:r>
        <w:rPr>
          <w:rFonts w:hint="eastAsia"/>
          <w:sz w:val="24"/>
          <w:highlight w:val="none"/>
        </w:rPr>
        <w:t>一般公共预算财政拨款基本支出决算表</w:t>
      </w:r>
    </w:p>
    <w:p>
      <w:pPr>
        <w:pStyle w:val="13"/>
        <w:adjustRightInd w:val="0"/>
        <w:snapToGrid w:val="0"/>
        <w:spacing w:line="440" w:lineRule="exact"/>
        <w:jc w:val="left"/>
        <w:rPr>
          <w:rFonts w:ascii="仿宋" w:hAnsi="仿宋" w:eastAsia="仿宋" w:cstheme="minorBidi"/>
          <w:sz w:val="24"/>
          <w:highlight w:val="none"/>
        </w:rPr>
      </w:pPr>
      <w:r>
        <w:rPr>
          <w:rFonts w:hint="eastAsia" w:ascii="仿宋" w:hAnsi="仿宋" w:eastAsia="仿宋"/>
          <w:sz w:val="24"/>
          <w:highlight w:val="none"/>
        </w:rPr>
        <w:t>九、</w:t>
      </w:r>
      <w:r>
        <w:rPr>
          <w:rFonts w:hint="eastAsia"/>
          <w:sz w:val="24"/>
          <w:highlight w:val="none"/>
        </w:rPr>
        <w:t>一般公共预算财政拨款项目支出决算表</w:t>
      </w:r>
    </w:p>
    <w:p>
      <w:pPr>
        <w:pStyle w:val="13"/>
        <w:adjustRightInd w:val="0"/>
        <w:snapToGrid w:val="0"/>
        <w:spacing w:line="440" w:lineRule="exact"/>
        <w:jc w:val="left"/>
        <w:rPr>
          <w:rFonts w:ascii="仿宋" w:hAnsi="仿宋" w:eastAsia="仿宋" w:cstheme="minorBidi"/>
          <w:sz w:val="24"/>
          <w:highlight w:val="none"/>
        </w:rPr>
      </w:pPr>
      <w:r>
        <w:rPr>
          <w:rFonts w:hint="eastAsia" w:ascii="仿宋" w:hAnsi="仿宋" w:eastAsia="仿宋"/>
          <w:sz w:val="24"/>
          <w:highlight w:val="none"/>
        </w:rPr>
        <w:t>十、</w:t>
      </w:r>
      <w:r>
        <w:rPr>
          <w:rFonts w:hint="eastAsia"/>
          <w:sz w:val="24"/>
          <w:highlight w:val="none"/>
        </w:rPr>
        <w:t>一般公共预算财政拨款“三公”经费支出决算表</w:t>
      </w:r>
    </w:p>
    <w:p>
      <w:pPr>
        <w:pStyle w:val="13"/>
        <w:adjustRightInd w:val="0"/>
        <w:snapToGrid w:val="0"/>
        <w:spacing w:line="440" w:lineRule="exact"/>
        <w:jc w:val="left"/>
        <w:rPr>
          <w:rFonts w:ascii="仿宋" w:hAnsi="仿宋" w:eastAsia="仿宋" w:cstheme="minorBidi"/>
          <w:sz w:val="24"/>
          <w:highlight w:val="none"/>
        </w:rPr>
      </w:pPr>
      <w:r>
        <w:rPr>
          <w:rFonts w:hint="eastAsia" w:ascii="仿宋" w:hAnsi="仿宋" w:eastAsia="仿宋"/>
          <w:sz w:val="24"/>
          <w:highlight w:val="none"/>
        </w:rPr>
        <w:t>十一、</w:t>
      </w:r>
      <w:r>
        <w:rPr>
          <w:rFonts w:hint="eastAsia"/>
          <w:sz w:val="24"/>
          <w:highlight w:val="none"/>
        </w:rPr>
        <w:t>政府性基金预算财政拨款收入支出决算表</w:t>
      </w:r>
    </w:p>
    <w:p>
      <w:pPr>
        <w:pStyle w:val="13"/>
        <w:adjustRightInd w:val="0"/>
        <w:snapToGrid w:val="0"/>
        <w:spacing w:line="440" w:lineRule="exact"/>
        <w:jc w:val="left"/>
        <w:rPr>
          <w:rFonts w:ascii="仿宋" w:hAnsi="仿宋" w:eastAsia="仿宋" w:cstheme="minorBidi"/>
          <w:sz w:val="24"/>
          <w:highlight w:val="none"/>
        </w:rPr>
      </w:pPr>
      <w:r>
        <w:rPr>
          <w:rFonts w:hint="eastAsia" w:ascii="仿宋" w:hAnsi="仿宋" w:eastAsia="仿宋"/>
          <w:sz w:val="24"/>
          <w:highlight w:val="none"/>
        </w:rPr>
        <w:t>十二、</w:t>
      </w:r>
      <w:r>
        <w:rPr>
          <w:rFonts w:hint="eastAsia"/>
          <w:sz w:val="24"/>
          <w:highlight w:val="none"/>
        </w:rPr>
        <w:t>政府性基金预算财政拨款“三公”经费支出决算表</w:t>
      </w:r>
    </w:p>
    <w:p>
      <w:pPr>
        <w:pStyle w:val="13"/>
        <w:adjustRightInd w:val="0"/>
        <w:snapToGrid w:val="0"/>
        <w:spacing w:line="440" w:lineRule="exact"/>
        <w:jc w:val="left"/>
        <w:rPr>
          <w:rFonts w:ascii="仿宋" w:hAnsi="仿宋" w:eastAsia="仿宋" w:cstheme="minorBidi"/>
          <w:sz w:val="24"/>
          <w:highlight w:val="none"/>
        </w:rPr>
      </w:pPr>
      <w:r>
        <w:rPr>
          <w:rFonts w:hint="eastAsia" w:ascii="仿宋" w:hAnsi="仿宋" w:eastAsia="仿宋"/>
          <w:sz w:val="24"/>
          <w:highlight w:val="none"/>
        </w:rPr>
        <w:t>十三、</w:t>
      </w:r>
      <w:r>
        <w:rPr>
          <w:rFonts w:hint="eastAsia"/>
          <w:sz w:val="24"/>
          <w:highlight w:val="none"/>
        </w:rPr>
        <w:t>国有资本经营预算支出决算表</w:t>
      </w:r>
    </w:p>
    <w:p>
      <w:pPr>
        <w:pStyle w:val="4"/>
        <w:jc w:val="center"/>
        <w:rPr>
          <w:rFonts w:hint="eastAsia" w:ascii="黑体" w:hAnsi="黑体" w:eastAsia="黑体"/>
          <w:b w:val="0"/>
          <w:highlight w:val="none"/>
        </w:rPr>
      </w:pPr>
      <w:bookmarkStart w:id="12" w:name="_Toc15396599"/>
      <w:bookmarkStart w:id="13" w:name="_Toc15377196"/>
    </w:p>
    <w:p>
      <w:pPr>
        <w:pStyle w:val="4"/>
        <w:jc w:val="center"/>
        <w:rPr>
          <w:rFonts w:hint="eastAsia" w:ascii="黑体" w:hAnsi="黑体" w:eastAsia="黑体"/>
          <w:b w:val="0"/>
          <w:highlight w:val="none"/>
        </w:rPr>
      </w:pPr>
    </w:p>
    <w:p>
      <w:pPr>
        <w:rPr>
          <w:rFonts w:hint="eastAsia" w:ascii="黑体" w:hAnsi="黑体" w:eastAsia="黑体"/>
          <w:b w:val="0"/>
          <w:highlight w:val="green"/>
        </w:rPr>
      </w:pPr>
    </w:p>
    <w:p>
      <w:pPr>
        <w:pStyle w:val="2"/>
        <w:rPr>
          <w:rFonts w:hint="eastAsia" w:ascii="黑体" w:hAnsi="黑体" w:eastAsia="黑体"/>
          <w:b w:val="0"/>
          <w:highlight w:val="green"/>
        </w:rPr>
      </w:pPr>
    </w:p>
    <w:p>
      <w:pPr>
        <w:pStyle w:val="2"/>
        <w:rPr>
          <w:rFonts w:hint="eastAsia" w:ascii="黑体" w:hAnsi="黑体" w:eastAsia="黑体"/>
          <w:b w:val="0"/>
          <w:highlight w:val="green"/>
        </w:rPr>
      </w:pPr>
    </w:p>
    <w:p>
      <w:pPr>
        <w:pStyle w:val="2"/>
        <w:rPr>
          <w:rFonts w:hint="eastAsia" w:ascii="黑体" w:hAnsi="黑体" w:eastAsia="黑体"/>
          <w:b w:val="0"/>
          <w:highlight w:val="green"/>
        </w:rPr>
      </w:pPr>
    </w:p>
    <w:p>
      <w:pPr>
        <w:pStyle w:val="2"/>
        <w:rPr>
          <w:rFonts w:hint="eastAsia" w:ascii="黑体" w:hAnsi="黑体" w:eastAsia="黑体"/>
          <w:b w:val="0"/>
          <w:highlight w:val="green"/>
        </w:rPr>
      </w:pPr>
    </w:p>
    <w:p>
      <w:pPr>
        <w:pStyle w:val="2"/>
        <w:rPr>
          <w:rFonts w:hint="eastAsia" w:ascii="黑体" w:hAnsi="黑体" w:eastAsia="黑体"/>
          <w:b w:val="0"/>
          <w:highlight w:val="green"/>
        </w:rPr>
      </w:pPr>
    </w:p>
    <w:p>
      <w:pPr>
        <w:pStyle w:val="2"/>
        <w:rPr>
          <w:rFonts w:hint="eastAsia" w:ascii="黑体" w:hAnsi="黑体" w:eastAsia="黑体"/>
          <w:b w:val="0"/>
          <w:highlight w:val="green"/>
        </w:rPr>
      </w:pPr>
    </w:p>
    <w:p>
      <w:pPr>
        <w:pStyle w:val="2"/>
        <w:rPr>
          <w:rFonts w:hint="eastAsia" w:ascii="黑体" w:hAnsi="黑体" w:eastAsia="黑体"/>
          <w:b w:val="0"/>
          <w:highlight w:val="green"/>
        </w:rPr>
      </w:pPr>
    </w:p>
    <w:p>
      <w:pPr>
        <w:pStyle w:val="2"/>
        <w:rPr>
          <w:rFonts w:hint="eastAsia" w:ascii="黑体" w:hAnsi="黑体" w:eastAsia="黑体"/>
          <w:b w:val="0"/>
          <w:highlight w:val="green"/>
        </w:rPr>
      </w:pPr>
    </w:p>
    <w:p>
      <w:pPr>
        <w:pStyle w:val="2"/>
        <w:rPr>
          <w:rFonts w:hint="eastAsia" w:ascii="黑体" w:hAnsi="黑体" w:eastAsia="黑体"/>
          <w:b w:val="0"/>
          <w:highlight w:val="green"/>
        </w:rPr>
      </w:pPr>
    </w:p>
    <w:p>
      <w:pPr>
        <w:pStyle w:val="2"/>
        <w:rPr>
          <w:rFonts w:hint="eastAsia" w:ascii="黑体" w:hAnsi="黑体" w:eastAsia="黑体"/>
          <w:b w:val="0"/>
          <w:highlight w:val="green"/>
        </w:rPr>
      </w:pPr>
    </w:p>
    <w:p>
      <w:pPr>
        <w:pStyle w:val="2"/>
        <w:rPr>
          <w:rFonts w:hint="eastAsia" w:ascii="黑体" w:hAnsi="黑体" w:eastAsia="黑体"/>
          <w:b w:val="0"/>
          <w:highlight w:val="green"/>
        </w:rPr>
      </w:pPr>
    </w:p>
    <w:p>
      <w:pPr>
        <w:pStyle w:val="2"/>
        <w:rPr>
          <w:rFonts w:hint="eastAsia" w:ascii="黑体" w:hAnsi="黑体" w:eastAsia="黑体"/>
          <w:b w:val="0"/>
          <w:highlight w:val="green"/>
        </w:rPr>
      </w:pPr>
    </w:p>
    <w:p>
      <w:pPr>
        <w:pStyle w:val="2"/>
        <w:rPr>
          <w:rFonts w:hint="eastAsia" w:ascii="黑体" w:hAnsi="黑体" w:eastAsia="黑体"/>
          <w:b w:val="0"/>
          <w:highlight w:val="green"/>
        </w:rPr>
      </w:pPr>
    </w:p>
    <w:p>
      <w:pPr>
        <w:pStyle w:val="4"/>
        <w:jc w:val="both"/>
        <w:rPr>
          <w:rFonts w:hint="eastAsia" w:ascii="黑体" w:hAnsi="黑体" w:eastAsia="黑体"/>
          <w:b w:val="0"/>
          <w:highlight w:val="green"/>
        </w:rPr>
      </w:pPr>
    </w:p>
    <w:p>
      <w:pPr>
        <w:rPr>
          <w:rFonts w:hint="eastAsia"/>
          <w:highlight w:val="green"/>
        </w:rPr>
      </w:pPr>
    </w:p>
    <w:p>
      <w:pPr>
        <w:pStyle w:val="4"/>
        <w:jc w:val="center"/>
        <w:rPr>
          <w:rStyle w:val="27"/>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Style w:val="27"/>
          <w:rFonts w:hint="eastAsia" w:ascii="黑体" w:hAnsi="黑体" w:eastAsia="黑体"/>
          <w:b w:val="0"/>
          <w:bCs w:val="0"/>
          <w:color w:val="auto"/>
          <w:highlight w:val="none"/>
        </w:rPr>
        <w:t>部门概况</w:t>
      </w:r>
      <w:bookmarkEnd w:id="12"/>
      <w:bookmarkEnd w:id="13"/>
    </w:p>
    <w:p>
      <w:pPr>
        <w:widowControl/>
        <w:jc w:val="left"/>
        <w:rPr>
          <w:rFonts w:ascii="黑体" w:eastAsia="黑体"/>
          <w:color w:val="auto"/>
          <w:sz w:val="32"/>
          <w:szCs w:val="32"/>
          <w:highlight w:val="none"/>
        </w:rPr>
      </w:pPr>
    </w:p>
    <w:p>
      <w:pPr>
        <w:pStyle w:val="5"/>
        <w:numPr>
          <w:ilvl w:val="0"/>
          <w:numId w:val="1"/>
        </w:numPr>
        <w:rPr>
          <w:rStyle w:val="28"/>
          <w:rFonts w:hint="eastAsia" w:ascii="黑体" w:hAnsi="黑体" w:eastAsia="黑体"/>
          <w:b w:val="0"/>
          <w:bCs w:val="0"/>
          <w:color w:val="auto"/>
          <w:highlight w:val="none"/>
        </w:rPr>
      </w:pPr>
      <w:bookmarkStart w:id="14" w:name="_Toc15377197"/>
      <w:bookmarkStart w:id="15" w:name="_Toc15396600"/>
      <w:r>
        <w:rPr>
          <w:rFonts w:hint="eastAsia" w:ascii="黑体" w:hAnsi="黑体" w:eastAsia="黑体"/>
          <w:b w:val="0"/>
          <w:color w:val="auto"/>
          <w:highlight w:val="none"/>
        </w:rPr>
        <w:t>基</w:t>
      </w:r>
      <w:r>
        <w:rPr>
          <w:rStyle w:val="28"/>
          <w:rFonts w:hint="eastAsia" w:ascii="黑体" w:hAnsi="黑体" w:eastAsia="黑体"/>
          <w:b w:val="0"/>
          <w:bCs w:val="0"/>
          <w:color w:val="auto"/>
          <w:highlight w:val="none"/>
        </w:rPr>
        <w:t>本职能及主要工作</w:t>
      </w:r>
      <w:bookmarkEnd w:id="14"/>
      <w:bookmarkEnd w:id="15"/>
    </w:p>
    <w:p>
      <w:pPr>
        <w:pStyle w:val="5"/>
        <w:numPr>
          <w:ilvl w:val="0"/>
          <w:numId w:val="2"/>
        </w:numPr>
        <w:ind w:firstLine="643" w:firstLineChars="200"/>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主要职能</w:t>
      </w:r>
    </w:p>
    <w:p>
      <w:pPr>
        <w:widowControl/>
        <w:spacing w:line="540" w:lineRule="exact"/>
        <w:ind w:firstLine="640" w:firstLineChars="200"/>
        <w:jc w:val="left"/>
        <w:rPr>
          <w:rFonts w:hint="eastAsia" w:ascii="楷体_GB2312" w:hAnsi="楷体_GB2312" w:eastAsia="楷体_GB2312" w:cs="楷体_GB2312"/>
          <w:bCs/>
          <w:color w:val="auto"/>
          <w:sz w:val="32"/>
          <w:szCs w:val="32"/>
          <w:highlight w:val="none"/>
        </w:rPr>
      </w:pPr>
      <w:r>
        <w:rPr>
          <w:rFonts w:hint="eastAsia" w:ascii="仿宋_GB2312" w:hAnsi="仿宋_GB2312" w:eastAsia="仿宋_GB2312" w:cs="仿宋_GB2312"/>
          <w:color w:val="auto"/>
          <w:kern w:val="0"/>
          <w:sz w:val="32"/>
          <w:szCs w:val="32"/>
          <w:highlight w:val="none"/>
        </w:rPr>
        <w:t>负责政府投资项目概算审查工作，组织对项目可行性研究报告进行审查评估；承办局领导交办的其他工作。</w:t>
      </w:r>
      <w:bookmarkStart w:id="16" w:name="_Toc15378446"/>
      <w:bookmarkStart w:id="17" w:name="_Toc15377199"/>
    </w:p>
    <w:p>
      <w:pPr>
        <w:ind w:firstLine="640" w:firstLineChars="200"/>
        <w:rPr>
          <w:rFonts w:hint="eastAsia"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（二）2019年重点工作完成情况。</w:t>
      </w:r>
      <w:bookmarkEnd w:id="16"/>
      <w:bookmarkEnd w:id="17"/>
    </w:p>
    <w:p>
      <w:pPr>
        <w:widowControl/>
        <w:spacing w:line="560" w:lineRule="exact"/>
        <w:ind w:firstLine="472" w:firstLineChars="147"/>
        <w:jc w:val="left"/>
        <w:rPr>
          <w:rFonts w:hint="eastAsia" w:ascii="仿宋_GB2312" w:eastAsia="仿宋_GB2312"/>
          <w:color w:val="auto"/>
          <w:sz w:val="32"/>
          <w:szCs w:val="32"/>
          <w:highlight w:val="none"/>
        </w:rPr>
      </w:pPr>
      <w:r>
        <w:rPr>
          <w:rFonts w:hint="eastAsia" w:ascii="楷体_GB2312" w:eastAsia="楷体_GB2312"/>
          <w:b/>
          <w:color w:val="auto"/>
          <w:sz w:val="32"/>
          <w:szCs w:val="32"/>
          <w:highlight w:val="none"/>
          <w:lang w:val="en-US" w:eastAsia="zh-CN"/>
        </w:rPr>
        <w:t>1.</w:t>
      </w:r>
      <w:r>
        <w:rPr>
          <w:rFonts w:hint="eastAsia" w:ascii="楷体_GB2312" w:eastAsia="楷体_GB2312"/>
          <w:b/>
          <w:color w:val="auto"/>
          <w:sz w:val="32"/>
          <w:szCs w:val="32"/>
          <w:highlight w:val="none"/>
        </w:rPr>
        <w:t>服务县域经济</w:t>
      </w:r>
      <w:r>
        <w:rPr>
          <w:rFonts w:ascii="楷体_GB2312" w:eastAsia="楷体_GB2312"/>
          <w:b/>
          <w:color w:val="auto"/>
          <w:sz w:val="32"/>
          <w:szCs w:val="32"/>
          <w:highlight w:val="none"/>
        </w:rPr>
        <w:t>，</w:t>
      </w:r>
      <w:r>
        <w:rPr>
          <w:rFonts w:hint="eastAsia" w:ascii="楷体_GB2312" w:eastAsia="楷体_GB2312"/>
          <w:b/>
          <w:color w:val="auto"/>
          <w:sz w:val="32"/>
          <w:szCs w:val="32"/>
          <w:highlight w:val="none"/>
        </w:rPr>
        <w:t>发挥参谋助手作用</w:t>
      </w:r>
      <w:r>
        <w:rPr>
          <w:rFonts w:hint="eastAsia" w:ascii="楷体_GB2312" w:eastAsia="楷体_GB2312"/>
          <w:b/>
          <w:color w:val="auto"/>
          <w:sz w:val="32"/>
          <w:szCs w:val="32"/>
          <w:highlight w:val="none"/>
          <w:lang w:eastAsia="zh-CN"/>
        </w:rPr>
        <w:t>。</w:t>
      </w:r>
      <w:r>
        <w:rPr>
          <w:rFonts w:hint="eastAsia" w:ascii="仿宋_GB2312" w:hAnsi="仿宋_GB2312" w:eastAsia="仿宋_GB2312" w:cs="仿宋_GB2312"/>
          <w:color w:val="auto"/>
          <w:sz w:val="32"/>
          <w:szCs w:val="32"/>
          <w:highlight w:val="none"/>
        </w:rPr>
        <w:t>密切关注经济形势变化，深入调查分析研究经济形势，强化经济运行监测，坚持旬分析、月计划、季调度，及时、真实掌握全县经济运行态势。</w:t>
      </w:r>
      <w:r>
        <w:rPr>
          <w:rFonts w:hint="eastAsia" w:ascii="仿宋_GB2312" w:hAnsi="仿宋_GB2312" w:eastAsia="仿宋_GB2312" w:cs="仿宋_GB2312"/>
          <w:b/>
          <w:bCs/>
          <w:color w:val="auto"/>
          <w:sz w:val="32"/>
          <w:szCs w:val="32"/>
          <w:highlight w:val="none"/>
          <w:lang w:eastAsia="zh-CN"/>
        </w:rPr>
        <w:t>积极贯彻落实，加强规划编制承接</w:t>
      </w:r>
      <w:r>
        <w:rPr>
          <w:rFonts w:hint="eastAsia" w:ascii="仿宋_GB2312" w:eastAsia="仿宋_GB2312"/>
          <w:b/>
          <w:color w:val="auto"/>
          <w:sz w:val="32"/>
          <w:szCs w:val="32"/>
          <w:highlight w:val="none"/>
        </w:rPr>
        <w:t>一是</w:t>
      </w:r>
      <w:r>
        <w:rPr>
          <w:rFonts w:hint="eastAsia" w:ascii="仿宋_GB2312" w:eastAsia="仿宋_GB2312"/>
          <w:color w:val="auto"/>
          <w:sz w:val="32"/>
          <w:szCs w:val="32"/>
          <w:highlight w:val="none"/>
        </w:rPr>
        <w:t>通过对《汶川县国民经济和社会发展第十三个五年规划纲要》实施情况中期评估分析，完成地区生产总值、地方公共财政收入、全社会固定资产投资总额等指标调整，经汶川县第十四届人民代表大会常务委员会第十七次会议审议通过。</w:t>
      </w:r>
      <w:r>
        <w:rPr>
          <w:rFonts w:hint="eastAsia" w:ascii="仿宋_GB2312" w:eastAsia="仿宋_GB2312"/>
          <w:b/>
          <w:color w:val="auto"/>
          <w:sz w:val="32"/>
          <w:szCs w:val="32"/>
          <w:highlight w:val="none"/>
        </w:rPr>
        <w:t>二是</w:t>
      </w:r>
      <w:r>
        <w:rPr>
          <w:rFonts w:hint="eastAsia" w:ascii="仿宋_GB2312" w:eastAsia="仿宋_GB2312"/>
          <w:color w:val="auto"/>
          <w:sz w:val="32"/>
          <w:szCs w:val="32"/>
          <w:highlight w:val="none"/>
        </w:rPr>
        <w:t>按照全州“十四五”规划编制工作电视电话会议要求，全面启动汶川县“十四五”规划编制工作，完成汶川县“十四五”规划编制工作方案，并积极开展前期课题调研，为规划编制打好基础。</w:t>
      </w:r>
      <w:r>
        <w:rPr>
          <w:rFonts w:hint="eastAsia" w:ascii="仿宋_GB2312" w:eastAsia="仿宋_GB2312"/>
          <w:b/>
          <w:color w:val="auto"/>
          <w:sz w:val="32"/>
          <w:szCs w:val="32"/>
          <w:highlight w:val="none"/>
        </w:rPr>
        <w:t>三是</w:t>
      </w:r>
      <w:r>
        <w:rPr>
          <w:rFonts w:hint="eastAsia" w:ascii="仿宋_GB2312" w:eastAsia="仿宋_GB2312"/>
          <w:color w:val="auto"/>
          <w:sz w:val="32"/>
          <w:szCs w:val="32"/>
          <w:highlight w:val="none"/>
        </w:rPr>
        <w:t>结合汶川实际，按照乡村振兴规划示范县标准，加快推进乡村振兴规划编制工作，乡村振兴总体规划及11个专项规划已参加省</w:t>
      </w:r>
      <w:r>
        <w:rPr>
          <w:rFonts w:hint="eastAsia" w:ascii="仿宋_GB2312" w:hAnsi="Times New Roman" w:eastAsia="仿宋_GB2312" w:cs="Times New Roman"/>
          <w:color w:val="auto"/>
          <w:sz w:val="32"/>
          <w:szCs w:val="32"/>
          <w:highlight w:val="none"/>
        </w:rPr>
        <w:t>级评审，2镇5村共7个特色村镇规划编制工作正在有序推进。</w:t>
      </w:r>
      <w:r>
        <w:rPr>
          <w:rFonts w:hint="eastAsia" w:ascii="仿宋_GB2312" w:hAnsi="Times New Roman" w:eastAsia="仿宋_GB2312" w:cs="Times New Roman"/>
          <w:color w:val="auto"/>
          <w:sz w:val="32"/>
          <w:szCs w:val="32"/>
          <w:highlight w:val="none"/>
          <w:lang w:eastAsia="zh-CN"/>
        </w:rPr>
        <w:t>充分调查论证，做好意见建议办理。</w:t>
      </w:r>
      <w:r>
        <w:rPr>
          <w:rFonts w:hint="eastAsia" w:ascii="仿宋_GB2312" w:eastAsia="仿宋_GB2312"/>
          <w:b/>
          <w:color w:val="auto"/>
          <w:sz w:val="32"/>
          <w:szCs w:val="32"/>
          <w:highlight w:val="none"/>
        </w:rPr>
        <w:t>一是</w:t>
      </w:r>
      <w:r>
        <w:rPr>
          <w:rFonts w:ascii="仿宋_GB2312" w:eastAsia="仿宋_GB2312"/>
          <w:color w:val="auto"/>
          <w:sz w:val="32"/>
          <w:szCs w:val="32"/>
          <w:highlight w:val="none"/>
        </w:rPr>
        <w:t>高度重视人大代表建议、政协提案办理工作，按照依法行政、依法办理、依法落实、依法答复的原则，突出重点，狠抓落实，推动办理工作规范化</w:t>
      </w:r>
      <w:r>
        <w:rPr>
          <w:rFonts w:hint="eastAsia" w:ascii="仿宋_GB2312" w:eastAsia="仿宋_GB2312"/>
          <w:color w:val="auto"/>
          <w:sz w:val="32"/>
          <w:szCs w:val="32"/>
          <w:highlight w:val="none"/>
        </w:rPr>
        <w:t>。2019年我局主办县</w:t>
      </w:r>
      <w:r>
        <w:rPr>
          <w:rFonts w:ascii="仿宋_GB2312" w:eastAsia="仿宋_GB2312"/>
          <w:color w:val="auto"/>
          <w:sz w:val="32"/>
          <w:szCs w:val="32"/>
          <w:highlight w:val="none"/>
        </w:rPr>
        <w:t>人大代表</w:t>
      </w:r>
      <w:r>
        <w:rPr>
          <w:rFonts w:hint="eastAsia" w:ascii="仿宋_GB2312" w:eastAsia="仿宋_GB2312"/>
          <w:color w:val="auto"/>
          <w:sz w:val="32"/>
          <w:szCs w:val="32"/>
          <w:highlight w:val="none"/>
        </w:rPr>
        <w:t>议案1件，协办州人大代表</w:t>
      </w:r>
      <w:r>
        <w:rPr>
          <w:rFonts w:hint="eastAsia" w:ascii="仿宋_GB2312" w:hAnsi="仿宋_GB2312" w:eastAsia="仿宋_GB2312" w:cs="仿宋_GB2312"/>
          <w:color w:val="auto"/>
          <w:sz w:val="32"/>
          <w:szCs w:val="32"/>
          <w:highlight w:val="none"/>
        </w:rPr>
        <w:t>议案、政协委员提案2件，协办</w:t>
      </w:r>
      <w:r>
        <w:rPr>
          <w:rFonts w:hint="eastAsia" w:ascii="仿宋_GB2312" w:eastAsia="仿宋_GB2312"/>
          <w:color w:val="auto"/>
          <w:sz w:val="32"/>
          <w:szCs w:val="32"/>
          <w:highlight w:val="none"/>
        </w:rPr>
        <w:t>县</w:t>
      </w:r>
      <w:r>
        <w:rPr>
          <w:rFonts w:ascii="仿宋_GB2312" w:eastAsia="仿宋_GB2312"/>
          <w:color w:val="auto"/>
          <w:sz w:val="32"/>
          <w:szCs w:val="32"/>
          <w:highlight w:val="none"/>
        </w:rPr>
        <w:t>人大代表</w:t>
      </w:r>
      <w:r>
        <w:rPr>
          <w:rFonts w:hint="eastAsia" w:ascii="仿宋_GB2312" w:eastAsia="仿宋_GB2312"/>
          <w:color w:val="auto"/>
          <w:sz w:val="32"/>
          <w:szCs w:val="32"/>
          <w:highlight w:val="none"/>
        </w:rPr>
        <w:t>议案</w:t>
      </w:r>
      <w:r>
        <w:rPr>
          <w:rFonts w:ascii="仿宋_GB2312" w:eastAsia="仿宋_GB2312"/>
          <w:color w:val="auto"/>
          <w:sz w:val="32"/>
          <w:szCs w:val="32"/>
          <w:highlight w:val="none"/>
        </w:rPr>
        <w:t>、政协</w:t>
      </w:r>
      <w:r>
        <w:rPr>
          <w:rFonts w:hint="eastAsia" w:ascii="仿宋_GB2312" w:eastAsia="仿宋_GB2312"/>
          <w:color w:val="auto"/>
          <w:sz w:val="32"/>
          <w:szCs w:val="32"/>
          <w:highlight w:val="none"/>
        </w:rPr>
        <w:t>委员</w:t>
      </w:r>
      <w:r>
        <w:rPr>
          <w:rFonts w:ascii="仿宋_GB2312" w:eastAsia="仿宋_GB2312"/>
          <w:color w:val="auto"/>
          <w:sz w:val="32"/>
          <w:szCs w:val="32"/>
          <w:highlight w:val="none"/>
        </w:rPr>
        <w:t>提案</w:t>
      </w:r>
      <w:r>
        <w:rPr>
          <w:rFonts w:hint="eastAsia" w:ascii="仿宋_GB2312" w:eastAsia="仿宋_GB2312"/>
          <w:color w:val="auto"/>
          <w:sz w:val="32"/>
          <w:szCs w:val="32"/>
          <w:highlight w:val="none"/>
        </w:rPr>
        <w:t>8件，</w:t>
      </w:r>
      <w:r>
        <w:rPr>
          <w:rFonts w:ascii="仿宋_GB2312" w:eastAsia="仿宋_GB2312"/>
          <w:color w:val="auto"/>
          <w:sz w:val="32"/>
          <w:szCs w:val="32"/>
          <w:highlight w:val="none"/>
        </w:rPr>
        <w:t>进一步提高了办理工作质量，取得了良好实效。</w:t>
      </w:r>
      <w:r>
        <w:rPr>
          <w:rFonts w:hint="eastAsia" w:ascii="仿宋_GB2312" w:eastAsia="仿宋_GB2312"/>
          <w:b/>
          <w:color w:val="auto"/>
          <w:sz w:val="32"/>
          <w:szCs w:val="32"/>
          <w:highlight w:val="none"/>
        </w:rPr>
        <w:t>二是</w:t>
      </w:r>
      <w:r>
        <w:rPr>
          <w:rFonts w:hint="eastAsia" w:ascii="仿宋_GB2312" w:eastAsia="仿宋_GB2312"/>
          <w:color w:val="auto"/>
          <w:sz w:val="32"/>
          <w:szCs w:val="32"/>
          <w:highlight w:val="none"/>
        </w:rPr>
        <w:t>立足发改本职工作，在认真调查研究、充分论证前提下，向政府和县级各部门提供关于全面深化改革、各类专项规划、项目工程量变更、项目实施方案等方面的建议意见118条，为县委、政府科学决策提供依据。</w:t>
      </w:r>
    </w:p>
    <w:p>
      <w:pPr>
        <w:widowControl/>
        <w:spacing w:line="560" w:lineRule="exact"/>
        <w:ind w:firstLine="645"/>
        <w:jc w:val="left"/>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2.</w:t>
      </w:r>
      <w:r>
        <w:rPr>
          <w:rFonts w:hint="eastAsia" w:ascii="仿宋_GB2312" w:hAnsi="仿宋_GB2312" w:eastAsia="仿宋_GB2312" w:cs="仿宋_GB2312"/>
          <w:b/>
          <w:bCs/>
          <w:color w:val="auto"/>
          <w:sz w:val="32"/>
          <w:szCs w:val="32"/>
          <w:highlight w:val="none"/>
          <w:lang w:eastAsia="zh-CN"/>
        </w:rPr>
        <w:t>抓项目谋发展，增强投资后劲支撑</w:t>
      </w:r>
    </w:p>
    <w:p>
      <w:pPr>
        <w:autoSpaceDE w:val="0"/>
        <w:spacing w:line="560" w:lineRule="exact"/>
        <w:ind w:firstLine="643" w:firstLineChars="200"/>
        <w:rPr>
          <w:rFonts w:hint="eastAsia" w:ascii="楷体_GB2312" w:eastAsia="楷体_GB2312"/>
          <w:b/>
          <w:bCs/>
          <w:color w:val="auto"/>
          <w:sz w:val="32"/>
          <w:szCs w:val="32"/>
          <w:highlight w:val="none"/>
        </w:rPr>
      </w:pPr>
      <w:r>
        <w:rPr>
          <w:rFonts w:hint="eastAsia" w:ascii="仿宋_GB2312" w:eastAsia="仿宋_GB2312"/>
          <w:b/>
          <w:bCs/>
          <w:color w:val="auto"/>
          <w:sz w:val="32"/>
          <w:szCs w:val="32"/>
          <w:highlight w:val="none"/>
        </w:rPr>
        <w:t>一是</w:t>
      </w:r>
      <w:r>
        <w:rPr>
          <w:rFonts w:hint="eastAsia" w:ascii="仿宋_GB2312" w:eastAsia="仿宋_GB2312"/>
          <w:color w:val="auto"/>
          <w:kern w:val="0"/>
          <w:sz w:val="32"/>
          <w:szCs w:val="32"/>
          <w:highlight w:val="none"/>
        </w:rPr>
        <w:t>以“南林北果·绿色工业+全域旅游（康养）”为总体思路，</w:t>
      </w:r>
      <w:r>
        <w:rPr>
          <w:rFonts w:hint="eastAsia" w:ascii="仿宋_GB2312" w:eastAsia="仿宋_GB2312"/>
          <w:color w:val="auto"/>
          <w:sz w:val="32"/>
          <w:szCs w:val="32"/>
          <w:highlight w:val="none"/>
        </w:rPr>
        <w:t>以“关键管理”理念为引领，按照县委提出的</w:t>
      </w:r>
      <w:r>
        <w:rPr>
          <w:rFonts w:hint="eastAsia" w:ascii="仿宋_GB2312" w:eastAsia="仿宋_GB2312"/>
          <w:bCs/>
          <w:color w:val="auto"/>
          <w:sz w:val="32"/>
          <w:szCs w:val="32"/>
          <w:highlight w:val="none"/>
        </w:rPr>
        <w:t>“两清单、四配套”工作要求，强化项目集装集成管理，</w:t>
      </w:r>
      <w:r>
        <w:rPr>
          <w:rFonts w:hint="eastAsia" w:ascii="仿宋_GB2312" w:eastAsia="仿宋_GB2312"/>
          <w:color w:val="auto"/>
          <w:kern w:val="0"/>
          <w:sz w:val="32"/>
          <w:szCs w:val="32"/>
          <w:highlight w:val="none"/>
        </w:rPr>
        <w:t>梳理形成</w:t>
      </w:r>
      <w:r>
        <w:rPr>
          <w:rFonts w:hint="eastAsia" w:ascii="仿宋_GB2312" w:eastAsia="仿宋_GB2312"/>
          <w:color w:val="auto"/>
          <w:sz w:val="32"/>
          <w:szCs w:val="32"/>
          <w:highlight w:val="none"/>
        </w:rPr>
        <w:t>《汶川县2019康养经济业态布局年工作方案》和《汶川县2019年康养经济业态布局年两张清单（项目清单+责任清单）》并正式印发；</w:t>
      </w:r>
      <w:r>
        <w:rPr>
          <w:rFonts w:hint="eastAsia" w:ascii="仿宋_GB2312" w:eastAsia="仿宋_GB2312"/>
          <w:b/>
          <w:color w:val="auto"/>
          <w:sz w:val="32"/>
          <w:szCs w:val="32"/>
          <w:highlight w:val="none"/>
        </w:rPr>
        <w:t>二是</w:t>
      </w:r>
      <w:r>
        <w:rPr>
          <w:rFonts w:hint="eastAsia" w:ascii="仿宋_GB2312" w:eastAsia="仿宋_GB2312"/>
          <w:color w:val="auto"/>
          <w:sz w:val="32"/>
          <w:szCs w:val="32"/>
          <w:highlight w:val="none"/>
        </w:rPr>
        <w:t>梳理汶川县2019年重点项目共32个（含14个</w:t>
      </w:r>
      <w:r>
        <w:rPr>
          <w:rFonts w:hint="eastAsia" w:ascii="仿宋_GB2312" w:eastAsia="仿宋_GB2312"/>
          <w:color w:val="auto"/>
          <w:kern w:val="0"/>
          <w:sz w:val="32"/>
          <w:szCs w:val="32"/>
          <w:highlight w:val="none"/>
        </w:rPr>
        <w:t>省、州重点项目</w:t>
      </w:r>
      <w:r>
        <w:rPr>
          <w:rFonts w:hint="eastAsia" w:ascii="仿宋_GB2312" w:eastAsia="仿宋_GB2312"/>
          <w:color w:val="auto"/>
          <w:sz w:val="32"/>
          <w:szCs w:val="32"/>
          <w:highlight w:val="none"/>
        </w:rPr>
        <w:t>），其中加快前期项目6个，新开工项目11个，续建项目15个，总投资665.71亿元，年度计划投资10.55亿元，形成方案和项目台账印发相关单位，以项目促投资，以投资推动县域经济持续健康发展。</w:t>
      </w:r>
    </w:p>
    <w:p>
      <w:pPr>
        <w:autoSpaceDE w:val="0"/>
        <w:spacing w:line="560" w:lineRule="exact"/>
        <w:ind w:firstLine="643" w:firstLineChars="200"/>
        <w:rPr>
          <w:rFonts w:hint="eastAsia" w:ascii="仿宋_GB2312" w:eastAsia="仿宋_GB2312"/>
          <w:color w:val="auto"/>
          <w:sz w:val="32"/>
          <w:szCs w:val="32"/>
          <w:highlight w:val="none"/>
          <w:lang w:eastAsia="zh-CN"/>
        </w:rPr>
      </w:pPr>
      <w:r>
        <w:rPr>
          <w:rFonts w:hint="eastAsia" w:ascii="仿宋_GB2312" w:eastAsia="仿宋_GB2312"/>
          <w:b/>
          <w:bCs/>
          <w:color w:val="auto"/>
          <w:sz w:val="32"/>
          <w:szCs w:val="32"/>
          <w:highlight w:val="none"/>
          <w:lang w:val="en-US" w:eastAsia="zh-CN"/>
        </w:rPr>
        <w:t>3</w:t>
      </w:r>
      <w:r>
        <w:rPr>
          <w:rFonts w:hint="eastAsia" w:ascii="仿宋_GB2312" w:eastAsia="仿宋_GB2312"/>
          <w:b/>
          <w:bCs/>
          <w:color w:val="auto"/>
          <w:sz w:val="32"/>
          <w:szCs w:val="32"/>
          <w:highlight w:val="none"/>
        </w:rPr>
        <w:t>.积极对接争取，抓好项目申报</w:t>
      </w:r>
      <w:r>
        <w:rPr>
          <w:rFonts w:hint="eastAsia" w:ascii="仿宋_GB2312" w:eastAsia="仿宋_GB2312"/>
          <w:b/>
          <w:bCs/>
          <w:color w:val="auto"/>
          <w:sz w:val="32"/>
          <w:szCs w:val="32"/>
          <w:highlight w:val="none"/>
          <w:lang w:eastAsia="zh-CN"/>
        </w:rPr>
        <w:t>。</w:t>
      </w:r>
      <w:r>
        <w:rPr>
          <w:rFonts w:hint="eastAsia" w:ascii="仿宋_GB2312" w:eastAsia="仿宋_GB2312"/>
          <w:b/>
          <w:color w:val="auto"/>
          <w:sz w:val="32"/>
          <w:szCs w:val="32"/>
          <w:highlight w:val="none"/>
        </w:rPr>
        <w:t>一是</w:t>
      </w:r>
      <w:r>
        <w:rPr>
          <w:rFonts w:hint="eastAsia" w:ascii="仿宋_GB2312" w:eastAsia="仿宋_GB2312"/>
          <w:bCs/>
          <w:color w:val="auto"/>
          <w:sz w:val="32"/>
          <w:szCs w:val="32"/>
          <w:highlight w:val="none"/>
        </w:rPr>
        <w:t>资金争取额度稳步增长。2019年围绕</w:t>
      </w:r>
      <w:r>
        <w:rPr>
          <w:rFonts w:hint="eastAsia" w:ascii="仿宋_GB2312" w:eastAsia="仿宋_GB2312"/>
          <w:color w:val="auto"/>
          <w:sz w:val="32"/>
          <w:szCs w:val="32"/>
          <w:highlight w:val="none"/>
        </w:rPr>
        <w:t>国家重点投资领域和投资方向，加大向上对接争取项目力度，2019年通过发改口共争取下达资金16146万元，较2016、2017和2018年三年平均额高2.2个百分点。</w:t>
      </w:r>
      <w:r>
        <w:rPr>
          <w:rFonts w:hint="eastAsia" w:ascii="仿宋_GB2312" w:eastAsia="仿宋_GB2312"/>
          <w:b/>
          <w:color w:val="auto"/>
          <w:sz w:val="32"/>
          <w:szCs w:val="32"/>
          <w:highlight w:val="none"/>
        </w:rPr>
        <w:t>二是</w:t>
      </w:r>
      <w:r>
        <w:rPr>
          <w:rFonts w:hint="eastAsia" w:ascii="仿宋_GB2312" w:hAnsi="仿宋_GB2312" w:eastAsia="仿宋_GB2312" w:cs="仿宋_GB2312"/>
          <w:bCs/>
          <w:color w:val="auto"/>
          <w:sz w:val="32"/>
          <w:szCs w:val="32"/>
          <w:highlight w:val="none"/>
        </w:rPr>
        <w:t>提前谋划好2020年项目申报。</w:t>
      </w:r>
      <w:r>
        <w:rPr>
          <w:rFonts w:hint="eastAsia" w:ascii="仿宋_GB2312" w:eastAsia="仿宋_GB2312"/>
          <w:color w:val="auto"/>
          <w:sz w:val="32"/>
          <w:szCs w:val="32"/>
          <w:highlight w:val="none"/>
        </w:rPr>
        <w:t>向上申报2020年藏区专项项目4个，估算总投资14380万元，争取中央预算内投资11504万元</w:t>
      </w:r>
      <w:r>
        <w:rPr>
          <w:rFonts w:hint="eastAsia" w:ascii="仿宋_GB2312" w:eastAsia="仿宋_GB2312"/>
          <w:color w:val="auto"/>
          <w:sz w:val="32"/>
          <w:szCs w:val="32"/>
          <w:highlight w:val="none"/>
          <w:lang w:eastAsia="zh-CN"/>
        </w:rPr>
        <w:t>。</w:t>
      </w:r>
      <w:r>
        <w:rPr>
          <w:rFonts w:hint="eastAsia" w:ascii="仿宋_GB2312" w:hAnsi="楷体_GB2312" w:eastAsia="仿宋_GB2312" w:cs="楷体_GB2312"/>
          <w:b/>
          <w:color w:val="auto"/>
          <w:sz w:val="32"/>
          <w:szCs w:val="32"/>
          <w:highlight w:val="none"/>
        </w:rPr>
        <w:t>强化改革创新，抓实项目前期</w:t>
      </w:r>
      <w:r>
        <w:rPr>
          <w:rFonts w:hint="eastAsia" w:ascii="仿宋_GB2312" w:hAnsi="楷体_GB2312" w:eastAsia="仿宋_GB2312" w:cs="楷体_GB2312"/>
          <w:b/>
          <w:color w:val="auto"/>
          <w:sz w:val="32"/>
          <w:szCs w:val="32"/>
          <w:highlight w:val="none"/>
          <w:lang w:eastAsia="zh-CN"/>
        </w:rPr>
        <w:t>。</w:t>
      </w:r>
      <w:r>
        <w:rPr>
          <w:rFonts w:hint="eastAsia" w:ascii="仿宋_GB2312" w:eastAsia="仿宋_GB2312"/>
          <w:b/>
          <w:bCs/>
          <w:color w:val="auto"/>
          <w:sz w:val="32"/>
          <w:szCs w:val="32"/>
          <w:highlight w:val="none"/>
        </w:rPr>
        <w:t>一是</w:t>
      </w:r>
      <w:r>
        <w:rPr>
          <w:rFonts w:hint="eastAsia" w:ascii="仿宋_GB2312" w:eastAsia="仿宋_GB2312"/>
          <w:color w:val="auto"/>
          <w:sz w:val="32"/>
          <w:szCs w:val="32"/>
          <w:highlight w:val="none"/>
        </w:rPr>
        <w:t>按照县委县政府提出“破大局”的工作要求，加大项目前期工作的统筹协调力度，通过政府采购公开招标完成汶川县工程项目前期工作咨询评估服务“短名单”组建工作，会同相关行业部门有序推进拟申报争取项目前期论证，提高项目前期成熟度和申报成功率；</w:t>
      </w:r>
      <w:r>
        <w:rPr>
          <w:rFonts w:hint="eastAsia" w:ascii="仿宋_GB2312" w:eastAsia="仿宋_GB2312"/>
          <w:b/>
          <w:color w:val="auto"/>
          <w:sz w:val="32"/>
          <w:szCs w:val="32"/>
          <w:highlight w:val="none"/>
        </w:rPr>
        <w:t>二是</w:t>
      </w:r>
      <w:r>
        <w:rPr>
          <w:rFonts w:hint="eastAsia" w:ascii="仿宋_GB2312" w:eastAsia="仿宋_GB2312"/>
          <w:color w:val="auto"/>
          <w:sz w:val="32"/>
          <w:szCs w:val="32"/>
          <w:highlight w:val="none"/>
        </w:rPr>
        <w:t>按照县委、县政府中心工作安排，加大项目储备力度</w:t>
      </w:r>
      <w:r>
        <w:rPr>
          <w:rFonts w:hint="eastAsia" w:ascii="仿宋_GB2312" w:eastAsia="仿宋_GB2312"/>
          <w:color w:val="auto"/>
          <w:sz w:val="32"/>
          <w:szCs w:val="32"/>
          <w:highlight w:val="none"/>
          <w:lang w:eastAsia="zh-CN"/>
        </w:rPr>
        <w:t>。</w:t>
      </w:r>
    </w:p>
    <w:p>
      <w:pPr>
        <w:autoSpaceDE w:val="0"/>
        <w:spacing w:line="560" w:lineRule="exact"/>
        <w:rPr>
          <w:rFonts w:hint="eastAsia" w:ascii="仿宋_GB2312" w:eastAsia="仿宋_GB2312"/>
          <w:bCs/>
          <w:color w:val="auto"/>
          <w:sz w:val="32"/>
          <w:szCs w:val="32"/>
          <w:highlight w:val="none"/>
        </w:rPr>
      </w:pPr>
      <w:r>
        <w:rPr>
          <w:rFonts w:hint="eastAsia" w:ascii="仿宋_GB2312" w:eastAsia="仿宋_GB2312"/>
          <w:color w:val="auto"/>
          <w:sz w:val="32"/>
          <w:szCs w:val="32"/>
          <w:highlight w:val="none"/>
        </w:rPr>
        <w:t xml:space="preserve">    </w:t>
      </w:r>
      <w:r>
        <w:rPr>
          <w:rFonts w:hint="eastAsia" w:ascii="仿宋_GB2312" w:eastAsia="仿宋_GB2312"/>
          <w:b/>
          <w:color w:val="auto"/>
          <w:sz w:val="32"/>
          <w:szCs w:val="32"/>
          <w:highlight w:val="none"/>
        </w:rPr>
        <w:t>4.强化跟踪服务，抓好项目管理</w:t>
      </w:r>
      <w:r>
        <w:rPr>
          <w:rFonts w:hint="eastAsia" w:ascii="仿宋_GB2312" w:eastAsia="仿宋_GB2312"/>
          <w:b/>
          <w:color w:val="auto"/>
          <w:sz w:val="32"/>
          <w:szCs w:val="32"/>
          <w:highlight w:val="none"/>
          <w:lang w:eastAsia="zh-CN"/>
        </w:rPr>
        <w:t>。</w:t>
      </w:r>
      <w:r>
        <w:rPr>
          <w:rFonts w:hint="eastAsia" w:ascii="仿宋_GB2312" w:hAnsi="楷体_GB2312" w:eastAsia="仿宋_GB2312" w:cs="楷体_GB2312"/>
          <w:b/>
          <w:color w:val="auto"/>
          <w:sz w:val="32"/>
          <w:szCs w:val="32"/>
          <w:highlight w:val="none"/>
        </w:rPr>
        <w:t>一是做好投资项目审批。</w:t>
      </w:r>
      <w:r>
        <w:rPr>
          <w:rFonts w:hint="eastAsia" w:ascii="仿宋_GB2312" w:hAnsi="楷体_GB2312" w:eastAsia="仿宋_GB2312" w:cs="楷体_GB2312"/>
          <w:bCs/>
          <w:color w:val="auto"/>
          <w:sz w:val="32"/>
          <w:szCs w:val="32"/>
          <w:highlight w:val="none"/>
        </w:rPr>
        <w:t>按照国家、省、州对于投资项目在线审批监管平台工作的统一部署，做好本部门的行政许可事项清理，同步做好办事指南和流程修改，及时做好在线审批平台信息的调整和更新，做到办事窗口和审批平台信息同步，切实提高审批效率。</w:t>
      </w:r>
      <w:r>
        <w:rPr>
          <w:rFonts w:hint="eastAsia" w:ascii="仿宋_GB2312" w:hAnsi="楷体_GB2312" w:eastAsia="仿宋_GB2312" w:cs="楷体_GB2312"/>
          <w:b/>
          <w:color w:val="auto"/>
          <w:sz w:val="32"/>
          <w:szCs w:val="32"/>
          <w:highlight w:val="none"/>
        </w:rPr>
        <w:t>二是做好重大项目推进。</w:t>
      </w:r>
      <w:r>
        <w:rPr>
          <w:rFonts w:hint="eastAsia" w:ascii="仿宋_GB2312" w:hAnsi="楷体_GB2312" w:eastAsia="仿宋_GB2312" w:cs="楷体_GB2312"/>
          <w:bCs/>
          <w:color w:val="auto"/>
          <w:sz w:val="32"/>
          <w:szCs w:val="32"/>
          <w:highlight w:val="none"/>
        </w:rPr>
        <w:t>对全县所有项目实行动态管理，分解任务，倒排工期，挂图作战，</w:t>
      </w:r>
      <w:r>
        <w:rPr>
          <w:rFonts w:hint="eastAsia" w:ascii="仿宋_GB2312" w:hAnsi="仿宋" w:eastAsia="仿宋_GB2312" w:cs="仿宋"/>
          <w:color w:val="auto"/>
          <w:kern w:val="0"/>
          <w:sz w:val="32"/>
          <w:szCs w:val="32"/>
          <w:highlight w:val="none"/>
        </w:rPr>
        <w:t>通过召开推进会、实地查看、查阅资料等方式，每月对我县32个重点项目进行重点督办。并联合县督查室、县财政局、县投管办等单位组成督查组，对汶川县2019康养经济业态布局年项目、中央预算内项目、东西扶贫项目以及</w:t>
      </w:r>
      <w:r>
        <w:rPr>
          <w:rFonts w:hint="eastAsia" w:ascii="仿宋_GB2312" w:hAnsi="仿宋_GB2312" w:eastAsia="仿宋_GB2312" w:cs="仿宋_GB2312"/>
          <w:color w:val="auto"/>
          <w:sz w:val="32"/>
          <w:szCs w:val="40"/>
          <w:highlight w:val="none"/>
        </w:rPr>
        <w:t>汶川县“8·20”强降雨特大山洪泥石流灾害抢险救灾工程</w:t>
      </w:r>
      <w:r>
        <w:rPr>
          <w:rFonts w:hint="eastAsia" w:ascii="仿宋_GB2312" w:hAnsi="仿宋" w:eastAsia="仿宋_GB2312" w:cs="仿宋"/>
          <w:color w:val="auto"/>
          <w:kern w:val="0"/>
          <w:sz w:val="32"/>
          <w:szCs w:val="32"/>
          <w:highlight w:val="none"/>
        </w:rPr>
        <w:t>建设进行</w:t>
      </w:r>
      <w:r>
        <w:rPr>
          <w:rFonts w:hint="eastAsia" w:ascii="仿宋_GB2312" w:eastAsia="仿宋_GB2312"/>
          <w:color w:val="auto"/>
          <w:sz w:val="32"/>
          <w:szCs w:val="32"/>
          <w:highlight w:val="none"/>
        </w:rPr>
        <w:t>了全面督查，</w:t>
      </w:r>
      <w:r>
        <w:rPr>
          <w:rFonts w:hint="eastAsia" w:ascii="仿宋_GB2312" w:hAnsi="仿宋" w:eastAsia="仿宋_GB2312" w:cs="仿宋"/>
          <w:color w:val="auto"/>
          <w:kern w:val="0"/>
          <w:sz w:val="32"/>
          <w:szCs w:val="32"/>
          <w:highlight w:val="none"/>
        </w:rPr>
        <w:t>促进项目推进有力、资金使用规范，保证月度和全年目标任务的完成</w:t>
      </w:r>
      <w:r>
        <w:rPr>
          <w:rFonts w:hint="eastAsia" w:ascii="仿宋_GB2312" w:hAnsi="仿宋" w:eastAsia="仿宋_GB2312" w:cs="仿宋"/>
          <w:color w:val="auto"/>
          <w:kern w:val="0"/>
          <w:sz w:val="32"/>
          <w:szCs w:val="32"/>
          <w:highlight w:val="none"/>
          <w:lang w:eastAsia="zh-CN"/>
        </w:rPr>
        <w:t>。</w:t>
      </w:r>
      <w:r>
        <w:rPr>
          <w:rFonts w:hint="eastAsia" w:ascii="仿宋_GB2312" w:eastAsia="仿宋_GB2312"/>
          <w:b/>
          <w:bCs/>
          <w:color w:val="auto"/>
          <w:sz w:val="32"/>
          <w:szCs w:val="32"/>
          <w:highlight w:val="none"/>
        </w:rPr>
        <w:t>三是做好招投标领域专项整治。</w:t>
      </w:r>
      <w:r>
        <w:rPr>
          <w:rFonts w:hint="eastAsia" w:ascii="仿宋_GB2312" w:eastAsia="仿宋_GB2312"/>
          <w:color w:val="auto"/>
          <w:sz w:val="32"/>
          <w:szCs w:val="32"/>
          <w:highlight w:val="none"/>
        </w:rPr>
        <w:t>扎实</w:t>
      </w:r>
      <w:r>
        <w:rPr>
          <w:rFonts w:hint="eastAsia" w:ascii="仿宋_GB2312" w:eastAsia="仿宋_GB2312"/>
          <w:bCs/>
          <w:color w:val="auto"/>
          <w:sz w:val="32"/>
          <w:szCs w:val="32"/>
          <w:highlight w:val="none"/>
        </w:rPr>
        <w:t>开展招投标领域营商环境专项整治工作，牵头制定了《汶川县开展解决工程建设招投标领域突出问题整治工作方案》，并会同行业主管部门对2018年6月1日至2019年11月20日期间各单位备案监管范围内依法必须招标的项目，全覆盖开展清理整治。针对检查中存在的问题，会同行业主管部门以及业主单位按照法律法规逐一整改，达到整改要求。</w:t>
      </w:r>
    </w:p>
    <w:p>
      <w:pPr>
        <w:pBdr>
          <w:bottom w:val="single" w:color="FFFFFF" w:sz="4" w:space="31"/>
        </w:pBdr>
        <w:autoSpaceDE w:val="0"/>
        <w:spacing w:line="560" w:lineRule="exact"/>
        <w:ind w:firstLine="626" w:firstLineChars="195"/>
        <w:outlineLvl w:val="2"/>
        <w:rPr>
          <w:rFonts w:hint="eastAsia" w:ascii="仿宋_GB2312" w:eastAsia="仿宋_GB2312"/>
          <w:color w:val="auto"/>
          <w:sz w:val="32"/>
          <w:szCs w:val="32"/>
          <w:highlight w:val="none"/>
        </w:rPr>
      </w:pPr>
      <w:r>
        <w:rPr>
          <w:rFonts w:hint="eastAsia" w:ascii="楷体_GB2312" w:eastAsia="楷体_GB2312"/>
          <w:b/>
          <w:bCs/>
          <w:color w:val="auto"/>
          <w:sz w:val="32"/>
          <w:szCs w:val="32"/>
          <w:highlight w:val="none"/>
          <w:lang w:val="en-US" w:eastAsia="zh-CN"/>
        </w:rPr>
        <w:t>5.</w:t>
      </w:r>
      <w:r>
        <w:rPr>
          <w:rFonts w:hint="eastAsia" w:ascii="楷体_GB2312" w:eastAsia="楷体_GB2312"/>
          <w:b/>
          <w:bCs/>
          <w:color w:val="auto"/>
          <w:sz w:val="32"/>
          <w:szCs w:val="32"/>
          <w:highlight w:val="none"/>
        </w:rPr>
        <w:t>聚焦民生实事，深化脱贫攻坚成果</w:t>
      </w:r>
      <w:r>
        <w:rPr>
          <w:rFonts w:hint="eastAsia" w:ascii="楷体_GB2312" w:eastAsia="楷体_GB2312"/>
          <w:b/>
          <w:bCs/>
          <w:color w:val="auto"/>
          <w:sz w:val="32"/>
          <w:szCs w:val="32"/>
          <w:highlight w:val="none"/>
          <w:lang w:eastAsia="zh-CN"/>
        </w:rPr>
        <w:t>。</w:t>
      </w:r>
      <w:r>
        <w:rPr>
          <w:rFonts w:hint="eastAsia" w:ascii="仿宋_GB2312" w:eastAsia="仿宋_GB2312"/>
          <w:b/>
          <w:color w:val="auto"/>
          <w:sz w:val="32"/>
          <w:szCs w:val="32"/>
          <w:highlight w:val="none"/>
        </w:rPr>
        <w:t>一是</w:t>
      </w:r>
      <w:r>
        <w:rPr>
          <w:rFonts w:hint="eastAsia" w:ascii="仿宋_GB2312" w:eastAsia="仿宋_GB2312"/>
          <w:color w:val="auto"/>
          <w:sz w:val="32"/>
          <w:szCs w:val="32"/>
          <w:highlight w:val="none"/>
        </w:rPr>
        <w:t>圆满完成国家、省、州、县对“十三五”期间易地扶贫搬迁的各项整改任务，切实做好易地扶贫搬迁“两不愁、三保障”回头看大排查的问题整改工作。</w:t>
      </w:r>
      <w:r>
        <w:rPr>
          <w:rFonts w:hint="eastAsia" w:ascii="仿宋_GB2312" w:eastAsia="仿宋_GB2312"/>
          <w:b/>
          <w:color w:val="auto"/>
          <w:sz w:val="32"/>
          <w:szCs w:val="32"/>
          <w:highlight w:val="none"/>
        </w:rPr>
        <w:t>二是</w:t>
      </w:r>
      <w:r>
        <w:rPr>
          <w:rFonts w:hint="eastAsia" w:ascii="仿宋_GB2312" w:eastAsia="仿宋_GB2312"/>
          <w:color w:val="auto"/>
          <w:sz w:val="32"/>
          <w:szCs w:val="32"/>
          <w:highlight w:val="none"/>
        </w:rPr>
        <w:t>有序推进2019年以工代赈项目及2018年续建以工代赈示范工程建设任务，所有项目已按计划完工，预计11月完成资金拨付。</w:t>
      </w:r>
      <w:r>
        <w:rPr>
          <w:rFonts w:hint="eastAsia" w:ascii="仿宋_GB2312" w:eastAsia="仿宋_GB2312"/>
          <w:b/>
          <w:color w:val="auto"/>
          <w:sz w:val="32"/>
          <w:szCs w:val="32"/>
          <w:highlight w:val="none"/>
        </w:rPr>
        <w:t>三是</w:t>
      </w:r>
      <w:r>
        <w:rPr>
          <w:rFonts w:hint="eastAsia" w:ascii="仿宋_GB2312" w:eastAsia="仿宋_GB2312"/>
          <w:bCs/>
          <w:color w:val="auto"/>
          <w:sz w:val="32"/>
          <w:szCs w:val="32"/>
          <w:highlight w:val="none"/>
        </w:rPr>
        <w:t>不断努力创新，以工代赈工作取得实效，得到省州充分</w:t>
      </w:r>
      <w:r>
        <w:rPr>
          <w:rFonts w:hint="eastAsia" w:ascii="仿宋_GB2312" w:eastAsia="仿宋_GB2312"/>
          <w:color w:val="auto"/>
          <w:sz w:val="32"/>
          <w:szCs w:val="32"/>
          <w:highlight w:val="none"/>
        </w:rPr>
        <w:t>肯定，作为四川省唯一代表参加全国以工代赈项目推进现场会并作交流发言。</w:t>
      </w:r>
      <w:r>
        <w:rPr>
          <w:rFonts w:hint="eastAsia" w:ascii="仿宋_GB2312" w:eastAsia="仿宋_GB2312"/>
          <w:b/>
          <w:color w:val="auto"/>
          <w:sz w:val="32"/>
          <w:szCs w:val="32"/>
          <w:highlight w:val="none"/>
        </w:rPr>
        <w:t>四是</w:t>
      </w:r>
      <w:r>
        <w:rPr>
          <w:rFonts w:hint="eastAsia" w:ascii="仿宋_GB2312" w:eastAsia="仿宋_GB2312"/>
          <w:color w:val="auto"/>
          <w:sz w:val="32"/>
          <w:szCs w:val="32"/>
          <w:highlight w:val="none"/>
        </w:rPr>
        <w:t>配合县林草局、县水务局有序开展2019年天然林保护，安全饮水等涉农项目推进及资金拨付工作。以“四位一体”“四大工程”协作模式高质量推动东西协作纵深发展</w:t>
      </w:r>
      <w:r>
        <w:rPr>
          <w:rFonts w:ascii="仿宋_GB2312" w:eastAsia="仿宋_GB2312"/>
          <w:color w:val="auto"/>
          <w:sz w:val="32"/>
          <w:szCs w:val="32"/>
          <w:highlight w:val="none"/>
        </w:rPr>
        <w:t>，全方位与</w:t>
      </w:r>
      <w:r>
        <w:rPr>
          <w:rFonts w:hint="eastAsia" w:ascii="仿宋_GB2312" w:eastAsia="仿宋_GB2312"/>
          <w:color w:val="auto"/>
          <w:sz w:val="32"/>
          <w:szCs w:val="32"/>
          <w:highlight w:val="none"/>
        </w:rPr>
        <w:t>金华市</w:t>
      </w:r>
      <w:r>
        <w:rPr>
          <w:rFonts w:ascii="仿宋_GB2312" w:eastAsia="仿宋_GB2312"/>
          <w:color w:val="auto"/>
          <w:sz w:val="32"/>
          <w:szCs w:val="32"/>
          <w:highlight w:val="none"/>
        </w:rPr>
        <w:t>开展东西部扶贫协作和对口支援工作。援受双方通过高频互访，高起点，高规格，高质量专题研究部署推进东西部扶贫协作和对口支援工作，锁定区位优势、资源优势、人</w:t>
      </w:r>
      <w:r>
        <w:rPr>
          <w:rFonts w:hint="eastAsia" w:ascii="仿宋_GB2312" w:eastAsia="仿宋_GB2312"/>
          <w:color w:val="auto"/>
          <w:sz w:val="32"/>
          <w:szCs w:val="32"/>
          <w:highlight w:val="none"/>
        </w:rPr>
        <w:t>才</w:t>
      </w:r>
      <w:r>
        <w:rPr>
          <w:rFonts w:ascii="仿宋_GB2312" w:eastAsia="仿宋_GB2312"/>
          <w:color w:val="auto"/>
          <w:sz w:val="32"/>
          <w:szCs w:val="32"/>
          <w:highlight w:val="none"/>
        </w:rPr>
        <w:t>优势、机遇优势，创新“四位一体”</w:t>
      </w:r>
      <w:r>
        <w:rPr>
          <w:rFonts w:hint="eastAsia" w:ascii="仿宋_GB2312" w:eastAsia="仿宋_GB2312"/>
          <w:color w:val="auto"/>
          <w:sz w:val="32"/>
          <w:szCs w:val="32"/>
          <w:highlight w:val="none"/>
        </w:rPr>
        <w:t>“四大工程”</w:t>
      </w:r>
      <w:r>
        <w:rPr>
          <w:rFonts w:ascii="仿宋_GB2312" w:eastAsia="仿宋_GB2312"/>
          <w:color w:val="auto"/>
          <w:sz w:val="32"/>
          <w:szCs w:val="32"/>
          <w:highlight w:val="none"/>
        </w:rPr>
        <w:t>产业扶贫模式</w:t>
      </w:r>
      <w:r>
        <w:rPr>
          <w:rFonts w:hint="eastAsia" w:ascii="仿宋_GB2312" w:eastAsia="仿宋_GB2312"/>
          <w:color w:val="auto"/>
          <w:sz w:val="32"/>
          <w:szCs w:val="32"/>
          <w:highlight w:val="none"/>
        </w:rPr>
        <w:t>，得到了浙江、四川两省书记的高度认可</w:t>
      </w:r>
      <w:r>
        <w:rPr>
          <w:rFonts w:ascii="仿宋_GB2312" w:eastAsia="仿宋_GB2312"/>
          <w:color w:val="auto"/>
          <w:sz w:val="32"/>
          <w:szCs w:val="32"/>
          <w:highlight w:val="none"/>
        </w:rPr>
        <w:t>。</w:t>
      </w:r>
      <w:r>
        <w:rPr>
          <w:rFonts w:ascii="仿宋_GB2312" w:eastAsia="仿宋_GB2312"/>
          <w:b/>
          <w:color w:val="auto"/>
          <w:sz w:val="32"/>
          <w:szCs w:val="32"/>
          <w:highlight w:val="none"/>
        </w:rPr>
        <w:t>一是</w:t>
      </w:r>
      <w:r>
        <w:rPr>
          <w:rFonts w:hint="eastAsia" w:ascii="仿宋_GB2312" w:eastAsia="仿宋_GB2312"/>
          <w:color w:val="auto"/>
          <w:sz w:val="32"/>
          <w:szCs w:val="32"/>
          <w:highlight w:val="none"/>
        </w:rPr>
        <w:t>充分发挥兰溪、义乌和汶川的优势，引进</w:t>
      </w:r>
      <w:r>
        <w:rPr>
          <w:rFonts w:ascii="仿宋_GB2312" w:eastAsia="仿宋_GB2312"/>
          <w:color w:val="auto"/>
          <w:sz w:val="32"/>
          <w:szCs w:val="32"/>
          <w:highlight w:val="none"/>
        </w:rPr>
        <w:t>汶川萝卜寨青山文化旅游开发有限公司</w:t>
      </w:r>
      <w:r>
        <w:rPr>
          <w:rFonts w:hint="eastAsia" w:ascii="仿宋_GB2312" w:eastAsia="仿宋_GB2312"/>
          <w:color w:val="auto"/>
          <w:sz w:val="32"/>
          <w:szCs w:val="32"/>
          <w:highlight w:val="none"/>
        </w:rPr>
        <w:t>,着力推进萝卜寨景区开发，引进汶川盛民果蔬农产品贸易公司，助力汶川农特产品销售，引进康恩贝集团建立中药材合作基地。</w:t>
      </w:r>
      <w:r>
        <w:rPr>
          <w:rFonts w:ascii="仿宋_GB2312" w:eastAsia="仿宋_GB2312"/>
          <w:color w:val="auto"/>
          <w:sz w:val="32"/>
          <w:szCs w:val="32"/>
          <w:highlight w:val="none"/>
        </w:rPr>
        <w:t>共建川青甘高原物流产业园</w:t>
      </w:r>
      <w:r>
        <w:rPr>
          <w:rFonts w:hint="eastAsia" w:ascii="仿宋_GB2312" w:eastAsia="仿宋_GB2312"/>
          <w:color w:val="auto"/>
          <w:sz w:val="32"/>
          <w:szCs w:val="32"/>
          <w:highlight w:val="none"/>
        </w:rPr>
        <w:t>、阿坝师范学院电商学院、兰溪-汶川鸿图高新</w:t>
      </w:r>
      <w:r>
        <w:rPr>
          <w:rFonts w:ascii="仿宋_GB2312" w:eastAsia="仿宋_GB2312"/>
          <w:color w:val="auto"/>
          <w:sz w:val="32"/>
          <w:szCs w:val="32"/>
          <w:highlight w:val="none"/>
        </w:rPr>
        <w:t>“飞地”产业园区</w:t>
      </w:r>
      <w:r>
        <w:rPr>
          <w:rFonts w:hint="eastAsia" w:ascii="仿宋_GB2312" w:eastAsia="仿宋_GB2312"/>
          <w:color w:val="auto"/>
          <w:sz w:val="32"/>
          <w:szCs w:val="32"/>
          <w:highlight w:val="none"/>
        </w:rPr>
        <w:t>和</w:t>
      </w:r>
      <w:r>
        <w:rPr>
          <w:rFonts w:ascii="仿宋_GB2312" w:eastAsia="仿宋_GB2312"/>
          <w:color w:val="auto"/>
          <w:sz w:val="32"/>
          <w:szCs w:val="32"/>
          <w:highlight w:val="none"/>
        </w:rPr>
        <w:t>“</w:t>
      </w:r>
      <w:r>
        <w:rPr>
          <w:rFonts w:hint="eastAsia" w:ascii="仿宋_GB2312" w:eastAsia="仿宋_GB2312"/>
          <w:color w:val="auto"/>
          <w:sz w:val="32"/>
          <w:szCs w:val="32"/>
          <w:highlight w:val="none"/>
        </w:rPr>
        <w:t>净土阿坝－</w:t>
      </w:r>
      <w:r>
        <w:rPr>
          <w:rFonts w:ascii="仿宋_GB2312" w:eastAsia="仿宋_GB2312"/>
          <w:color w:val="auto"/>
          <w:sz w:val="32"/>
          <w:szCs w:val="32"/>
          <w:highlight w:val="none"/>
        </w:rPr>
        <w:t>汶川馆”特色展馆</w:t>
      </w:r>
      <w:r>
        <w:rPr>
          <w:rFonts w:hint="eastAsia" w:ascii="仿宋_GB2312" w:eastAsia="仿宋_GB2312"/>
          <w:color w:val="auto"/>
          <w:sz w:val="32"/>
          <w:szCs w:val="32"/>
          <w:highlight w:val="none"/>
        </w:rPr>
        <w:t>，集聚产业发展新优势。</w:t>
      </w:r>
    </w:p>
    <w:p>
      <w:pPr>
        <w:pBdr>
          <w:bottom w:val="single" w:color="FFFFFF" w:sz="4" w:space="31"/>
        </w:pBdr>
        <w:tabs>
          <w:tab w:val="left" w:pos="1440"/>
        </w:tabs>
        <w:spacing w:line="560" w:lineRule="exact"/>
        <w:ind w:firstLine="643" w:firstLineChars="200"/>
        <w:outlineLvl w:val="2"/>
        <w:rPr>
          <w:rFonts w:hint="eastAsia" w:ascii="仿宋_GB2312" w:eastAsia="仿宋_GB2312"/>
          <w:b/>
          <w:bCs/>
          <w:color w:val="auto"/>
          <w:sz w:val="32"/>
          <w:szCs w:val="32"/>
          <w:highlight w:val="none"/>
        </w:rPr>
      </w:pPr>
      <w:r>
        <w:rPr>
          <w:rFonts w:hint="eastAsia" w:ascii="仿宋_GB2312" w:eastAsia="仿宋_GB2312"/>
          <w:b/>
          <w:bCs/>
          <w:color w:val="auto"/>
          <w:sz w:val="32"/>
          <w:szCs w:val="32"/>
          <w:highlight w:val="none"/>
          <w:lang w:val="en-US" w:eastAsia="zh-CN"/>
        </w:rPr>
        <w:t>6.</w:t>
      </w:r>
      <w:r>
        <w:rPr>
          <w:rFonts w:hint="eastAsia" w:ascii="仿宋_GB2312" w:eastAsia="仿宋_GB2312"/>
          <w:b/>
          <w:bCs/>
          <w:color w:val="auto"/>
          <w:sz w:val="32"/>
          <w:szCs w:val="32"/>
          <w:highlight w:val="none"/>
        </w:rPr>
        <w:t>强化政策落实，全力做好环保督察整改</w:t>
      </w:r>
    </w:p>
    <w:p>
      <w:pPr>
        <w:pBdr>
          <w:bottom w:val="single" w:color="FFFFFF" w:sz="4" w:space="31"/>
        </w:pBdr>
        <w:autoSpaceDE w:val="0"/>
        <w:spacing w:line="560" w:lineRule="exact"/>
        <w:ind w:firstLine="630" w:firstLineChars="196"/>
        <w:outlineLvl w:val="2"/>
        <w:rPr>
          <w:rFonts w:hint="eastAsia" w:ascii="仿宋_GB2312" w:eastAsia="仿宋_GB2312"/>
          <w:color w:val="auto"/>
          <w:sz w:val="32"/>
          <w:szCs w:val="32"/>
          <w:highlight w:val="none"/>
        </w:rPr>
      </w:pPr>
      <w:r>
        <w:rPr>
          <w:rFonts w:hint="eastAsia" w:ascii="仿宋_GB2312" w:eastAsia="仿宋_GB2312"/>
          <w:b/>
          <w:bCs/>
          <w:color w:val="auto"/>
          <w:sz w:val="32"/>
          <w:szCs w:val="32"/>
          <w:highlight w:val="none"/>
        </w:rPr>
        <w:t>一是</w:t>
      </w:r>
      <w:r>
        <w:rPr>
          <w:rFonts w:hint="eastAsia" w:ascii="仿宋_GB2312" w:eastAsia="仿宋_GB2312"/>
          <w:color w:val="auto"/>
          <w:sz w:val="32"/>
          <w:szCs w:val="32"/>
          <w:highlight w:val="none"/>
        </w:rPr>
        <w:t>落实生态环境保护督察有关问题整改，全面完成长河坝板壁岩电站及麻龙二级电站环保整改工作，完成电站拆除，恢复生态植被，形成台账资料完成整改销号；</w:t>
      </w:r>
    </w:p>
    <w:p>
      <w:pPr>
        <w:pBdr>
          <w:bottom w:val="single" w:color="FFFFFF" w:sz="4" w:space="31"/>
        </w:pBdr>
        <w:autoSpaceDE w:val="0"/>
        <w:spacing w:line="560" w:lineRule="exact"/>
        <w:ind w:firstLine="643" w:firstLineChars="200"/>
        <w:outlineLvl w:val="2"/>
        <w:rPr>
          <w:rFonts w:hint="eastAsia" w:ascii="仿宋_GB2312" w:eastAsia="仿宋_GB2312"/>
          <w:b/>
          <w:bCs/>
          <w:color w:val="auto"/>
          <w:sz w:val="32"/>
          <w:szCs w:val="32"/>
          <w:highlight w:val="none"/>
        </w:rPr>
      </w:pPr>
      <w:r>
        <w:rPr>
          <w:rFonts w:hint="eastAsia" w:ascii="仿宋_GB2312" w:eastAsia="仿宋_GB2312"/>
          <w:b/>
          <w:bCs/>
          <w:color w:val="auto"/>
          <w:sz w:val="32"/>
          <w:szCs w:val="32"/>
          <w:highlight w:val="none"/>
          <w:lang w:val="en-US" w:eastAsia="zh-CN"/>
        </w:rPr>
        <w:t>7</w:t>
      </w:r>
      <w:r>
        <w:rPr>
          <w:rFonts w:hint="eastAsia" w:ascii="仿宋_GB2312" w:eastAsia="仿宋_GB2312"/>
          <w:b/>
          <w:bCs/>
          <w:color w:val="auto"/>
          <w:sz w:val="32"/>
          <w:szCs w:val="32"/>
          <w:highlight w:val="none"/>
        </w:rPr>
        <w:t>.深入基层一线，扎实推进“两联一进”群众工作</w:t>
      </w:r>
    </w:p>
    <w:p>
      <w:pPr>
        <w:pBdr>
          <w:bottom w:val="single" w:color="FFFFFF" w:sz="4" w:space="31"/>
        </w:pBdr>
        <w:autoSpaceDE w:val="0"/>
        <w:spacing w:line="560" w:lineRule="exact"/>
        <w:ind w:firstLine="643" w:firstLineChars="200"/>
        <w:outlineLvl w:val="2"/>
        <w:rPr>
          <w:rFonts w:hint="eastAsia" w:ascii="仿宋_GB2312" w:eastAsia="仿宋_GB2312"/>
          <w:bCs/>
          <w:color w:val="auto"/>
          <w:sz w:val="32"/>
          <w:szCs w:val="32"/>
          <w:highlight w:val="none"/>
        </w:rPr>
      </w:pPr>
      <w:r>
        <w:rPr>
          <w:rFonts w:hint="eastAsia" w:ascii="仿宋_GB2312" w:eastAsia="仿宋_GB2312"/>
          <w:b/>
          <w:bCs/>
          <w:color w:val="auto"/>
          <w:sz w:val="32"/>
          <w:szCs w:val="32"/>
          <w:highlight w:val="none"/>
        </w:rPr>
        <w:t>一是</w:t>
      </w:r>
      <w:r>
        <w:rPr>
          <w:rFonts w:hint="eastAsia" w:ascii="仿宋_GB2312" w:eastAsia="仿宋_GB2312"/>
          <w:bCs/>
          <w:color w:val="auto"/>
          <w:sz w:val="32"/>
          <w:szCs w:val="32"/>
          <w:highlight w:val="none"/>
        </w:rPr>
        <w:t>通过印制“联户联情”联系卡、“两联一进”群众工作宣传手册大力宣传惠农增收、来料加工、脱贫攻坚等惠民利民政策，教育引导群众懂政策、识大局、强信心、谋发展；</w:t>
      </w:r>
      <w:r>
        <w:rPr>
          <w:rFonts w:hint="eastAsia" w:ascii="仿宋_GB2312" w:eastAsia="仿宋_GB2312"/>
          <w:b/>
          <w:bCs/>
          <w:color w:val="auto"/>
          <w:sz w:val="32"/>
          <w:szCs w:val="32"/>
          <w:highlight w:val="none"/>
        </w:rPr>
        <w:t>二是</w:t>
      </w:r>
      <w:r>
        <w:rPr>
          <w:rFonts w:hint="eastAsia" w:ascii="仿宋_GB2312" w:eastAsia="仿宋_GB2312"/>
          <w:bCs/>
          <w:color w:val="auto"/>
          <w:sz w:val="32"/>
          <w:szCs w:val="32"/>
          <w:highlight w:val="none"/>
        </w:rPr>
        <w:t>为帮扶村金波村和兴文坪村谋划争取道路硬化、村集体经济等4个项目，加大基础设施建设和产业配套，改善群众生产生活条件，增添增收致富渠道；</w:t>
      </w:r>
      <w:r>
        <w:rPr>
          <w:rFonts w:hint="eastAsia" w:ascii="仿宋_GB2312" w:eastAsia="仿宋_GB2312"/>
          <w:b/>
          <w:bCs/>
          <w:color w:val="auto"/>
          <w:sz w:val="32"/>
          <w:szCs w:val="32"/>
          <w:highlight w:val="none"/>
        </w:rPr>
        <w:t>三是</w:t>
      </w:r>
      <w:r>
        <w:rPr>
          <w:rFonts w:hint="eastAsia" w:ascii="仿宋_GB2312" w:eastAsia="仿宋_GB2312"/>
          <w:bCs/>
          <w:color w:val="auto"/>
          <w:sz w:val="32"/>
          <w:szCs w:val="32"/>
          <w:highlight w:val="none"/>
        </w:rPr>
        <w:t>“8.20”强降雨特大山洪泥石流发生后，及时组织全局干部职工为金波村受灾群众捐赠衣物等生活必需品，联系企业为受灾户捐赠家电厨具，多次深入金波村现场查看受灾情况，为金波村的灾后恢复重建出谋划策增添信心；</w:t>
      </w:r>
      <w:r>
        <w:rPr>
          <w:rFonts w:hint="eastAsia" w:ascii="仿宋_GB2312" w:eastAsia="仿宋_GB2312"/>
          <w:b/>
          <w:bCs/>
          <w:color w:val="auto"/>
          <w:sz w:val="32"/>
          <w:szCs w:val="32"/>
          <w:highlight w:val="none"/>
        </w:rPr>
        <w:t>四是</w:t>
      </w:r>
      <w:r>
        <w:rPr>
          <w:rFonts w:hint="eastAsia" w:ascii="仿宋_GB2312" w:eastAsia="仿宋_GB2312"/>
          <w:bCs/>
          <w:color w:val="auto"/>
          <w:sz w:val="32"/>
          <w:szCs w:val="32"/>
          <w:highlight w:val="none"/>
        </w:rPr>
        <w:t>深入开展金波村“不忘初心，牢记使命”主题教育活动，结合主题党课，到村宣传“三恩”教育，在中秋、羌历年等节日到村开展走访慰问，激励全村群众自立自强。</w:t>
      </w:r>
    </w:p>
    <w:p>
      <w:pPr>
        <w:pBdr>
          <w:bottom w:val="single" w:color="FFFFFF" w:sz="4" w:space="31"/>
        </w:pBdr>
        <w:autoSpaceDE w:val="0"/>
        <w:spacing w:line="560" w:lineRule="exact"/>
        <w:ind w:firstLine="643" w:firstLineChars="200"/>
        <w:outlineLvl w:val="2"/>
        <w:rPr>
          <w:rFonts w:hint="eastAsia" w:ascii="楷体_GB2312" w:eastAsia="楷体_GB2312"/>
          <w:color w:val="auto"/>
          <w:sz w:val="32"/>
          <w:szCs w:val="32"/>
          <w:highlight w:val="none"/>
        </w:rPr>
      </w:pPr>
      <w:r>
        <w:rPr>
          <w:rFonts w:hint="eastAsia" w:ascii="楷体_GB2312" w:eastAsia="楷体_GB2312"/>
          <w:b/>
          <w:bCs/>
          <w:color w:val="auto"/>
          <w:sz w:val="32"/>
          <w:szCs w:val="32"/>
          <w:highlight w:val="none"/>
          <w:lang w:val="en-US" w:eastAsia="zh-CN"/>
        </w:rPr>
        <w:t>8.</w:t>
      </w:r>
      <w:r>
        <w:rPr>
          <w:rFonts w:hint="eastAsia" w:ascii="楷体_GB2312" w:eastAsia="楷体_GB2312"/>
          <w:b/>
          <w:bCs/>
          <w:color w:val="auto"/>
          <w:sz w:val="32"/>
          <w:szCs w:val="32"/>
          <w:highlight w:val="none"/>
        </w:rPr>
        <w:t>强化履职尽责，统筹谋划灾后重建</w:t>
      </w:r>
    </w:p>
    <w:p>
      <w:pPr>
        <w:pBdr>
          <w:bottom w:val="single" w:color="FFFFFF" w:sz="4" w:space="31"/>
        </w:pBdr>
        <w:autoSpaceDE w:val="0"/>
        <w:spacing w:line="560" w:lineRule="exact"/>
        <w:ind w:firstLine="643" w:firstLineChars="200"/>
        <w:outlineLvl w:val="2"/>
        <w:rPr>
          <w:rFonts w:hint="eastAsia" w:ascii="仿宋_GB2312" w:eastAsia="仿宋_GB2312"/>
          <w:color w:val="auto"/>
          <w:sz w:val="32"/>
          <w:szCs w:val="32"/>
          <w:highlight w:val="none"/>
          <w:lang w:eastAsia="zh-CN"/>
        </w:rPr>
      </w:pPr>
      <w:r>
        <w:rPr>
          <w:rFonts w:hint="eastAsia" w:ascii="仿宋_GB2312" w:hAnsi="_4eff_5b8b_GB2312" w:eastAsia="仿宋_GB2312" w:cs="宋体"/>
          <w:b/>
          <w:color w:val="auto"/>
          <w:kern w:val="0"/>
          <w:sz w:val="32"/>
          <w:szCs w:val="32"/>
          <w:highlight w:val="none"/>
        </w:rPr>
        <w:t>一是</w:t>
      </w:r>
      <w:r>
        <w:rPr>
          <w:rFonts w:hint="eastAsia" w:ascii="仿宋_GB2312" w:hAnsi="_4eff_5b8b_GB2312" w:eastAsia="仿宋_GB2312" w:cs="宋体"/>
          <w:color w:val="auto"/>
          <w:kern w:val="0"/>
          <w:sz w:val="32"/>
          <w:szCs w:val="32"/>
          <w:highlight w:val="none"/>
        </w:rPr>
        <w:t>“8.20”强降雨特大山洪泥石流灾害发生后，我局迅速成立工作组第一时间深入灾区，积极参与抢险救灾的同时做好灾损的收集和分析工作，为下一步工作的开展提供数据支撑；</w:t>
      </w:r>
      <w:r>
        <w:rPr>
          <w:rFonts w:hint="eastAsia" w:ascii="仿宋_GB2312" w:hAnsi="_4eff_5b8b_GB2312" w:eastAsia="仿宋_GB2312" w:cs="宋体"/>
          <w:b/>
          <w:color w:val="auto"/>
          <w:kern w:val="0"/>
          <w:sz w:val="32"/>
          <w:szCs w:val="32"/>
          <w:highlight w:val="none"/>
        </w:rPr>
        <w:t>二是</w:t>
      </w:r>
      <w:r>
        <w:rPr>
          <w:rFonts w:hint="eastAsia" w:ascii="仿宋_GB2312" w:eastAsia="仿宋_GB2312"/>
          <w:color w:val="auto"/>
          <w:sz w:val="32"/>
          <w:szCs w:val="32"/>
          <w:highlight w:val="none"/>
        </w:rPr>
        <w:t>在县“8·20”强降雨特大山洪泥石流灾害抢险救灾指挥部暨善后事宜和灾后重建领导小组的指导下，</w:t>
      </w:r>
      <w:r>
        <w:rPr>
          <w:rFonts w:hint="eastAsia" w:ascii="仿宋_GB2312" w:hAnsi="仿宋_GB2312" w:eastAsia="仿宋_GB2312" w:cs="仿宋_GB2312"/>
          <w:color w:val="auto"/>
          <w:sz w:val="32"/>
          <w:szCs w:val="32"/>
          <w:highlight w:val="none"/>
        </w:rPr>
        <w:t>对标全州“8·20”重建实施方案，</w:t>
      </w:r>
      <w:r>
        <w:rPr>
          <w:rFonts w:hint="eastAsia" w:ascii="仿宋_GB2312" w:eastAsia="仿宋_GB2312"/>
          <w:color w:val="auto"/>
          <w:sz w:val="32"/>
          <w:szCs w:val="32"/>
          <w:highlight w:val="none"/>
        </w:rPr>
        <w:t>牵头编制《汶川县“8·20”强降雨特大山洪泥石流灾害灾后恢复重建实施方案》</w:t>
      </w:r>
      <w:r>
        <w:rPr>
          <w:rFonts w:hint="eastAsia" w:ascii="仿宋_GB2312" w:eastAsia="仿宋_GB2312"/>
          <w:color w:val="auto"/>
          <w:sz w:val="32"/>
          <w:szCs w:val="32"/>
          <w:highlight w:val="none"/>
          <w:lang w:eastAsia="zh-CN"/>
        </w:rPr>
        <w:t>。</w:t>
      </w:r>
    </w:p>
    <w:p>
      <w:pPr>
        <w:pBdr>
          <w:bottom w:val="single" w:color="FFFFFF" w:sz="4" w:space="31"/>
        </w:pBdr>
        <w:autoSpaceDE w:val="0"/>
        <w:spacing w:line="560" w:lineRule="exact"/>
        <w:ind w:firstLine="640" w:firstLineChars="200"/>
        <w:outlineLvl w:val="2"/>
        <w:rPr>
          <w:rFonts w:hint="eastAsia" w:ascii="仿宋" w:hAnsi="仿宋" w:eastAsia="仿宋"/>
          <w:bCs/>
          <w:color w:val="auto"/>
          <w:sz w:val="32"/>
          <w:szCs w:val="32"/>
          <w:highlight w:val="none"/>
        </w:rPr>
      </w:pPr>
      <w:r>
        <w:rPr>
          <w:rFonts w:hint="eastAsia" w:ascii="仿宋_GB2312" w:eastAsia="仿宋_GB2312"/>
          <w:color w:val="auto"/>
          <w:sz w:val="32"/>
          <w:szCs w:val="32"/>
          <w:highlight w:val="none"/>
          <w:lang w:val="en-US" w:eastAsia="zh-CN"/>
        </w:rPr>
        <w:t>9.</w:t>
      </w:r>
      <w:r>
        <w:rPr>
          <w:rFonts w:hint="eastAsia" w:ascii="楷体_GB2312" w:eastAsia="楷体_GB2312"/>
          <w:b/>
          <w:bCs/>
          <w:color w:val="auto"/>
          <w:sz w:val="32"/>
          <w:szCs w:val="32"/>
          <w:highlight w:val="none"/>
        </w:rPr>
        <w:t>以党建为引领，全面提升机关建设</w:t>
      </w:r>
      <w:r>
        <w:rPr>
          <w:rFonts w:hint="eastAsia" w:ascii="楷体_GB2312" w:eastAsia="楷体_GB2312"/>
          <w:b/>
          <w:bCs/>
          <w:color w:val="auto"/>
          <w:sz w:val="32"/>
          <w:szCs w:val="32"/>
          <w:highlight w:val="none"/>
          <w:lang w:eastAsia="zh-CN"/>
        </w:rPr>
        <w:t>。</w:t>
      </w:r>
      <w:r>
        <w:rPr>
          <w:rFonts w:hint="eastAsia" w:ascii="仿宋_GB2312" w:eastAsia="仿宋_GB2312"/>
          <w:b/>
          <w:color w:val="auto"/>
          <w:sz w:val="32"/>
          <w:szCs w:val="32"/>
          <w:highlight w:val="none"/>
        </w:rPr>
        <w:t>提升党建发展质量。</w:t>
      </w:r>
      <w:r>
        <w:rPr>
          <w:rFonts w:hint="eastAsia" w:ascii="仿宋_GB2312" w:eastAsia="仿宋_GB2312"/>
          <w:b/>
          <w:bCs/>
          <w:color w:val="auto"/>
          <w:sz w:val="32"/>
          <w:szCs w:val="32"/>
          <w:highlight w:val="none"/>
        </w:rPr>
        <w:t>一是</w:t>
      </w:r>
      <w:r>
        <w:rPr>
          <w:rFonts w:hint="eastAsia" w:ascii="仿宋_GB2312" w:eastAsia="仿宋_GB2312"/>
          <w:color w:val="auto"/>
          <w:sz w:val="32"/>
          <w:szCs w:val="32"/>
          <w:highlight w:val="none"/>
        </w:rPr>
        <w:t>严格落实党建工作责任制，把“一岗双责”要求落到实处。一手抓本职工作，一手抓意识形态，定期与干部职工开展谈心谈话，不断巩固加强政治思想建设。在完善党组学习制度的同时，进一步完善党组内部议事和决策机制，坚持民主集中制,严格执行个人服从组织、少数服从多数、下级服从上级的工作原则,服从党和组织的工作大局,严格履行“三重一大”事项决策程序,坚持做到讲党性、讲大局,做到公道正派。</w:t>
      </w:r>
    </w:p>
    <w:p>
      <w:pPr>
        <w:pStyle w:val="5"/>
        <w:ind w:firstLine="640" w:firstLineChars="200"/>
        <w:rPr>
          <w:rStyle w:val="28"/>
          <w:b w:val="0"/>
          <w:bCs w:val="0"/>
          <w:color w:val="auto"/>
          <w:highlight w:val="none"/>
        </w:rPr>
      </w:pPr>
      <w:bookmarkStart w:id="18" w:name="_Toc15396601"/>
      <w:bookmarkStart w:id="19" w:name="_Toc15377200"/>
      <w:r>
        <w:rPr>
          <w:rFonts w:hint="eastAsia" w:ascii="黑体" w:eastAsia="黑体"/>
          <w:b w:val="0"/>
          <w:color w:val="auto"/>
          <w:highlight w:val="none"/>
        </w:rPr>
        <w:t>二、</w:t>
      </w:r>
      <w:r>
        <w:rPr>
          <w:rFonts w:hint="eastAsia" w:ascii="黑体" w:hAnsi="黑体" w:eastAsia="黑体"/>
          <w:b w:val="0"/>
          <w:color w:val="auto"/>
          <w:highlight w:val="none"/>
        </w:rPr>
        <w:t>机</w:t>
      </w:r>
      <w:r>
        <w:rPr>
          <w:rStyle w:val="28"/>
          <w:rFonts w:hint="eastAsia" w:ascii="黑体" w:hAnsi="黑体" w:eastAsia="黑体"/>
          <w:b w:val="0"/>
          <w:bCs w:val="0"/>
          <w:color w:val="auto"/>
          <w:highlight w:val="none"/>
        </w:rPr>
        <w:t>构设置</w:t>
      </w:r>
      <w:bookmarkEnd w:id="18"/>
      <w:bookmarkEnd w:id="19"/>
    </w:p>
    <w:p>
      <w:pPr>
        <w:ind w:firstLine="643"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2．机构情况</w:t>
      </w:r>
    </w:p>
    <w:p>
      <w:pPr>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汶川县发展和改革局为一级预算单位，无下属二级单位。</w:t>
      </w:r>
    </w:p>
    <w:p>
      <w:pPr>
        <w:ind w:firstLine="643"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3．人员情况</w:t>
      </w:r>
    </w:p>
    <w:p>
      <w:pPr>
        <w:snapToGrid w:val="0"/>
        <w:spacing w:line="540" w:lineRule="exact"/>
        <w:ind w:firstLine="640" w:firstLineChars="200"/>
        <w:rPr>
          <w:rFonts w:ascii="仿宋_GB2312" w:hAnsi="仿宋" w:eastAsia="仿宋_GB2312"/>
          <w:color w:val="auto"/>
          <w:sz w:val="32"/>
          <w:szCs w:val="32"/>
          <w:highlight w:val="none"/>
        </w:rPr>
      </w:pPr>
      <w:r>
        <w:rPr>
          <w:rFonts w:hint="eastAsia" w:ascii="仿宋_GB2312" w:hAnsi="仿宋_GB2312" w:eastAsia="仿宋_GB2312" w:cs="仿宋_GB2312"/>
          <w:color w:val="auto"/>
          <w:sz w:val="32"/>
          <w:szCs w:val="32"/>
          <w:highlight w:val="none"/>
        </w:rPr>
        <w:t>核定编制事业编</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个。其中</w:t>
      </w:r>
      <w:r>
        <w:rPr>
          <w:rFonts w:hint="eastAsia" w:ascii="仿宋_GB2312" w:hAnsi="仿宋_GB2312" w:eastAsia="仿宋_GB2312" w:cs="仿宋_GB2312"/>
          <w:color w:val="auto"/>
          <w:sz w:val="32"/>
          <w:szCs w:val="32"/>
          <w:highlight w:val="none"/>
          <w:lang w:eastAsia="zh-CN"/>
        </w:rPr>
        <w:t>在岗</w:t>
      </w:r>
      <w:r>
        <w:rPr>
          <w:rFonts w:hint="eastAsia" w:ascii="仿宋_GB2312" w:hAnsi="仿宋_GB2312" w:eastAsia="仿宋_GB2312" w:cs="仿宋_GB2312"/>
          <w:color w:val="auto"/>
          <w:sz w:val="32"/>
          <w:szCs w:val="32"/>
          <w:highlight w:val="none"/>
        </w:rPr>
        <w:t>事业人员</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个。</w:t>
      </w: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4"/>
        <w:ind w:right="440"/>
        <w:jc w:val="right"/>
        <w:rPr>
          <w:rStyle w:val="27"/>
          <w:rFonts w:ascii="黑体" w:hAnsi="黑体" w:eastAsia="黑体"/>
          <w:b w:val="0"/>
          <w:bCs w:val="0"/>
          <w:color w:val="auto"/>
          <w:highlight w:val="none"/>
        </w:rPr>
      </w:pPr>
      <w:bookmarkStart w:id="20" w:name="_Toc15396602"/>
      <w:bookmarkStart w:id="21" w:name="_Toc15377204"/>
      <w:r>
        <w:rPr>
          <w:rFonts w:hint="eastAsia" w:ascii="黑体" w:hAnsi="黑体" w:eastAsia="黑体"/>
          <w:b w:val="0"/>
          <w:color w:val="auto"/>
          <w:highlight w:val="none"/>
        </w:rPr>
        <w:t>第二部分</w:t>
      </w:r>
      <w:r>
        <w:rPr>
          <w:rFonts w:hint="eastAsia" w:ascii="黑体" w:hAnsi="黑体" w:eastAsia="黑体"/>
          <w:color w:val="auto"/>
          <w:highlight w:val="none"/>
        </w:rPr>
        <w:t xml:space="preserve"> </w:t>
      </w:r>
      <w:r>
        <w:rPr>
          <w:rStyle w:val="27"/>
          <w:rFonts w:hint="eastAsia" w:ascii="黑体" w:hAnsi="黑体" w:eastAsia="黑体"/>
          <w:b w:val="0"/>
          <w:bCs w:val="0"/>
          <w:color w:val="auto"/>
          <w:highlight w:val="none"/>
        </w:rPr>
        <w:t>2019年度部门决算情况说明</w:t>
      </w:r>
      <w:bookmarkEnd w:id="20"/>
      <w:bookmarkEnd w:id="21"/>
    </w:p>
    <w:p>
      <w:pPr>
        <w:rPr>
          <w:color w:val="auto"/>
          <w:highlight w:val="none"/>
        </w:rPr>
      </w:pPr>
    </w:p>
    <w:p>
      <w:pPr>
        <w:pStyle w:val="26"/>
        <w:numPr>
          <w:ilvl w:val="0"/>
          <w:numId w:val="3"/>
        </w:numPr>
        <w:spacing w:line="600" w:lineRule="exact"/>
        <w:ind w:firstLineChars="0"/>
        <w:outlineLvl w:val="1"/>
        <w:rPr>
          <w:rStyle w:val="28"/>
          <w:rFonts w:ascii="黑体" w:hAnsi="黑体" w:eastAsia="黑体"/>
          <w:b w:val="0"/>
          <w:color w:val="auto"/>
          <w:highlight w:val="none"/>
        </w:rPr>
      </w:pPr>
      <w:bookmarkStart w:id="22" w:name="_Toc15396603"/>
      <w:bookmarkStart w:id="23" w:name="_Toc15377205"/>
      <w:r>
        <w:rPr>
          <w:rFonts w:hint="eastAsia" w:ascii="黑体" w:hAnsi="黑体" w:eastAsia="黑体"/>
          <w:color w:val="auto"/>
          <w:sz w:val="32"/>
          <w:szCs w:val="32"/>
          <w:highlight w:val="none"/>
        </w:rPr>
        <w:t>收</w:t>
      </w:r>
      <w:r>
        <w:rPr>
          <w:rStyle w:val="28"/>
          <w:rFonts w:hint="eastAsia" w:ascii="黑体" w:hAnsi="黑体" w:eastAsia="黑体"/>
          <w:b w:val="0"/>
          <w:color w:val="auto"/>
          <w:highlight w:val="none"/>
        </w:rPr>
        <w:t>入支出决算总体情况说明</w:t>
      </w:r>
      <w:bookmarkEnd w:id="22"/>
      <w:bookmarkEnd w:id="23"/>
    </w:p>
    <w:p>
      <w:pPr>
        <w:numPr>
          <w:ilvl w:val="0"/>
          <w:numId w:val="0"/>
        </w:numPr>
        <w:pBdr>
          <w:bottom w:val="single" w:color="FFFFFF" w:sz="4" w:space="31"/>
        </w:pBdr>
        <w:autoSpaceDE w:val="0"/>
        <w:spacing w:line="560" w:lineRule="exact"/>
        <w:ind w:firstLine="960" w:firstLineChars="300"/>
        <w:outlineLvl w:val="2"/>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单位</w:t>
      </w:r>
      <w:r>
        <w:rPr>
          <w:rFonts w:hint="eastAsia" w:ascii="仿宋_GB2312" w:hAnsi="仿宋" w:eastAsia="仿宋_GB2312"/>
          <w:color w:val="auto"/>
          <w:sz w:val="32"/>
          <w:szCs w:val="32"/>
          <w:highlight w:val="none"/>
          <w:lang w:val="en-US" w:eastAsia="zh-CN"/>
        </w:rPr>
        <w:t>2019</w:t>
      </w:r>
      <w:r>
        <w:rPr>
          <w:rFonts w:hint="eastAsia" w:ascii="仿宋_GB2312" w:hAnsi="仿宋" w:eastAsia="仿宋_GB2312"/>
          <w:color w:val="auto"/>
          <w:sz w:val="32"/>
          <w:szCs w:val="32"/>
          <w:highlight w:val="none"/>
        </w:rPr>
        <w:t>年度收入</w:t>
      </w:r>
      <w:r>
        <w:rPr>
          <w:rFonts w:hint="eastAsia" w:ascii="仿宋_GB2312" w:hAnsi="仿宋" w:eastAsia="仿宋_GB2312"/>
          <w:color w:val="auto"/>
          <w:sz w:val="32"/>
          <w:szCs w:val="32"/>
          <w:highlight w:val="none"/>
          <w:lang w:val="en-US" w:eastAsia="zh-CN"/>
        </w:rPr>
        <w:t>31.66万</w:t>
      </w:r>
      <w:r>
        <w:rPr>
          <w:rFonts w:hint="eastAsia" w:ascii="仿宋_GB2312" w:hAnsi="仿宋" w:eastAsia="仿宋_GB2312"/>
          <w:color w:val="auto"/>
          <w:sz w:val="32"/>
          <w:szCs w:val="32"/>
          <w:highlight w:val="none"/>
        </w:rPr>
        <w:t>元，上年度收入</w:t>
      </w:r>
      <w:r>
        <w:rPr>
          <w:rFonts w:hint="eastAsia" w:ascii="仿宋_GB2312" w:hAnsi="仿宋" w:eastAsia="仿宋_GB2312"/>
          <w:color w:val="auto"/>
          <w:sz w:val="32"/>
          <w:szCs w:val="32"/>
          <w:highlight w:val="none"/>
          <w:lang w:val="en-US" w:eastAsia="zh-CN"/>
        </w:rPr>
        <w:t>18.02</w:t>
      </w:r>
      <w:r>
        <w:rPr>
          <w:rFonts w:hint="eastAsia" w:ascii="仿宋_GB2312" w:hAnsi="仿宋" w:eastAsia="仿宋_GB2312"/>
          <w:color w:val="auto"/>
          <w:sz w:val="32"/>
          <w:szCs w:val="32"/>
          <w:highlight w:val="none"/>
          <w:lang w:eastAsia="zh-CN"/>
        </w:rPr>
        <w:t>万</w:t>
      </w:r>
      <w:r>
        <w:rPr>
          <w:rFonts w:hint="eastAsia" w:ascii="仿宋_GB2312" w:hAnsi="仿宋" w:eastAsia="仿宋_GB2312"/>
          <w:color w:val="auto"/>
          <w:sz w:val="32"/>
          <w:szCs w:val="32"/>
          <w:highlight w:val="none"/>
        </w:rPr>
        <w:t>元，</w:t>
      </w:r>
      <w:r>
        <w:rPr>
          <w:rFonts w:hint="eastAsia" w:ascii="仿宋_GB2312" w:hAnsi="仿宋" w:eastAsia="仿宋_GB2312"/>
          <w:color w:val="auto"/>
          <w:sz w:val="32"/>
          <w:szCs w:val="32"/>
          <w:highlight w:val="none"/>
          <w:lang w:eastAsia="zh-CN"/>
        </w:rPr>
        <w:t>增加</w:t>
      </w:r>
      <w:r>
        <w:rPr>
          <w:rFonts w:hint="eastAsia" w:ascii="仿宋_GB2312" w:hAnsi="仿宋" w:eastAsia="仿宋_GB2312"/>
          <w:color w:val="auto"/>
          <w:sz w:val="32"/>
          <w:szCs w:val="32"/>
          <w:highlight w:val="none"/>
          <w:lang w:val="en-US" w:eastAsia="zh-CN"/>
        </w:rPr>
        <w:t>13.64万</w:t>
      </w:r>
      <w:r>
        <w:rPr>
          <w:rFonts w:hint="eastAsia" w:ascii="仿宋_GB2312" w:hAnsi="仿宋" w:eastAsia="仿宋_GB2312"/>
          <w:color w:val="auto"/>
          <w:sz w:val="32"/>
          <w:szCs w:val="32"/>
          <w:highlight w:val="none"/>
        </w:rPr>
        <w:t>元。</w:t>
      </w:r>
    </w:p>
    <w:p>
      <w:pPr>
        <w:numPr>
          <w:ilvl w:val="0"/>
          <w:numId w:val="0"/>
        </w:numPr>
        <w:pBdr>
          <w:bottom w:val="single" w:color="FFFFFF" w:sz="4" w:space="31"/>
        </w:pBdr>
        <w:autoSpaceDE w:val="0"/>
        <w:spacing w:line="560" w:lineRule="exact"/>
        <w:ind w:firstLine="960" w:firstLineChars="300"/>
        <w:outlineLvl w:val="2"/>
        <w:rPr>
          <w:rFonts w:hint="eastAsia" w:ascii="仿宋" w:hAnsi="仿宋" w:eastAsia="仿宋"/>
          <w:color w:val="auto"/>
          <w:sz w:val="21"/>
          <w:szCs w:val="21"/>
          <w:highlight w:val="none"/>
        </w:rPr>
      </w:pPr>
      <w:r>
        <w:rPr>
          <w:rFonts w:hint="eastAsia" w:ascii="仿宋_GB2312" w:hAnsi="仿宋" w:eastAsia="仿宋_GB2312"/>
          <w:color w:val="auto"/>
          <w:sz w:val="32"/>
          <w:szCs w:val="32"/>
          <w:highlight w:val="none"/>
          <w:lang w:val="en-US" w:eastAsia="zh-CN"/>
        </w:rPr>
        <w:t>2019</w:t>
      </w:r>
      <w:r>
        <w:rPr>
          <w:rFonts w:hint="eastAsia" w:ascii="仿宋_GB2312" w:hAnsi="仿宋" w:eastAsia="仿宋_GB2312"/>
          <w:color w:val="auto"/>
          <w:sz w:val="32"/>
          <w:szCs w:val="32"/>
          <w:highlight w:val="none"/>
        </w:rPr>
        <w:t>年度支出</w:t>
      </w:r>
      <w:r>
        <w:rPr>
          <w:rFonts w:hint="eastAsia" w:ascii="仿宋_GB2312" w:hAnsi="仿宋" w:eastAsia="仿宋_GB2312"/>
          <w:color w:val="auto"/>
          <w:sz w:val="32"/>
          <w:szCs w:val="32"/>
          <w:highlight w:val="none"/>
          <w:lang w:val="en-US" w:eastAsia="zh-CN"/>
        </w:rPr>
        <w:t>31.66</w:t>
      </w:r>
      <w:r>
        <w:rPr>
          <w:rFonts w:hint="eastAsia" w:ascii="仿宋_GB2312" w:hAnsi="仿宋" w:eastAsia="仿宋_GB2312"/>
          <w:color w:val="auto"/>
          <w:sz w:val="32"/>
          <w:szCs w:val="32"/>
          <w:highlight w:val="none"/>
          <w:lang w:eastAsia="zh-CN"/>
        </w:rPr>
        <w:t>万元</w:t>
      </w:r>
      <w:r>
        <w:rPr>
          <w:rFonts w:hint="eastAsia" w:ascii="仿宋_GB2312" w:hAnsi="仿宋" w:eastAsia="仿宋_GB2312"/>
          <w:color w:val="auto"/>
          <w:sz w:val="32"/>
          <w:szCs w:val="32"/>
          <w:highlight w:val="none"/>
        </w:rPr>
        <w:t>元，上年支出</w:t>
      </w:r>
      <w:r>
        <w:rPr>
          <w:rFonts w:hint="eastAsia" w:ascii="仿宋_GB2312" w:hAnsi="仿宋" w:eastAsia="仿宋_GB2312"/>
          <w:color w:val="auto"/>
          <w:sz w:val="32"/>
          <w:szCs w:val="32"/>
          <w:highlight w:val="none"/>
          <w:lang w:val="en-US" w:eastAsia="zh-CN"/>
        </w:rPr>
        <w:t>18.02</w:t>
      </w:r>
      <w:r>
        <w:rPr>
          <w:rFonts w:hint="eastAsia" w:ascii="仿宋_GB2312" w:hAnsi="仿宋" w:eastAsia="仿宋_GB2312"/>
          <w:color w:val="auto"/>
          <w:sz w:val="32"/>
          <w:szCs w:val="32"/>
          <w:highlight w:val="none"/>
          <w:lang w:eastAsia="zh-CN"/>
        </w:rPr>
        <w:t>万</w:t>
      </w:r>
      <w:r>
        <w:rPr>
          <w:rFonts w:hint="eastAsia" w:ascii="仿宋_GB2312" w:hAnsi="仿宋" w:eastAsia="仿宋_GB2312"/>
          <w:color w:val="auto"/>
          <w:sz w:val="32"/>
          <w:szCs w:val="32"/>
          <w:highlight w:val="none"/>
        </w:rPr>
        <w:t>元，支出比上年</w:t>
      </w:r>
      <w:r>
        <w:rPr>
          <w:rFonts w:hint="eastAsia" w:ascii="仿宋_GB2312" w:hAnsi="仿宋" w:eastAsia="仿宋_GB2312"/>
          <w:color w:val="auto"/>
          <w:sz w:val="32"/>
          <w:szCs w:val="32"/>
          <w:highlight w:val="none"/>
          <w:lang w:eastAsia="zh-CN"/>
        </w:rPr>
        <w:t>增加</w:t>
      </w:r>
      <w:r>
        <w:rPr>
          <w:rFonts w:hint="eastAsia" w:ascii="仿宋_GB2312" w:hAnsi="仿宋" w:eastAsia="仿宋_GB2312"/>
          <w:color w:val="auto"/>
          <w:sz w:val="32"/>
          <w:szCs w:val="32"/>
          <w:highlight w:val="none"/>
          <w:lang w:val="en-US" w:eastAsia="zh-CN"/>
        </w:rPr>
        <w:t>13.64万</w:t>
      </w:r>
      <w:r>
        <w:rPr>
          <w:rFonts w:hint="eastAsia" w:ascii="仿宋_GB2312" w:hAnsi="仿宋" w:eastAsia="仿宋_GB2312"/>
          <w:color w:val="auto"/>
          <w:sz w:val="32"/>
          <w:szCs w:val="32"/>
          <w:highlight w:val="none"/>
        </w:rPr>
        <w:t>元。</w:t>
      </w:r>
    </w:p>
    <w:p>
      <w:pPr>
        <w:numPr>
          <w:ilvl w:val="0"/>
          <w:numId w:val="0"/>
        </w:numPr>
        <w:pBdr>
          <w:bottom w:val="single" w:color="FFFFFF" w:sz="4" w:space="31"/>
        </w:pBdr>
        <w:autoSpaceDE w:val="0"/>
        <w:spacing w:line="560" w:lineRule="exact"/>
        <w:ind w:firstLine="630" w:firstLineChars="300"/>
        <w:jc w:val="center"/>
        <w:outlineLvl w:val="2"/>
        <w:rPr>
          <w:rFonts w:hint="eastAsia" w:ascii="仿宋" w:hAnsi="仿宋" w:eastAsia="仿宋"/>
          <w:color w:val="auto"/>
          <w:sz w:val="21"/>
          <w:szCs w:val="21"/>
          <w:highlight w:val="none"/>
        </w:rPr>
      </w:pPr>
      <w:r>
        <w:rPr>
          <w:color w:val="auto"/>
          <w:highlight w:val="none"/>
        </w:rPr>
        <w:drawing>
          <wp:anchor distT="0" distB="0" distL="114300" distR="114300" simplePos="0" relativeHeight="251663360" behindDoc="0" locked="0" layoutInCell="1" allowOverlap="1">
            <wp:simplePos x="0" y="0"/>
            <wp:positionH relativeFrom="column">
              <wp:posOffset>261620</wp:posOffset>
            </wp:positionH>
            <wp:positionV relativeFrom="paragraph">
              <wp:posOffset>260350</wp:posOffset>
            </wp:positionV>
            <wp:extent cx="5135880" cy="3218815"/>
            <wp:effectExtent l="4445" t="4445" r="22225" b="15240"/>
            <wp:wrapSquare wrapText="bothSides"/>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numPr>
          <w:ilvl w:val="0"/>
          <w:numId w:val="0"/>
        </w:numPr>
        <w:pBdr>
          <w:bottom w:val="single" w:color="FFFFFF" w:sz="4" w:space="31"/>
        </w:pBdr>
        <w:autoSpaceDE w:val="0"/>
        <w:spacing w:line="560" w:lineRule="exact"/>
        <w:ind w:firstLine="630" w:firstLineChars="300"/>
        <w:jc w:val="center"/>
        <w:outlineLvl w:val="2"/>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图</w:t>
      </w:r>
      <w:r>
        <w:rPr>
          <w:rFonts w:ascii="仿宋" w:hAnsi="仿宋" w:eastAsia="仿宋"/>
          <w:color w:val="auto"/>
          <w:sz w:val="21"/>
          <w:szCs w:val="21"/>
          <w:highlight w:val="none"/>
        </w:rPr>
        <w:t>1</w:t>
      </w:r>
    </w:p>
    <w:p>
      <w:pPr>
        <w:spacing w:line="600" w:lineRule="exact"/>
        <w:ind w:firstLine="640" w:firstLineChars="200"/>
        <w:jc w:val="left"/>
        <w:rPr>
          <w:rFonts w:ascii="仿宋_GB2312" w:eastAsia="仿宋_GB2312"/>
          <w:color w:val="auto"/>
          <w:sz w:val="32"/>
          <w:szCs w:val="32"/>
          <w:highlight w:val="none"/>
        </w:rPr>
      </w:pPr>
    </w:p>
    <w:p>
      <w:pPr>
        <w:pStyle w:val="2"/>
        <w:ind w:left="0" w:leftChars="0" w:firstLine="0" w:firstLineChars="0"/>
        <w:rPr>
          <w:rFonts w:ascii="仿宋_GB2312" w:eastAsia="仿宋_GB2312"/>
          <w:color w:val="auto"/>
          <w:sz w:val="32"/>
          <w:szCs w:val="32"/>
          <w:highlight w:val="none"/>
        </w:rPr>
      </w:pPr>
    </w:p>
    <w:p>
      <w:pPr>
        <w:pStyle w:val="26"/>
        <w:numPr>
          <w:ilvl w:val="0"/>
          <w:numId w:val="3"/>
        </w:numPr>
        <w:spacing w:line="600" w:lineRule="exact"/>
        <w:ind w:firstLineChars="0"/>
        <w:outlineLvl w:val="1"/>
        <w:rPr>
          <w:rStyle w:val="28"/>
          <w:rFonts w:ascii="黑体" w:hAnsi="黑体" w:eastAsia="黑体"/>
          <w:b w:val="0"/>
          <w:color w:val="auto"/>
          <w:highlight w:val="none"/>
        </w:rPr>
      </w:pPr>
      <w:bookmarkStart w:id="24" w:name="_Toc15377206"/>
      <w:bookmarkStart w:id="25" w:name="_Toc15396604"/>
      <w:r>
        <w:rPr>
          <w:rFonts w:hint="eastAsia" w:ascii="黑体" w:hAnsi="黑体" w:eastAsia="黑体"/>
          <w:color w:val="auto"/>
          <w:sz w:val="32"/>
          <w:szCs w:val="32"/>
          <w:highlight w:val="none"/>
        </w:rPr>
        <w:t>收</w:t>
      </w:r>
      <w:r>
        <w:rPr>
          <w:rStyle w:val="28"/>
          <w:rFonts w:hint="eastAsia" w:ascii="黑体" w:hAnsi="黑体" w:eastAsia="黑体"/>
          <w:b w:val="0"/>
          <w:color w:val="auto"/>
          <w:highlight w:val="none"/>
        </w:rPr>
        <w:t>入决算情况说明</w:t>
      </w:r>
      <w:bookmarkEnd w:id="24"/>
      <w:bookmarkEnd w:id="25"/>
    </w:p>
    <w:p>
      <w:pPr>
        <w:spacing w:line="600" w:lineRule="exact"/>
        <w:ind w:firstLine="640" w:firstLineChars="200"/>
        <w:outlineLvl w:val="1"/>
        <w:rPr>
          <w:rFonts w:hint="eastAsia" w:ascii="仿宋" w:hAnsi="仿宋" w:eastAsia="仿宋"/>
          <w:color w:val="auto"/>
          <w:sz w:val="32"/>
          <w:szCs w:val="32"/>
          <w:highlight w:val="none"/>
        </w:rPr>
      </w:pPr>
      <w:r>
        <w:rPr>
          <w:rFonts w:ascii="仿宋" w:hAnsi="仿宋" w:eastAsia="仿宋"/>
          <w:color w:val="auto"/>
          <w:sz w:val="32"/>
          <w:szCs w:val="32"/>
          <w:highlight w:val="none"/>
        </w:rPr>
        <w:t>201</w:t>
      </w:r>
      <w:r>
        <w:rPr>
          <w:rFonts w:hint="eastAsia" w:ascii="仿宋" w:hAnsi="仿宋" w:eastAsia="仿宋"/>
          <w:color w:val="auto"/>
          <w:sz w:val="32"/>
          <w:szCs w:val="32"/>
          <w:highlight w:val="none"/>
        </w:rPr>
        <w:t>9年本年收入合计万元，其中：一般公共预算财政拨款收入</w:t>
      </w:r>
      <w:r>
        <w:rPr>
          <w:rFonts w:hint="eastAsia" w:ascii="仿宋" w:hAnsi="仿宋" w:eastAsia="仿宋"/>
          <w:color w:val="auto"/>
          <w:sz w:val="32"/>
          <w:szCs w:val="32"/>
          <w:highlight w:val="none"/>
          <w:lang w:val="en-US" w:eastAsia="zh-CN"/>
        </w:rPr>
        <w:t>31.66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万元；上级补助收入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万元；事业收入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万元；经营收入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万元；附属单位上缴收入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万元；其他收入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p>
    <w:p>
      <w:pPr>
        <w:spacing w:line="600" w:lineRule="exact"/>
        <w:ind w:firstLine="420" w:firstLineChars="200"/>
        <w:jc w:val="center"/>
        <w:outlineLvl w:val="1"/>
        <w:rPr>
          <w:rFonts w:hint="eastAsia"/>
          <w:color w:val="auto"/>
          <w:sz w:val="21"/>
          <w:szCs w:val="21"/>
          <w:highlight w:val="none"/>
          <w:lang w:val="en-US" w:eastAsia="zh-CN"/>
        </w:rPr>
      </w:pPr>
      <w:r>
        <w:rPr>
          <w:color w:val="auto"/>
          <w:sz w:val="21"/>
          <w:szCs w:val="21"/>
          <w:highlight w:val="none"/>
        </w:rPr>
        <w:drawing>
          <wp:anchor distT="0" distB="0" distL="114300" distR="114300" simplePos="0" relativeHeight="251659264" behindDoc="0" locked="0" layoutInCell="1" allowOverlap="1">
            <wp:simplePos x="0" y="0"/>
            <wp:positionH relativeFrom="column">
              <wp:posOffset>215265</wp:posOffset>
            </wp:positionH>
            <wp:positionV relativeFrom="paragraph">
              <wp:posOffset>40005</wp:posOffset>
            </wp:positionV>
            <wp:extent cx="5272405" cy="2146935"/>
            <wp:effectExtent l="4445" t="4445" r="19050" b="20320"/>
            <wp:wrapSquare wrapText="bothSides"/>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color w:val="auto"/>
          <w:sz w:val="21"/>
          <w:szCs w:val="21"/>
          <w:highlight w:val="none"/>
          <w:lang w:eastAsia="zh-CN"/>
        </w:rPr>
        <w:t>图</w:t>
      </w:r>
      <w:r>
        <w:rPr>
          <w:rFonts w:hint="eastAsia"/>
          <w:color w:val="auto"/>
          <w:sz w:val="21"/>
          <w:szCs w:val="21"/>
          <w:highlight w:val="none"/>
          <w:lang w:val="en-US" w:eastAsia="zh-CN"/>
        </w:rPr>
        <w:t>2</w:t>
      </w:r>
    </w:p>
    <w:p>
      <w:pPr>
        <w:pStyle w:val="2"/>
        <w:ind w:left="0" w:leftChars="0" w:firstLine="0" w:firstLineChars="0"/>
        <w:rPr>
          <w:rFonts w:hint="default"/>
          <w:color w:val="auto"/>
          <w:sz w:val="21"/>
          <w:szCs w:val="21"/>
          <w:highlight w:val="none"/>
          <w:lang w:val="en-US" w:eastAsia="zh-CN"/>
        </w:rPr>
      </w:pPr>
    </w:p>
    <w:p>
      <w:pPr>
        <w:pStyle w:val="26"/>
        <w:numPr>
          <w:numId w:val="0"/>
        </w:numPr>
        <w:spacing w:line="600" w:lineRule="exact"/>
        <w:outlineLvl w:val="1"/>
        <w:rPr>
          <w:rStyle w:val="28"/>
          <w:rFonts w:ascii="黑体" w:hAnsi="黑体" w:eastAsia="黑体"/>
          <w:b w:val="0"/>
          <w:color w:val="auto"/>
          <w:highlight w:val="none"/>
        </w:rPr>
      </w:pPr>
      <w:bookmarkStart w:id="26" w:name="_Toc15396605"/>
      <w:bookmarkStart w:id="27" w:name="_Toc15377207"/>
      <w:r>
        <w:rPr>
          <w:rFonts w:hint="eastAsia" w:ascii="黑体" w:hAnsi="黑体" w:eastAsia="黑体"/>
          <w:color w:val="auto"/>
          <w:sz w:val="32"/>
          <w:szCs w:val="32"/>
          <w:highlight w:val="none"/>
          <w:lang w:eastAsia="zh-CN"/>
        </w:rPr>
        <w:t>三、</w:t>
      </w:r>
      <w:r>
        <w:rPr>
          <w:rFonts w:hint="eastAsia" w:ascii="黑体" w:hAnsi="黑体" w:eastAsia="黑体"/>
          <w:color w:val="auto"/>
          <w:sz w:val="32"/>
          <w:szCs w:val="32"/>
          <w:highlight w:val="none"/>
        </w:rPr>
        <w:t>支</w:t>
      </w:r>
      <w:r>
        <w:rPr>
          <w:rStyle w:val="28"/>
          <w:rFonts w:hint="eastAsia" w:ascii="黑体" w:hAnsi="黑体" w:eastAsia="黑体"/>
          <w:b w:val="0"/>
          <w:color w:val="auto"/>
          <w:highlight w:val="none"/>
        </w:rPr>
        <w:t>出决算情况说明</w:t>
      </w:r>
      <w:bookmarkEnd w:id="26"/>
      <w:bookmarkEnd w:id="27"/>
    </w:p>
    <w:p>
      <w:pPr>
        <w:spacing w:line="600" w:lineRule="exact"/>
        <w:ind w:firstLine="420" w:firstLineChars="200"/>
        <w:outlineLvl w:val="1"/>
        <w:rPr>
          <w:rFonts w:hint="eastAsia" w:ascii="仿宋" w:hAnsi="仿宋" w:eastAsia="仿宋"/>
          <w:color w:val="auto"/>
          <w:sz w:val="20"/>
          <w:szCs w:val="20"/>
          <w:highlight w:val="none"/>
          <w:lang w:eastAsia="zh-CN"/>
        </w:rPr>
      </w:pPr>
      <w:r>
        <w:rPr>
          <w:color w:val="auto"/>
          <w:highlight w:val="none"/>
        </w:rPr>
        <w:drawing>
          <wp:anchor distT="0" distB="0" distL="114300" distR="114300" simplePos="0" relativeHeight="251664384" behindDoc="0" locked="0" layoutInCell="1" allowOverlap="1">
            <wp:simplePos x="0" y="0"/>
            <wp:positionH relativeFrom="column">
              <wp:posOffset>154305</wp:posOffset>
            </wp:positionH>
            <wp:positionV relativeFrom="paragraph">
              <wp:posOffset>821690</wp:posOffset>
            </wp:positionV>
            <wp:extent cx="5386070" cy="2096135"/>
            <wp:effectExtent l="4445" t="4445" r="19685" b="13970"/>
            <wp:wrapSquare wrapText="bothSides"/>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ascii="仿宋" w:hAnsi="仿宋" w:eastAsia="仿宋"/>
          <w:color w:val="auto"/>
          <w:sz w:val="32"/>
          <w:szCs w:val="32"/>
          <w:highlight w:val="none"/>
        </w:rPr>
        <w:t>201</w:t>
      </w:r>
      <w:r>
        <w:rPr>
          <w:rFonts w:hint="eastAsia" w:ascii="仿宋" w:hAnsi="仿宋" w:eastAsia="仿宋"/>
          <w:color w:val="auto"/>
          <w:sz w:val="32"/>
          <w:szCs w:val="32"/>
          <w:highlight w:val="none"/>
        </w:rPr>
        <w:t>9年本年支出合计</w:t>
      </w:r>
      <w:r>
        <w:rPr>
          <w:rFonts w:hint="eastAsia" w:ascii="仿宋" w:hAnsi="仿宋" w:eastAsia="仿宋"/>
          <w:color w:val="auto"/>
          <w:sz w:val="32"/>
          <w:szCs w:val="32"/>
          <w:highlight w:val="none"/>
          <w:lang w:val="en-US" w:eastAsia="zh-CN"/>
        </w:rPr>
        <w:t>31.66</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31.66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项目支出</w:t>
      </w:r>
      <w:r>
        <w:rPr>
          <w:rFonts w:hint="eastAsia" w:ascii="仿宋" w:hAnsi="仿宋" w:eastAsia="仿宋"/>
          <w:color w:val="auto"/>
          <w:sz w:val="32"/>
          <w:szCs w:val="32"/>
          <w:highlight w:val="none"/>
          <w:lang w:val="en-US" w:eastAsia="zh-CN"/>
        </w:rPr>
        <w:t>0万元，占0%。</w:t>
      </w:r>
      <w:bookmarkStart w:id="28" w:name="_Toc15396606"/>
      <w:bookmarkStart w:id="29" w:name="_Toc15377208"/>
    </w:p>
    <w:p>
      <w:pPr>
        <w:spacing w:line="600" w:lineRule="exact"/>
        <w:jc w:val="center"/>
        <w:outlineLvl w:val="1"/>
        <w:rPr>
          <w:rFonts w:hint="default" w:ascii="仿宋" w:hAnsi="仿宋" w:eastAsia="仿宋"/>
          <w:color w:val="auto"/>
          <w:sz w:val="20"/>
          <w:szCs w:val="20"/>
          <w:highlight w:val="none"/>
          <w:lang w:val="en-US" w:eastAsia="zh-CN"/>
        </w:rPr>
      </w:pPr>
      <w:r>
        <w:rPr>
          <w:rFonts w:hint="eastAsia" w:ascii="仿宋" w:hAnsi="仿宋" w:eastAsia="仿宋"/>
          <w:color w:val="auto"/>
          <w:sz w:val="20"/>
          <w:szCs w:val="20"/>
          <w:highlight w:val="none"/>
          <w:lang w:eastAsia="zh-CN"/>
        </w:rPr>
        <w:t>图</w:t>
      </w:r>
      <w:r>
        <w:rPr>
          <w:rFonts w:hint="eastAsia" w:ascii="仿宋" w:hAnsi="仿宋" w:eastAsia="仿宋"/>
          <w:color w:val="auto"/>
          <w:sz w:val="20"/>
          <w:szCs w:val="20"/>
          <w:highlight w:val="none"/>
          <w:lang w:val="en-US" w:eastAsia="zh-CN"/>
        </w:rPr>
        <w:t>3</w:t>
      </w:r>
    </w:p>
    <w:p>
      <w:pPr>
        <w:spacing w:line="600" w:lineRule="exact"/>
        <w:ind w:firstLine="640" w:firstLineChars="200"/>
        <w:outlineLvl w:val="1"/>
        <w:rPr>
          <w:rStyle w:val="28"/>
          <w:rFonts w:ascii="黑体" w:hAnsi="黑体" w:eastAsia="黑体"/>
          <w:b w:val="0"/>
          <w:color w:val="auto"/>
          <w:highlight w:val="none"/>
        </w:rPr>
      </w:pPr>
      <w:r>
        <w:rPr>
          <w:rFonts w:hint="eastAsia" w:ascii="黑体" w:hAnsi="黑体" w:eastAsia="黑体"/>
          <w:color w:val="auto"/>
          <w:sz w:val="32"/>
          <w:szCs w:val="32"/>
          <w:highlight w:val="none"/>
        </w:rPr>
        <w:t>四、财</w:t>
      </w:r>
      <w:r>
        <w:rPr>
          <w:rStyle w:val="28"/>
          <w:rFonts w:hint="eastAsia" w:ascii="黑体" w:hAnsi="黑体" w:eastAsia="黑体"/>
          <w:b w:val="0"/>
          <w:color w:val="auto"/>
          <w:highlight w:val="none"/>
        </w:rPr>
        <w:t>政拨款收入支出决算总体情况说明</w:t>
      </w:r>
      <w:bookmarkEnd w:id="28"/>
      <w:bookmarkEnd w:id="29"/>
    </w:p>
    <w:p>
      <w:pPr>
        <w:numPr>
          <w:ilvl w:val="0"/>
          <w:numId w:val="0"/>
        </w:numPr>
        <w:pBdr>
          <w:bottom w:val="single" w:color="FFFFFF" w:sz="4" w:space="31"/>
        </w:pBdr>
        <w:autoSpaceDE w:val="0"/>
        <w:spacing w:line="560" w:lineRule="exact"/>
        <w:ind w:firstLine="960" w:firstLineChars="300"/>
        <w:outlineLvl w:val="2"/>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rPr>
        <w:t>单位</w:t>
      </w:r>
      <w:r>
        <w:rPr>
          <w:rFonts w:hint="eastAsia" w:ascii="仿宋_GB2312" w:hAnsi="仿宋" w:eastAsia="仿宋_GB2312"/>
          <w:color w:val="auto"/>
          <w:sz w:val="32"/>
          <w:szCs w:val="32"/>
          <w:highlight w:val="none"/>
          <w:lang w:val="en-US" w:eastAsia="zh-CN"/>
        </w:rPr>
        <w:t>2019</w:t>
      </w:r>
      <w:r>
        <w:rPr>
          <w:rFonts w:hint="eastAsia" w:ascii="仿宋_GB2312" w:hAnsi="仿宋" w:eastAsia="仿宋_GB2312"/>
          <w:color w:val="auto"/>
          <w:sz w:val="32"/>
          <w:szCs w:val="32"/>
          <w:highlight w:val="none"/>
        </w:rPr>
        <w:t>年度收入</w:t>
      </w:r>
      <w:r>
        <w:rPr>
          <w:rFonts w:hint="eastAsia" w:ascii="仿宋_GB2312" w:hAnsi="仿宋" w:eastAsia="仿宋_GB2312"/>
          <w:color w:val="auto"/>
          <w:sz w:val="32"/>
          <w:szCs w:val="32"/>
          <w:highlight w:val="none"/>
          <w:lang w:val="en-US" w:eastAsia="zh-CN"/>
        </w:rPr>
        <w:t>31.66万</w:t>
      </w:r>
      <w:r>
        <w:rPr>
          <w:rFonts w:hint="eastAsia" w:ascii="仿宋_GB2312" w:hAnsi="仿宋" w:eastAsia="仿宋_GB2312"/>
          <w:color w:val="auto"/>
          <w:sz w:val="32"/>
          <w:szCs w:val="32"/>
          <w:highlight w:val="none"/>
        </w:rPr>
        <w:t>元，上年度收入</w:t>
      </w:r>
      <w:r>
        <w:rPr>
          <w:rFonts w:hint="eastAsia" w:ascii="仿宋_GB2312" w:hAnsi="仿宋" w:eastAsia="仿宋_GB2312"/>
          <w:color w:val="auto"/>
          <w:sz w:val="32"/>
          <w:szCs w:val="32"/>
          <w:highlight w:val="none"/>
          <w:lang w:val="en-US" w:eastAsia="zh-CN"/>
        </w:rPr>
        <w:t>18.02</w:t>
      </w:r>
      <w:r>
        <w:rPr>
          <w:rFonts w:hint="eastAsia" w:ascii="仿宋_GB2312" w:hAnsi="仿宋" w:eastAsia="仿宋_GB2312"/>
          <w:color w:val="auto"/>
          <w:sz w:val="32"/>
          <w:szCs w:val="32"/>
          <w:highlight w:val="none"/>
          <w:lang w:eastAsia="zh-CN"/>
        </w:rPr>
        <w:t>万</w:t>
      </w:r>
      <w:r>
        <w:rPr>
          <w:rFonts w:hint="eastAsia" w:ascii="仿宋_GB2312" w:hAnsi="仿宋" w:eastAsia="仿宋_GB2312"/>
          <w:color w:val="auto"/>
          <w:sz w:val="32"/>
          <w:szCs w:val="32"/>
          <w:highlight w:val="none"/>
        </w:rPr>
        <w:t>元，</w:t>
      </w:r>
      <w:r>
        <w:rPr>
          <w:rFonts w:hint="eastAsia" w:ascii="仿宋_GB2312" w:hAnsi="仿宋" w:eastAsia="仿宋_GB2312"/>
          <w:color w:val="auto"/>
          <w:sz w:val="32"/>
          <w:szCs w:val="32"/>
          <w:highlight w:val="none"/>
          <w:lang w:eastAsia="zh-CN"/>
        </w:rPr>
        <w:t>增加</w:t>
      </w:r>
      <w:r>
        <w:rPr>
          <w:rFonts w:hint="eastAsia" w:ascii="仿宋_GB2312" w:hAnsi="仿宋" w:eastAsia="仿宋_GB2312"/>
          <w:color w:val="auto"/>
          <w:sz w:val="32"/>
          <w:szCs w:val="32"/>
          <w:highlight w:val="none"/>
          <w:lang w:val="en-US" w:eastAsia="zh-CN"/>
        </w:rPr>
        <w:t>13.64万</w:t>
      </w:r>
      <w:r>
        <w:rPr>
          <w:rFonts w:hint="eastAsia" w:ascii="仿宋_GB2312" w:hAnsi="仿宋" w:eastAsia="仿宋_GB2312"/>
          <w:color w:val="auto"/>
          <w:sz w:val="32"/>
          <w:szCs w:val="32"/>
          <w:highlight w:val="none"/>
        </w:rPr>
        <w:t>元。</w:t>
      </w:r>
      <w:r>
        <w:rPr>
          <w:rFonts w:hint="eastAsia" w:ascii="仿宋_GB2312" w:hAnsi="仿宋" w:eastAsia="仿宋_GB2312"/>
          <w:color w:val="auto"/>
          <w:sz w:val="32"/>
          <w:szCs w:val="32"/>
          <w:highlight w:val="none"/>
          <w:lang w:eastAsia="zh-CN"/>
        </w:rPr>
        <w:t>新增人员人员经费、日常公用经费增加。</w:t>
      </w:r>
    </w:p>
    <w:p>
      <w:pPr>
        <w:numPr>
          <w:ilvl w:val="0"/>
          <w:numId w:val="0"/>
        </w:numPr>
        <w:pBdr>
          <w:bottom w:val="single" w:color="FFFFFF" w:sz="4" w:space="31"/>
        </w:pBdr>
        <w:autoSpaceDE w:val="0"/>
        <w:spacing w:line="560" w:lineRule="exact"/>
        <w:ind w:firstLine="960" w:firstLineChars="300"/>
        <w:outlineLvl w:val="2"/>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2019</w:t>
      </w:r>
      <w:r>
        <w:rPr>
          <w:rFonts w:hint="eastAsia" w:ascii="仿宋_GB2312" w:hAnsi="仿宋" w:eastAsia="仿宋_GB2312"/>
          <w:color w:val="auto"/>
          <w:sz w:val="32"/>
          <w:szCs w:val="32"/>
          <w:highlight w:val="none"/>
        </w:rPr>
        <w:t>年度支出</w:t>
      </w:r>
      <w:r>
        <w:rPr>
          <w:rFonts w:hint="eastAsia" w:ascii="仿宋_GB2312" w:hAnsi="仿宋" w:eastAsia="仿宋_GB2312"/>
          <w:color w:val="auto"/>
          <w:sz w:val="32"/>
          <w:szCs w:val="32"/>
          <w:highlight w:val="none"/>
          <w:lang w:val="en-US" w:eastAsia="zh-CN"/>
        </w:rPr>
        <w:t>31.66</w:t>
      </w:r>
      <w:r>
        <w:rPr>
          <w:rFonts w:hint="eastAsia" w:ascii="仿宋_GB2312" w:hAnsi="仿宋" w:eastAsia="仿宋_GB2312"/>
          <w:color w:val="auto"/>
          <w:sz w:val="32"/>
          <w:szCs w:val="32"/>
          <w:highlight w:val="none"/>
          <w:lang w:eastAsia="zh-CN"/>
        </w:rPr>
        <w:t>万元</w:t>
      </w:r>
      <w:r>
        <w:rPr>
          <w:rFonts w:hint="eastAsia" w:ascii="仿宋_GB2312" w:hAnsi="仿宋" w:eastAsia="仿宋_GB2312"/>
          <w:color w:val="auto"/>
          <w:sz w:val="32"/>
          <w:szCs w:val="32"/>
          <w:highlight w:val="none"/>
        </w:rPr>
        <w:t>元，上年支出</w:t>
      </w:r>
      <w:r>
        <w:rPr>
          <w:rFonts w:hint="eastAsia" w:ascii="仿宋_GB2312" w:hAnsi="仿宋" w:eastAsia="仿宋_GB2312"/>
          <w:color w:val="auto"/>
          <w:sz w:val="32"/>
          <w:szCs w:val="32"/>
          <w:highlight w:val="none"/>
          <w:lang w:val="en-US" w:eastAsia="zh-CN"/>
        </w:rPr>
        <w:t>18.02</w:t>
      </w:r>
      <w:r>
        <w:rPr>
          <w:rFonts w:hint="eastAsia" w:ascii="仿宋_GB2312" w:hAnsi="仿宋" w:eastAsia="仿宋_GB2312"/>
          <w:color w:val="auto"/>
          <w:sz w:val="32"/>
          <w:szCs w:val="32"/>
          <w:highlight w:val="none"/>
          <w:lang w:eastAsia="zh-CN"/>
        </w:rPr>
        <w:t>万</w:t>
      </w:r>
      <w:r>
        <w:rPr>
          <w:rFonts w:hint="eastAsia" w:ascii="仿宋_GB2312" w:hAnsi="仿宋" w:eastAsia="仿宋_GB2312"/>
          <w:color w:val="auto"/>
          <w:sz w:val="32"/>
          <w:szCs w:val="32"/>
          <w:highlight w:val="none"/>
        </w:rPr>
        <w:t>元，支出比上年</w:t>
      </w:r>
      <w:r>
        <w:rPr>
          <w:rFonts w:hint="eastAsia" w:ascii="仿宋_GB2312" w:hAnsi="仿宋" w:eastAsia="仿宋_GB2312"/>
          <w:color w:val="auto"/>
          <w:sz w:val="32"/>
          <w:szCs w:val="32"/>
          <w:highlight w:val="none"/>
          <w:lang w:eastAsia="zh-CN"/>
        </w:rPr>
        <w:t>增加</w:t>
      </w:r>
      <w:r>
        <w:rPr>
          <w:rFonts w:hint="eastAsia" w:ascii="仿宋_GB2312" w:hAnsi="仿宋" w:eastAsia="仿宋_GB2312"/>
          <w:color w:val="auto"/>
          <w:sz w:val="32"/>
          <w:szCs w:val="32"/>
          <w:highlight w:val="none"/>
          <w:lang w:val="en-US" w:eastAsia="zh-CN"/>
        </w:rPr>
        <w:t>13.64万</w:t>
      </w:r>
      <w:r>
        <w:rPr>
          <w:rFonts w:hint="eastAsia" w:ascii="仿宋_GB2312" w:hAnsi="仿宋" w:eastAsia="仿宋_GB2312"/>
          <w:color w:val="auto"/>
          <w:sz w:val="32"/>
          <w:szCs w:val="32"/>
          <w:highlight w:val="none"/>
        </w:rPr>
        <w:t>元。</w:t>
      </w:r>
      <w:r>
        <w:rPr>
          <w:rFonts w:hint="eastAsia" w:ascii="仿宋_GB2312" w:hAnsi="仿宋" w:eastAsia="仿宋_GB2312"/>
          <w:color w:val="auto"/>
          <w:sz w:val="32"/>
          <w:szCs w:val="32"/>
          <w:highlight w:val="none"/>
          <w:lang w:eastAsia="zh-CN"/>
        </w:rPr>
        <w:t>新增人员人员经费、日常公用经费增加。</w:t>
      </w:r>
    </w:p>
    <w:p>
      <w:pPr>
        <w:pStyle w:val="10"/>
        <w:rPr>
          <w:rFonts w:hint="eastAsia"/>
          <w:color w:val="auto"/>
          <w:highlight w:val="none"/>
          <w:lang w:val="en-US" w:eastAsia="zh-CN"/>
        </w:rPr>
      </w:pPr>
    </w:p>
    <w:p>
      <w:pPr>
        <w:spacing w:line="600" w:lineRule="exact"/>
        <w:ind w:firstLine="640" w:firstLineChars="200"/>
        <w:outlineLvl w:val="1"/>
        <w:rPr>
          <w:rStyle w:val="28"/>
          <w:rFonts w:ascii="黑体" w:hAnsi="黑体" w:eastAsia="黑体"/>
          <w:b w:val="0"/>
          <w:color w:val="auto"/>
          <w:highlight w:val="none"/>
        </w:rPr>
      </w:pPr>
      <w:bookmarkStart w:id="30" w:name="_Toc15377209"/>
      <w:bookmarkStart w:id="31"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8"/>
          <w:rFonts w:hint="eastAsia" w:ascii="黑体" w:hAnsi="黑体" w:eastAsia="黑体"/>
          <w:b w:val="0"/>
          <w:color w:val="auto"/>
          <w:highlight w:val="none"/>
        </w:rPr>
        <w:t>般公共预算财政拨款支出决算情况说明</w:t>
      </w:r>
      <w:bookmarkEnd w:id="30"/>
      <w:bookmarkEnd w:id="31"/>
    </w:p>
    <w:p>
      <w:pPr>
        <w:spacing w:line="600" w:lineRule="exact"/>
        <w:ind w:firstLine="643" w:firstLineChars="200"/>
        <w:outlineLvl w:val="2"/>
        <w:rPr>
          <w:rFonts w:ascii="仿宋" w:hAnsi="仿宋" w:eastAsia="仿宋"/>
          <w:b/>
          <w:color w:val="auto"/>
          <w:sz w:val="32"/>
          <w:szCs w:val="32"/>
          <w:highlight w:val="none"/>
        </w:rPr>
      </w:pPr>
      <w:bookmarkStart w:id="32" w:name="_Toc15377210"/>
      <w:r>
        <w:rPr>
          <w:rFonts w:hint="eastAsia" w:ascii="仿宋" w:hAnsi="仿宋" w:eastAsia="仿宋"/>
          <w:b/>
          <w:color w:val="auto"/>
          <w:sz w:val="32"/>
          <w:szCs w:val="32"/>
          <w:highlight w:val="none"/>
        </w:rPr>
        <w:t>（一）一般公共预算财政拨款支出决算总体情况</w:t>
      </w:r>
      <w:bookmarkEnd w:id="32"/>
    </w:p>
    <w:p>
      <w:pPr>
        <w:spacing w:line="600" w:lineRule="exact"/>
        <w:ind w:firstLine="640" w:firstLineChars="200"/>
        <w:rPr>
          <w:rFonts w:hint="eastAsia" w:ascii="仿宋" w:hAnsi="仿宋" w:eastAsia="仿宋"/>
          <w:color w:val="auto"/>
          <w:sz w:val="32"/>
          <w:szCs w:val="32"/>
          <w:highlight w:val="none"/>
        </w:rPr>
      </w:pPr>
      <w:r>
        <w:rPr>
          <w:rFonts w:ascii="仿宋" w:hAnsi="仿宋" w:eastAsia="仿宋"/>
          <w:color w:val="auto"/>
          <w:sz w:val="32"/>
          <w:szCs w:val="32"/>
          <w:highlight w:val="none"/>
        </w:rPr>
        <w:t>201</w:t>
      </w:r>
      <w:r>
        <w:rPr>
          <w:rFonts w:hint="eastAsia" w:ascii="仿宋" w:hAnsi="仿宋" w:eastAsia="仿宋"/>
          <w:color w:val="auto"/>
          <w:sz w:val="32"/>
          <w:szCs w:val="32"/>
          <w:highlight w:val="none"/>
        </w:rPr>
        <w:t>9年一般公共预算财政拨款支出</w:t>
      </w:r>
      <w:r>
        <w:rPr>
          <w:rFonts w:hint="eastAsia" w:ascii="仿宋" w:hAnsi="仿宋" w:eastAsia="仿宋"/>
          <w:color w:val="auto"/>
          <w:sz w:val="32"/>
          <w:szCs w:val="32"/>
          <w:highlight w:val="none"/>
          <w:lang w:val="en-US" w:eastAsia="zh-CN"/>
        </w:rPr>
        <w:t>31.66</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201</w:t>
      </w:r>
      <w:r>
        <w:rPr>
          <w:rFonts w:hint="eastAsia" w:ascii="仿宋" w:hAnsi="仿宋" w:eastAsia="仿宋"/>
          <w:color w:val="auto"/>
          <w:sz w:val="32"/>
          <w:szCs w:val="32"/>
          <w:highlight w:val="none"/>
        </w:rPr>
        <w:t>8年一般公共预算财政拨款支出</w:t>
      </w:r>
      <w:r>
        <w:rPr>
          <w:rFonts w:hint="eastAsia" w:ascii="仿宋_GB2312" w:hAnsi="仿宋" w:eastAsia="仿宋_GB2312"/>
          <w:color w:val="auto"/>
          <w:sz w:val="32"/>
          <w:szCs w:val="32"/>
          <w:highlight w:val="none"/>
          <w:lang w:val="en-US" w:eastAsia="zh-CN"/>
        </w:rPr>
        <w:t>18.02</w:t>
      </w:r>
      <w:r>
        <w:rPr>
          <w:rFonts w:hint="eastAsia" w:ascii="仿宋_GB2312" w:hAnsi="仿宋" w:eastAsia="仿宋_GB2312"/>
          <w:color w:val="auto"/>
          <w:sz w:val="32"/>
          <w:szCs w:val="32"/>
          <w:highlight w:val="none"/>
          <w:lang w:eastAsia="zh-CN"/>
        </w:rPr>
        <w:t>万</w:t>
      </w:r>
      <w:r>
        <w:rPr>
          <w:rFonts w:hint="eastAsia" w:ascii="仿宋_GB2312" w:hAnsi="仿宋" w:eastAsia="仿宋_GB2312"/>
          <w:color w:val="auto"/>
          <w:sz w:val="32"/>
          <w:szCs w:val="32"/>
          <w:highlight w:val="none"/>
        </w:rPr>
        <w:t>元</w:t>
      </w:r>
      <w:r>
        <w:rPr>
          <w:rFonts w:hint="eastAsia" w:ascii="仿宋" w:hAnsi="仿宋" w:eastAsia="仿宋"/>
          <w:color w:val="auto"/>
          <w:sz w:val="32"/>
          <w:szCs w:val="32"/>
          <w:highlight w:val="none"/>
        </w:rPr>
        <w:t>相比，一般公共预算财政拨款</w:t>
      </w:r>
      <w:r>
        <w:rPr>
          <w:rFonts w:hint="eastAsia" w:ascii="仿宋" w:hAnsi="仿宋" w:eastAsia="仿宋"/>
          <w:color w:val="auto"/>
          <w:sz w:val="32"/>
          <w:szCs w:val="32"/>
          <w:highlight w:val="none"/>
          <w:lang w:eastAsia="zh-CN"/>
        </w:rPr>
        <w:t>支出</w:t>
      </w:r>
      <w:r>
        <w:rPr>
          <w:rFonts w:hint="eastAsia" w:ascii="仿宋_GB2312" w:hAnsi="仿宋" w:eastAsia="仿宋_GB2312"/>
          <w:color w:val="auto"/>
          <w:sz w:val="32"/>
          <w:szCs w:val="32"/>
          <w:highlight w:val="none"/>
          <w:lang w:eastAsia="zh-CN"/>
        </w:rPr>
        <w:t>增加</w:t>
      </w:r>
      <w:r>
        <w:rPr>
          <w:rFonts w:hint="eastAsia" w:ascii="仿宋_GB2312" w:hAnsi="仿宋" w:eastAsia="仿宋_GB2312"/>
          <w:color w:val="auto"/>
          <w:sz w:val="32"/>
          <w:szCs w:val="32"/>
          <w:highlight w:val="none"/>
          <w:lang w:val="en-US" w:eastAsia="zh-CN"/>
        </w:rPr>
        <w:t>13.64万</w:t>
      </w:r>
      <w:r>
        <w:rPr>
          <w:rFonts w:hint="eastAsia" w:ascii="仿宋_GB2312" w:hAnsi="仿宋" w:eastAsia="仿宋_GB2312"/>
          <w:color w:val="auto"/>
          <w:sz w:val="32"/>
          <w:szCs w:val="32"/>
          <w:highlight w:val="none"/>
        </w:rPr>
        <w:t>元</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增加</w:t>
      </w:r>
      <w:r>
        <w:rPr>
          <w:rFonts w:hint="eastAsia" w:ascii="仿宋" w:hAnsi="仿宋" w:eastAsia="仿宋"/>
          <w:color w:val="auto"/>
          <w:sz w:val="32"/>
          <w:szCs w:val="32"/>
          <w:highlight w:val="none"/>
          <w:lang w:val="en-US" w:eastAsia="zh-CN"/>
        </w:rPr>
        <w:t>75.69</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2"/>
        <w:jc w:val="center"/>
        <w:rPr>
          <w:rFonts w:ascii="仿宋" w:hAnsi="仿宋" w:eastAsia="仿宋"/>
          <w:color w:val="auto"/>
          <w:sz w:val="28"/>
          <w:szCs w:val="28"/>
          <w:highlight w:val="none"/>
        </w:rPr>
      </w:pPr>
      <w:r>
        <w:rPr>
          <w:color w:val="auto"/>
          <w:highlight w:val="none"/>
        </w:rPr>
        <w:drawing>
          <wp:inline distT="0" distB="0" distL="114300" distR="114300">
            <wp:extent cx="4996815" cy="2248535"/>
            <wp:effectExtent l="4445" t="4445" r="8890" b="13970"/>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hint="eastAsia" w:ascii="仿宋" w:hAnsi="仿宋" w:eastAsia="仿宋"/>
          <w:color w:val="auto"/>
          <w:sz w:val="28"/>
          <w:szCs w:val="28"/>
          <w:highlight w:val="none"/>
        </w:rPr>
        <w:t>图5</w:t>
      </w:r>
    </w:p>
    <w:p>
      <w:pPr>
        <w:spacing w:line="600" w:lineRule="exact"/>
        <w:ind w:firstLine="643" w:firstLineChars="200"/>
        <w:outlineLvl w:val="2"/>
        <w:rPr>
          <w:rFonts w:ascii="仿宋" w:hAnsi="仿宋" w:eastAsia="仿宋"/>
          <w:b/>
          <w:color w:val="auto"/>
          <w:sz w:val="32"/>
          <w:szCs w:val="32"/>
          <w:highlight w:val="none"/>
        </w:rPr>
      </w:pPr>
      <w:bookmarkStart w:id="33" w:name="_Toc15377211"/>
      <w:r>
        <w:rPr>
          <w:rFonts w:hint="eastAsia" w:ascii="仿宋" w:hAnsi="仿宋" w:eastAsia="仿宋"/>
          <w:b/>
          <w:color w:val="auto"/>
          <w:sz w:val="32"/>
          <w:szCs w:val="32"/>
          <w:highlight w:val="none"/>
        </w:rPr>
        <w:t>（二）一般公共预算财政拨款支出决算结构情况</w:t>
      </w:r>
      <w:bookmarkEnd w:id="33"/>
    </w:p>
    <w:p>
      <w:pPr>
        <w:spacing w:line="600" w:lineRule="exact"/>
        <w:ind w:firstLine="640"/>
        <w:rPr>
          <w:rFonts w:hint="eastAsia" w:ascii="仿宋" w:hAnsi="仿宋" w:eastAsia="仿宋"/>
          <w:color w:val="auto"/>
          <w:sz w:val="28"/>
          <w:szCs w:val="28"/>
          <w:highlight w:val="none"/>
          <w:lang w:eastAsia="zh-CN"/>
        </w:rPr>
      </w:pPr>
      <w:r>
        <w:rPr>
          <w:rFonts w:ascii="仿宋" w:hAnsi="仿宋" w:eastAsia="仿宋"/>
          <w:color w:val="auto"/>
          <w:sz w:val="32"/>
          <w:szCs w:val="32"/>
          <w:highlight w:val="none"/>
        </w:rPr>
        <w:t>201</w:t>
      </w:r>
      <w:r>
        <w:rPr>
          <w:rFonts w:hint="eastAsia" w:ascii="仿宋" w:hAnsi="仿宋" w:eastAsia="仿宋"/>
          <w:color w:val="auto"/>
          <w:sz w:val="32"/>
          <w:szCs w:val="32"/>
          <w:highlight w:val="none"/>
        </w:rPr>
        <w:t>9年一般公共预算财政拨款支出</w:t>
      </w:r>
      <w:r>
        <w:rPr>
          <w:rFonts w:hint="eastAsia" w:ascii="仿宋" w:hAnsi="仿宋" w:eastAsia="仿宋"/>
          <w:color w:val="auto"/>
          <w:sz w:val="32"/>
          <w:szCs w:val="32"/>
          <w:highlight w:val="none"/>
          <w:lang w:val="en-US" w:eastAsia="zh-CN"/>
        </w:rPr>
        <w:t>31.66</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23.57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74.45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3.46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10.92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b/>
          <w:bCs/>
          <w:color w:val="auto"/>
          <w:sz w:val="32"/>
          <w:szCs w:val="32"/>
          <w:highlight w:val="none"/>
          <w:lang w:val="en-US" w:eastAsia="zh-CN"/>
        </w:rPr>
        <w:t>2.1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6.63</w:t>
      </w:r>
      <w:r>
        <w:rPr>
          <w:rFonts w:ascii="仿宋" w:hAnsi="仿宋" w:eastAsia="仿宋"/>
          <w:color w:val="auto"/>
          <w:sz w:val="32"/>
          <w:szCs w:val="32"/>
          <w:highlight w:val="none"/>
        </w:rPr>
        <w:t>%</w:t>
      </w:r>
      <w:r>
        <w:rPr>
          <w:rFonts w:hint="eastAsia" w:ascii="仿宋" w:hAnsi="仿宋" w:eastAsia="仿宋"/>
          <w:color w:val="auto"/>
          <w:sz w:val="32"/>
          <w:szCs w:val="32"/>
          <w:highlight w:val="none"/>
        </w:rPr>
        <w:t>；住房保障支出</w:t>
      </w:r>
      <w:r>
        <w:rPr>
          <w:rFonts w:hint="eastAsia" w:ascii="仿宋" w:hAnsi="仿宋" w:eastAsia="仿宋"/>
          <w:color w:val="auto"/>
          <w:sz w:val="32"/>
          <w:szCs w:val="32"/>
          <w:highlight w:val="none"/>
          <w:lang w:val="en-US" w:eastAsia="zh-CN"/>
        </w:rPr>
        <w:t>2.53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 xml:space="preserve"> </w:t>
      </w:r>
    </w:p>
    <w:p>
      <w:pPr>
        <w:spacing w:line="600" w:lineRule="exact"/>
        <w:jc w:val="center"/>
        <w:rPr>
          <w:rFonts w:ascii="仿宋" w:hAnsi="仿宋" w:eastAsia="仿宋"/>
          <w:color w:val="auto"/>
          <w:sz w:val="28"/>
          <w:szCs w:val="28"/>
          <w:highlight w:val="none"/>
        </w:rPr>
      </w:pPr>
      <w:bookmarkStart w:id="68" w:name="_GoBack"/>
      <w:r>
        <w:rPr>
          <w:color w:val="auto"/>
          <w:highlight w:val="none"/>
        </w:rPr>
        <w:drawing>
          <wp:anchor distT="0" distB="0" distL="114300" distR="114300" simplePos="0" relativeHeight="251679744" behindDoc="0" locked="0" layoutInCell="1" allowOverlap="1">
            <wp:simplePos x="0" y="0"/>
            <wp:positionH relativeFrom="column">
              <wp:posOffset>233680</wp:posOffset>
            </wp:positionH>
            <wp:positionV relativeFrom="paragraph">
              <wp:posOffset>95885</wp:posOffset>
            </wp:positionV>
            <wp:extent cx="5363210" cy="2643505"/>
            <wp:effectExtent l="4445" t="4445" r="23495" b="19050"/>
            <wp:wrapSquare wrapText="bothSides"/>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bookmarkEnd w:id="68"/>
      <w:r>
        <w:rPr>
          <w:rFonts w:hint="eastAsia" w:ascii="仿宋" w:hAnsi="仿宋" w:eastAsia="仿宋"/>
          <w:color w:val="auto"/>
          <w:sz w:val="28"/>
          <w:szCs w:val="28"/>
          <w:highlight w:val="none"/>
          <w:lang w:eastAsia="zh-CN"/>
        </w:rPr>
        <w:t>图</w:t>
      </w:r>
      <w:r>
        <w:rPr>
          <w:rFonts w:hint="eastAsia" w:ascii="仿宋" w:hAnsi="仿宋" w:eastAsia="仿宋"/>
          <w:color w:val="auto"/>
          <w:sz w:val="28"/>
          <w:szCs w:val="28"/>
          <w:highlight w:val="none"/>
        </w:rPr>
        <w:t>6</w:t>
      </w:r>
    </w:p>
    <w:p>
      <w:pPr>
        <w:spacing w:line="600" w:lineRule="exact"/>
        <w:ind w:firstLine="643" w:firstLineChars="200"/>
        <w:outlineLvl w:val="2"/>
        <w:rPr>
          <w:rFonts w:ascii="仿宋" w:hAnsi="仿宋" w:eastAsia="仿宋"/>
          <w:b/>
          <w:color w:val="auto"/>
          <w:sz w:val="32"/>
          <w:szCs w:val="32"/>
          <w:highlight w:val="none"/>
        </w:rPr>
      </w:pPr>
      <w:bookmarkStart w:id="34" w:name="_Toc15377212"/>
      <w:r>
        <w:rPr>
          <w:rFonts w:hint="eastAsia" w:ascii="仿宋" w:hAnsi="仿宋" w:eastAsia="仿宋"/>
          <w:b/>
          <w:color w:val="auto"/>
          <w:sz w:val="32"/>
          <w:szCs w:val="32"/>
          <w:highlight w:val="none"/>
        </w:rPr>
        <w:t>（三）一般公共预算财政拨款支出决算具体情况</w:t>
      </w:r>
      <w:bookmarkEnd w:id="34"/>
    </w:p>
    <w:p>
      <w:pPr>
        <w:spacing w:line="600" w:lineRule="exact"/>
        <w:ind w:firstLine="643" w:firstLineChars="200"/>
        <w:rPr>
          <w:rFonts w:ascii="仿宋" w:hAnsi="仿宋" w:eastAsia="仿宋"/>
          <w:b/>
          <w:color w:val="auto"/>
          <w:sz w:val="32"/>
          <w:szCs w:val="32"/>
          <w:highlight w:val="none"/>
        </w:rPr>
      </w:pPr>
      <w:r>
        <w:rPr>
          <w:rStyle w:val="17"/>
          <w:rFonts w:ascii="仿宋" w:hAnsi="仿宋" w:eastAsia="仿宋"/>
          <w:bCs/>
          <w:color w:val="auto"/>
          <w:sz w:val="32"/>
          <w:szCs w:val="32"/>
          <w:highlight w:val="none"/>
        </w:rPr>
        <w:t>1.</w:t>
      </w:r>
      <w:r>
        <w:rPr>
          <w:rStyle w:val="17"/>
          <w:rFonts w:hint="eastAsia" w:ascii="仿宋" w:hAnsi="仿宋" w:eastAsia="仿宋"/>
          <w:bCs/>
          <w:color w:val="auto"/>
          <w:sz w:val="32"/>
          <w:szCs w:val="32"/>
          <w:highlight w:val="none"/>
        </w:rPr>
        <w:t>一般公共服务（类）</w:t>
      </w:r>
      <w:r>
        <w:rPr>
          <w:rStyle w:val="17"/>
          <w:rFonts w:hint="eastAsia" w:ascii="仿宋" w:hAnsi="仿宋" w:eastAsia="仿宋"/>
          <w:bCs/>
          <w:color w:val="auto"/>
          <w:sz w:val="32"/>
          <w:szCs w:val="32"/>
          <w:highlight w:val="none"/>
          <w:lang w:val="en-US" w:eastAsia="zh-CN"/>
        </w:rPr>
        <w:t>2010450事业运行</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Fonts w:hint="eastAsia" w:ascii="仿宋" w:hAnsi="仿宋" w:eastAsia="仿宋"/>
          <w:color w:val="auto"/>
          <w:sz w:val="32"/>
          <w:szCs w:val="32"/>
          <w:highlight w:val="none"/>
          <w:lang w:val="en-US" w:eastAsia="zh-CN"/>
        </w:rPr>
        <w:t>23.57</w:t>
      </w:r>
      <w:r>
        <w:rPr>
          <w:rFonts w:hint="eastAsia" w:ascii="仿宋" w:hAnsi="仿宋" w:eastAsia="仿宋"/>
          <w:color w:val="auto"/>
          <w:sz w:val="32"/>
          <w:szCs w:val="32"/>
          <w:highlight w:val="none"/>
        </w:rPr>
        <w:t>万元</w:t>
      </w:r>
      <w:r>
        <w:rPr>
          <w:rStyle w:val="17"/>
          <w:rFonts w:hint="eastAsia" w:ascii="仿宋" w:hAnsi="仿宋" w:eastAsia="仿宋"/>
          <w:b w:val="0"/>
          <w:bCs/>
          <w:color w:val="auto"/>
          <w:sz w:val="32"/>
          <w:szCs w:val="32"/>
          <w:highlight w:val="none"/>
        </w:rPr>
        <w:t>，完成预算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w:t>
      </w:r>
      <w:r>
        <w:rPr>
          <w:rStyle w:val="17"/>
          <w:rFonts w:hint="eastAsia" w:ascii="仿宋" w:hAnsi="仿宋" w:eastAsia="仿宋"/>
          <w:b w:val="0"/>
          <w:bCs/>
          <w:color w:val="auto"/>
          <w:sz w:val="32"/>
          <w:szCs w:val="32"/>
          <w:highlight w:val="none"/>
          <w:lang w:eastAsia="zh-CN"/>
        </w:rPr>
        <w:t>等于</w:t>
      </w:r>
      <w:r>
        <w:rPr>
          <w:rStyle w:val="17"/>
          <w:rFonts w:hint="eastAsia" w:ascii="仿宋" w:hAnsi="仿宋" w:eastAsia="仿宋"/>
          <w:b w:val="0"/>
          <w:bCs/>
          <w:color w:val="auto"/>
          <w:sz w:val="32"/>
          <w:szCs w:val="32"/>
          <w:highlight w:val="none"/>
        </w:rPr>
        <w:t>预算数。</w:t>
      </w:r>
    </w:p>
    <w:p>
      <w:pPr>
        <w:spacing w:line="600" w:lineRule="exact"/>
        <w:ind w:firstLine="643" w:firstLineChars="200"/>
        <w:rPr>
          <w:rFonts w:ascii="仿宋" w:hAnsi="仿宋" w:eastAsia="仿宋"/>
          <w:b/>
          <w:color w:val="auto"/>
          <w:sz w:val="32"/>
          <w:szCs w:val="32"/>
          <w:highlight w:val="none"/>
        </w:rPr>
      </w:pPr>
      <w:r>
        <w:rPr>
          <w:rStyle w:val="17"/>
          <w:rFonts w:hint="eastAsia" w:ascii="仿宋" w:hAnsi="仿宋" w:eastAsia="仿宋"/>
          <w:bCs/>
          <w:color w:val="auto"/>
          <w:sz w:val="32"/>
          <w:szCs w:val="32"/>
          <w:highlight w:val="none"/>
          <w:lang w:val="en-US" w:eastAsia="zh-CN"/>
        </w:rPr>
        <w:t>2</w:t>
      </w:r>
      <w:r>
        <w:rPr>
          <w:rStyle w:val="17"/>
          <w:rFonts w:ascii="仿宋" w:hAnsi="仿宋" w:eastAsia="仿宋"/>
          <w:bCs/>
          <w:color w:val="auto"/>
          <w:sz w:val="32"/>
          <w:szCs w:val="32"/>
          <w:highlight w:val="none"/>
        </w:rPr>
        <w:t>.</w:t>
      </w:r>
      <w:r>
        <w:rPr>
          <w:rStyle w:val="17"/>
          <w:rFonts w:hint="eastAsia" w:ascii="仿宋" w:hAnsi="仿宋" w:eastAsia="仿宋"/>
          <w:bCs/>
          <w:color w:val="auto"/>
          <w:sz w:val="32"/>
          <w:szCs w:val="32"/>
          <w:highlight w:val="none"/>
        </w:rPr>
        <w:t>社会保障和就业（类）</w:t>
      </w:r>
      <w:r>
        <w:rPr>
          <w:rStyle w:val="17"/>
          <w:rFonts w:hint="eastAsia" w:ascii="仿宋_GB2312" w:hAnsi="仿宋_GB2312" w:eastAsia="仿宋_GB2312" w:cs="仿宋_GB2312"/>
          <w:b w:val="0"/>
          <w:bCs/>
          <w:color w:val="auto"/>
          <w:sz w:val="32"/>
          <w:szCs w:val="32"/>
          <w:highlight w:val="none"/>
        </w:rPr>
        <w:t>2080505机关事业单位基本养老保险缴费</w:t>
      </w:r>
      <w:r>
        <w:rPr>
          <w:rStyle w:val="17"/>
          <w:rFonts w:hint="eastAsia" w:ascii="仿宋_GB2312" w:hAnsi="仿宋_GB2312" w:eastAsia="仿宋_GB2312" w:cs="仿宋_GB2312"/>
          <w:b w:val="0"/>
          <w:bCs/>
          <w:color w:val="auto"/>
          <w:sz w:val="32"/>
          <w:szCs w:val="32"/>
          <w:highlight w:val="none"/>
          <w:lang w:eastAsia="zh-CN"/>
        </w:rPr>
        <w:t>、</w:t>
      </w:r>
      <w:r>
        <w:rPr>
          <w:rStyle w:val="17"/>
          <w:rFonts w:hint="eastAsia" w:ascii="仿宋_GB2312" w:hAnsi="仿宋_GB2312" w:eastAsia="仿宋_GB2312" w:cs="仿宋_GB2312"/>
          <w:b w:val="0"/>
          <w:bCs/>
          <w:color w:val="auto"/>
          <w:sz w:val="32"/>
          <w:szCs w:val="32"/>
          <w:highlight w:val="none"/>
        </w:rPr>
        <w:t>2080506机关事业单位职业年金</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Fonts w:hint="eastAsia" w:ascii="仿宋" w:hAnsi="仿宋" w:eastAsia="仿宋"/>
          <w:color w:val="auto"/>
          <w:sz w:val="32"/>
          <w:szCs w:val="32"/>
          <w:highlight w:val="none"/>
          <w:lang w:val="en-US" w:eastAsia="zh-CN"/>
        </w:rPr>
        <w:t>3.46</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w:t>
      </w:r>
      <w:r>
        <w:rPr>
          <w:rStyle w:val="17"/>
          <w:rFonts w:hint="eastAsia" w:ascii="仿宋" w:hAnsi="仿宋" w:eastAsia="仿宋"/>
          <w:b w:val="0"/>
          <w:bCs/>
          <w:color w:val="auto"/>
          <w:sz w:val="32"/>
          <w:szCs w:val="32"/>
          <w:highlight w:val="none"/>
          <w:lang w:eastAsia="zh-CN"/>
        </w:rPr>
        <w:t>等于</w:t>
      </w:r>
      <w:r>
        <w:rPr>
          <w:rStyle w:val="17"/>
          <w:rFonts w:hint="eastAsia" w:ascii="仿宋" w:hAnsi="仿宋" w:eastAsia="仿宋"/>
          <w:b w:val="0"/>
          <w:bCs/>
          <w:color w:val="auto"/>
          <w:sz w:val="32"/>
          <w:szCs w:val="32"/>
          <w:highlight w:val="none"/>
        </w:rPr>
        <w:t>预算数。</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bCs/>
          <w:color w:val="auto"/>
          <w:sz w:val="32"/>
          <w:szCs w:val="32"/>
          <w:highlight w:val="none"/>
          <w:lang w:val="en-US" w:eastAsia="zh-CN"/>
        </w:rPr>
        <w:t>3</w:t>
      </w:r>
      <w:r>
        <w:rPr>
          <w:rFonts w:hint="eastAsia" w:ascii="仿宋" w:hAnsi="仿宋" w:eastAsia="仿宋"/>
          <w:b/>
          <w:bCs/>
          <w:color w:val="auto"/>
          <w:sz w:val="32"/>
          <w:szCs w:val="32"/>
          <w:highlight w:val="none"/>
        </w:rPr>
        <w:t>卫生健康</w:t>
      </w:r>
      <w:r>
        <w:rPr>
          <w:rStyle w:val="17"/>
          <w:rFonts w:hint="eastAsia" w:ascii="仿宋" w:hAnsi="仿宋" w:eastAsia="仿宋"/>
          <w:bCs/>
          <w:color w:val="auto"/>
          <w:sz w:val="32"/>
          <w:szCs w:val="32"/>
          <w:highlight w:val="none"/>
        </w:rPr>
        <w:t>（类）</w:t>
      </w:r>
      <w:r>
        <w:rPr>
          <w:rStyle w:val="17"/>
          <w:rFonts w:hint="eastAsia" w:ascii="仿宋" w:hAnsi="仿宋" w:eastAsia="仿宋"/>
          <w:bCs/>
          <w:color w:val="auto"/>
          <w:sz w:val="32"/>
          <w:szCs w:val="32"/>
          <w:highlight w:val="none"/>
          <w:lang w:val="en-US" w:eastAsia="zh-CN"/>
        </w:rPr>
        <w:t>2101102事业单位医疗</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Fonts w:hint="eastAsia" w:ascii="仿宋" w:hAnsi="仿宋" w:eastAsia="仿宋"/>
          <w:b/>
          <w:bCs/>
          <w:color w:val="auto"/>
          <w:sz w:val="32"/>
          <w:szCs w:val="32"/>
          <w:highlight w:val="none"/>
          <w:lang w:val="en-US" w:eastAsia="zh-CN"/>
        </w:rPr>
        <w:t>2.1</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p>
    <w:p>
      <w:pPr>
        <w:tabs>
          <w:tab w:val="right" w:pos="8306"/>
        </w:tabs>
        <w:spacing w:line="600" w:lineRule="exact"/>
        <w:ind w:firstLine="640"/>
        <w:outlineLvl w:val="1"/>
        <w:rPr>
          <w:rStyle w:val="28"/>
          <w:color w:val="auto"/>
          <w:highlight w:val="none"/>
        </w:rPr>
      </w:pPr>
      <w:bookmarkStart w:id="35" w:name="_Toc15396608"/>
      <w:bookmarkStart w:id="36"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8"/>
          <w:rFonts w:hint="eastAsia" w:ascii="黑体" w:hAnsi="黑体" w:eastAsia="黑体"/>
          <w:b w:val="0"/>
          <w:color w:val="auto"/>
          <w:highlight w:val="none"/>
        </w:rPr>
        <w:t>般公共预算财政拨款基本支出决算情况说明</w:t>
      </w:r>
      <w:bookmarkEnd w:id="35"/>
      <w:bookmarkEnd w:id="36"/>
      <w:r>
        <w:rPr>
          <w:rStyle w:val="28"/>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201</w:t>
      </w:r>
      <w:r>
        <w:rPr>
          <w:rFonts w:hint="eastAsia" w:ascii="仿宋" w:hAnsi="仿宋" w:eastAsia="仿宋"/>
          <w:color w:val="auto"/>
          <w:sz w:val="32"/>
          <w:szCs w:val="32"/>
          <w:highlight w:val="none"/>
        </w:rPr>
        <w:t>9年一般公共预算财政拨款基本支出</w:t>
      </w:r>
      <w:r>
        <w:rPr>
          <w:rFonts w:hint="eastAsia" w:ascii="仿宋" w:hAnsi="仿宋" w:eastAsia="仿宋"/>
          <w:color w:val="auto"/>
          <w:sz w:val="32"/>
          <w:szCs w:val="32"/>
          <w:highlight w:val="none"/>
          <w:lang w:val="en-US" w:eastAsia="zh-CN"/>
        </w:rPr>
        <w:t>31.66</w:t>
      </w:r>
      <w:r>
        <w:rPr>
          <w:rFonts w:hint="eastAsia" w:ascii="仿宋" w:hAnsi="仿宋" w:eastAsia="仿宋"/>
          <w:color w:val="auto"/>
          <w:sz w:val="32"/>
          <w:szCs w:val="32"/>
          <w:highlight w:val="none"/>
        </w:rPr>
        <w:t>万元，其中：</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29.89</w:t>
      </w:r>
      <w:r>
        <w:rPr>
          <w:rFonts w:hint="eastAsia" w:ascii="仿宋" w:hAnsi="仿宋" w:eastAsia="仿宋"/>
          <w:color w:val="auto"/>
          <w:sz w:val="32"/>
          <w:szCs w:val="32"/>
          <w:highlight w:val="none"/>
        </w:rPr>
        <w:t>万元，主要包括：基本工资、津贴补贴、奖金、伙食补助费、绩效工资、机关事业单位基本养老保险缴费、职业年金缴费、其他社会保障缴费、、奖励金、住房公积金等。</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日常公用经费</w:t>
      </w:r>
      <w:r>
        <w:rPr>
          <w:rFonts w:hint="eastAsia" w:ascii="仿宋" w:hAnsi="仿宋" w:eastAsia="仿宋"/>
          <w:color w:val="auto"/>
          <w:sz w:val="32"/>
          <w:szCs w:val="32"/>
          <w:highlight w:val="none"/>
          <w:lang w:val="en-US" w:eastAsia="zh-CN"/>
        </w:rPr>
        <w:t>1.76</w:t>
      </w:r>
      <w:r>
        <w:rPr>
          <w:rFonts w:hint="eastAsia" w:ascii="仿宋" w:hAnsi="仿宋" w:eastAsia="仿宋"/>
          <w:color w:val="auto"/>
          <w:sz w:val="32"/>
          <w:szCs w:val="32"/>
          <w:highlight w:val="none"/>
        </w:rPr>
        <w:t>万元，主要包括：办公费、印刷费、咨询费、手续费、水费、电费、邮电费、取暖费、差旅费、会议费、培训费、公务接待费、劳务费、工会经费、福利费、</w:t>
      </w:r>
      <w:r>
        <w:rPr>
          <w:rFonts w:hint="eastAsia" w:ascii="仿宋" w:hAnsi="仿宋" w:eastAsia="仿宋"/>
          <w:color w:val="auto"/>
          <w:sz w:val="32"/>
          <w:szCs w:val="32"/>
          <w:highlight w:val="none"/>
          <w:lang w:eastAsia="zh-CN"/>
        </w:rPr>
        <w:t>交通费</w:t>
      </w:r>
      <w:r>
        <w:rPr>
          <w:rFonts w:hint="eastAsia" w:ascii="仿宋" w:hAnsi="仿宋" w:eastAsia="仿宋"/>
          <w:color w:val="auto"/>
          <w:sz w:val="32"/>
          <w:szCs w:val="32"/>
          <w:highlight w:val="none"/>
        </w:rPr>
        <w:t>、其他商品和服务支出、办公设备购置等。</w:t>
      </w:r>
    </w:p>
    <w:p>
      <w:pPr>
        <w:spacing w:line="600" w:lineRule="exact"/>
        <w:ind w:firstLine="640"/>
        <w:outlineLvl w:val="1"/>
        <w:rPr>
          <w:rStyle w:val="28"/>
          <w:rFonts w:ascii="黑体" w:hAnsi="黑体" w:eastAsia="黑体"/>
          <w:b w:val="0"/>
          <w:color w:val="auto"/>
          <w:highlight w:val="none"/>
        </w:rPr>
      </w:pPr>
      <w:bookmarkStart w:id="37" w:name="_Toc15377215"/>
      <w:bookmarkStart w:id="38" w:name="_Toc15396609"/>
      <w:r>
        <w:rPr>
          <w:rFonts w:hint="eastAsia" w:ascii="黑体" w:eastAsia="黑体"/>
          <w:color w:val="auto"/>
          <w:sz w:val="32"/>
          <w:szCs w:val="32"/>
          <w:highlight w:val="none"/>
        </w:rPr>
        <w:t>七、</w:t>
      </w:r>
      <w:r>
        <w:rPr>
          <w:rStyle w:val="28"/>
          <w:rFonts w:hint="eastAsia" w:ascii="黑体" w:hAnsi="黑体" w:eastAsia="黑体"/>
          <w:color w:val="auto"/>
          <w:highlight w:val="none"/>
        </w:rPr>
        <w:t>“</w:t>
      </w:r>
      <w:r>
        <w:rPr>
          <w:rStyle w:val="28"/>
          <w:rFonts w:hint="eastAsia" w:ascii="黑体" w:hAnsi="黑体" w:eastAsia="黑体"/>
          <w:b w:val="0"/>
          <w:color w:val="auto"/>
          <w:highlight w:val="none"/>
        </w:rPr>
        <w:t>三公”经费财政拨款支出决算情况说明</w:t>
      </w:r>
      <w:bookmarkEnd w:id="37"/>
      <w:bookmarkEnd w:id="38"/>
    </w:p>
    <w:p>
      <w:pPr>
        <w:spacing w:line="600" w:lineRule="exact"/>
        <w:ind w:firstLine="640"/>
        <w:outlineLvl w:val="2"/>
        <w:rPr>
          <w:rFonts w:ascii="仿宋" w:hAnsi="仿宋" w:eastAsia="仿宋"/>
          <w:b/>
          <w:color w:val="auto"/>
          <w:sz w:val="32"/>
          <w:szCs w:val="32"/>
          <w:highlight w:val="none"/>
        </w:rPr>
      </w:pPr>
      <w:bookmarkStart w:id="39" w:name="_Toc15377216"/>
      <w:r>
        <w:rPr>
          <w:rFonts w:hint="eastAsia" w:ascii="仿宋" w:hAnsi="仿宋" w:eastAsia="仿宋"/>
          <w:b/>
          <w:color w:val="auto"/>
          <w:sz w:val="32"/>
          <w:szCs w:val="32"/>
          <w:highlight w:val="none"/>
        </w:rPr>
        <w:t>（一）“三公”经费财政拨款支出决算总体情况说明</w:t>
      </w:r>
      <w:bookmarkEnd w:id="39"/>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201</w:t>
      </w:r>
      <w:r>
        <w:rPr>
          <w:rFonts w:hint="eastAsia" w:ascii="仿宋" w:hAnsi="仿宋" w:eastAsia="仿宋"/>
          <w:color w:val="auto"/>
          <w:sz w:val="32"/>
          <w:szCs w:val="32"/>
          <w:highlight w:val="none"/>
        </w:rPr>
        <w:t>9年“三公”经费财政拨款支出决算为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40" w:name="_Toc15377217"/>
      <w:r>
        <w:rPr>
          <w:rFonts w:hint="eastAsia" w:ascii="仿宋" w:hAnsi="仿宋" w:eastAsia="仿宋"/>
          <w:b/>
          <w:color w:val="auto"/>
          <w:sz w:val="32"/>
          <w:szCs w:val="32"/>
          <w:highlight w:val="none"/>
        </w:rPr>
        <w:t>（二）“三公”经费财政拨款支出决算具体情况说明</w:t>
      </w:r>
      <w:bookmarkEnd w:id="40"/>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201</w:t>
      </w:r>
      <w:r>
        <w:rPr>
          <w:rFonts w:hint="eastAsia" w:ascii="仿宋" w:hAnsi="仿宋" w:eastAsia="仿宋"/>
          <w:color w:val="auto"/>
          <w:sz w:val="32"/>
          <w:szCs w:val="32"/>
          <w:highlight w:val="none"/>
        </w:rPr>
        <w:t>9年“三公”经费财政拨款支出决算中，因公出国（境）费支出决算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10"/>
        <w:rPr>
          <w:rFonts w:hint="eastAsia" w:ascii="仿宋" w:hAnsi="仿宋" w:eastAsia="仿宋"/>
          <w:color w:val="auto"/>
          <w:sz w:val="32"/>
          <w:szCs w:val="32"/>
          <w:highlight w:val="none"/>
        </w:rPr>
      </w:pP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7"/>
          <w:rFonts w:hint="eastAsia" w:ascii="仿宋" w:hAnsi="仿宋" w:eastAsia="仿宋"/>
          <w:b w:val="0"/>
          <w:bCs/>
          <w:color w:val="auto"/>
          <w:sz w:val="32"/>
          <w:szCs w:val="32"/>
          <w:highlight w:val="none"/>
        </w:rPr>
        <w:t>完成预算</w:t>
      </w:r>
      <w:r>
        <w:rPr>
          <w:rStyle w:val="17"/>
          <w:rFonts w:hint="eastAsia" w:ascii="仿宋" w:hAnsi="仿宋" w:eastAsia="仿宋"/>
          <w:b w:val="0"/>
          <w:bCs/>
          <w:color w:val="auto"/>
          <w:sz w:val="32"/>
          <w:szCs w:val="32"/>
          <w:highlight w:val="none"/>
          <w:lang w:val="en-US" w:eastAsia="zh-CN"/>
        </w:rPr>
        <w:t>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p>
    <w:p>
      <w:pPr>
        <w:spacing w:line="600" w:lineRule="exact"/>
        <w:ind w:firstLine="640"/>
        <w:rPr>
          <w:rFonts w:hint="eastAsia" w:ascii="仿宋_GB2312" w:eastAsia="仿宋_GB2312"/>
          <w:b/>
          <w:color w:val="auto"/>
          <w:sz w:val="32"/>
          <w:szCs w:val="32"/>
          <w:highlight w:val="none"/>
          <w:lang w:eastAsia="zh-CN"/>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w:t>
      </w:r>
      <w:r>
        <w:rPr>
          <w:rStyle w:val="17"/>
          <w:rFonts w:hint="eastAsia" w:ascii="仿宋" w:hAnsi="仿宋" w:eastAsia="仿宋"/>
          <w:b w:val="0"/>
          <w:bCs/>
          <w:color w:val="auto"/>
          <w:sz w:val="32"/>
          <w:szCs w:val="32"/>
          <w:highlight w:val="none"/>
        </w:rPr>
        <w:t>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p>
    <w:p>
      <w:pPr>
        <w:spacing w:line="60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元。</w:t>
      </w:r>
    </w:p>
    <w:p>
      <w:pPr>
        <w:spacing w:line="600" w:lineRule="exact"/>
        <w:ind w:firstLine="640"/>
        <w:rPr>
          <w:rFonts w:hint="eastAsia"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0"/>
        </w:numPr>
        <w:spacing w:line="600" w:lineRule="exact"/>
        <w:ind w:firstLine="643" w:firstLineChars="200"/>
        <w:rPr>
          <w:rStyle w:val="17"/>
          <w:rFonts w:hint="eastAsia" w:ascii="仿宋" w:hAnsi="仿宋" w:eastAsia="仿宋"/>
          <w:b w:val="0"/>
          <w:bCs/>
          <w:color w:val="auto"/>
          <w:sz w:val="32"/>
          <w:szCs w:val="32"/>
          <w:highlight w:val="none"/>
        </w:rPr>
      </w:pPr>
      <w:r>
        <w:rPr>
          <w:rFonts w:hint="eastAsia" w:ascii="仿宋_GB2312" w:eastAsia="仿宋_GB2312"/>
          <w:b/>
          <w:color w:val="auto"/>
          <w:sz w:val="32"/>
          <w:szCs w:val="32"/>
          <w:highlight w:val="none"/>
          <w:lang w:val="en-US" w:eastAsia="zh-CN"/>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7"/>
          <w:rFonts w:hint="eastAsia" w:ascii="仿宋" w:hAnsi="仿宋" w:eastAsia="仿宋"/>
          <w:b w:val="0"/>
          <w:bCs/>
          <w:color w:val="auto"/>
          <w:sz w:val="32"/>
          <w:szCs w:val="32"/>
          <w:highlight w:val="none"/>
        </w:rPr>
        <w:t>完成预算</w:t>
      </w:r>
      <w:r>
        <w:rPr>
          <w:rStyle w:val="17"/>
          <w:rFonts w:hint="eastAsia" w:ascii="仿宋" w:hAnsi="仿宋" w:eastAsia="仿宋"/>
          <w:b w:val="0"/>
          <w:bCs/>
          <w:color w:val="auto"/>
          <w:sz w:val="32"/>
          <w:szCs w:val="32"/>
          <w:highlight w:val="none"/>
          <w:lang w:val="en-US" w:eastAsia="zh-CN"/>
        </w:rPr>
        <w:t>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p>
    <w:p>
      <w:pPr>
        <w:numPr>
          <w:ilvl w:val="0"/>
          <w:numId w:val="0"/>
        </w:numPr>
        <w:spacing w:line="600" w:lineRule="exact"/>
        <w:ind w:firstLine="643" w:firstLineChars="200"/>
        <w:rPr>
          <w:rFonts w:ascii="仿宋_GB2312" w:eastAsia="仿宋_GB2312"/>
          <w:color w:val="auto"/>
          <w:sz w:val="32"/>
          <w:szCs w:val="32"/>
          <w:highlight w:val="none"/>
        </w:rPr>
      </w:pPr>
      <w:r>
        <w:rPr>
          <w:rFonts w:hint="eastAsia" w:ascii="仿宋" w:hAnsi="仿宋" w:eastAsia="仿宋"/>
          <w:b/>
          <w:color w:val="auto"/>
          <w:sz w:val="32"/>
          <w:szCs w:val="32"/>
          <w:highlight w:val="none"/>
          <w:lang w:val="en-US" w:eastAsia="zh-CN"/>
        </w:rPr>
        <w:t>4.</w:t>
      </w: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outlineLvl w:val="1"/>
        <w:rPr>
          <w:rFonts w:hint="eastAsia" w:ascii="仿宋_GB2312" w:eastAsia="仿宋_GB2312"/>
          <w:color w:val="auto"/>
          <w:sz w:val="32"/>
          <w:szCs w:val="32"/>
          <w:highlight w:val="none"/>
          <w:lang w:eastAsia="zh-CN"/>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万元，外事接待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bookmarkStart w:id="41" w:name="_Toc15396610"/>
      <w:bookmarkStart w:id="42" w:name="_Toc15377218"/>
      <w:r>
        <w:rPr>
          <w:rFonts w:hint="eastAsia" w:ascii="仿宋_GB2312" w:eastAsia="仿宋_GB2312"/>
          <w:color w:val="auto"/>
          <w:sz w:val="32"/>
          <w:szCs w:val="32"/>
          <w:highlight w:val="none"/>
          <w:lang w:eastAsia="zh-CN"/>
        </w:rPr>
        <w:t>。</w:t>
      </w:r>
    </w:p>
    <w:p>
      <w:pPr>
        <w:spacing w:line="600" w:lineRule="exact"/>
        <w:ind w:firstLine="640"/>
        <w:outlineLvl w:val="1"/>
        <w:rPr>
          <w:rStyle w:val="28"/>
          <w:rFonts w:ascii="黑体" w:hAnsi="黑体" w:eastAsia="黑体"/>
          <w:color w:val="auto"/>
          <w:highlight w:val="none"/>
        </w:rPr>
      </w:pPr>
      <w:r>
        <w:rPr>
          <w:rFonts w:hint="eastAsia" w:ascii="黑体" w:eastAsia="黑体"/>
          <w:color w:val="auto"/>
          <w:sz w:val="32"/>
          <w:szCs w:val="32"/>
          <w:highlight w:val="none"/>
        </w:rPr>
        <w:t>八、</w:t>
      </w:r>
      <w:r>
        <w:rPr>
          <w:rStyle w:val="28"/>
          <w:rFonts w:hint="eastAsia" w:ascii="黑体" w:hAnsi="黑体" w:eastAsia="黑体"/>
          <w:b w:val="0"/>
          <w:color w:val="auto"/>
          <w:highlight w:val="none"/>
        </w:rPr>
        <w:t>政府性基金预算支出决算情况说明</w:t>
      </w:r>
      <w:bookmarkEnd w:id="41"/>
      <w:bookmarkEnd w:id="42"/>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201</w:t>
      </w:r>
      <w:r>
        <w:rPr>
          <w:rFonts w:hint="eastAsia" w:ascii="仿宋_GB2312" w:eastAsia="仿宋_GB2312"/>
          <w:color w:val="auto"/>
          <w:sz w:val="32"/>
          <w:szCs w:val="32"/>
          <w:highlight w:val="none"/>
        </w:rPr>
        <w:t>9年政府性基金预算拨款支出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4"/>
        </w:numPr>
        <w:spacing w:line="600" w:lineRule="exact"/>
        <w:ind w:firstLine="640"/>
        <w:outlineLvl w:val="1"/>
        <w:rPr>
          <w:rStyle w:val="28"/>
          <w:rFonts w:ascii="黑体" w:hAnsi="黑体" w:eastAsia="黑体"/>
          <w:b w:val="0"/>
          <w:color w:val="auto"/>
          <w:highlight w:val="none"/>
        </w:rPr>
      </w:pPr>
      <w:bookmarkStart w:id="43" w:name="_Toc15377219"/>
      <w:bookmarkStart w:id="44" w:name="_Toc15396611"/>
      <w:r>
        <w:rPr>
          <w:rStyle w:val="28"/>
          <w:rFonts w:hint="eastAsia" w:ascii="黑体" w:hAnsi="黑体" w:eastAsia="黑体"/>
          <w:b w:val="0"/>
          <w:color w:val="auto"/>
          <w:highlight w:val="none"/>
        </w:rPr>
        <w:t>国有资本经营预算支出决算情况说明</w:t>
      </w:r>
      <w:bookmarkEnd w:id="43"/>
      <w:bookmarkEnd w:id="44"/>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201</w:t>
      </w:r>
      <w:r>
        <w:rPr>
          <w:rFonts w:hint="eastAsia" w:ascii="仿宋_GB2312" w:eastAsia="仿宋_GB2312"/>
          <w:color w:val="auto"/>
          <w:sz w:val="32"/>
          <w:szCs w:val="32"/>
          <w:highlight w:val="none"/>
        </w:rPr>
        <w:t>9年国有资本经营预算拨款支出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800" w:firstLineChars="250"/>
        <w:outlineLvl w:val="1"/>
        <w:rPr>
          <w:rStyle w:val="28"/>
          <w:rFonts w:ascii="黑体" w:hAnsi="黑体" w:eastAsia="黑体"/>
          <w:color w:val="auto"/>
          <w:highlight w:val="none"/>
        </w:rPr>
      </w:pPr>
      <w:bookmarkStart w:id="45" w:name="_Toc15396612"/>
      <w:bookmarkStart w:id="46" w:name="_Toc15377221"/>
      <w:r>
        <w:rPr>
          <w:rFonts w:hint="eastAsia" w:ascii="黑体" w:hAnsi="黑体" w:eastAsia="黑体"/>
          <w:color w:val="auto"/>
          <w:sz w:val="32"/>
          <w:szCs w:val="32"/>
          <w:highlight w:val="none"/>
        </w:rPr>
        <w:t>十</w:t>
      </w:r>
      <w:r>
        <w:rPr>
          <w:rStyle w:val="28"/>
          <w:rFonts w:hint="eastAsia" w:ascii="黑体" w:hAnsi="黑体" w:eastAsia="黑体"/>
          <w:color w:val="auto"/>
          <w:highlight w:val="none"/>
        </w:rPr>
        <w:t>、</w:t>
      </w:r>
      <w:r>
        <w:rPr>
          <w:rStyle w:val="28"/>
          <w:rFonts w:hint="eastAsia" w:ascii="黑体" w:hAnsi="黑体" w:eastAsia="黑体"/>
          <w:b w:val="0"/>
          <w:color w:val="auto"/>
          <w:highlight w:val="none"/>
        </w:rPr>
        <w:t>其他重要事项的情况说明</w:t>
      </w:r>
      <w:bookmarkEnd w:id="45"/>
      <w:bookmarkEnd w:id="46"/>
    </w:p>
    <w:p>
      <w:pPr>
        <w:spacing w:line="600" w:lineRule="exact"/>
        <w:ind w:firstLine="643" w:firstLineChars="200"/>
        <w:outlineLvl w:val="2"/>
        <w:rPr>
          <w:rFonts w:ascii="仿宋" w:hAnsi="仿宋" w:eastAsia="仿宋"/>
          <w:color w:val="auto"/>
          <w:sz w:val="32"/>
          <w:szCs w:val="32"/>
          <w:highlight w:val="none"/>
        </w:rPr>
      </w:pPr>
      <w:bookmarkStart w:id="47" w:name="_Toc15377222"/>
      <w:r>
        <w:rPr>
          <w:rFonts w:hint="eastAsia" w:ascii="仿宋" w:hAnsi="仿宋" w:eastAsia="仿宋"/>
          <w:b/>
          <w:color w:val="auto"/>
          <w:sz w:val="32"/>
          <w:szCs w:val="32"/>
          <w:highlight w:val="none"/>
        </w:rPr>
        <w:t>（一）机关运行经费支出情况</w:t>
      </w:r>
      <w:bookmarkEnd w:id="47"/>
    </w:p>
    <w:p>
      <w:pPr>
        <w:spacing w:line="600" w:lineRule="exact"/>
        <w:ind w:firstLine="640" w:firstLineChars="200"/>
        <w:rPr>
          <w:rFonts w:hint="eastAsia" w:ascii="仿宋_GB2312" w:hAnsi="Times New Roman" w:eastAsia="仿宋_GB2312" w:cs="Times New Roman"/>
          <w:color w:val="auto"/>
          <w:sz w:val="32"/>
          <w:szCs w:val="32"/>
          <w:highlight w:val="none"/>
          <w:lang w:val="en-US" w:eastAsia="zh-CN"/>
        </w:rPr>
      </w:pPr>
      <w:r>
        <w:rPr>
          <w:rFonts w:ascii="仿宋_GB2312" w:eastAsia="仿宋_GB2312"/>
          <w:color w:val="auto"/>
          <w:sz w:val="32"/>
          <w:szCs w:val="32"/>
          <w:highlight w:val="none"/>
        </w:rPr>
        <w:t>201</w:t>
      </w:r>
      <w:r>
        <w:rPr>
          <w:rFonts w:hint="eastAsia" w:ascii="仿宋_GB2312" w:eastAsia="仿宋_GB2312"/>
          <w:color w:val="auto"/>
          <w:sz w:val="32"/>
          <w:szCs w:val="32"/>
          <w:highlight w:val="none"/>
        </w:rPr>
        <w:t>9年，机关运行经费支出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8" w:name="_Toc15377223"/>
      <w:r>
        <w:rPr>
          <w:rFonts w:hint="eastAsia" w:ascii="仿宋" w:hAnsi="仿宋" w:eastAsia="仿宋"/>
          <w:b/>
          <w:color w:val="auto"/>
          <w:sz w:val="32"/>
          <w:szCs w:val="32"/>
          <w:highlight w:val="none"/>
        </w:rPr>
        <w:t>（二）政府采购支出情况</w:t>
      </w:r>
      <w:bookmarkEnd w:id="48"/>
    </w:p>
    <w:p>
      <w:pPr>
        <w:spacing w:line="600" w:lineRule="exact"/>
        <w:ind w:firstLine="640" w:firstLineChars="200"/>
        <w:rPr>
          <w:rFonts w:ascii="仿宋" w:hAnsi="仿宋" w:eastAsia="仿宋"/>
          <w:b/>
          <w:color w:val="auto"/>
          <w:sz w:val="32"/>
          <w:szCs w:val="32"/>
          <w:highlight w:val="none"/>
        </w:rPr>
      </w:pPr>
      <w:r>
        <w:rPr>
          <w:rFonts w:ascii="仿宋_GB2312" w:eastAsia="仿宋_GB2312"/>
          <w:color w:val="auto"/>
          <w:sz w:val="32"/>
          <w:szCs w:val="32"/>
          <w:highlight w:val="none"/>
        </w:rPr>
        <w:t>201</w:t>
      </w:r>
      <w:r>
        <w:rPr>
          <w:rFonts w:hint="eastAsia" w:ascii="仿宋_GB2312" w:eastAsia="仿宋_GB2312"/>
          <w:color w:val="auto"/>
          <w:sz w:val="32"/>
          <w:szCs w:val="32"/>
          <w:highlight w:val="none"/>
        </w:rPr>
        <w:t>9年，政府采购支出总额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9" w:name="_Toc15377224"/>
      <w:r>
        <w:rPr>
          <w:rFonts w:hint="eastAsia" w:ascii="仿宋" w:hAnsi="仿宋" w:eastAsia="仿宋"/>
          <w:b/>
          <w:color w:val="auto"/>
          <w:sz w:val="32"/>
          <w:szCs w:val="32"/>
          <w:highlight w:val="none"/>
        </w:rPr>
        <w:t>（三）国有资产占有使用情况</w:t>
      </w:r>
      <w:bookmarkEnd w:id="49"/>
    </w:p>
    <w:p>
      <w:pPr>
        <w:autoSpaceDE w:val="0"/>
        <w:autoSpaceDN w:val="0"/>
        <w:adjustRightInd w:val="0"/>
        <w:spacing w:line="600" w:lineRule="exact"/>
        <w:ind w:firstLine="640" w:firstLineChars="200"/>
        <w:jc w:val="left"/>
        <w:rPr>
          <w:rFonts w:hint="eastAsia" w:ascii="仿宋" w:hAnsi="仿宋" w:eastAsia="仿宋_GB2312"/>
          <w:b/>
          <w:color w:val="auto"/>
          <w:sz w:val="32"/>
          <w:szCs w:val="32"/>
          <w:highlight w:val="none"/>
          <w:lang w:eastAsia="zh-CN"/>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201</w:t>
      </w:r>
      <w:r>
        <w:rPr>
          <w:rFonts w:hint="eastAsia" w:ascii="仿宋_GB2312" w:eastAsia="仿宋_GB2312"/>
          <w:color w:val="auto"/>
          <w:sz w:val="32"/>
          <w:szCs w:val="32"/>
          <w:highlight w:val="none"/>
        </w:rPr>
        <w:t>9年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（四）预算绩效管理情况。</w:t>
      </w:r>
    </w:p>
    <w:p>
      <w:pPr>
        <w:pStyle w:val="10"/>
        <w:widowControl w:val="0"/>
        <w:numPr>
          <w:ilvl w:val="0"/>
          <w:numId w:val="0"/>
        </w:numPr>
        <w:snapToGrid w:val="0"/>
        <w:jc w:val="center"/>
        <w:rPr>
          <w:rFonts w:hint="eastAsia" w:ascii="宋体" w:hAnsi="宋体" w:cs="宋体"/>
          <w:color w:val="auto"/>
          <w:kern w:val="0"/>
          <w:sz w:val="36"/>
          <w:szCs w:val="36"/>
          <w:highlight w:val="none"/>
          <w:lang w:eastAsia="zh-CN"/>
        </w:rPr>
      </w:pPr>
      <w:r>
        <w:rPr>
          <w:rFonts w:hint="eastAsia" w:ascii="宋体" w:hAnsi="宋体" w:cs="宋体"/>
          <w:color w:val="auto"/>
          <w:kern w:val="0"/>
          <w:sz w:val="36"/>
          <w:szCs w:val="36"/>
          <w:highlight w:val="none"/>
          <w:lang w:eastAsia="zh-CN"/>
        </w:rPr>
        <w:t>无</w:t>
      </w:r>
    </w:p>
    <w:p>
      <w:pPr>
        <w:pStyle w:val="10"/>
        <w:widowControl w:val="0"/>
        <w:numPr>
          <w:ilvl w:val="0"/>
          <w:numId w:val="0"/>
        </w:numPr>
        <w:snapToGrid w:val="0"/>
        <w:jc w:val="center"/>
        <w:rPr>
          <w:rFonts w:hint="eastAsia" w:ascii="宋体" w:hAnsi="宋体" w:cs="宋体"/>
          <w:color w:val="auto"/>
          <w:kern w:val="0"/>
          <w:sz w:val="36"/>
          <w:szCs w:val="36"/>
          <w:highlight w:val="none"/>
          <w:lang w:eastAsia="zh-CN"/>
        </w:rPr>
      </w:pPr>
    </w:p>
    <w:p>
      <w:pPr>
        <w:pStyle w:val="10"/>
        <w:widowControl w:val="0"/>
        <w:numPr>
          <w:ilvl w:val="0"/>
          <w:numId w:val="0"/>
        </w:numPr>
        <w:snapToGrid w:val="0"/>
        <w:jc w:val="center"/>
        <w:rPr>
          <w:rFonts w:hint="eastAsia" w:ascii="宋体" w:hAnsi="宋体" w:cs="宋体"/>
          <w:color w:val="auto"/>
          <w:kern w:val="0"/>
          <w:sz w:val="36"/>
          <w:szCs w:val="36"/>
          <w:highlight w:val="none"/>
          <w:lang w:eastAsia="zh-CN"/>
        </w:rPr>
      </w:pPr>
    </w:p>
    <w:p>
      <w:pPr>
        <w:pStyle w:val="10"/>
        <w:widowControl w:val="0"/>
        <w:numPr>
          <w:ilvl w:val="0"/>
          <w:numId w:val="0"/>
        </w:numPr>
        <w:snapToGrid w:val="0"/>
        <w:jc w:val="center"/>
        <w:rPr>
          <w:rFonts w:hint="eastAsia" w:ascii="宋体" w:hAnsi="宋体" w:cs="宋体"/>
          <w:color w:val="auto"/>
          <w:kern w:val="0"/>
          <w:sz w:val="36"/>
          <w:szCs w:val="36"/>
          <w:highlight w:val="none"/>
          <w:lang w:eastAsia="zh-CN"/>
        </w:rPr>
      </w:pPr>
    </w:p>
    <w:p>
      <w:pPr>
        <w:pStyle w:val="10"/>
        <w:widowControl w:val="0"/>
        <w:numPr>
          <w:ilvl w:val="0"/>
          <w:numId w:val="0"/>
        </w:numPr>
        <w:snapToGrid w:val="0"/>
        <w:jc w:val="center"/>
        <w:rPr>
          <w:rFonts w:hint="eastAsia" w:ascii="宋体" w:hAnsi="宋体" w:cs="宋体"/>
          <w:color w:val="auto"/>
          <w:kern w:val="0"/>
          <w:sz w:val="36"/>
          <w:szCs w:val="36"/>
          <w:highlight w:val="none"/>
          <w:lang w:eastAsia="zh-CN"/>
        </w:rPr>
      </w:pPr>
    </w:p>
    <w:p>
      <w:pPr>
        <w:pStyle w:val="10"/>
        <w:widowControl w:val="0"/>
        <w:numPr>
          <w:ilvl w:val="0"/>
          <w:numId w:val="0"/>
        </w:numPr>
        <w:snapToGrid w:val="0"/>
        <w:jc w:val="center"/>
        <w:rPr>
          <w:rFonts w:hint="eastAsia" w:ascii="宋体" w:hAnsi="宋体" w:cs="宋体"/>
          <w:color w:val="auto"/>
          <w:kern w:val="0"/>
          <w:sz w:val="36"/>
          <w:szCs w:val="36"/>
          <w:highlight w:val="none"/>
          <w:lang w:eastAsia="zh-CN"/>
        </w:rPr>
      </w:pPr>
    </w:p>
    <w:p>
      <w:pPr>
        <w:pStyle w:val="10"/>
        <w:widowControl w:val="0"/>
        <w:numPr>
          <w:ilvl w:val="0"/>
          <w:numId w:val="0"/>
        </w:numPr>
        <w:snapToGrid w:val="0"/>
        <w:jc w:val="center"/>
        <w:rPr>
          <w:rFonts w:hint="eastAsia" w:ascii="宋体" w:hAnsi="宋体" w:cs="宋体"/>
          <w:color w:val="auto"/>
          <w:kern w:val="0"/>
          <w:sz w:val="36"/>
          <w:szCs w:val="36"/>
          <w:highlight w:val="none"/>
        </w:rPr>
      </w:pPr>
    </w:p>
    <w:p>
      <w:pPr>
        <w:pStyle w:val="10"/>
        <w:widowControl w:val="0"/>
        <w:numPr>
          <w:ilvl w:val="0"/>
          <w:numId w:val="0"/>
        </w:numPr>
        <w:snapToGrid w:val="0"/>
        <w:jc w:val="center"/>
        <w:rPr>
          <w:rFonts w:hint="eastAsia" w:ascii="宋体" w:hAnsi="宋体" w:cs="宋体"/>
          <w:color w:val="auto"/>
          <w:kern w:val="0"/>
          <w:sz w:val="36"/>
          <w:szCs w:val="36"/>
          <w:highlight w:val="none"/>
        </w:rPr>
      </w:pPr>
    </w:p>
    <w:p>
      <w:pPr>
        <w:pStyle w:val="10"/>
        <w:widowControl w:val="0"/>
        <w:numPr>
          <w:ilvl w:val="0"/>
          <w:numId w:val="0"/>
        </w:numPr>
        <w:snapToGrid w:val="0"/>
        <w:jc w:val="center"/>
        <w:rPr>
          <w:rFonts w:hint="eastAsia" w:ascii="宋体" w:hAnsi="宋体" w:cs="宋体"/>
          <w:color w:val="auto"/>
          <w:kern w:val="0"/>
          <w:sz w:val="36"/>
          <w:szCs w:val="36"/>
          <w:highlight w:val="none"/>
        </w:rPr>
      </w:pPr>
    </w:p>
    <w:p>
      <w:pPr>
        <w:pStyle w:val="10"/>
        <w:widowControl w:val="0"/>
        <w:numPr>
          <w:ilvl w:val="0"/>
          <w:numId w:val="0"/>
        </w:numPr>
        <w:snapToGrid w:val="0"/>
        <w:jc w:val="center"/>
        <w:rPr>
          <w:rFonts w:hint="eastAsia" w:ascii="宋体" w:hAnsi="宋体" w:cs="宋体"/>
          <w:color w:val="auto"/>
          <w:kern w:val="0"/>
          <w:sz w:val="36"/>
          <w:szCs w:val="36"/>
          <w:highlight w:val="none"/>
        </w:rPr>
      </w:pPr>
    </w:p>
    <w:p>
      <w:pPr>
        <w:pStyle w:val="10"/>
        <w:widowControl w:val="0"/>
        <w:numPr>
          <w:ilvl w:val="0"/>
          <w:numId w:val="0"/>
        </w:numPr>
        <w:snapToGrid w:val="0"/>
        <w:jc w:val="center"/>
        <w:rPr>
          <w:rFonts w:hint="eastAsia" w:ascii="宋体" w:hAnsi="宋体" w:cs="宋体"/>
          <w:color w:val="auto"/>
          <w:kern w:val="0"/>
          <w:sz w:val="36"/>
          <w:szCs w:val="36"/>
          <w:highlight w:val="none"/>
        </w:rPr>
      </w:pPr>
    </w:p>
    <w:p>
      <w:pPr>
        <w:pStyle w:val="10"/>
        <w:widowControl w:val="0"/>
        <w:numPr>
          <w:ilvl w:val="0"/>
          <w:numId w:val="0"/>
        </w:numPr>
        <w:snapToGrid w:val="0"/>
        <w:jc w:val="center"/>
        <w:rPr>
          <w:rFonts w:hint="eastAsia" w:ascii="宋体" w:hAnsi="宋体" w:cs="宋体"/>
          <w:color w:val="auto"/>
          <w:kern w:val="0"/>
          <w:sz w:val="36"/>
          <w:szCs w:val="36"/>
          <w:highlight w:val="none"/>
        </w:rPr>
      </w:pPr>
    </w:p>
    <w:p>
      <w:pPr>
        <w:numPr>
          <w:ilvl w:val="0"/>
          <w:numId w:val="5"/>
        </w:numPr>
        <w:spacing w:line="600" w:lineRule="exact"/>
        <w:ind w:firstLine="660" w:firstLineChars="150"/>
        <w:jc w:val="center"/>
        <w:outlineLvl w:val="0"/>
        <w:rPr>
          <w:rStyle w:val="27"/>
          <w:rFonts w:ascii="黑体" w:hAnsi="黑体" w:eastAsia="黑体"/>
          <w:b w:val="0"/>
          <w:color w:val="auto"/>
          <w:highlight w:val="none"/>
        </w:rPr>
      </w:pPr>
      <w:bookmarkStart w:id="50" w:name="_Toc15396613"/>
      <w:bookmarkStart w:id="51" w:name="_Toc15377225"/>
      <w:r>
        <w:rPr>
          <w:rFonts w:hint="eastAsia" w:ascii="黑体" w:hAnsi="黑体" w:eastAsia="黑体"/>
          <w:color w:val="auto"/>
          <w:sz w:val="44"/>
          <w:szCs w:val="44"/>
          <w:highlight w:val="none"/>
        </w:rPr>
        <w:t>名</w:t>
      </w:r>
      <w:r>
        <w:rPr>
          <w:rStyle w:val="27"/>
          <w:rFonts w:hint="eastAsia" w:ascii="黑体" w:hAnsi="黑体" w:eastAsia="黑体"/>
          <w:b w:val="0"/>
          <w:color w:val="auto"/>
          <w:highlight w:val="none"/>
        </w:rPr>
        <w:t>词解释</w:t>
      </w:r>
      <w:bookmarkEnd w:id="50"/>
      <w:bookmarkEnd w:id="51"/>
    </w:p>
    <w:p>
      <w:pPr>
        <w:spacing w:line="600" w:lineRule="exact"/>
        <w:jc w:val="left"/>
        <w:rPr>
          <w:rFonts w:ascii="宋体"/>
          <w:b/>
          <w:color w:val="auto"/>
          <w:sz w:val="44"/>
          <w:szCs w:val="44"/>
          <w:highlight w:val="none"/>
        </w:rPr>
      </w:pP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事业收入：指事业单位开展专业业务活动及辅助活动取得的收入。如…（二级预算单位事业收入情况）等。</w:t>
      </w: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经营收入：指事业单位在专业业务活动及其辅助活动之外开展非独立核算经营活动取得的收入。如…（二级预算单位经营收入情况）等。</w:t>
      </w: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其他收入：指单位取得的除上述收入以外的各项收入。主要是…（收入类型）等。</w:t>
      </w:r>
      <w:r>
        <w:rPr>
          <w:rFonts w:ascii="仿宋_GB2312" w:eastAsia="仿宋_GB2312"/>
          <w:color w:val="auto"/>
          <w:sz w:val="32"/>
          <w:szCs w:val="32"/>
          <w:highlight w:val="none"/>
        </w:rPr>
        <w:t xml:space="preserve"> </w:t>
      </w: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color w:val="auto"/>
          <w:sz w:val="32"/>
          <w:szCs w:val="32"/>
          <w:highlight w:val="none"/>
        </w:rPr>
        <w:t xml:space="preserve"> </w:t>
      </w: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结余分配：指事业单位按照事业单位会计制度的规定从非财政补助结余中分配的事业基金和职工福利基金等。</w:t>
      </w: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rPr>
        <w:t>、年末结转和结余：指单位按有关规定结转到下年或以后年度继续使用的资金。</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9</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10</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11</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12</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13</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14</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一般公共服务</w:t>
      </w:r>
      <w:r>
        <w:rPr>
          <w:rFonts w:ascii="仿宋_GB2312" w:eastAsia="仿宋_GB2312"/>
          <w:color w:val="auto"/>
          <w:sz w:val="32"/>
          <w:szCs w:val="32"/>
          <w:highlight w:val="none"/>
        </w:rPr>
        <w:t>20104</w:t>
      </w:r>
      <w:r>
        <w:rPr>
          <w:rFonts w:hint="eastAsia" w:ascii="仿宋_GB2312" w:eastAsia="仿宋_GB2312"/>
          <w:color w:val="auto"/>
          <w:sz w:val="32"/>
          <w:szCs w:val="32"/>
          <w:highlight w:val="none"/>
          <w:lang w:val="en-US" w:eastAsia="zh-CN"/>
        </w:rPr>
        <w:t>50事业</w:t>
      </w:r>
      <w:r>
        <w:rPr>
          <w:rFonts w:hint="eastAsia" w:ascii="仿宋_GB2312" w:eastAsia="仿宋_GB2312"/>
          <w:color w:val="auto"/>
          <w:sz w:val="32"/>
          <w:szCs w:val="32"/>
          <w:highlight w:val="none"/>
        </w:rPr>
        <w:t>运行：指用于职工工资、办公费等维持日常工作开展的开支。</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lang w:val="en-US" w:eastAsia="zh-CN"/>
        </w:rPr>
        <w:t>5</w:t>
      </w:r>
      <w:r>
        <w:rPr>
          <w:rFonts w:ascii="仿宋_GB2312" w:eastAsia="仿宋_GB2312"/>
          <w:color w:val="auto"/>
          <w:sz w:val="32"/>
          <w:szCs w:val="32"/>
          <w:highlight w:val="none"/>
        </w:rPr>
        <w:t>.</w:t>
      </w:r>
      <w:r>
        <w:rPr>
          <w:rFonts w:hint="eastAsia" w:ascii="仿宋_GB2312" w:eastAsia="仿宋_GB2312"/>
          <w:color w:val="auto"/>
          <w:sz w:val="32"/>
          <w:szCs w:val="32"/>
          <w:highlight w:val="none"/>
        </w:rPr>
        <w:t>社会保障和就业</w:t>
      </w:r>
      <w:r>
        <w:rPr>
          <w:rFonts w:ascii="仿宋_GB2312" w:eastAsia="仿宋_GB2312"/>
          <w:color w:val="auto"/>
          <w:sz w:val="32"/>
          <w:szCs w:val="32"/>
          <w:highlight w:val="none"/>
        </w:rPr>
        <w:t>2080505</w:t>
      </w:r>
      <w:r>
        <w:rPr>
          <w:rFonts w:hint="eastAsia" w:ascii="仿宋_GB2312" w:eastAsia="仿宋_GB2312"/>
          <w:color w:val="auto"/>
          <w:sz w:val="32"/>
          <w:szCs w:val="32"/>
          <w:highlight w:val="none"/>
        </w:rPr>
        <w:t>机关事业单位基本养老保险缴费支出：指本单位职工应缴纳的基本养老保险缴费支出。</w:t>
      </w:r>
      <w:r>
        <w:rPr>
          <w:rFonts w:ascii="仿宋_GB2312" w:eastAsia="仿宋_GB2312"/>
          <w:color w:val="auto"/>
          <w:sz w:val="32"/>
          <w:szCs w:val="32"/>
          <w:highlight w:val="none"/>
        </w:rPr>
        <w:t>2080506</w:t>
      </w:r>
      <w:r>
        <w:rPr>
          <w:rFonts w:hint="eastAsia" w:ascii="仿宋_GB2312" w:eastAsia="仿宋_GB2312"/>
          <w:color w:val="auto"/>
          <w:sz w:val="32"/>
          <w:szCs w:val="32"/>
          <w:highlight w:val="none"/>
        </w:rPr>
        <w:t>机关事业单位职业年金缴费支出：指本单位职工应缴纳的职业年金缴费支出。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16</w:t>
      </w:r>
      <w:r>
        <w:rPr>
          <w:rFonts w:ascii="仿宋_GB2312" w:eastAsia="仿宋_GB2312"/>
          <w:color w:val="auto"/>
          <w:sz w:val="32"/>
          <w:szCs w:val="32"/>
          <w:highlight w:val="none"/>
        </w:rPr>
        <w:t>.</w:t>
      </w:r>
      <w:r>
        <w:rPr>
          <w:rFonts w:hint="eastAsia" w:ascii="仿宋_GB2312" w:eastAsia="仿宋_GB2312"/>
          <w:color w:val="auto"/>
          <w:sz w:val="32"/>
          <w:szCs w:val="32"/>
          <w:highlight w:val="none"/>
        </w:rPr>
        <w:t>医疗卫生和计划生育</w:t>
      </w:r>
      <w:r>
        <w:rPr>
          <w:rFonts w:ascii="仿宋_GB2312" w:eastAsia="仿宋_GB2312"/>
          <w:color w:val="auto"/>
          <w:sz w:val="32"/>
          <w:szCs w:val="32"/>
          <w:highlight w:val="none"/>
        </w:rPr>
        <w:t>21011</w:t>
      </w:r>
      <w:r>
        <w:rPr>
          <w:rFonts w:hint="eastAsia" w:ascii="仿宋_GB2312" w:eastAsia="仿宋_GB2312"/>
          <w:color w:val="auto"/>
          <w:sz w:val="32"/>
          <w:szCs w:val="32"/>
          <w:highlight w:val="none"/>
          <w:lang w:val="en-US" w:eastAsia="zh-CN"/>
        </w:rPr>
        <w:t>02事业</w:t>
      </w:r>
      <w:r>
        <w:rPr>
          <w:rFonts w:hint="eastAsia" w:ascii="仿宋_GB2312" w:eastAsia="仿宋_GB2312"/>
          <w:color w:val="auto"/>
          <w:sz w:val="32"/>
          <w:szCs w:val="32"/>
          <w:highlight w:val="none"/>
        </w:rPr>
        <w:t>单位医疗：指本单位职工应缴纳的机关医疗保险支出。</w:t>
      </w:r>
    </w:p>
    <w:p>
      <w:pPr>
        <w:ind w:firstLine="640" w:firstLineChars="200"/>
        <w:rPr>
          <w:rFonts w:ascii="仿宋" w:hAnsi="仿宋" w:eastAsia="仿宋"/>
          <w:b/>
          <w:color w:val="auto"/>
          <w:sz w:val="32"/>
          <w:szCs w:val="32"/>
          <w:highlight w:val="none"/>
        </w:rPr>
      </w:pPr>
      <w:r>
        <w:rPr>
          <w:rFonts w:hint="eastAsia" w:ascii="仿宋_GB2312" w:eastAsia="仿宋_GB2312"/>
          <w:color w:val="auto"/>
          <w:sz w:val="32"/>
          <w:szCs w:val="32"/>
          <w:highlight w:val="none"/>
          <w:lang w:val="en-US" w:eastAsia="zh-CN"/>
        </w:rPr>
        <w:t>17</w:t>
      </w:r>
      <w:r>
        <w:rPr>
          <w:rFonts w:ascii="仿宋_GB2312" w:eastAsia="仿宋_GB2312"/>
          <w:color w:val="auto"/>
          <w:sz w:val="32"/>
          <w:szCs w:val="32"/>
          <w:highlight w:val="none"/>
        </w:rPr>
        <w:t>.</w:t>
      </w:r>
      <w:r>
        <w:rPr>
          <w:rFonts w:hint="eastAsia" w:ascii="仿宋_GB2312" w:eastAsia="仿宋_GB2312"/>
          <w:color w:val="auto"/>
          <w:sz w:val="32"/>
          <w:szCs w:val="32"/>
          <w:highlight w:val="none"/>
        </w:rPr>
        <w:t>住房保障支出</w:t>
      </w:r>
      <w:r>
        <w:rPr>
          <w:rFonts w:ascii="仿宋_GB2312" w:eastAsia="仿宋_GB2312"/>
          <w:color w:val="auto"/>
          <w:sz w:val="32"/>
          <w:szCs w:val="32"/>
          <w:highlight w:val="none"/>
        </w:rPr>
        <w:t>2210201</w:t>
      </w:r>
      <w:r>
        <w:rPr>
          <w:rFonts w:hint="eastAsia" w:ascii="仿宋_GB2312" w:eastAsia="仿宋_GB2312"/>
          <w:color w:val="auto"/>
          <w:sz w:val="32"/>
          <w:szCs w:val="32"/>
          <w:highlight w:val="none"/>
        </w:rPr>
        <w:t>住房公积金：指本单位应缴纳的住房公积金。</w:t>
      </w:r>
    </w:p>
    <w:p>
      <w:pPr>
        <w:pStyle w:val="25"/>
        <w:spacing w:line="560" w:lineRule="exact"/>
        <w:ind w:firstLine="640" w:firstLineChars="200"/>
        <w:rPr>
          <w:rFonts w:hint="eastAsia" w:ascii="仿宋_GB2312" w:eastAsia="仿宋_GB2312"/>
          <w:color w:val="auto"/>
          <w:sz w:val="32"/>
          <w:szCs w:val="32"/>
          <w:highlight w:val="none"/>
        </w:rPr>
      </w:pPr>
    </w:p>
    <w:p>
      <w:pPr>
        <w:spacing w:line="600" w:lineRule="exact"/>
        <w:jc w:val="center"/>
        <w:outlineLvl w:val="0"/>
        <w:rPr>
          <w:rFonts w:hint="eastAsia" w:ascii="黑体" w:hAnsi="黑体" w:eastAsia="黑体"/>
          <w:color w:val="auto"/>
          <w:sz w:val="44"/>
          <w:szCs w:val="44"/>
          <w:highlight w:val="none"/>
        </w:rPr>
      </w:pPr>
      <w:bookmarkStart w:id="52" w:name="_Toc15396614"/>
      <w:bookmarkStart w:id="53" w:name="_Toc15377226"/>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Style w:val="27"/>
          <w:rFonts w:ascii="黑体" w:hAnsi="黑体" w:eastAsia="黑体"/>
          <w:b w:val="0"/>
          <w:color w:val="auto"/>
          <w:highlight w:val="none"/>
        </w:rPr>
      </w:pPr>
      <w:r>
        <w:rPr>
          <w:rFonts w:hint="eastAsia" w:ascii="黑体" w:hAnsi="黑体" w:eastAsia="黑体"/>
          <w:color w:val="auto"/>
          <w:sz w:val="44"/>
          <w:szCs w:val="44"/>
          <w:highlight w:val="none"/>
        </w:rPr>
        <w:t>第</w:t>
      </w:r>
      <w:r>
        <w:rPr>
          <w:rStyle w:val="27"/>
          <w:rFonts w:hint="eastAsia" w:ascii="黑体" w:hAnsi="黑体" w:eastAsia="黑体"/>
          <w:b w:val="0"/>
          <w:color w:val="auto"/>
          <w:highlight w:val="none"/>
        </w:rPr>
        <w:t>四部分 附件</w:t>
      </w:r>
      <w:bookmarkEnd w:id="52"/>
    </w:p>
    <w:p>
      <w:pPr>
        <w:spacing w:line="600" w:lineRule="exact"/>
        <w:jc w:val="left"/>
        <w:outlineLvl w:val="0"/>
        <w:rPr>
          <w:rFonts w:ascii="方正小标宋简体" w:hAnsi="方正小标宋简体" w:eastAsia="方正小标宋简体" w:cs="方正小标宋简体"/>
          <w:color w:val="auto"/>
          <w:sz w:val="32"/>
          <w:szCs w:val="32"/>
          <w:highlight w:val="none"/>
        </w:rPr>
      </w:pPr>
      <w:r>
        <w:rPr>
          <w:rFonts w:hint="eastAsia" w:ascii="黑体" w:hAnsi="黑体" w:eastAsia="黑体" w:cs="黑体"/>
          <w:color w:val="auto"/>
          <w:sz w:val="32"/>
          <w:szCs w:val="32"/>
          <w:highlight w:val="none"/>
        </w:rPr>
        <w:t>附件1</w:t>
      </w:r>
    </w:p>
    <w:p>
      <w:pPr>
        <w:spacing w:line="580" w:lineRule="exact"/>
        <w:jc w:val="center"/>
        <w:rPr>
          <w:rFonts w:ascii="方正小标宋简体" w:hAnsi="方正小标宋简体" w:eastAsia="方正小标宋简体" w:cs="方正小标宋简体"/>
          <w:color w:val="auto"/>
          <w:sz w:val="44"/>
          <w:szCs w:val="44"/>
          <w:highlight w:val="none"/>
        </w:rPr>
      </w:pPr>
    </w:p>
    <w:p>
      <w:pPr>
        <w:spacing w:line="600" w:lineRule="exact"/>
        <w:jc w:val="center"/>
        <w:rPr>
          <w:rFonts w:ascii="方正小标宋简体" w:hAnsi="宋体" w:eastAsia="方正小标宋简体"/>
          <w:color w:val="auto"/>
          <w:kern w:val="0"/>
          <w:sz w:val="40"/>
          <w:szCs w:val="44"/>
          <w:highlight w:val="none"/>
          <w:lang w:val="zh-CN"/>
        </w:rPr>
      </w:pPr>
      <w:r>
        <w:rPr>
          <w:rFonts w:hint="eastAsia" w:ascii="方正小标宋简体" w:hAnsi="宋体" w:eastAsia="方正小标宋简体"/>
          <w:color w:val="auto"/>
          <w:kern w:val="0"/>
          <w:sz w:val="40"/>
          <w:szCs w:val="44"/>
          <w:highlight w:val="none"/>
          <w:lang w:val="zh-CN"/>
        </w:rPr>
        <w:t>部门</w:t>
      </w:r>
      <w:r>
        <w:rPr>
          <w:rFonts w:ascii="方正小标宋简体" w:hAnsi="宋体" w:eastAsia="方正小标宋简体"/>
          <w:color w:val="auto"/>
          <w:kern w:val="0"/>
          <w:sz w:val="40"/>
          <w:szCs w:val="44"/>
          <w:highlight w:val="none"/>
        </w:rPr>
        <w:t>2019年部门</w:t>
      </w:r>
      <w:r>
        <w:rPr>
          <w:rFonts w:hint="eastAsia" w:ascii="方正小标宋简体" w:hAnsi="宋体" w:eastAsia="方正小标宋简体"/>
          <w:color w:val="auto"/>
          <w:kern w:val="0"/>
          <w:sz w:val="40"/>
          <w:szCs w:val="44"/>
          <w:highlight w:val="none"/>
          <w:lang w:val="zh-CN"/>
        </w:rPr>
        <w:t>整体支出绩效评价报告</w:t>
      </w:r>
    </w:p>
    <w:p>
      <w:pPr>
        <w:widowControl/>
        <w:adjustRightInd w:val="0"/>
        <w:snapToGrid w:val="0"/>
        <w:spacing w:line="580" w:lineRule="exact"/>
        <w:ind w:firstLine="640" w:firstLineChars="200"/>
        <w:contextualSpacing/>
        <w:jc w:val="left"/>
        <w:rPr>
          <w:rFonts w:hint="eastAsia" w:ascii="黑体" w:hAnsi="宋体" w:eastAsia="黑体" w:cs="宋体"/>
          <w:color w:val="auto"/>
          <w:kern w:val="0"/>
          <w:sz w:val="32"/>
          <w:szCs w:val="32"/>
          <w:highlight w:val="none"/>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auto"/>
          <w:kern w:val="0"/>
          <w:sz w:val="32"/>
          <w:szCs w:val="32"/>
          <w:highlight w:val="none"/>
          <w:shd w:val="clear" w:color="auto" w:fill="FFFFFF"/>
          <w:lang w:val="zh-CN"/>
        </w:rPr>
      </w:pPr>
      <w:r>
        <w:rPr>
          <w:rFonts w:hint="eastAsia" w:ascii="黑体" w:hAnsi="宋体" w:eastAsia="黑体" w:cs="宋体"/>
          <w:color w:val="auto"/>
          <w:kern w:val="0"/>
          <w:sz w:val="32"/>
          <w:szCs w:val="32"/>
          <w:highlight w:val="none"/>
          <w:shd w:val="clear" w:color="auto" w:fill="FFFFFF"/>
        </w:rPr>
        <w:t>一、</w:t>
      </w:r>
      <w:r>
        <w:rPr>
          <w:rFonts w:hint="eastAsia" w:ascii="黑体" w:hAnsi="宋体" w:eastAsia="黑体" w:cs="宋体"/>
          <w:color w:val="auto"/>
          <w:kern w:val="0"/>
          <w:sz w:val="32"/>
          <w:szCs w:val="32"/>
          <w:highlight w:val="none"/>
          <w:shd w:val="clear" w:color="auto" w:fill="FFFFFF"/>
          <w:lang w:val="zh-CN"/>
        </w:rPr>
        <w:t>部门（单位）概况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（一）机构组成。</w:t>
      </w:r>
    </w:p>
    <w:p>
      <w:pPr>
        <w:pStyle w:val="5"/>
        <w:spacing w:line="240" w:lineRule="auto"/>
        <w:ind w:firstLine="640" w:firstLineChars="200"/>
        <w:rPr>
          <w:color w:val="auto"/>
          <w:highlight w:val="none"/>
          <w:lang w:val="zh-CN"/>
        </w:rPr>
      </w:pPr>
      <w:r>
        <w:rPr>
          <w:rFonts w:hint="eastAsia" w:ascii="仿宋_GB2312" w:hAnsi="仿宋" w:eastAsia="仿宋_GB2312"/>
          <w:b w:val="0"/>
          <w:bCs w:val="0"/>
          <w:color w:val="auto"/>
          <w:highlight w:val="none"/>
        </w:rPr>
        <w:t>汶川县</w:t>
      </w:r>
      <w:r>
        <w:rPr>
          <w:rFonts w:hint="eastAsia" w:ascii="仿宋_GB2312" w:hAnsi="仿宋" w:eastAsia="仿宋_GB2312"/>
          <w:b w:val="0"/>
          <w:bCs w:val="0"/>
          <w:color w:val="auto"/>
          <w:highlight w:val="none"/>
          <w:lang w:eastAsia="zh-CN"/>
        </w:rPr>
        <w:t>概算审查中心</w:t>
      </w:r>
      <w:r>
        <w:rPr>
          <w:rFonts w:hint="eastAsia" w:ascii="仿宋_GB2312" w:hAnsi="仿宋" w:eastAsia="仿宋_GB2312"/>
          <w:b w:val="0"/>
          <w:bCs w:val="0"/>
          <w:color w:val="auto"/>
          <w:highlight w:val="none"/>
        </w:rPr>
        <w:t>为一级预算单位，无下属二级单位。</w:t>
      </w:r>
    </w:p>
    <w:p>
      <w:pPr>
        <w:widowControl/>
        <w:numPr>
          <w:ilvl w:val="0"/>
          <w:numId w:val="6"/>
        </w:numPr>
        <w:adjustRightInd w:val="0"/>
        <w:snapToGrid w:val="0"/>
        <w:spacing w:line="580" w:lineRule="exact"/>
        <w:ind w:firstLine="640" w:firstLineChars="200"/>
        <w:contextualSpacing/>
        <w:jc w:val="left"/>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机构职能。</w:t>
      </w:r>
    </w:p>
    <w:p>
      <w:pPr>
        <w:widowControl/>
        <w:spacing w:line="540" w:lineRule="exact"/>
        <w:ind w:firstLine="640" w:firstLineChars="200"/>
        <w:jc w:val="left"/>
        <w:rPr>
          <w:rFonts w:ascii="仿宋" w:hAnsi="仿宋" w:eastAsia="仿宋"/>
          <w:bCs/>
          <w:color w:val="auto"/>
          <w:sz w:val="32"/>
          <w:szCs w:val="32"/>
          <w:highlight w:val="none"/>
        </w:rPr>
      </w:pPr>
      <w:r>
        <w:rPr>
          <w:rFonts w:hint="eastAsia" w:ascii="仿宋_GB2312" w:hAnsi="仿宋_GB2312" w:eastAsia="仿宋_GB2312" w:cs="仿宋_GB2312"/>
          <w:color w:val="auto"/>
          <w:kern w:val="0"/>
          <w:sz w:val="32"/>
          <w:szCs w:val="32"/>
          <w:highlight w:val="none"/>
        </w:rPr>
        <w:t>负责政府投资项目概算审查工作，组织对项目可行性研究报告进行审查评估；承办局领导交办的其他工作。</w:t>
      </w:r>
    </w:p>
    <w:p>
      <w:pPr>
        <w:widowControl/>
        <w:numPr>
          <w:ilvl w:val="0"/>
          <w:numId w:val="6"/>
        </w:numPr>
        <w:adjustRightInd w:val="0"/>
        <w:snapToGrid w:val="0"/>
        <w:spacing w:line="580" w:lineRule="exact"/>
        <w:ind w:left="0" w:leftChars="0" w:firstLine="640" w:firstLineChars="200"/>
        <w:contextualSpacing/>
        <w:jc w:val="left"/>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人员概况。</w:t>
      </w:r>
    </w:p>
    <w:p>
      <w:pPr>
        <w:snapToGrid w:val="0"/>
        <w:spacing w:line="540" w:lineRule="exact"/>
        <w:ind w:firstLine="640" w:firstLineChars="200"/>
        <w:rPr>
          <w:rFonts w:ascii="仿宋_GB2312" w:hAnsi="仿宋" w:eastAsia="仿宋_GB2312"/>
          <w:color w:val="auto"/>
          <w:sz w:val="32"/>
          <w:szCs w:val="32"/>
          <w:highlight w:val="none"/>
        </w:rPr>
      </w:pPr>
      <w:r>
        <w:rPr>
          <w:rFonts w:hint="eastAsia" w:ascii="仿宋_GB2312" w:hAnsi="仿宋_GB2312" w:eastAsia="仿宋_GB2312" w:cs="仿宋_GB2312"/>
          <w:color w:val="auto"/>
          <w:sz w:val="32"/>
          <w:szCs w:val="32"/>
          <w:highlight w:val="none"/>
        </w:rPr>
        <w:t>核定编制事业编</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个。其中事业人员</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个。</w:t>
      </w:r>
    </w:p>
    <w:p>
      <w:pPr>
        <w:widowControl/>
        <w:adjustRightInd w:val="0"/>
        <w:snapToGrid w:val="0"/>
        <w:spacing w:line="580" w:lineRule="exact"/>
        <w:ind w:firstLine="640" w:firstLineChars="200"/>
        <w:contextualSpacing/>
        <w:jc w:val="left"/>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二、部门财政资金收支情况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（一）部门财政资金收入情况。</w:t>
      </w:r>
    </w:p>
    <w:p>
      <w:pPr>
        <w:numPr>
          <w:ilvl w:val="0"/>
          <w:numId w:val="0"/>
        </w:numPr>
        <w:pBdr>
          <w:bottom w:val="single" w:color="FFFFFF" w:sz="4" w:space="31"/>
        </w:pBdr>
        <w:autoSpaceDE w:val="0"/>
        <w:spacing w:line="560" w:lineRule="exact"/>
        <w:ind w:firstLine="960" w:firstLineChars="300"/>
        <w:outlineLvl w:val="2"/>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单位</w:t>
      </w:r>
      <w:r>
        <w:rPr>
          <w:rFonts w:hint="eastAsia" w:ascii="仿宋_GB2312" w:hAnsi="仿宋" w:eastAsia="仿宋_GB2312"/>
          <w:color w:val="auto"/>
          <w:sz w:val="32"/>
          <w:szCs w:val="32"/>
          <w:highlight w:val="none"/>
          <w:lang w:val="en-US" w:eastAsia="zh-CN"/>
        </w:rPr>
        <w:t>2019</w:t>
      </w:r>
      <w:r>
        <w:rPr>
          <w:rFonts w:hint="eastAsia" w:ascii="仿宋_GB2312" w:hAnsi="仿宋" w:eastAsia="仿宋_GB2312"/>
          <w:color w:val="auto"/>
          <w:sz w:val="32"/>
          <w:szCs w:val="32"/>
          <w:highlight w:val="none"/>
        </w:rPr>
        <w:t>年度收入</w:t>
      </w:r>
      <w:r>
        <w:rPr>
          <w:rFonts w:hint="eastAsia" w:ascii="仿宋_GB2312" w:hAnsi="仿宋" w:eastAsia="仿宋_GB2312"/>
          <w:color w:val="auto"/>
          <w:sz w:val="32"/>
          <w:szCs w:val="32"/>
          <w:highlight w:val="none"/>
          <w:lang w:val="en-US" w:eastAsia="zh-CN"/>
        </w:rPr>
        <w:t>31.66万</w:t>
      </w:r>
      <w:r>
        <w:rPr>
          <w:rFonts w:hint="eastAsia" w:ascii="仿宋_GB2312" w:hAnsi="仿宋" w:eastAsia="仿宋_GB2312"/>
          <w:color w:val="auto"/>
          <w:sz w:val="32"/>
          <w:szCs w:val="32"/>
          <w:highlight w:val="none"/>
        </w:rPr>
        <w:t>元，上年度收入</w:t>
      </w:r>
      <w:r>
        <w:rPr>
          <w:rFonts w:hint="eastAsia" w:ascii="仿宋_GB2312" w:hAnsi="仿宋" w:eastAsia="仿宋_GB2312"/>
          <w:color w:val="auto"/>
          <w:sz w:val="32"/>
          <w:szCs w:val="32"/>
          <w:highlight w:val="none"/>
          <w:lang w:val="en-US" w:eastAsia="zh-CN"/>
        </w:rPr>
        <w:t>18.02</w:t>
      </w:r>
      <w:r>
        <w:rPr>
          <w:rFonts w:hint="eastAsia" w:ascii="仿宋_GB2312" w:hAnsi="仿宋" w:eastAsia="仿宋_GB2312"/>
          <w:color w:val="auto"/>
          <w:sz w:val="32"/>
          <w:szCs w:val="32"/>
          <w:highlight w:val="none"/>
          <w:lang w:eastAsia="zh-CN"/>
        </w:rPr>
        <w:t>万</w:t>
      </w:r>
      <w:r>
        <w:rPr>
          <w:rFonts w:hint="eastAsia" w:ascii="仿宋_GB2312" w:hAnsi="仿宋" w:eastAsia="仿宋_GB2312"/>
          <w:color w:val="auto"/>
          <w:sz w:val="32"/>
          <w:szCs w:val="32"/>
          <w:highlight w:val="none"/>
        </w:rPr>
        <w:t>元，</w:t>
      </w:r>
      <w:r>
        <w:rPr>
          <w:rFonts w:hint="eastAsia" w:ascii="仿宋_GB2312" w:hAnsi="仿宋" w:eastAsia="仿宋_GB2312"/>
          <w:color w:val="auto"/>
          <w:sz w:val="32"/>
          <w:szCs w:val="32"/>
          <w:highlight w:val="none"/>
          <w:lang w:eastAsia="zh-CN"/>
        </w:rPr>
        <w:t>增加</w:t>
      </w:r>
      <w:r>
        <w:rPr>
          <w:rFonts w:hint="eastAsia" w:ascii="仿宋_GB2312" w:hAnsi="仿宋" w:eastAsia="仿宋_GB2312"/>
          <w:color w:val="auto"/>
          <w:sz w:val="32"/>
          <w:szCs w:val="32"/>
          <w:highlight w:val="none"/>
          <w:lang w:val="en-US" w:eastAsia="zh-CN"/>
        </w:rPr>
        <w:t>13.64万</w:t>
      </w:r>
      <w:r>
        <w:rPr>
          <w:rFonts w:hint="eastAsia" w:ascii="仿宋_GB2312" w:hAnsi="仿宋" w:eastAsia="仿宋_GB2312"/>
          <w:color w:val="auto"/>
          <w:sz w:val="32"/>
          <w:szCs w:val="32"/>
          <w:highlight w:val="none"/>
        </w:rPr>
        <w:t>元。</w:t>
      </w:r>
    </w:p>
    <w:p>
      <w:pPr>
        <w:widowControl/>
        <w:numPr>
          <w:ilvl w:val="0"/>
          <w:numId w:val="7"/>
        </w:numPr>
        <w:adjustRightInd w:val="0"/>
        <w:snapToGrid w:val="0"/>
        <w:spacing w:line="580" w:lineRule="exact"/>
        <w:ind w:firstLine="640" w:firstLineChars="200"/>
        <w:contextualSpacing/>
        <w:jc w:val="left"/>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部门财政资金支出情况。</w:t>
      </w:r>
    </w:p>
    <w:p>
      <w:pPr>
        <w:numPr>
          <w:ilvl w:val="0"/>
          <w:numId w:val="0"/>
        </w:numPr>
        <w:pBdr>
          <w:bottom w:val="single" w:color="FFFFFF" w:sz="4" w:space="31"/>
        </w:pBdr>
        <w:autoSpaceDE w:val="0"/>
        <w:spacing w:line="560" w:lineRule="exact"/>
        <w:ind w:firstLine="960" w:firstLineChars="300"/>
        <w:outlineLvl w:val="2"/>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lang w:val="en-US" w:eastAsia="zh-CN"/>
        </w:rPr>
        <w:t>2019</w:t>
      </w:r>
      <w:r>
        <w:rPr>
          <w:rFonts w:hint="eastAsia" w:ascii="仿宋_GB2312" w:hAnsi="仿宋" w:eastAsia="仿宋_GB2312"/>
          <w:color w:val="auto"/>
          <w:sz w:val="32"/>
          <w:szCs w:val="32"/>
          <w:highlight w:val="none"/>
        </w:rPr>
        <w:t>年度支出</w:t>
      </w:r>
      <w:r>
        <w:rPr>
          <w:rFonts w:hint="eastAsia" w:ascii="仿宋_GB2312" w:hAnsi="仿宋" w:eastAsia="仿宋_GB2312"/>
          <w:color w:val="auto"/>
          <w:sz w:val="32"/>
          <w:szCs w:val="32"/>
          <w:highlight w:val="none"/>
          <w:lang w:val="en-US" w:eastAsia="zh-CN"/>
        </w:rPr>
        <w:t>31.66</w:t>
      </w:r>
      <w:r>
        <w:rPr>
          <w:rFonts w:hint="eastAsia" w:ascii="仿宋_GB2312" w:hAnsi="仿宋" w:eastAsia="仿宋_GB2312"/>
          <w:color w:val="auto"/>
          <w:sz w:val="32"/>
          <w:szCs w:val="32"/>
          <w:highlight w:val="none"/>
          <w:lang w:eastAsia="zh-CN"/>
        </w:rPr>
        <w:t>万元</w:t>
      </w:r>
      <w:r>
        <w:rPr>
          <w:rFonts w:hint="eastAsia" w:ascii="仿宋_GB2312" w:hAnsi="仿宋" w:eastAsia="仿宋_GB2312"/>
          <w:color w:val="auto"/>
          <w:sz w:val="32"/>
          <w:szCs w:val="32"/>
          <w:highlight w:val="none"/>
        </w:rPr>
        <w:t>元，上年支出</w:t>
      </w:r>
      <w:r>
        <w:rPr>
          <w:rFonts w:hint="eastAsia" w:ascii="仿宋_GB2312" w:hAnsi="仿宋" w:eastAsia="仿宋_GB2312"/>
          <w:color w:val="auto"/>
          <w:sz w:val="32"/>
          <w:szCs w:val="32"/>
          <w:highlight w:val="none"/>
          <w:lang w:val="en-US" w:eastAsia="zh-CN"/>
        </w:rPr>
        <w:t>18.02</w:t>
      </w:r>
      <w:r>
        <w:rPr>
          <w:rFonts w:hint="eastAsia" w:ascii="仿宋_GB2312" w:hAnsi="仿宋" w:eastAsia="仿宋_GB2312"/>
          <w:color w:val="auto"/>
          <w:sz w:val="32"/>
          <w:szCs w:val="32"/>
          <w:highlight w:val="none"/>
          <w:lang w:eastAsia="zh-CN"/>
        </w:rPr>
        <w:t>万</w:t>
      </w:r>
      <w:r>
        <w:rPr>
          <w:rFonts w:hint="eastAsia" w:ascii="仿宋_GB2312" w:hAnsi="仿宋" w:eastAsia="仿宋_GB2312"/>
          <w:color w:val="auto"/>
          <w:sz w:val="32"/>
          <w:szCs w:val="32"/>
          <w:highlight w:val="none"/>
        </w:rPr>
        <w:t>元，支出比上年</w:t>
      </w:r>
      <w:r>
        <w:rPr>
          <w:rFonts w:hint="eastAsia" w:ascii="仿宋_GB2312" w:hAnsi="仿宋" w:eastAsia="仿宋_GB2312"/>
          <w:color w:val="auto"/>
          <w:sz w:val="32"/>
          <w:szCs w:val="32"/>
          <w:highlight w:val="none"/>
          <w:lang w:eastAsia="zh-CN"/>
        </w:rPr>
        <w:t>增加</w:t>
      </w:r>
      <w:r>
        <w:rPr>
          <w:rFonts w:hint="eastAsia" w:ascii="仿宋_GB2312" w:hAnsi="仿宋" w:eastAsia="仿宋_GB2312"/>
          <w:color w:val="auto"/>
          <w:sz w:val="32"/>
          <w:szCs w:val="32"/>
          <w:highlight w:val="none"/>
          <w:lang w:val="en-US" w:eastAsia="zh-CN"/>
        </w:rPr>
        <w:t>13.64万</w:t>
      </w:r>
      <w:r>
        <w:rPr>
          <w:rFonts w:hint="eastAsia" w:ascii="仿宋_GB2312" w:hAnsi="仿宋" w:eastAsia="仿宋_GB2312"/>
          <w:color w:val="auto"/>
          <w:sz w:val="32"/>
          <w:szCs w:val="32"/>
          <w:highlight w:val="none"/>
        </w:rPr>
        <w:t>元。。</w:t>
      </w:r>
    </w:p>
    <w:p>
      <w:pPr>
        <w:pStyle w:val="2"/>
        <w:numPr>
          <w:ilvl w:val="0"/>
          <w:numId w:val="0"/>
        </w:numPr>
        <w:rPr>
          <w:color w:val="auto"/>
          <w:highlight w:val="none"/>
          <w:lang w:val="zh-CN"/>
        </w:rPr>
      </w:pPr>
    </w:p>
    <w:p>
      <w:pPr>
        <w:widowControl/>
        <w:adjustRightInd w:val="0"/>
        <w:snapToGrid w:val="0"/>
        <w:spacing w:line="580" w:lineRule="exact"/>
        <w:ind w:firstLine="640" w:firstLineChars="200"/>
        <w:contextualSpacing/>
        <w:jc w:val="left"/>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三、部门整体预算绩效管理情况</w:t>
      </w:r>
    </w:p>
    <w:p>
      <w:pPr>
        <w:spacing w:line="560" w:lineRule="exact"/>
        <w:ind w:firstLine="800" w:firstLineChars="250"/>
        <w:rPr>
          <w:rFonts w:ascii="仿宋" w:hAnsi="仿宋" w:eastAsia="仿宋" w:cs="仿宋_GB2312"/>
          <w:color w:val="auto"/>
          <w:sz w:val="32"/>
          <w:szCs w:val="32"/>
          <w:highlight w:val="none"/>
        </w:rPr>
      </w:pPr>
      <w:r>
        <w:rPr>
          <w:rFonts w:hint="eastAsia" w:ascii="仿宋_GB2312" w:eastAsia="仿宋_GB2312"/>
          <w:color w:val="auto"/>
          <w:sz w:val="32"/>
          <w:szCs w:val="32"/>
          <w:highlight w:val="none"/>
        </w:rPr>
        <w:t>根据全县部门编制预算口径和要求，确保局机关正常运转、完成日常工作任务以及我局承担的重点工作，编制</w:t>
      </w:r>
      <w:r>
        <w:rPr>
          <w:rFonts w:hint="eastAsia" w:ascii="仿宋_GB2312" w:eastAsia="仿宋_GB2312"/>
          <w:color w:val="auto"/>
          <w:sz w:val="32"/>
          <w:szCs w:val="32"/>
          <w:highlight w:val="none"/>
          <w:lang w:val="en-US" w:eastAsia="zh-CN"/>
        </w:rPr>
        <w:t>2019</w:t>
      </w:r>
      <w:r>
        <w:rPr>
          <w:rFonts w:hint="eastAsia" w:ascii="仿宋_GB2312" w:eastAsia="仿宋_GB2312"/>
          <w:color w:val="auto"/>
          <w:sz w:val="32"/>
          <w:szCs w:val="32"/>
          <w:highlight w:val="none"/>
        </w:rPr>
        <w:t>年预算。基本支出，是用于保障我局正常运转的日常支出，包括基本工资、津贴补贴等人员经费以及办公费、印刷费、水电费、办公设备购置等日常公用经费。</w:t>
      </w:r>
    </w:p>
    <w:p>
      <w:pPr>
        <w:widowControl/>
        <w:ind w:firstLine="640" w:firstLineChars="200"/>
        <w:jc w:val="left"/>
        <w:rPr>
          <w:rFonts w:ascii="仿宋_GB2312" w:hAnsi="仿宋_GB2312" w:eastAsia="仿宋_GB2312" w:cs="仿宋_GB2312"/>
          <w:color w:val="auto"/>
          <w:sz w:val="32"/>
          <w:szCs w:val="32"/>
          <w:highlight w:val="none"/>
        </w:rPr>
      </w:pPr>
      <w:r>
        <w:rPr>
          <w:rFonts w:hint="eastAsia" w:ascii="楷体_GB2312" w:hAnsi="楷体_GB2312" w:eastAsia="楷体_GB2312" w:cs="楷体_GB2312"/>
          <w:color w:val="auto"/>
          <w:sz w:val="32"/>
          <w:szCs w:val="32"/>
          <w:highlight w:val="none"/>
        </w:rPr>
        <w:t>（二）专项预算管理。</w:t>
      </w:r>
    </w:p>
    <w:p>
      <w:pPr>
        <w:widowControl/>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）资金绩效分配情况。</w:t>
      </w:r>
    </w:p>
    <w:p>
      <w:pPr>
        <w:widowControl/>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项目申报严格按照申报规定，明确绩效目标，控制成本，提高效益。</w:t>
      </w:r>
    </w:p>
    <w:p>
      <w:pPr>
        <w:widowControl/>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rPr>
        <w:t>）项目资金管理情况。</w:t>
      </w:r>
    </w:p>
    <w:p>
      <w:pPr>
        <w:widowControl/>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项目资金日常支出严格按照预算、用款标准，制度项目资金管理办法。</w:t>
      </w:r>
    </w:p>
    <w:p>
      <w:pPr>
        <w:widowControl/>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rPr>
        <w:t>）绩效目标完成情况。</w:t>
      </w:r>
    </w:p>
    <w:p>
      <w:pPr>
        <w:widowControl/>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项目实施完成有利于改善传统管理模式，项目管理科学化、严密化、系统化，加强各部协调联系。提高效率、降低成本。</w:t>
      </w:r>
    </w:p>
    <w:p>
      <w:pPr>
        <w:widowControl/>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（三）结果应用情况。</w:t>
      </w:r>
    </w:p>
    <w:p>
      <w:pPr>
        <w:widowControl/>
        <w:ind w:firstLine="640" w:firstLineChars="200"/>
        <w:jc w:val="left"/>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仿宋_GB2312" w:eastAsia="仿宋_GB2312" w:cs="仿宋_GB2312"/>
          <w:color w:val="auto"/>
          <w:sz w:val="32"/>
          <w:szCs w:val="32"/>
          <w:highlight w:val="none"/>
        </w:rPr>
        <w:t>绩效管理严格按照上级部门要求，开展自评工作，对评价结果及时总结上报。</w:t>
      </w:r>
    </w:p>
    <w:p>
      <w:pPr>
        <w:widowControl/>
        <w:adjustRightInd w:val="0"/>
        <w:snapToGrid w:val="0"/>
        <w:spacing w:line="580" w:lineRule="exact"/>
        <w:ind w:firstLine="640" w:firstLineChars="200"/>
        <w:contextualSpacing/>
        <w:jc w:val="left"/>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四、评价结论及建议</w:t>
      </w:r>
    </w:p>
    <w:p>
      <w:pPr>
        <w:widowControl/>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（一）评价结论。</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预算执行情况良好，</w:t>
      </w:r>
      <w:r>
        <w:rPr>
          <w:rFonts w:hint="eastAsia" w:ascii="仿宋" w:hAnsi="仿宋" w:eastAsia="仿宋" w:cs="仿宋"/>
          <w:color w:val="auto"/>
          <w:sz w:val="32"/>
          <w:szCs w:val="32"/>
          <w:highlight w:val="none"/>
        </w:rPr>
        <w:t>会计核算和账务管理较好，严格执行政府采购制度。</w:t>
      </w:r>
    </w:p>
    <w:p>
      <w:pPr>
        <w:widowControl/>
        <w:ind w:firstLine="640" w:firstLineChars="200"/>
        <w:jc w:val="left"/>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二）存在问题。</w:t>
      </w:r>
      <w:r>
        <w:rPr>
          <w:rFonts w:ascii="仿宋_GB2312" w:hAnsi="仿宋_GB2312" w:eastAsia="仿宋_GB2312" w:cs="仿宋_GB2312"/>
          <w:color w:val="auto"/>
          <w:sz w:val="32"/>
          <w:szCs w:val="32"/>
          <w:highlight w:val="none"/>
        </w:rPr>
        <w:t xml:space="preserve"> </w:t>
      </w:r>
    </w:p>
    <w:p>
      <w:pPr>
        <w:widowControl/>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项目资金的使用未严格按照全年工作计划和步骤支出，前期支出进度缓慢。</w:t>
      </w:r>
    </w:p>
    <w:p>
      <w:pPr>
        <w:widowControl/>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（三）改进建议。</w:t>
      </w:r>
      <w:r>
        <w:rPr>
          <w:rFonts w:ascii="仿宋_GB2312" w:hAnsi="仿宋_GB2312" w:eastAsia="仿宋_GB2312" w:cs="仿宋_GB2312"/>
          <w:color w:val="auto"/>
          <w:sz w:val="32"/>
          <w:szCs w:val="32"/>
          <w:highlight w:val="none"/>
        </w:rPr>
        <w:t xml:space="preserve"> </w:t>
      </w:r>
    </w:p>
    <w:p>
      <w:pPr>
        <w:widowControl/>
        <w:ind w:firstLine="640" w:firstLineChars="200"/>
        <w:jc w:val="left"/>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、制定合理的年度工作计划和年度经费支出预算，确保全年经费支出均衡。</w:t>
      </w:r>
    </w:p>
    <w:p>
      <w:pPr>
        <w:widowControl/>
        <w:ind w:firstLine="640" w:firstLineChars="200"/>
        <w:jc w:val="left"/>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rPr>
        <w:t>、加强对专项资金的管，建立和完善内部控制建设，形成系统的内部财务管理制度。</w:t>
      </w:r>
    </w:p>
    <w:p>
      <w:pPr>
        <w:widowControl/>
        <w:ind w:firstLine="640" w:firstLineChars="200"/>
        <w:jc w:val="left"/>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rPr>
        <w:t>推进项目竣工验收，加强与财政部门的衔接，加快资金拨付。</w:t>
      </w:r>
    </w:p>
    <w:p>
      <w:pPr>
        <w:pStyle w:val="2"/>
        <w:ind w:left="31680" w:firstLine="31680"/>
        <w:rPr>
          <w:rFonts w:eastAsia="仿宋_GB2312"/>
          <w:color w:val="auto"/>
          <w:highlight w:val="none"/>
        </w:rPr>
      </w:pPr>
    </w:p>
    <w:p>
      <w:pPr>
        <w:spacing w:line="580" w:lineRule="exact"/>
        <w:ind w:firstLine="640" w:firstLineChars="200"/>
        <w:rPr>
          <w:rFonts w:ascii="仿宋_GB2312" w:hAnsi="仿宋_GB2312" w:eastAsia="仿宋_GB2312" w:cs="仿宋_GB2312"/>
          <w:color w:val="auto"/>
          <w:sz w:val="32"/>
          <w:szCs w:val="32"/>
          <w:highlight w:val="none"/>
        </w:rPr>
      </w:pPr>
    </w:p>
    <w:p>
      <w:pPr>
        <w:pStyle w:val="2"/>
        <w:rPr>
          <w:rFonts w:ascii="仿宋_GB2312" w:hAnsi="仿宋_GB2312" w:eastAsia="仿宋_GB2312" w:cs="仿宋_GB2312"/>
          <w:color w:val="auto"/>
          <w:sz w:val="32"/>
          <w:szCs w:val="32"/>
          <w:highlight w:val="none"/>
        </w:rPr>
      </w:pPr>
    </w:p>
    <w:p>
      <w:pPr>
        <w:pStyle w:val="2"/>
        <w:rPr>
          <w:rFonts w:ascii="仿宋_GB2312" w:hAnsi="仿宋_GB2312" w:eastAsia="仿宋_GB2312" w:cs="仿宋_GB2312"/>
          <w:color w:val="auto"/>
          <w:sz w:val="32"/>
          <w:szCs w:val="32"/>
          <w:highlight w:val="none"/>
        </w:rPr>
      </w:pPr>
    </w:p>
    <w:p>
      <w:pPr>
        <w:pStyle w:val="2"/>
        <w:rPr>
          <w:rFonts w:ascii="仿宋_GB2312" w:hAnsi="仿宋_GB2312" w:eastAsia="仿宋_GB2312" w:cs="仿宋_GB2312"/>
          <w:color w:val="auto"/>
          <w:sz w:val="32"/>
          <w:szCs w:val="32"/>
          <w:highlight w:val="none"/>
        </w:rPr>
      </w:pPr>
    </w:p>
    <w:p>
      <w:pPr>
        <w:pStyle w:val="2"/>
        <w:rPr>
          <w:rFonts w:ascii="仿宋_GB2312" w:hAnsi="仿宋_GB2312" w:eastAsia="仿宋_GB2312" w:cs="仿宋_GB2312"/>
          <w:color w:val="auto"/>
          <w:sz w:val="32"/>
          <w:szCs w:val="32"/>
          <w:highlight w:val="none"/>
        </w:rPr>
      </w:pPr>
    </w:p>
    <w:p>
      <w:pPr>
        <w:widowControl/>
        <w:jc w:val="left"/>
        <w:rPr>
          <w:rStyle w:val="27"/>
          <w:rFonts w:ascii="黑体" w:hAnsi="黑体" w:eastAsia="黑体"/>
          <w:b w:val="0"/>
          <w:color w:val="auto"/>
          <w:highlight w:val="none"/>
        </w:rPr>
      </w:pPr>
      <w:r>
        <w:rPr>
          <w:rStyle w:val="27"/>
          <w:rFonts w:ascii="黑体" w:hAnsi="黑体" w:eastAsia="黑体"/>
          <w:b w:val="0"/>
          <w:color w:val="auto"/>
          <w:highlight w:val="none"/>
        </w:rPr>
        <w:br w:type="page"/>
      </w:r>
    </w:p>
    <w:p>
      <w:pPr>
        <w:spacing w:line="600" w:lineRule="exact"/>
        <w:jc w:val="center"/>
        <w:outlineLvl w:val="0"/>
        <w:rPr>
          <w:rStyle w:val="27"/>
          <w:rFonts w:ascii="黑体" w:hAnsi="黑体" w:eastAsia="黑体"/>
          <w:b w:val="0"/>
          <w:color w:val="auto"/>
          <w:highlight w:val="none"/>
        </w:rPr>
      </w:pPr>
    </w:p>
    <w:p>
      <w:pPr>
        <w:spacing w:line="600" w:lineRule="exact"/>
        <w:jc w:val="center"/>
        <w:outlineLvl w:val="0"/>
        <w:rPr>
          <w:rStyle w:val="27"/>
          <w:rFonts w:ascii="黑体" w:hAnsi="黑体" w:eastAsia="黑体"/>
          <w:b w:val="0"/>
          <w:color w:val="auto"/>
          <w:highlight w:val="none"/>
        </w:rPr>
      </w:pPr>
      <w:bookmarkStart w:id="54" w:name="_Toc15396618"/>
      <w:r>
        <w:rPr>
          <w:rFonts w:hint="eastAsia" w:ascii="黑体" w:hAnsi="黑体" w:eastAsia="黑体"/>
          <w:color w:val="auto"/>
          <w:sz w:val="44"/>
          <w:szCs w:val="44"/>
          <w:highlight w:val="none"/>
        </w:rPr>
        <w:t>第</w:t>
      </w:r>
      <w:r>
        <w:rPr>
          <w:rStyle w:val="27"/>
          <w:rFonts w:hint="eastAsia" w:ascii="黑体" w:hAnsi="黑体" w:eastAsia="黑体"/>
          <w:b w:val="0"/>
          <w:color w:val="auto"/>
          <w:highlight w:val="none"/>
        </w:rPr>
        <w:t>五部分 附表</w:t>
      </w:r>
      <w:bookmarkEnd w:id="53"/>
      <w:bookmarkEnd w:id="54"/>
    </w:p>
    <w:p>
      <w:pPr>
        <w:spacing w:line="600" w:lineRule="exact"/>
        <w:jc w:val="center"/>
        <w:outlineLvl w:val="0"/>
        <w:rPr>
          <w:rFonts w:ascii="仿宋" w:hAnsi="仿宋" w:eastAsia="仿宋"/>
          <w:b/>
          <w:color w:val="auto"/>
          <w:sz w:val="44"/>
          <w:szCs w:val="44"/>
          <w:highlight w:val="none"/>
        </w:rPr>
      </w:pPr>
    </w:p>
    <w:p>
      <w:pPr>
        <w:pStyle w:val="5"/>
        <w:rPr>
          <w:rFonts w:ascii="仿宋" w:hAnsi="仿宋" w:eastAsia="仿宋"/>
          <w:color w:val="auto"/>
          <w:highlight w:val="none"/>
        </w:rPr>
      </w:pPr>
      <w:bookmarkStart w:id="55" w:name="_Toc15396619"/>
      <w:r>
        <w:rPr>
          <w:rFonts w:hint="eastAsia" w:ascii="仿宋" w:hAnsi="仿宋" w:eastAsia="仿宋"/>
          <w:b w:val="0"/>
          <w:color w:val="auto"/>
          <w:highlight w:val="none"/>
        </w:rPr>
        <w:t>一、收</w:t>
      </w:r>
      <w:r>
        <w:rPr>
          <w:rStyle w:val="28"/>
          <w:rFonts w:hint="eastAsia" w:ascii="仿宋" w:hAnsi="仿宋" w:eastAsia="仿宋"/>
          <w:b w:val="0"/>
          <w:bCs w:val="0"/>
          <w:color w:val="auto"/>
          <w:highlight w:val="none"/>
        </w:rPr>
        <w:t>入支出决算总表</w:t>
      </w:r>
      <w:bookmarkEnd w:id="55"/>
    </w:p>
    <w:p>
      <w:pPr>
        <w:pStyle w:val="5"/>
        <w:rPr>
          <w:rFonts w:ascii="仿宋" w:hAnsi="仿宋" w:eastAsia="仿宋"/>
          <w:color w:val="auto"/>
          <w:highlight w:val="none"/>
        </w:rPr>
      </w:pPr>
      <w:bookmarkStart w:id="56" w:name="_Toc15396620"/>
      <w:r>
        <w:rPr>
          <w:rFonts w:hint="eastAsia" w:ascii="仿宋" w:hAnsi="仿宋" w:eastAsia="仿宋"/>
          <w:b w:val="0"/>
          <w:color w:val="auto"/>
          <w:highlight w:val="none"/>
        </w:rPr>
        <w:t>二、收</w:t>
      </w:r>
      <w:r>
        <w:rPr>
          <w:rStyle w:val="28"/>
          <w:rFonts w:hint="eastAsia" w:ascii="仿宋" w:hAnsi="仿宋" w:eastAsia="仿宋"/>
          <w:b w:val="0"/>
          <w:bCs w:val="0"/>
          <w:color w:val="auto"/>
          <w:highlight w:val="none"/>
        </w:rPr>
        <w:t>入决算表</w:t>
      </w:r>
      <w:bookmarkEnd w:id="56"/>
    </w:p>
    <w:p>
      <w:pPr>
        <w:pStyle w:val="5"/>
        <w:rPr>
          <w:rFonts w:ascii="仿宋" w:hAnsi="仿宋" w:eastAsia="仿宋"/>
          <w:color w:val="auto"/>
          <w:highlight w:val="none"/>
        </w:rPr>
      </w:pPr>
      <w:bookmarkStart w:id="57" w:name="_Toc15396621"/>
      <w:r>
        <w:rPr>
          <w:rStyle w:val="28"/>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8"/>
          <w:rFonts w:hint="eastAsia" w:ascii="仿宋" w:hAnsi="仿宋" w:eastAsia="仿宋"/>
          <w:b w:val="0"/>
          <w:bCs w:val="0"/>
          <w:color w:val="auto"/>
          <w:highlight w:val="none"/>
        </w:rPr>
        <w:t>出决算表</w:t>
      </w:r>
      <w:bookmarkEnd w:id="57"/>
    </w:p>
    <w:p>
      <w:pPr>
        <w:pStyle w:val="5"/>
        <w:rPr>
          <w:rFonts w:ascii="仿宋" w:hAnsi="仿宋" w:eastAsia="仿宋"/>
          <w:b w:val="0"/>
          <w:color w:val="auto"/>
          <w:highlight w:val="none"/>
        </w:rPr>
      </w:pPr>
      <w:bookmarkStart w:id="58" w:name="_Toc15396622"/>
      <w:r>
        <w:rPr>
          <w:rStyle w:val="28"/>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8"/>
          <w:rFonts w:hint="eastAsia" w:ascii="仿宋" w:hAnsi="仿宋" w:eastAsia="仿宋"/>
          <w:b w:val="0"/>
          <w:bCs w:val="0"/>
          <w:color w:val="auto"/>
          <w:highlight w:val="none"/>
        </w:rPr>
        <w:t>政拨款收入支出决算总表</w:t>
      </w:r>
      <w:bookmarkEnd w:id="58"/>
    </w:p>
    <w:p>
      <w:pPr>
        <w:pStyle w:val="5"/>
        <w:rPr>
          <w:rStyle w:val="28"/>
          <w:rFonts w:ascii="仿宋" w:hAnsi="仿宋" w:eastAsia="仿宋"/>
          <w:b w:val="0"/>
          <w:bCs w:val="0"/>
          <w:color w:val="auto"/>
          <w:highlight w:val="none"/>
        </w:rPr>
      </w:pPr>
      <w:bookmarkStart w:id="59" w:name="_Toc15396623"/>
      <w:r>
        <w:rPr>
          <w:rStyle w:val="28"/>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8"/>
          <w:rFonts w:hint="eastAsia" w:ascii="仿宋" w:hAnsi="仿宋" w:eastAsia="仿宋"/>
          <w:b w:val="0"/>
          <w:bCs w:val="0"/>
          <w:color w:val="auto"/>
          <w:highlight w:val="none"/>
        </w:rPr>
        <w:t>政拨款支出决算明细表</w:t>
      </w:r>
      <w:bookmarkEnd w:id="59"/>
      <w:bookmarkStart w:id="60" w:name="_Toc15396624"/>
    </w:p>
    <w:p>
      <w:pPr>
        <w:pStyle w:val="5"/>
        <w:rPr>
          <w:rFonts w:ascii="仿宋" w:hAnsi="仿宋" w:eastAsia="仿宋"/>
          <w:color w:val="auto"/>
          <w:highlight w:val="none"/>
        </w:rPr>
      </w:pPr>
      <w:r>
        <w:rPr>
          <w:rStyle w:val="28"/>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般公共预算财政拨款支出决算表</w:t>
      </w:r>
      <w:bookmarkEnd w:id="60"/>
    </w:p>
    <w:p>
      <w:pPr>
        <w:pStyle w:val="5"/>
        <w:rPr>
          <w:rFonts w:ascii="仿宋" w:hAnsi="仿宋" w:eastAsia="仿宋"/>
          <w:color w:val="auto"/>
          <w:highlight w:val="none"/>
        </w:rPr>
      </w:pPr>
      <w:bookmarkStart w:id="61" w:name="_Toc15396625"/>
      <w:r>
        <w:rPr>
          <w:rStyle w:val="28"/>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般公共预算财政拨款支出决算明细表</w:t>
      </w:r>
      <w:bookmarkEnd w:id="61"/>
    </w:p>
    <w:p>
      <w:pPr>
        <w:pStyle w:val="5"/>
        <w:rPr>
          <w:rFonts w:ascii="仿宋" w:hAnsi="仿宋" w:eastAsia="仿宋"/>
          <w:color w:val="auto"/>
          <w:highlight w:val="none"/>
        </w:rPr>
      </w:pPr>
      <w:bookmarkStart w:id="62" w:name="_Toc15396626"/>
      <w:r>
        <w:rPr>
          <w:rStyle w:val="28"/>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般公共预算财政拨款基本支出决算表</w:t>
      </w:r>
      <w:bookmarkEnd w:id="62"/>
    </w:p>
    <w:p>
      <w:pPr>
        <w:pStyle w:val="5"/>
        <w:rPr>
          <w:rFonts w:ascii="仿宋" w:hAnsi="仿宋" w:eastAsia="仿宋"/>
          <w:color w:val="auto"/>
          <w:highlight w:val="none"/>
        </w:rPr>
      </w:pPr>
      <w:bookmarkStart w:id="63" w:name="_Toc15396627"/>
      <w:r>
        <w:rPr>
          <w:rStyle w:val="28"/>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般公共预算财政拨款项目支出决算表</w:t>
      </w:r>
      <w:bookmarkEnd w:id="63"/>
    </w:p>
    <w:p>
      <w:pPr>
        <w:pStyle w:val="5"/>
        <w:rPr>
          <w:rFonts w:ascii="仿宋" w:hAnsi="仿宋" w:eastAsia="仿宋"/>
          <w:color w:val="auto"/>
          <w:highlight w:val="none"/>
        </w:rPr>
      </w:pPr>
      <w:bookmarkStart w:id="64" w:name="_Toc15396628"/>
      <w:r>
        <w:rPr>
          <w:rStyle w:val="28"/>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般公共预算财政拨款“三公”经费支出决算表</w:t>
      </w:r>
      <w:bookmarkEnd w:id="64"/>
    </w:p>
    <w:p>
      <w:pPr>
        <w:pStyle w:val="5"/>
        <w:rPr>
          <w:rFonts w:ascii="仿宋" w:hAnsi="仿宋" w:eastAsia="仿宋"/>
          <w:color w:val="auto"/>
          <w:highlight w:val="none"/>
        </w:rPr>
      </w:pPr>
      <w:bookmarkStart w:id="65" w:name="_Toc15396629"/>
      <w:r>
        <w:rPr>
          <w:rStyle w:val="28"/>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8"/>
          <w:rFonts w:hint="eastAsia" w:ascii="仿宋" w:hAnsi="仿宋" w:eastAsia="仿宋"/>
          <w:b w:val="0"/>
          <w:bCs w:val="0"/>
          <w:color w:val="auto"/>
          <w:highlight w:val="none"/>
        </w:rPr>
        <w:t>府性基金预算财政拨款收入支出决算表</w:t>
      </w:r>
      <w:bookmarkEnd w:id="65"/>
    </w:p>
    <w:p>
      <w:pPr>
        <w:pStyle w:val="5"/>
        <w:rPr>
          <w:rFonts w:ascii="仿宋" w:hAnsi="仿宋" w:eastAsia="仿宋"/>
          <w:color w:val="auto"/>
          <w:highlight w:val="none"/>
        </w:rPr>
      </w:pPr>
      <w:bookmarkStart w:id="66" w:name="_Toc15396630"/>
      <w:r>
        <w:rPr>
          <w:rStyle w:val="28"/>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8"/>
          <w:rFonts w:hint="eastAsia" w:ascii="仿宋" w:hAnsi="仿宋" w:eastAsia="仿宋"/>
          <w:b w:val="0"/>
          <w:bCs w:val="0"/>
          <w:color w:val="auto"/>
          <w:highlight w:val="none"/>
        </w:rPr>
        <w:t>府性基金预算财政拨款“三公”经费支出决算表</w:t>
      </w:r>
      <w:bookmarkEnd w:id="66"/>
    </w:p>
    <w:p>
      <w:pPr>
        <w:pStyle w:val="5"/>
        <w:rPr>
          <w:rFonts w:ascii="仿宋" w:hAnsi="仿宋" w:eastAsia="仿宋"/>
          <w:color w:val="auto"/>
          <w:highlight w:val="none"/>
        </w:rPr>
      </w:pPr>
      <w:bookmarkStart w:id="67" w:name="_Toc15396631"/>
      <w:r>
        <w:rPr>
          <w:rStyle w:val="28"/>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8"/>
          <w:rFonts w:hint="eastAsia" w:ascii="仿宋" w:hAnsi="仿宋" w:eastAsia="仿宋"/>
          <w:b w:val="0"/>
          <w:bCs w:val="0"/>
          <w:color w:val="auto"/>
          <w:highlight w:val="none"/>
        </w:rPr>
        <w:t>有资本经营预算支出决算表</w:t>
      </w:r>
      <w:bookmarkEnd w:id="67"/>
    </w:p>
    <w:sectPr>
      <w:headerReference r:id="rId3" w:type="default"/>
      <w:footerReference r:id="rId4" w:type="default"/>
      <w:pgSz w:w="11906" w:h="16838"/>
      <w:pgMar w:top="2098" w:right="1474" w:bottom="1984" w:left="1587"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_4eff_5b8b_GB2312">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微软雅黑 Light">
    <w:altName w:val="黑体"/>
    <w:panose1 w:val="020B0502040204020203"/>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FD2B5040"/>
    <w:multiLevelType w:val="singleLevel"/>
    <w:tmpl w:val="FD2B5040"/>
    <w:lvl w:ilvl="0" w:tentative="0">
      <w:start w:val="2"/>
      <w:numFmt w:val="chineseCounting"/>
      <w:suff w:val="nothing"/>
      <w:lvlText w:val="（%1）"/>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D3F8C1A"/>
    <w:multiLevelType w:val="singleLevel"/>
    <w:tmpl w:val="1D3F8C1A"/>
    <w:lvl w:ilvl="0" w:tentative="0">
      <w:start w:val="1"/>
      <w:numFmt w:val="chineseCounting"/>
      <w:suff w:val="nothing"/>
      <w:lvlText w:val="%1、"/>
      <w:lvlJc w:val="left"/>
      <w:rPr>
        <w:rFonts w:hint="eastAsia"/>
      </w:rPr>
    </w:lvl>
  </w:abstractNum>
  <w:abstractNum w:abstractNumId="5">
    <w:nsid w:val="4923F893"/>
    <w:multiLevelType w:val="singleLevel"/>
    <w:tmpl w:val="4923F893"/>
    <w:lvl w:ilvl="0" w:tentative="0">
      <w:start w:val="1"/>
      <w:numFmt w:val="chineseCounting"/>
      <w:suff w:val="nothing"/>
      <w:lvlText w:val="（%1）"/>
      <w:lvlJc w:val="left"/>
      <w:rPr>
        <w:rFonts w:hint="eastAsia"/>
      </w:rPr>
    </w:lvl>
  </w:abstractNum>
  <w:abstractNum w:abstractNumId="6">
    <w:nsid w:val="5E743336"/>
    <w:multiLevelType w:val="singleLevel"/>
    <w:tmpl w:val="5E743336"/>
    <w:lvl w:ilvl="0" w:tentative="0">
      <w:start w:val="2"/>
      <w:numFmt w:val="chineseCounting"/>
      <w:suff w:val="nothing"/>
      <w:lvlText w:val="（%1）"/>
      <w:lvlJc w:val="left"/>
      <w:rPr>
        <w:rFonts w:hint="eastAsia"/>
      </w:rPr>
    </w:lvl>
  </w:abstractNum>
  <w:num w:numId="1">
    <w:abstractNumId w:val="4"/>
  </w:num>
  <w:num w:numId="2">
    <w:abstractNumId w:val="5"/>
  </w:num>
  <w:num w:numId="3">
    <w:abstractNumId w:val="3"/>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F6619"/>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52910"/>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AF37A0"/>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179F5"/>
    <w:rsid w:val="00D20620"/>
    <w:rsid w:val="00D2207C"/>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DF7548"/>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400C9F"/>
    <w:rsid w:val="10C055FF"/>
    <w:rsid w:val="16BB723D"/>
    <w:rsid w:val="18973982"/>
    <w:rsid w:val="1A7A520A"/>
    <w:rsid w:val="1C9B755D"/>
    <w:rsid w:val="240371BF"/>
    <w:rsid w:val="25053698"/>
    <w:rsid w:val="27160A65"/>
    <w:rsid w:val="29FD04D3"/>
    <w:rsid w:val="2B8945A4"/>
    <w:rsid w:val="314A69B0"/>
    <w:rsid w:val="319F7F4E"/>
    <w:rsid w:val="368119D9"/>
    <w:rsid w:val="3A1D47FC"/>
    <w:rsid w:val="3CF90F43"/>
    <w:rsid w:val="42EC20EE"/>
    <w:rsid w:val="43A42B0F"/>
    <w:rsid w:val="484E3F36"/>
    <w:rsid w:val="4ECE2238"/>
    <w:rsid w:val="545D5A15"/>
    <w:rsid w:val="559461FB"/>
    <w:rsid w:val="5E401B00"/>
    <w:rsid w:val="60C905AF"/>
    <w:rsid w:val="6949403B"/>
    <w:rsid w:val="6AF91477"/>
    <w:rsid w:val="72734D90"/>
    <w:rsid w:val="735D0DD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简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spacing w:after="120"/>
      <w:ind w:left="420" w:leftChars="200"/>
    </w:pPr>
    <w:rPr>
      <w:szCs w:val="20"/>
    </w:rPr>
  </w:style>
  <w:style w:type="paragraph" w:styleId="7">
    <w:name w:val="Body Text"/>
    <w:basedOn w:val="1"/>
    <w:link w:val="24"/>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0"/>
    <w:semiHidden/>
    <w:unhideWhenUsed/>
    <w:qFormat/>
    <w:uiPriority w:val="99"/>
    <w:rPr>
      <w:sz w:val="18"/>
      <w:szCs w:val="18"/>
    </w:rPr>
  </w:style>
  <w:style w:type="paragraph" w:styleId="10">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qFormat/>
    <w:uiPriority w:val="0"/>
    <w:pPr>
      <w:spacing w:before="100" w:beforeAutospacing="1" w:after="100" w:afterAutospacing="1"/>
      <w:jc w:val="left"/>
    </w:pPr>
    <w:rPr>
      <w:rFonts w:ascii="Calibri" w:hAnsi="Calibri"/>
      <w:kern w:val="0"/>
      <w:sz w:val="24"/>
    </w:r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rPr>
  </w:style>
  <w:style w:type="character" w:customStyle="1" w:styleId="19">
    <w:name w:val="Header Char"/>
    <w:basedOn w:val="16"/>
    <w:semiHidden/>
    <w:qFormat/>
    <w:uiPriority w:val="99"/>
    <w:rPr>
      <w:rFonts w:ascii="Times New Roman" w:hAnsi="Times New Roman"/>
      <w:sz w:val="18"/>
      <w:szCs w:val="18"/>
    </w:rPr>
  </w:style>
  <w:style w:type="character" w:customStyle="1" w:styleId="20">
    <w:name w:val="页眉 字符"/>
    <w:link w:val="11"/>
    <w:semiHidden/>
    <w:qFormat/>
    <w:locked/>
    <w:uiPriority w:val="99"/>
    <w:rPr>
      <w:sz w:val="18"/>
    </w:rPr>
  </w:style>
  <w:style w:type="character" w:customStyle="1" w:styleId="21">
    <w:name w:val="Footer Char"/>
    <w:basedOn w:val="16"/>
    <w:semiHidden/>
    <w:qFormat/>
    <w:uiPriority w:val="99"/>
    <w:rPr>
      <w:rFonts w:ascii="Times New Roman" w:hAnsi="Times New Roman"/>
      <w:sz w:val="18"/>
      <w:szCs w:val="18"/>
    </w:rPr>
  </w:style>
  <w:style w:type="character" w:customStyle="1" w:styleId="22">
    <w:name w:val="页脚 字符"/>
    <w:link w:val="10"/>
    <w:qFormat/>
    <w:locked/>
    <w:uiPriority w:val="99"/>
    <w:rPr>
      <w:sz w:val="18"/>
    </w:rPr>
  </w:style>
  <w:style w:type="character" w:customStyle="1" w:styleId="23">
    <w:name w:val="Body Text Char"/>
    <w:basedOn w:val="16"/>
    <w:semiHidden/>
    <w:qFormat/>
    <w:uiPriority w:val="99"/>
    <w:rPr>
      <w:rFonts w:ascii="Times New Roman" w:hAnsi="Times New Roman"/>
      <w:szCs w:val="24"/>
    </w:rPr>
  </w:style>
  <w:style w:type="character" w:customStyle="1" w:styleId="24">
    <w:name w:val="正文文本 字符"/>
    <w:link w:val="7"/>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字符"/>
    <w:basedOn w:val="16"/>
    <w:link w:val="4"/>
    <w:qFormat/>
    <w:uiPriority w:val="9"/>
    <w:rPr>
      <w:rFonts w:ascii="Times New Roman" w:hAnsi="Times New Roman"/>
      <w:b/>
      <w:bCs/>
      <w:kern w:val="44"/>
      <w:sz w:val="44"/>
      <w:szCs w:val="44"/>
    </w:rPr>
  </w:style>
  <w:style w:type="character" w:customStyle="1" w:styleId="28">
    <w:name w:val="标题 2 字符"/>
    <w:basedOn w:val="16"/>
    <w:link w:val="5"/>
    <w:qFormat/>
    <w:uiPriority w:val="9"/>
    <w:rPr>
      <w:rFonts w:asciiTheme="majorHAnsi" w:hAnsiTheme="majorHAnsi" w:eastAsiaTheme="majorEastAsia" w:cstheme="majorBidi"/>
      <w:b/>
      <w:bCs/>
      <w:kern w:val="2"/>
      <w:sz w:val="32"/>
      <w:szCs w:val="32"/>
    </w:rPr>
  </w:style>
  <w:style w:type="paragraph" w:customStyle="1" w:styleId="29">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0">
    <w:name w:val="批注框文本 字符"/>
    <w:basedOn w:val="16"/>
    <w:link w:val="9"/>
    <w:semiHidden/>
    <w:qFormat/>
    <w:uiPriority w:val="99"/>
    <w:rPr>
      <w:rFonts w:ascii="Times New Roman" w:hAnsi="Times New Roman"/>
      <w:kern w:val="2"/>
      <w:sz w:val="18"/>
      <w:szCs w:val="18"/>
    </w:rPr>
  </w:style>
  <w:style w:type="character" w:customStyle="1" w:styleId="31">
    <w:name w:val="标题 3 字符"/>
    <w:basedOn w:val="16"/>
    <w:link w:val="6"/>
    <w:qFormat/>
    <w:uiPriority w:val="9"/>
    <w:rPr>
      <w:rFonts w:ascii="Times New Roman" w:hAnsi="Times New Roman"/>
      <w:b/>
      <w:bCs/>
      <w:kern w:val="2"/>
      <w:sz w:val="32"/>
      <w:szCs w:val="32"/>
    </w:rPr>
  </w:style>
  <w:style w:type="paragraph" w:customStyle="1" w:styleId="32">
    <w:name w:val="TOC Heading"/>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6032;&#24314;%20XLSX%20&#24037;&#20316;&#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6032;&#24314;%20XLSX%20&#24037;&#20316;&#349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6032;&#24314;%20XLSX%20&#24037;&#20316;&#3492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6032;&#24314;%20XLSX%20&#24037;&#20316;&#3492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6032;&#24314;%20XLSX%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overlay val="0"/>
      <c:spPr>
        <a:noFill/>
        <a:ln>
          <a:noFill/>
        </a:ln>
        <a:effectLst/>
      </c:spPr>
    </c:title>
    <c:autoTitleDeleted val="0"/>
    <c:plotArea>
      <c:layout/>
      <c:barChart>
        <c:barDir val="col"/>
        <c:grouping val="clustered"/>
        <c:varyColors val="0"/>
        <c:ser>
          <c:idx val="0"/>
          <c:order val="0"/>
          <c:tx>
            <c:strRef>
              <c:f>'[新建 XLSX 工作表.xlsx]Sheet1'!$D$9</c:f>
              <c:strCache>
                <c:ptCount val="1"/>
                <c:pt idx="0">
                  <c:v>2019年度</c:v>
                </c:pt>
              </c:strCache>
            </c:strRef>
          </c:tx>
          <c:spPr>
            <a:solidFill>
              <a:schemeClr val="accent1"/>
            </a:solidFill>
            <a:ln>
              <a:noFill/>
            </a:ln>
            <a:effectLst/>
          </c:spPr>
          <c:invertIfNegative val="0"/>
          <c:dLbls>
            <c:delete val="1"/>
          </c:dLbls>
          <c:cat>
            <c:strRef>
              <c:f>'[新建 XLSX 工作表.xlsx]Sheet1'!$E$8:$F$8</c:f>
              <c:strCache>
                <c:ptCount val="2"/>
                <c:pt idx="0">
                  <c:v>收入</c:v>
                </c:pt>
                <c:pt idx="1">
                  <c:v>支出</c:v>
                </c:pt>
              </c:strCache>
            </c:strRef>
          </c:cat>
          <c:val>
            <c:numRef>
              <c:f>'[新建 XLSX 工作表.xlsx]Sheet1'!$E$9:$F$9</c:f>
              <c:numCache>
                <c:formatCode>General</c:formatCode>
                <c:ptCount val="2"/>
                <c:pt idx="0">
                  <c:v>31.66</c:v>
                </c:pt>
                <c:pt idx="1">
                  <c:v>31.66</c:v>
                </c:pt>
              </c:numCache>
            </c:numRef>
          </c:val>
        </c:ser>
        <c:ser>
          <c:idx val="1"/>
          <c:order val="1"/>
          <c:tx>
            <c:strRef>
              <c:f>'[新建 XLSX 工作表.xlsx]Sheet1'!$D$10</c:f>
              <c:strCache>
                <c:ptCount val="1"/>
                <c:pt idx="0">
                  <c:v>2018年度</c:v>
                </c:pt>
              </c:strCache>
            </c:strRef>
          </c:tx>
          <c:spPr>
            <a:solidFill>
              <a:schemeClr val="accent2"/>
            </a:solidFill>
            <a:ln>
              <a:noFill/>
            </a:ln>
            <a:effectLst/>
          </c:spPr>
          <c:invertIfNegative val="0"/>
          <c:dLbls>
            <c:delete val="1"/>
          </c:dLbls>
          <c:cat>
            <c:strRef>
              <c:f>'[新建 XLSX 工作表.xlsx]Sheet1'!$E$8:$F$8</c:f>
              <c:strCache>
                <c:ptCount val="2"/>
                <c:pt idx="0">
                  <c:v>收入</c:v>
                </c:pt>
                <c:pt idx="1">
                  <c:v>支出</c:v>
                </c:pt>
              </c:strCache>
            </c:strRef>
          </c:cat>
          <c:val>
            <c:numRef>
              <c:f>'[新建 XLSX 工作表.xlsx]Sheet1'!$E$10:$F$10</c:f>
              <c:numCache>
                <c:formatCode>General</c:formatCode>
                <c:ptCount val="2"/>
                <c:pt idx="0">
                  <c:v>18.02</c:v>
                </c:pt>
                <c:pt idx="1">
                  <c:v>18.02</c:v>
                </c:pt>
              </c:numCache>
            </c:numRef>
          </c:val>
        </c:ser>
        <c:dLbls>
          <c:showLegendKey val="0"/>
          <c:showVal val="1"/>
          <c:showCatName val="0"/>
          <c:showSerName val="0"/>
          <c:showPercent val="0"/>
          <c:showBubbleSize val="0"/>
        </c:dLbls>
        <c:gapWidth val="150"/>
        <c:overlap val="0"/>
        <c:axId val="809813966"/>
        <c:axId val="285858319"/>
      </c:barChart>
      <c:catAx>
        <c:axId val="80981396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5858319"/>
        <c:crosses val="autoZero"/>
        <c:auto val="1"/>
        <c:lblAlgn val="ctr"/>
        <c:lblOffset val="100"/>
        <c:noMultiLvlLbl val="0"/>
      </c:catAx>
      <c:valAx>
        <c:axId val="285858319"/>
        <c:scaling>
          <c:orientation val="minMax"/>
        </c:scaling>
        <c:delete val="0"/>
        <c:axPos val="l"/>
        <c:majorGridlines>
          <c:spPr>
            <a:ln w="9525" cap="flat" cmpd="sng" algn="ctr">
              <a:solidFill>
                <a:schemeClr val="tx1">
                  <a:lumMod val="15000"/>
                  <a:lumOff val="85000"/>
                </a:schemeClr>
              </a:solidFill>
              <a:round/>
            </a:ln>
            <a:effectLst/>
          </c:spPr>
        </c:majorGridlines>
        <c:title>
          <c:layout/>
          <c:overlay val="0"/>
          <c:spPr>
            <a:noFill/>
            <a:ln>
              <a:noFill/>
            </a:ln>
            <a:effectLst/>
          </c:spPr>
          <c:txPr>
            <a:bodyPr rot="-540000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title>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981396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'[新建 XLSX 工作表.xlsx]Sheet1'!$D$21</c:f>
              <c:strCache>
                <c:ptCount val="1"/>
                <c:pt idx="0">
                  <c:v>2019年度收入决算结构图</c:v>
                </c:pt>
              </c:strCache>
            </c:strRef>
          </c:tx>
          <c:spPr/>
          <c:explosion val="0"/>
          <c:dPt>
            <c:idx val="0"/>
            <c:bubble3D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'[新建 XLSX 工作表.xlsx]Sheet1'!$E$21</c:f>
              <c:numCache>
                <c:formatCode>General</c:formatCode>
                <c:ptCount val="1"/>
                <c:pt idx="0">
                  <c:v>556.28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 工作表.xlsx]Sheet1'!$D$35:$D$36</c:f>
              <c:strCache>
                <c:ptCount val="2"/>
                <c:pt idx="0">
                  <c:v>基本支出</c:v>
                </c:pt>
                <c:pt idx="1">
                  <c:v>项目支出</c:v>
                </c:pt>
              </c:strCache>
            </c:strRef>
          </c:cat>
          <c:val>
            <c:numRef>
              <c:f>'[新建 XLSX 工作表.xlsx]Sheet1'!$E$35:$E$36</c:f>
              <c:numCache>
                <c:formatCode>General</c:formatCode>
                <c:ptCount val="2"/>
                <c:pt idx="0">
                  <c:v>31.66</c:v>
                </c:pt>
                <c:pt idx="1">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p>
          <a:p>
            <a:pPr defTabSz="914400">
              <a:defRPr lang="zh-CN" sz="1400" b="0" i="0" u="none" strike="noStrike" kern="1200" spc="0" baseline="0">
                <a:solidFill>
                  <a:schemeClr val="tx1">
                    <a:lumMod val="65000"/>
                    <a:lumOff val="35000"/>
                  </a:schemeClr>
                </a:solidFill>
                <a:latin typeface="+mn-lt"/>
                <a:ea typeface="+mn-ea"/>
                <a:cs typeface="+mn-cs"/>
              </a:defRPr>
            </a:pPr>
          </a:p>
        </c:rich>
      </c:tx>
      <c:layout/>
      <c:overlay val="0"/>
      <c:spPr>
        <a:noFill/>
        <a:ln>
          <a:noFill/>
        </a:ln>
        <a:effectLst/>
      </c:spPr>
    </c:title>
    <c:autoTitleDeleted val="0"/>
    <c:plotArea>
      <c:layout/>
      <c:barChart>
        <c:barDir val="col"/>
        <c:grouping val="stacked"/>
        <c:varyColors val="0"/>
        <c:ser>
          <c:idx val="0"/>
          <c:order val="0"/>
          <c:spPr>
            <a:solidFill>
              <a:schemeClr val="accent1"/>
            </a:solidFill>
            <a:ln>
              <a:noFill/>
            </a:ln>
            <a:effectLst/>
          </c:spPr>
          <c:invertIfNegative val="0"/>
          <c:dLbls>
            <c:delete val="1"/>
          </c:dLbls>
          <c:cat>
            <c:strRef>
              <c:f>'[新建 XLSX 工作表.xlsx]Sheet1'!$D$48:$D$49</c:f>
              <c:strCache>
                <c:ptCount val="2"/>
                <c:pt idx="0">
                  <c:v>2019年一般公共预算财政拨款支出</c:v>
                </c:pt>
                <c:pt idx="1">
                  <c:v>2018年一般公共预算财政拨款支出</c:v>
                </c:pt>
              </c:strCache>
            </c:strRef>
          </c:cat>
          <c:val>
            <c:numRef>
              <c:f>'[新建 XLSX 工作表.xlsx]Sheet1'!$E$48:$E$49</c:f>
              <c:numCache>
                <c:formatCode>General</c:formatCode>
                <c:ptCount val="2"/>
                <c:pt idx="0">
                  <c:v>31.66</c:v>
                </c:pt>
                <c:pt idx="1">
                  <c:v>18.02</c:v>
                </c:pt>
              </c:numCache>
            </c:numRef>
          </c:val>
        </c:ser>
        <c:dLbls>
          <c:showLegendKey val="0"/>
          <c:showVal val="0"/>
          <c:showCatName val="0"/>
          <c:showSerName val="0"/>
          <c:showPercent val="0"/>
          <c:showBubbleSize val="0"/>
        </c:dLbls>
        <c:gapWidth val="150"/>
        <c:overlap val="100"/>
        <c:axId val="324256762"/>
        <c:axId val="818866653"/>
      </c:barChart>
      <c:catAx>
        <c:axId val="324256762"/>
        <c:scaling>
          <c:orientation val="minMax"/>
        </c:scaling>
        <c:delete val="0"/>
        <c:axPos val="b"/>
        <c:title>
          <c:layout>
            <c:manualLayout>
              <c:xMode val="edge"/>
              <c:yMode val="edge"/>
              <c:x val="0.480111111111111"/>
              <c:y val="0.884027777777778"/>
            </c:manualLayout>
          </c:layout>
          <c:overlay val="0"/>
          <c:spPr>
            <a:noFill/>
            <a:ln>
              <a:noFill/>
            </a:ln>
            <a:effectLst/>
          </c:spPr>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8866653"/>
        <c:crosses val="autoZero"/>
        <c:auto val="1"/>
        <c:lblAlgn val="ctr"/>
        <c:lblOffset val="100"/>
        <c:noMultiLvlLbl val="0"/>
      </c:catAx>
      <c:valAx>
        <c:axId val="818866653"/>
        <c:scaling>
          <c:orientation val="minMax"/>
        </c:scaling>
        <c:delete val="0"/>
        <c:axPos val="l"/>
        <c:majorGridlines>
          <c:spPr>
            <a:ln w="9525" cap="flat" cmpd="sng" algn="ctr">
              <a:solidFill>
                <a:schemeClr val="tx1">
                  <a:lumMod val="15000"/>
                  <a:lumOff val="85000"/>
                </a:schemeClr>
              </a:solidFill>
              <a:round/>
            </a:ln>
            <a:effectLst/>
          </c:spPr>
        </c:majorGridlines>
        <c:title>
          <c:layout/>
          <c:overlay val="0"/>
          <c:spPr>
            <a:noFill/>
            <a:ln>
              <a:noFill/>
            </a:ln>
            <a:effectLst/>
          </c:spPr>
          <c:txPr>
            <a:bodyPr rot="-540000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title>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425676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 工作表.xlsx]Sheet1'!$D$61:$D$65</c:f>
              <c:strCache>
                <c:ptCount val="5"/>
                <c:pt idx="0">
                  <c:v>一般公共服务（类）支出</c:v>
                </c:pt>
                <c:pt idx="1">
                  <c:v>社会保障和就业（类</c:v>
                </c:pt>
                <c:pt idx="2">
                  <c:v>卫生健康支出</c:v>
                </c:pt>
                <c:pt idx="3">
                  <c:v>住房保障支出</c:v>
                </c:pt>
              </c:strCache>
            </c:strRef>
          </c:cat>
          <c:val>
            <c:numRef>
              <c:f>'[新建 XLSX 工作表.xlsx]Sheet1'!$E$61:$E$65</c:f>
              <c:numCache>
                <c:formatCode>General</c:formatCode>
                <c:ptCount val="5"/>
                <c:pt idx="0">
                  <c:v>23.57</c:v>
                </c:pt>
                <c:pt idx="1">
                  <c:v>3.46</c:v>
                </c:pt>
                <c:pt idx="2">
                  <c:v>2.1</c:v>
                </c:pt>
                <c:pt idx="3">
                  <c:v>2.53</c:v>
                </c:pt>
              </c:numCache>
            </c:numRef>
          </c:val>
        </c:ser>
        <c:dLbls>
          <c:showLegendKey val="0"/>
          <c:showVal val="1"/>
          <c:showCatName val="0"/>
          <c:showSerName val="0"/>
          <c:showPercent val="0"/>
          <c:showBubbleSize val="0"/>
        </c:dLbls>
        <c:gapWidth val="219"/>
        <c:overlap val="-27"/>
        <c:axId val="866083216"/>
        <c:axId val="372291651"/>
      </c:barChart>
      <c:catAx>
        <c:axId val="86608321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2291651"/>
        <c:crosses val="autoZero"/>
        <c:auto val="1"/>
        <c:lblAlgn val="ctr"/>
        <c:lblOffset val="100"/>
        <c:noMultiLvlLbl val="0"/>
      </c:catAx>
      <c:valAx>
        <c:axId val="3722916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60832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21FA5C-FBC4-4E0C-90C9-F7AB8D53FD89}">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1284</Words>
  <Characters>7320</Characters>
  <Lines>61</Lines>
  <Paragraphs>17</Paragraphs>
  <TotalTime>6</TotalTime>
  <ScaleCrop>false</ScaleCrop>
  <LinksUpToDate>false</LinksUpToDate>
  <CharactersWithSpaces>8587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Administrator</cp:lastModifiedBy>
  <cp:lastPrinted>2020-07-23T02:58:00Z</cp:lastPrinted>
  <dcterms:modified xsi:type="dcterms:W3CDTF">2020-10-09T01:30:30Z</dcterms:modified>
  <dc:title>四川省***</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