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96475"/>
      <w:bookmarkStart w:id="3" w:name="_Toc15396597"/>
      <w:bookmarkStart w:id="4" w:name="_Toc15377425"/>
      <w:bookmarkStart w:id="5" w:name="_Toc15377193"/>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77194"/>
      <w:bookmarkStart w:id="8" w:name="_Toc15377426"/>
      <w:bookmarkStart w:id="9" w:name="_Toc15396476"/>
      <w:bookmarkStart w:id="10" w:name="_Toc15396598"/>
      <w:r>
        <w:rPr>
          <w:rFonts w:hint="eastAsia" w:ascii="方正小标宋简体" w:hAnsi="宋体" w:eastAsia="方正小标宋简体"/>
          <w:color w:val="000000"/>
          <w:sz w:val="72"/>
          <w:szCs w:val="72"/>
        </w:rPr>
        <w:t>四川省阿坝州</w:t>
      </w:r>
      <w:bookmarkEnd w:id="0"/>
      <w:bookmarkStart w:id="11" w:name="_Toc15306268"/>
      <w:r>
        <w:rPr>
          <w:rFonts w:hint="eastAsia" w:ascii="方正小标宋简体" w:hAnsi="宋体" w:eastAsia="方正小标宋简体"/>
          <w:color w:val="000000"/>
          <w:sz w:val="72"/>
          <w:szCs w:val="72"/>
          <w:lang w:val="en-US" w:eastAsia="zh-CN"/>
        </w:rPr>
        <w:t>汶川县环保监测站</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both"/>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firstLine="1276"/>
        <w:jc w:val="left"/>
        <w:rPr>
          <w:rFonts w:hint="eastAsia" w:ascii="仿宋_GB2312" w:hAnsi="Calibri" w:eastAsia="仿宋_GB2312" w:cs="仿宋_GB2312"/>
          <w:sz w:val="32"/>
          <w:szCs w:val="32"/>
        </w:rPr>
      </w:pPr>
      <w:r>
        <w:rPr>
          <w:rFonts w:hint="eastAsia" w:ascii="仿宋_GB2312" w:hAnsi="Calibri" w:eastAsia="仿宋_GB2312" w:cs="仿宋_GB2312"/>
          <w:sz w:val="32"/>
          <w:szCs w:val="32"/>
        </w:rPr>
        <w:t>保密审查情况：</w:t>
      </w:r>
      <w:bookmarkStart w:id="73" w:name="_GoBack"/>
      <w:bookmarkEnd w:id="73"/>
    </w:p>
    <w:p>
      <w:pPr>
        <w:autoSpaceDE w:val="0"/>
        <w:autoSpaceDN w:val="0"/>
        <w:adjustRightInd w:val="0"/>
        <w:ind w:firstLine="1276"/>
        <w:jc w:val="left"/>
        <w:rPr>
          <w:rFonts w:eastAsia="仿宋_GB2312"/>
          <w:sz w:val="32"/>
          <w:szCs w:val="32"/>
        </w:rPr>
      </w:pPr>
      <w:r>
        <w:rPr>
          <w:rFonts w:hint="eastAsia" w:ascii="仿宋_GB2312" w:eastAsia="仿宋_GB2312" w:cs="仿宋_GB2312"/>
          <w:sz w:val="32"/>
          <w:szCs w:val="32"/>
        </w:rPr>
        <w:t>部门主要负责人审签情况：</w:t>
      </w:r>
    </w:p>
    <w:p>
      <w:pPr>
        <w:widowControl/>
        <w:jc w:val="center"/>
        <w:rPr>
          <w:rFonts w:ascii="方正小标宋简体" w:hAnsi="宋体" w:eastAsia="方正小标宋简体"/>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2"/>
      </w:pPr>
      <w:r>
        <w:rPr>
          <w:rFonts w:hint="eastAsia"/>
        </w:rPr>
        <w:t>公开时间：2020年9月</w:t>
      </w:r>
      <w:r>
        <w:t>25</w:t>
      </w:r>
      <w:r>
        <w:rPr>
          <w:rFonts w:hint="eastAsia"/>
        </w:rPr>
        <w:t>日</w:t>
      </w:r>
    </w:p>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3"/>
        <w:adjustRightInd w:val="0"/>
        <w:snapToGrid w:val="0"/>
        <w:spacing w:line="440" w:lineRule="exact"/>
        <w:jc w:val="left"/>
        <w:rPr>
          <w:rFonts w:ascii="仿宋" w:hAnsi="仿宋" w:eastAsia="仿宋"/>
          <w:sz w:val="24"/>
        </w:rPr>
      </w:pPr>
      <w:r>
        <w:rPr>
          <w:rFonts w:hint="eastAsia"/>
          <w:sz w:val="24"/>
        </w:rPr>
        <w:t>一、基本职能及主要工作</w:t>
      </w:r>
    </w:p>
    <w:p>
      <w:pPr>
        <w:pStyle w:val="13"/>
        <w:adjustRightInd w:val="0"/>
        <w:snapToGrid w:val="0"/>
        <w:spacing w:line="440" w:lineRule="exact"/>
        <w:jc w:val="left"/>
        <w:rPr>
          <w:rFonts w:ascii="仿宋" w:hAnsi="仿宋" w:eastAsia="仿宋" w:cstheme="minorBidi"/>
          <w:sz w:val="24"/>
        </w:rPr>
      </w:pPr>
      <w:r>
        <w:rPr>
          <w:rFonts w:hint="eastAsia"/>
          <w:sz w:val="24"/>
        </w:rPr>
        <w:t>二、机构设置</w:t>
      </w:r>
    </w:p>
    <w:p>
      <w:pPr>
        <w:pStyle w:val="12"/>
        <w:adjustRightInd w:val="0"/>
        <w:snapToGrid w:val="0"/>
        <w:spacing w:before="0" w:line="440" w:lineRule="exact"/>
        <w:jc w:val="left"/>
        <w:rPr>
          <w:sz w:val="24"/>
          <w:szCs w:val="24"/>
        </w:rPr>
      </w:pPr>
      <w:r>
        <w:rPr>
          <w:rFonts w:hint="eastAsia"/>
          <w:sz w:val="24"/>
        </w:rPr>
        <w:t>第二部分度部门决算情况说明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3"/>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7"/>
          <w:rFonts w:hint="eastAsia" w:ascii="仿宋" w:hAnsi="仿宋" w:eastAsia="仿宋"/>
          <w:color w:val="000000" w:themeColor="text1"/>
          <w:sz w:val="24"/>
          <w:u w:val="none"/>
          <w14:textFill>
            <w14:solidFill>
              <w14:schemeClr w14:val="tx1"/>
            </w14:solidFill>
          </w14:textFill>
        </w:rPr>
        <w:t>十、</w:t>
      </w:r>
      <w:r>
        <w:rPr>
          <w:rFonts w:hint="eastAsia"/>
          <w:sz w:val="24"/>
        </w:rPr>
        <w:t>其他重要事项的情况说明</w:t>
      </w:r>
      <w:r>
        <w:rPr>
          <w:rFonts w:ascii="仿宋" w:hAnsi="仿宋" w:eastAsia="仿宋"/>
          <w:sz w:val="24"/>
        </w:rPr>
        <w:tab/>
      </w:r>
    </w:p>
    <w:p>
      <w:pPr>
        <w:pStyle w:val="12"/>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2"/>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3"/>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3"/>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2"/>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3"/>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bookmarkEnd w:id="12"/>
    <w:bookmarkEnd w:id="13"/>
    <w:p>
      <w:pPr>
        <w:pStyle w:val="4"/>
        <w:jc w:val="center"/>
        <w:rPr>
          <w:rStyle w:val="26"/>
          <w:rFonts w:ascii="黑体" w:hAnsi="黑体" w:eastAsia="黑体"/>
          <w:b/>
          <w:bCs w:val="0"/>
        </w:rPr>
      </w:pPr>
      <w:bookmarkStart w:id="14" w:name="_Toc15377200"/>
      <w:bookmarkStart w:id="15" w:name="_Toc15396601"/>
      <w:r>
        <w:rPr>
          <w:rFonts w:hint="eastAsia" w:ascii="黑体" w:hAnsi="黑体" w:eastAsia="黑体"/>
          <w:b w:val="0"/>
        </w:rPr>
        <w:t xml:space="preserve">第一部分 </w:t>
      </w:r>
      <w:r>
        <w:rPr>
          <w:rStyle w:val="26"/>
          <w:rFonts w:hint="eastAsia" w:ascii="黑体" w:hAnsi="黑体" w:eastAsia="黑体"/>
          <w:b w:val="0"/>
          <w:bCs w:val="0"/>
        </w:rPr>
        <w:t>部门概况</w:t>
      </w:r>
    </w:p>
    <w:p>
      <w:pPr>
        <w:pStyle w:val="5"/>
        <w:pageBreakBefore w:val="0"/>
        <w:widowControl w:val="0"/>
        <w:kinsoku/>
        <w:wordWrap/>
        <w:overflowPunct/>
        <w:topLinePunct w:val="0"/>
        <w:autoSpaceDE/>
        <w:autoSpaceDN/>
        <w:bidi w:val="0"/>
        <w:spacing w:before="0" w:after="0" w:line="560" w:lineRule="exact"/>
        <w:ind w:firstLine="640" w:firstLineChars="200"/>
        <w:textAlignment w:val="auto"/>
        <w:rPr>
          <w:rStyle w:val="27"/>
          <w:rFonts w:ascii="仿宋" w:hAnsi="仿宋" w:eastAsia="仿宋"/>
          <w:b w:val="0"/>
          <w:bCs w:val="0"/>
        </w:rPr>
      </w:pPr>
      <w:bookmarkStart w:id="16" w:name="_Toc15396600"/>
      <w:bookmarkStart w:id="17" w:name="_Toc15377197"/>
      <w:r>
        <w:rPr>
          <w:rFonts w:hint="eastAsia" w:ascii="黑体" w:hAnsi="黑体" w:eastAsia="黑体"/>
          <w:b w:val="0"/>
          <w:color w:val="000000"/>
        </w:rPr>
        <w:t>一、基</w:t>
      </w:r>
      <w:r>
        <w:rPr>
          <w:rStyle w:val="27"/>
          <w:rFonts w:hint="eastAsia" w:ascii="黑体" w:hAnsi="黑体" w:eastAsia="黑体"/>
          <w:b w:val="0"/>
          <w:bCs w:val="0"/>
        </w:rPr>
        <w:t>本职能及主要工作</w:t>
      </w:r>
      <w:bookmarkEnd w:id="16"/>
      <w:bookmarkEnd w:id="17"/>
    </w:p>
    <w:p>
      <w:pPr>
        <w:pStyle w:val="7"/>
        <w:pageBreakBefore w:val="0"/>
        <w:widowControl w:val="0"/>
        <w:kinsoku/>
        <w:wordWrap/>
        <w:overflowPunct/>
        <w:topLinePunct w:val="0"/>
        <w:autoSpaceDE/>
        <w:autoSpaceDN/>
        <w:bidi w:val="0"/>
        <w:adjustRightInd w:val="0"/>
        <w:snapToGrid w:val="0"/>
        <w:spacing w:beforeLines="0" w:line="560" w:lineRule="exact"/>
        <w:ind w:firstLine="675" w:firstLineChars="210"/>
        <w:textAlignment w:val="auto"/>
        <w:outlineLvl w:val="2"/>
        <w:rPr>
          <w:rFonts w:hint="eastAsia" w:ascii="仿宋" w:hAnsi="仿宋" w:eastAsia="仿宋"/>
          <w:b/>
          <w:bCs w:val="0"/>
          <w:color w:val="000000"/>
          <w:sz w:val="32"/>
          <w:szCs w:val="32"/>
        </w:rPr>
      </w:pPr>
      <w:bookmarkStart w:id="18" w:name="_Toc15377198"/>
      <w:bookmarkStart w:id="19" w:name="_Toc15378445"/>
      <w:r>
        <w:rPr>
          <w:rFonts w:hint="eastAsia" w:ascii="仿宋" w:hAnsi="仿宋" w:eastAsia="仿宋"/>
          <w:b/>
          <w:bCs w:val="0"/>
          <w:color w:val="000000"/>
          <w:sz w:val="32"/>
          <w:szCs w:val="32"/>
        </w:rPr>
        <w:t>（一）主要职能</w:t>
      </w:r>
    </w:p>
    <w:bookmarkEnd w:id="18"/>
    <w:bookmarkEnd w:id="19"/>
    <w:p>
      <w:pPr>
        <w:pStyle w:val="32"/>
        <w:pageBreakBefore w:val="0"/>
        <w:widowControl w:val="0"/>
        <w:kinsoku/>
        <w:wordWrap/>
        <w:overflowPunct/>
        <w:topLinePunct w:val="0"/>
        <w:autoSpaceDE/>
        <w:autoSpaceDN/>
        <w:bidi w:val="0"/>
        <w:spacing w:before="0" w:line="560" w:lineRule="exact"/>
        <w:ind w:firstLine="600" w:firstLineChars="200"/>
        <w:textAlignment w:val="auto"/>
        <w:rPr>
          <w:rFonts w:hint="eastAsia" w:ascii="仿宋_GB2312" w:hAnsi="仿宋_GB2312" w:eastAsia="仿宋_GB2312" w:cs="仿宋_GB2312"/>
          <w:sz w:val="30"/>
          <w:szCs w:val="30"/>
          <w:lang w:val="en-US" w:eastAsia="zh-CN"/>
        </w:rPr>
      </w:pPr>
      <w:bookmarkStart w:id="20" w:name="_Toc15378446"/>
      <w:bookmarkStart w:id="21" w:name="_Toc15377199"/>
      <w:r>
        <w:rPr>
          <w:rFonts w:hint="eastAsia" w:ascii="仿宋_GB2312" w:hAnsi="仿宋_GB2312" w:eastAsia="仿宋_GB2312" w:cs="仿宋_GB2312"/>
          <w:sz w:val="30"/>
          <w:szCs w:val="30"/>
          <w:lang w:val="en-US" w:eastAsia="zh-CN"/>
        </w:rPr>
        <w:t>汶川县环境监测站对全县的地表水质量进行定期检测；按期向州环境监测站报送水样；负责对城区空气质量的日常监测，逐步实现定期发布空气质量公报和预报。</w:t>
      </w:r>
    </w:p>
    <w:p>
      <w:pPr>
        <w:pStyle w:val="7"/>
        <w:pageBreakBefore w:val="0"/>
        <w:widowControl w:val="0"/>
        <w:kinsoku/>
        <w:wordWrap/>
        <w:overflowPunct/>
        <w:topLinePunct w:val="0"/>
        <w:autoSpaceDE/>
        <w:autoSpaceDN/>
        <w:bidi w:val="0"/>
        <w:adjustRightInd w:val="0"/>
        <w:snapToGrid w:val="0"/>
        <w:spacing w:beforeLines="0" w:line="560" w:lineRule="exact"/>
        <w:ind w:firstLine="675" w:firstLineChars="210"/>
        <w:textAlignment w:val="auto"/>
        <w:outlineLvl w:val="2"/>
        <w:rPr>
          <w:rFonts w:hint="eastAsia" w:ascii="仿宋" w:hAnsi="仿宋" w:eastAsia="仿宋"/>
          <w:b/>
          <w:bCs w:val="0"/>
          <w:color w:val="auto"/>
          <w:sz w:val="32"/>
          <w:szCs w:val="32"/>
        </w:rPr>
      </w:pPr>
      <w:r>
        <w:rPr>
          <w:rFonts w:hint="eastAsia" w:ascii="仿宋" w:hAnsi="仿宋" w:eastAsia="仿宋"/>
          <w:b/>
          <w:bCs w:val="0"/>
          <w:color w:val="auto"/>
          <w:sz w:val="32"/>
          <w:szCs w:val="32"/>
        </w:rPr>
        <w:t>（二）</w:t>
      </w:r>
      <w:r>
        <w:rPr>
          <w:rFonts w:ascii="仿宋" w:hAnsi="仿宋" w:eastAsia="仿宋"/>
          <w:b/>
          <w:bCs w:val="0"/>
          <w:color w:val="auto"/>
          <w:sz w:val="32"/>
          <w:szCs w:val="32"/>
        </w:rPr>
        <w:t>201</w:t>
      </w:r>
      <w:r>
        <w:rPr>
          <w:rFonts w:hint="eastAsia" w:ascii="仿宋" w:hAnsi="仿宋" w:eastAsia="仿宋"/>
          <w:b/>
          <w:bCs w:val="0"/>
          <w:color w:val="auto"/>
          <w:sz w:val="32"/>
          <w:szCs w:val="32"/>
        </w:rPr>
        <w:t>9年重点工作完成情况</w:t>
      </w:r>
      <w:bookmarkEnd w:id="20"/>
      <w:bookmarkEnd w:id="21"/>
    </w:p>
    <w:p>
      <w:pPr>
        <w:pStyle w:val="7"/>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 w:val="0"/>
          <w:bCs/>
          <w:color w:val="auto"/>
          <w:sz w:val="32"/>
          <w:szCs w:val="32"/>
        </w:rPr>
      </w:pPr>
      <w:r>
        <w:rPr>
          <w:rFonts w:hint="eastAsia" w:ascii="仿宋" w:hAnsi="仿宋" w:eastAsia="仿宋"/>
          <w:b w:val="0"/>
          <w:bCs/>
          <w:color w:val="auto"/>
          <w:sz w:val="32"/>
          <w:szCs w:val="32"/>
        </w:rPr>
        <w:t>1.集中式饮用水监测</w:t>
      </w:r>
    </w:p>
    <w:p>
      <w:pPr>
        <w:pStyle w:val="7"/>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 w:val="0"/>
          <w:bCs/>
          <w:color w:val="auto"/>
          <w:sz w:val="32"/>
          <w:szCs w:val="32"/>
        </w:rPr>
      </w:pPr>
      <w:r>
        <w:rPr>
          <w:rFonts w:hint="eastAsia" w:ascii="仿宋" w:hAnsi="仿宋" w:eastAsia="仿宋"/>
          <w:b w:val="0"/>
          <w:bCs/>
          <w:color w:val="auto"/>
          <w:sz w:val="32"/>
          <w:szCs w:val="32"/>
        </w:rPr>
        <w:t>按省、州要求制定了对应方案，并委托四川省天晟源环保科技有限公司对我县县城和乡镇集中式生活饮用水水源地开展了相应的分析监测。县城集中式饮用水监测点位2个，为雁门乡过街楼村（一级保护区）、雁门乡青坡村（二级保护区），检测项目61项。乡镇集中式饮用水源地水质分析包括了映秀镇渔子溪支沟大水沟、漩口镇古溪八角庙、水磨镇黄家坪、水磨镇杨白河、水磨镇茅坪子陈家沟（彭家沟）、三江镇草坪村白腊沟、三江镇柒山村李家沟、银杏乡一碗水村马头组、银杏乡太平驿沟、绵虒镇大溪沟、威州镇七盘沟、雁门乡萝卜寨、克枯乡大寺村咪思沟、龙溪乡马灯村马灯沟10个乡镇14个点位，检测项目28项。据监测结果表示，2019年</w:t>
      </w:r>
      <w:r>
        <w:rPr>
          <w:rFonts w:hint="eastAsia" w:ascii="仿宋" w:hAnsi="仿宋" w:eastAsia="仿宋"/>
          <w:b w:val="0"/>
          <w:bCs/>
          <w:color w:val="auto"/>
          <w:sz w:val="32"/>
          <w:szCs w:val="32"/>
          <w:lang w:eastAsia="zh-CN"/>
        </w:rPr>
        <w:t>全年</w:t>
      </w:r>
      <w:r>
        <w:rPr>
          <w:rFonts w:hint="eastAsia" w:ascii="仿宋" w:hAnsi="仿宋" w:eastAsia="仿宋"/>
          <w:b w:val="0"/>
          <w:bCs/>
          <w:color w:val="auto"/>
          <w:sz w:val="32"/>
          <w:szCs w:val="32"/>
        </w:rPr>
        <w:t>各乡镇和县城集中式饮用水源地水质均达到或优于《地表水环境质量标准》（GB3838-2002）Ⅲ类水域标准，满足生活饮用水源地标准。</w:t>
      </w:r>
    </w:p>
    <w:p>
      <w:pPr>
        <w:pStyle w:val="7"/>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 w:val="0"/>
          <w:bCs/>
          <w:color w:val="auto"/>
          <w:sz w:val="32"/>
          <w:szCs w:val="32"/>
        </w:rPr>
      </w:pPr>
      <w:r>
        <w:rPr>
          <w:rFonts w:hint="eastAsia" w:ascii="仿宋" w:hAnsi="仿宋" w:eastAsia="仿宋"/>
          <w:b w:val="0"/>
          <w:bCs/>
          <w:color w:val="auto"/>
          <w:sz w:val="32"/>
          <w:szCs w:val="32"/>
        </w:rPr>
        <w:t>2.国家生态功能区县域生态环境监测</w:t>
      </w:r>
    </w:p>
    <w:p>
      <w:pPr>
        <w:pStyle w:val="7"/>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 w:val="0"/>
          <w:bCs/>
          <w:color w:val="auto"/>
          <w:sz w:val="32"/>
          <w:szCs w:val="32"/>
        </w:rPr>
      </w:pPr>
      <w:r>
        <w:rPr>
          <w:rFonts w:hint="eastAsia" w:ascii="仿宋" w:hAnsi="仿宋" w:eastAsia="仿宋"/>
          <w:b w:val="0"/>
          <w:bCs/>
          <w:color w:val="auto"/>
          <w:sz w:val="32"/>
          <w:szCs w:val="32"/>
        </w:rPr>
        <w:t>2019年每月均委托阿坝州环境监测中心站开展国家重点生态功能区县域生态环境监测。对我县水磨和映秀水质断面的地表水25项指标进行分析监测，并做好数据汇总报送工作。2019年</w:t>
      </w:r>
      <w:r>
        <w:rPr>
          <w:rFonts w:hint="eastAsia" w:ascii="仿宋" w:hAnsi="仿宋" w:eastAsia="仿宋"/>
          <w:b w:val="0"/>
          <w:bCs/>
          <w:color w:val="auto"/>
          <w:sz w:val="32"/>
          <w:szCs w:val="32"/>
          <w:lang w:eastAsia="zh-CN"/>
        </w:rPr>
        <w:t>全年</w:t>
      </w:r>
      <w:r>
        <w:rPr>
          <w:rFonts w:hint="eastAsia" w:ascii="仿宋" w:hAnsi="仿宋" w:eastAsia="仿宋"/>
          <w:b w:val="0"/>
          <w:bCs/>
          <w:color w:val="auto"/>
          <w:sz w:val="32"/>
          <w:szCs w:val="32"/>
        </w:rPr>
        <w:t>,水磨断面达到或优于《地表水环境质量标准》（GB3838-2002）Ⅱ类标准。映秀断面达到或优于《地表水环境质量标准》（GB3838-2002）Ⅲ类标准。保证了岷江河流出境段面水质达到Ⅲ类标准。</w:t>
      </w:r>
    </w:p>
    <w:p>
      <w:pPr>
        <w:pStyle w:val="7"/>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 w:val="0"/>
          <w:bCs/>
          <w:color w:val="auto"/>
          <w:sz w:val="32"/>
          <w:szCs w:val="32"/>
        </w:rPr>
      </w:pPr>
      <w:r>
        <w:rPr>
          <w:rFonts w:hint="eastAsia" w:ascii="仿宋" w:hAnsi="仿宋" w:eastAsia="仿宋"/>
          <w:b w:val="0"/>
          <w:bCs/>
          <w:color w:val="auto"/>
          <w:sz w:val="32"/>
          <w:szCs w:val="32"/>
        </w:rPr>
        <w:t>3.农村环境质量监测</w:t>
      </w:r>
    </w:p>
    <w:p>
      <w:pPr>
        <w:pStyle w:val="7"/>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 w:val="0"/>
          <w:bCs/>
          <w:color w:val="auto"/>
          <w:sz w:val="32"/>
          <w:szCs w:val="32"/>
        </w:rPr>
      </w:pPr>
      <w:r>
        <w:rPr>
          <w:rFonts w:hint="eastAsia" w:ascii="仿宋" w:hAnsi="仿宋" w:eastAsia="仿宋"/>
          <w:b w:val="0"/>
          <w:bCs/>
          <w:color w:val="auto"/>
          <w:sz w:val="32"/>
          <w:szCs w:val="32"/>
        </w:rPr>
        <w:t>根据《全国农村环境质量试点监测技术方案》要求，积极开展我县农村环境质量监测工作。2019年我站委托四川省天晟源环保科技有限公司开展农村环境质量监测，正在开展对生态型汶川县核桃坪村、工矿企业漩口镇油碾村、种植业汶川县三官庙村开展的地表水、空气质量等进行监测，已完成</w:t>
      </w:r>
      <w:r>
        <w:rPr>
          <w:rFonts w:hint="eastAsia" w:ascii="仿宋" w:hAnsi="仿宋" w:eastAsia="仿宋"/>
          <w:b w:val="0"/>
          <w:bCs/>
          <w:color w:val="auto"/>
          <w:sz w:val="32"/>
          <w:szCs w:val="32"/>
          <w:lang w:eastAsia="zh-CN"/>
        </w:rPr>
        <w:t>全年</w:t>
      </w:r>
      <w:r>
        <w:rPr>
          <w:rFonts w:hint="eastAsia" w:ascii="仿宋" w:hAnsi="仿宋" w:eastAsia="仿宋"/>
          <w:b w:val="0"/>
          <w:bCs/>
          <w:color w:val="auto"/>
          <w:sz w:val="32"/>
          <w:szCs w:val="32"/>
        </w:rPr>
        <w:t>监测任务，均达到相应监测标准。</w:t>
      </w:r>
    </w:p>
    <w:p>
      <w:pPr>
        <w:pStyle w:val="7"/>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 w:val="0"/>
          <w:bCs/>
          <w:color w:val="auto"/>
          <w:sz w:val="32"/>
          <w:szCs w:val="32"/>
        </w:rPr>
      </w:pPr>
      <w:r>
        <w:rPr>
          <w:rFonts w:hint="eastAsia" w:ascii="仿宋" w:hAnsi="仿宋" w:eastAsia="仿宋"/>
          <w:b w:val="0"/>
          <w:bCs/>
          <w:color w:val="auto"/>
          <w:sz w:val="32"/>
          <w:szCs w:val="32"/>
        </w:rPr>
        <w:t>4.加强空气自动站监管和维护，保障空气质量发布</w:t>
      </w:r>
    </w:p>
    <w:p>
      <w:pPr>
        <w:pStyle w:val="7"/>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 w:val="0"/>
          <w:bCs/>
          <w:color w:val="auto"/>
          <w:sz w:val="32"/>
          <w:szCs w:val="32"/>
          <w:lang w:val="en-US" w:eastAsia="zh-CN"/>
        </w:rPr>
      </w:pPr>
      <w:r>
        <w:rPr>
          <w:rFonts w:hint="eastAsia" w:ascii="仿宋" w:hAnsi="仿宋" w:eastAsia="仿宋"/>
          <w:b w:val="0"/>
          <w:bCs/>
          <w:color w:val="auto"/>
          <w:sz w:val="32"/>
          <w:szCs w:val="32"/>
        </w:rPr>
        <w:t>园林路空气自动子站已上收至省总站交由第三方机构运维，</w:t>
      </w:r>
      <w:r>
        <w:rPr>
          <w:rFonts w:hint="eastAsia" w:ascii="仿宋" w:hAnsi="仿宋" w:eastAsia="仿宋"/>
          <w:b w:val="0"/>
          <w:bCs/>
          <w:color w:val="auto"/>
          <w:sz w:val="32"/>
          <w:szCs w:val="32"/>
          <w:lang w:val="en-US" w:eastAsia="zh-CN"/>
        </w:rPr>
        <w:t>监测站</w:t>
      </w:r>
      <w:r>
        <w:rPr>
          <w:rFonts w:hint="eastAsia" w:ascii="仿宋" w:hAnsi="仿宋" w:eastAsia="仿宋"/>
          <w:b w:val="0"/>
          <w:bCs/>
          <w:color w:val="auto"/>
          <w:sz w:val="32"/>
          <w:szCs w:val="32"/>
        </w:rPr>
        <w:t>保障其基础设施齐全。加强对水磨、映秀、漩口、二小四个空气自动监测站的维护工作，每周至少进行一次维护，保证每周对全县5个子站的API（空气污染指数）在汶川县政府门户网站、汶川县电视台和短信方式对外发布。</w:t>
      </w:r>
      <w:r>
        <w:rPr>
          <w:rFonts w:hint="eastAsia" w:ascii="仿宋_GB2312" w:hAnsi="仿宋_GB2312" w:eastAsia="仿宋_GB2312" w:cs="仿宋_GB2312"/>
          <w:color w:val="000000"/>
          <w:sz w:val="32"/>
          <w:szCs w:val="32"/>
        </w:rPr>
        <w:t>县域环境空气质量优良天数</w:t>
      </w:r>
      <w:r>
        <w:rPr>
          <w:rFonts w:hint="eastAsia" w:ascii="仿宋_GB2312" w:hAnsi="仿宋_GB2312" w:eastAsia="仿宋_GB2312" w:cs="仿宋_GB2312"/>
          <w:color w:val="000000"/>
          <w:sz w:val="32"/>
          <w:szCs w:val="32"/>
          <w:lang w:val="en-US" w:eastAsia="zh-CN"/>
        </w:rPr>
        <w:t>324天</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优良</w:t>
      </w:r>
      <w:r>
        <w:rPr>
          <w:rFonts w:hint="eastAsia" w:ascii="仿宋_GB2312" w:hAnsi="仿宋_GB2312" w:eastAsia="仿宋_GB2312" w:cs="仿宋_GB2312"/>
          <w:color w:val="000000"/>
          <w:sz w:val="32"/>
          <w:szCs w:val="32"/>
        </w:rPr>
        <w:t>率9</w:t>
      </w:r>
      <w:r>
        <w:rPr>
          <w:rFonts w:hint="eastAsia" w:ascii="仿宋_GB2312" w:hAnsi="仿宋_GB2312" w:eastAsia="仿宋_GB2312" w:cs="仿宋_GB2312"/>
          <w:color w:val="000000"/>
          <w:sz w:val="32"/>
          <w:szCs w:val="32"/>
          <w:lang w:val="en-US" w:eastAsia="zh-CN"/>
        </w:rPr>
        <w:t>7.0</w:t>
      </w:r>
      <w:r>
        <w:rPr>
          <w:rFonts w:hint="eastAsia" w:ascii="仿宋_GB2312" w:hAnsi="仿宋_GB2312" w:eastAsia="仿宋_GB2312" w:cs="仿宋_GB2312"/>
          <w:color w:val="000000"/>
          <w:sz w:val="32"/>
          <w:szCs w:val="32"/>
        </w:rPr>
        <w:t>1%</w:t>
      </w:r>
      <w:r>
        <w:rPr>
          <w:rFonts w:hint="eastAsia" w:ascii="仿宋" w:hAnsi="仿宋" w:eastAsia="仿宋"/>
          <w:b w:val="0"/>
          <w:bCs/>
          <w:color w:val="auto"/>
          <w:sz w:val="32"/>
          <w:szCs w:val="32"/>
          <w:lang w:val="en-US" w:eastAsia="zh-CN"/>
        </w:rPr>
        <w:t>。</w:t>
      </w:r>
    </w:p>
    <w:p>
      <w:pPr>
        <w:pStyle w:val="7"/>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 w:val="0"/>
          <w:bCs/>
          <w:color w:val="auto"/>
          <w:sz w:val="32"/>
          <w:szCs w:val="32"/>
        </w:rPr>
      </w:pPr>
      <w:r>
        <w:rPr>
          <w:rFonts w:hint="eastAsia" w:ascii="仿宋" w:hAnsi="仿宋" w:eastAsia="仿宋"/>
          <w:b w:val="0"/>
          <w:bCs/>
          <w:color w:val="auto"/>
          <w:sz w:val="32"/>
          <w:szCs w:val="32"/>
        </w:rPr>
        <w:t>5.县域内环境噪声防治工作</w:t>
      </w:r>
    </w:p>
    <w:p>
      <w:pPr>
        <w:pStyle w:val="7"/>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 w:val="0"/>
          <w:bCs/>
          <w:color w:val="auto"/>
          <w:sz w:val="32"/>
          <w:szCs w:val="32"/>
        </w:rPr>
      </w:pPr>
      <w:r>
        <w:rPr>
          <w:rFonts w:hint="eastAsia" w:ascii="仿宋" w:hAnsi="仿宋" w:eastAsia="仿宋"/>
          <w:b w:val="0"/>
          <w:bCs/>
          <w:color w:val="auto"/>
          <w:sz w:val="32"/>
          <w:szCs w:val="32"/>
        </w:rPr>
        <w:t>全面开展县城的区域环境噪声监管。加强学校、居民区等敏感性区域的噪声监测，特别是在高、中考期间加强对县城城区噪声的监管工作。同时完成各类信访噪声监测，协助监察大队完成整改。</w:t>
      </w:r>
    </w:p>
    <w:p>
      <w:pPr>
        <w:pStyle w:val="7"/>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 w:val="0"/>
          <w:bCs/>
          <w:color w:val="auto"/>
          <w:sz w:val="32"/>
          <w:szCs w:val="32"/>
        </w:rPr>
      </w:pPr>
      <w:r>
        <w:rPr>
          <w:rFonts w:hint="eastAsia" w:ascii="仿宋" w:hAnsi="仿宋" w:eastAsia="仿宋"/>
          <w:b w:val="0"/>
          <w:bCs/>
          <w:color w:val="auto"/>
          <w:sz w:val="32"/>
          <w:szCs w:val="32"/>
          <w:lang w:val="en-US" w:eastAsia="zh-CN"/>
        </w:rPr>
        <w:t>6</w:t>
      </w:r>
      <w:r>
        <w:rPr>
          <w:rFonts w:hint="eastAsia" w:ascii="仿宋" w:hAnsi="仿宋" w:eastAsia="仿宋"/>
          <w:b w:val="0"/>
          <w:bCs/>
          <w:color w:val="auto"/>
          <w:sz w:val="32"/>
          <w:szCs w:val="32"/>
        </w:rPr>
        <w:t>.重点污染源监测</w:t>
      </w:r>
    </w:p>
    <w:p>
      <w:pPr>
        <w:pStyle w:val="7"/>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 w:val="0"/>
          <w:bCs/>
          <w:color w:val="auto"/>
          <w:sz w:val="32"/>
          <w:szCs w:val="32"/>
        </w:rPr>
      </w:pPr>
      <w:r>
        <w:rPr>
          <w:rFonts w:hint="eastAsia" w:ascii="仿宋" w:hAnsi="仿宋" w:eastAsia="仿宋"/>
          <w:b w:val="0"/>
          <w:bCs/>
          <w:color w:val="auto"/>
          <w:sz w:val="32"/>
          <w:szCs w:val="32"/>
          <w:lang w:eastAsia="zh-CN"/>
        </w:rPr>
        <w:t>顺利</w:t>
      </w:r>
      <w:r>
        <w:rPr>
          <w:rFonts w:hint="eastAsia" w:ascii="仿宋" w:hAnsi="仿宋" w:eastAsia="仿宋"/>
          <w:b w:val="0"/>
          <w:bCs/>
          <w:color w:val="auto"/>
          <w:sz w:val="32"/>
          <w:szCs w:val="32"/>
        </w:rPr>
        <w:t>完成</w:t>
      </w:r>
      <w:r>
        <w:rPr>
          <w:rFonts w:hint="eastAsia" w:ascii="仿宋" w:hAnsi="仿宋" w:eastAsia="仿宋"/>
          <w:b w:val="0"/>
          <w:bCs/>
          <w:color w:val="auto"/>
          <w:sz w:val="32"/>
          <w:szCs w:val="32"/>
          <w:lang w:val="en-US" w:eastAsia="zh-CN"/>
        </w:rPr>
        <w:t>2019年</w:t>
      </w:r>
      <w:r>
        <w:rPr>
          <w:rFonts w:hint="eastAsia" w:ascii="仿宋" w:hAnsi="仿宋" w:eastAsia="仿宋"/>
          <w:b w:val="0"/>
          <w:bCs/>
          <w:color w:val="auto"/>
          <w:sz w:val="32"/>
          <w:szCs w:val="32"/>
        </w:rPr>
        <w:t>阿坝铝厂、汶川县污水处理厂、三力铁合金有限公司、阿坝矿业有限公司重点污染源监测工作。</w:t>
      </w:r>
    </w:p>
    <w:p>
      <w:pPr>
        <w:pStyle w:val="7"/>
        <w:pageBreakBefore w:val="0"/>
        <w:widowControl w:val="0"/>
        <w:numPr>
          <w:ilvl w:val="0"/>
          <w:numId w:val="0"/>
        </w:numPr>
        <w:kinsoku/>
        <w:wordWrap/>
        <w:overflowPunct/>
        <w:topLinePunct w:val="0"/>
        <w:autoSpaceDE/>
        <w:autoSpaceDN/>
        <w:bidi w:val="0"/>
        <w:adjustRightInd w:val="0"/>
        <w:snapToGrid w:val="0"/>
        <w:spacing w:beforeLines="0" w:line="560" w:lineRule="exact"/>
        <w:ind w:firstLine="640" w:firstLineChars="200"/>
        <w:textAlignment w:val="auto"/>
        <w:outlineLvl w:val="2"/>
        <w:rPr>
          <w:rFonts w:hint="eastAsia" w:ascii="仿宋" w:hAnsi="仿宋" w:eastAsia="仿宋"/>
          <w:b w:val="0"/>
          <w:bCs/>
          <w:color w:val="auto"/>
          <w:sz w:val="32"/>
          <w:szCs w:val="32"/>
        </w:rPr>
      </w:pPr>
      <w:r>
        <w:rPr>
          <w:rFonts w:hint="eastAsia" w:ascii="仿宋" w:hAnsi="仿宋" w:eastAsia="仿宋"/>
          <w:b w:val="0"/>
          <w:bCs/>
          <w:color w:val="auto"/>
          <w:sz w:val="32"/>
          <w:szCs w:val="32"/>
          <w:lang w:val="en-US" w:eastAsia="zh-CN"/>
        </w:rPr>
        <w:t>7.</w:t>
      </w:r>
      <w:r>
        <w:rPr>
          <w:rFonts w:hint="eastAsia" w:ascii="仿宋" w:hAnsi="仿宋" w:eastAsia="仿宋"/>
          <w:b w:val="0"/>
          <w:bCs/>
          <w:color w:val="auto"/>
          <w:sz w:val="32"/>
          <w:szCs w:val="32"/>
        </w:rPr>
        <w:t>省控水质自动监测站建设（水磨断面）</w:t>
      </w:r>
    </w:p>
    <w:p>
      <w:pPr>
        <w:pStyle w:val="7"/>
        <w:pageBreakBefore w:val="0"/>
        <w:widowControl w:val="0"/>
        <w:numPr>
          <w:ilvl w:val="0"/>
          <w:numId w:val="0"/>
        </w:numPr>
        <w:kinsoku/>
        <w:wordWrap/>
        <w:overflowPunct/>
        <w:topLinePunct w:val="0"/>
        <w:autoSpaceDE/>
        <w:autoSpaceDN/>
        <w:bidi w:val="0"/>
        <w:adjustRightInd w:val="0"/>
        <w:snapToGrid w:val="0"/>
        <w:spacing w:beforeLines="0" w:line="560" w:lineRule="exact"/>
        <w:ind w:firstLine="640" w:firstLineChars="200"/>
        <w:textAlignment w:val="auto"/>
        <w:outlineLvl w:val="2"/>
        <w:rPr>
          <w:rFonts w:hint="eastAsia" w:ascii="仿宋" w:hAnsi="仿宋" w:eastAsia="仿宋"/>
          <w:b w:val="0"/>
          <w:bCs/>
          <w:color w:val="auto"/>
          <w:sz w:val="32"/>
          <w:szCs w:val="32"/>
        </w:rPr>
      </w:pPr>
      <w:r>
        <w:rPr>
          <w:rFonts w:hint="eastAsia" w:ascii="仿宋" w:hAnsi="仿宋" w:eastAsia="仿宋"/>
          <w:b w:val="0"/>
          <w:bCs/>
          <w:color w:val="auto"/>
          <w:sz w:val="32"/>
          <w:szCs w:val="32"/>
        </w:rPr>
        <w:t>按照四川省《关于开展省控水质自动监测站建设工作的通知》（川生态监测办[2018]3号）、四川省环境监测总站《关于新建省控水站进行场地平整和采水系统建设相关技术要求的通知》文件要求，已完站点建设相关工作。</w:t>
      </w:r>
    </w:p>
    <w:p>
      <w:pPr>
        <w:pStyle w:val="7"/>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 w:val="0"/>
          <w:bCs/>
          <w:color w:val="auto"/>
          <w:sz w:val="32"/>
          <w:szCs w:val="32"/>
        </w:rPr>
      </w:pPr>
      <w:r>
        <w:rPr>
          <w:rFonts w:hint="eastAsia" w:ascii="仿宋" w:hAnsi="仿宋" w:eastAsia="仿宋"/>
          <w:b w:val="0"/>
          <w:bCs/>
          <w:color w:val="auto"/>
          <w:sz w:val="32"/>
          <w:szCs w:val="32"/>
          <w:lang w:val="en-US" w:eastAsia="zh-CN"/>
        </w:rPr>
        <w:t>8.</w:t>
      </w:r>
      <w:r>
        <w:rPr>
          <w:rFonts w:hint="eastAsia" w:ascii="仿宋" w:hAnsi="仿宋" w:eastAsia="仿宋"/>
          <w:b w:val="0"/>
          <w:bCs/>
          <w:color w:val="auto"/>
          <w:sz w:val="32"/>
          <w:szCs w:val="32"/>
        </w:rPr>
        <w:t>汶川县</w:t>
      </w:r>
      <w:r>
        <w:rPr>
          <w:rFonts w:hint="eastAsia" w:ascii="仿宋" w:hAnsi="仿宋" w:eastAsia="仿宋"/>
          <w:b w:val="0"/>
          <w:bCs/>
          <w:color w:val="auto"/>
          <w:sz w:val="32"/>
          <w:szCs w:val="32"/>
          <w:lang w:eastAsia="zh-CN"/>
        </w:rPr>
        <w:t>域</w:t>
      </w:r>
      <w:r>
        <w:rPr>
          <w:rFonts w:hint="eastAsia" w:ascii="仿宋" w:hAnsi="仿宋" w:eastAsia="仿宋"/>
          <w:b w:val="0"/>
          <w:bCs/>
          <w:color w:val="auto"/>
          <w:sz w:val="32"/>
          <w:szCs w:val="32"/>
        </w:rPr>
        <w:t>出入境断面水质自动监测站运行维护</w:t>
      </w:r>
    </w:p>
    <w:p>
      <w:pPr>
        <w:pStyle w:val="7"/>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 w:val="0"/>
          <w:bCs/>
          <w:color w:val="auto"/>
          <w:sz w:val="32"/>
          <w:szCs w:val="32"/>
        </w:rPr>
      </w:pPr>
      <w:r>
        <w:rPr>
          <w:rFonts w:hint="eastAsia" w:ascii="仿宋" w:hAnsi="仿宋" w:eastAsia="仿宋"/>
          <w:b w:val="0"/>
          <w:bCs/>
          <w:color w:val="auto"/>
          <w:sz w:val="32"/>
          <w:szCs w:val="32"/>
        </w:rPr>
        <w:t>201</w:t>
      </w:r>
      <w:r>
        <w:rPr>
          <w:rFonts w:hint="eastAsia" w:ascii="仿宋" w:hAnsi="仿宋" w:eastAsia="仿宋"/>
          <w:b w:val="0"/>
          <w:bCs/>
          <w:color w:val="auto"/>
          <w:sz w:val="32"/>
          <w:szCs w:val="32"/>
          <w:lang w:val="en-US" w:eastAsia="zh-CN"/>
        </w:rPr>
        <w:t>9</w:t>
      </w:r>
      <w:r>
        <w:rPr>
          <w:rFonts w:hint="eastAsia" w:ascii="仿宋" w:hAnsi="仿宋" w:eastAsia="仿宋"/>
          <w:b w:val="0"/>
          <w:bCs/>
          <w:color w:val="auto"/>
          <w:sz w:val="32"/>
          <w:szCs w:val="32"/>
        </w:rPr>
        <w:t>年汶川县出入境断面姜射坝、水田坪水质自动监测站运维工作已委托第三方机构四川长青松科技有限公司完成，</w:t>
      </w:r>
      <w:r>
        <w:rPr>
          <w:rFonts w:hint="eastAsia" w:ascii="仿宋" w:hAnsi="仿宋" w:eastAsia="仿宋"/>
          <w:b w:val="0"/>
          <w:bCs/>
          <w:color w:val="auto"/>
          <w:sz w:val="32"/>
          <w:szCs w:val="32"/>
          <w:lang w:val="en-US" w:eastAsia="zh-CN"/>
        </w:rPr>
        <w:t>监测站</w:t>
      </w:r>
      <w:r>
        <w:rPr>
          <w:rFonts w:hint="eastAsia" w:ascii="仿宋" w:hAnsi="仿宋" w:eastAsia="仿宋"/>
          <w:b w:val="0"/>
          <w:bCs/>
          <w:color w:val="auto"/>
          <w:sz w:val="32"/>
          <w:szCs w:val="32"/>
        </w:rPr>
        <w:t>加强监督管理，质量控制</w:t>
      </w:r>
      <w:r>
        <w:rPr>
          <w:rFonts w:hint="eastAsia" w:ascii="仿宋" w:hAnsi="仿宋" w:eastAsia="仿宋"/>
          <w:b w:val="0"/>
          <w:bCs/>
          <w:color w:val="auto"/>
          <w:sz w:val="32"/>
          <w:szCs w:val="32"/>
          <w:lang w:eastAsia="zh-CN"/>
        </w:rPr>
        <w:t>，</w:t>
      </w:r>
      <w:r>
        <w:rPr>
          <w:rFonts w:hint="eastAsia" w:ascii="仿宋" w:hAnsi="仿宋" w:eastAsia="仿宋"/>
          <w:b w:val="0"/>
          <w:bCs/>
          <w:color w:val="auto"/>
          <w:sz w:val="32"/>
          <w:szCs w:val="32"/>
          <w:lang w:val="en-US" w:eastAsia="zh-CN"/>
        </w:rPr>
        <w:t>2019年运维任务顺利完成</w:t>
      </w:r>
      <w:r>
        <w:rPr>
          <w:rFonts w:hint="eastAsia" w:ascii="仿宋" w:hAnsi="仿宋" w:eastAsia="仿宋"/>
          <w:b w:val="0"/>
          <w:bCs/>
          <w:color w:val="auto"/>
          <w:sz w:val="32"/>
          <w:szCs w:val="32"/>
        </w:rPr>
        <w:t>。</w:t>
      </w:r>
    </w:p>
    <w:p>
      <w:pPr>
        <w:pageBreakBefore w:val="0"/>
        <w:widowControl w:val="0"/>
        <w:kinsoku/>
        <w:wordWrap/>
        <w:overflowPunct/>
        <w:topLinePunct w:val="0"/>
        <w:autoSpaceDE/>
        <w:autoSpaceDN/>
        <w:bidi w:val="0"/>
        <w:spacing w:line="560" w:lineRule="exact"/>
        <w:textAlignment w:val="auto"/>
      </w:pPr>
    </w:p>
    <w:p>
      <w:pPr>
        <w:pStyle w:val="5"/>
        <w:rPr>
          <w:rStyle w:val="27"/>
          <w:b w:val="0"/>
          <w:bCs w:val="0"/>
        </w:rPr>
      </w:pPr>
      <w:r>
        <w:rPr>
          <w:rFonts w:hint="eastAsia" w:ascii="黑体" w:eastAsia="黑体"/>
          <w:b w:val="0"/>
          <w:color w:val="000000"/>
        </w:rPr>
        <w:t>二、</w:t>
      </w:r>
      <w:r>
        <w:rPr>
          <w:rFonts w:hint="eastAsia" w:ascii="黑体" w:hAnsi="黑体" w:eastAsia="黑体"/>
          <w:b w:val="0"/>
          <w:color w:val="000000"/>
        </w:rPr>
        <w:t>机</w:t>
      </w:r>
      <w:r>
        <w:rPr>
          <w:rStyle w:val="27"/>
          <w:rFonts w:hint="eastAsia" w:ascii="黑体" w:hAnsi="黑体" w:eastAsia="黑体"/>
          <w:b w:val="0"/>
          <w:bCs w:val="0"/>
        </w:rPr>
        <w:t>构设置</w:t>
      </w:r>
      <w:bookmarkEnd w:id="14"/>
      <w:bookmarkEnd w:id="15"/>
    </w:p>
    <w:p>
      <w:pPr>
        <w:pStyle w:val="32"/>
        <w:spacing w:before="0" w:line="360" w:lineRule="auto"/>
        <w:ind w:firstLine="640" w:firstLineChars="200"/>
        <w:rPr>
          <w:rFonts w:hint="eastAsia" w:ascii="ˎ̥" w:hAnsi="ˎ̥" w:eastAsia="宋体" w:cs="宋体"/>
          <w:sz w:val="30"/>
          <w:szCs w:val="30"/>
        </w:rPr>
      </w:pPr>
      <w:r>
        <w:rPr>
          <w:rFonts w:hint="eastAsia" w:ascii="仿宋" w:hAnsi="仿宋" w:eastAsia="仿宋"/>
          <w:sz w:val="32"/>
          <w:szCs w:val="32"/>
          <w:lang w:val="en-US" w:eastAsia="zh-CN"/>
        </w:rPr>
        <w:t>阿坝藏族羌族自治州汶川县环保监测站是</w:t>
      </w:r>
      <w:r>
        <w:rPr>
          <w:rFonts w:hint="eastAsia" w:ascii="ˎ̥" w:hAnsi="ˎ̥" w:eastAsia="宋体" w:cs="宋体"/>
          <w:sz w:val="30"/>
          <w:szCs w:val="30"/>
        </w:rPr>
        <w:t>独立的一级预算单位。</w:t>
      </w:r>
    </w:p>
    <w:p>
      <w:pPr>
        <w:pStyle w:val="32"/>
        <w:spacing w:before="0" w:line="360" w:lineRule="auto"/>
        <w:ind w:firstLine="600" w:firstLineChars="200"/>
        <w:rPr>
          <w:rFonts w:hint="eastAsia" w:ascii="ˎ̥" w:hAnsi="ˎ̥" w:eastAsia="宋体" w:cs="宋体"/>
          <w:sz w:val="30"/>
          <w:szCs w:val="30"/>
        </w:rPr>
      </w:pPr>
    </w:p>
    <w:p>
      <w:pPr>
        <w:pStyle w:val="32"/>
        <w:spacing w:before="0" w:line="360" w:lineRule="auto"/>
        <w:ind w:firstLine="600" w:firstLineChars="200"/>
        <w:rPr>
          <w:rFonts w:hint="eastAsia" w:ascii="ˎ̥" w:hAnsi="ˎ̥" w:eastAsia="宋体" w:cs="宋体"/>
          <w:sz w:val="30"/>
          <w:szCs w:val="30"/>
        </w:rPr>
      </w:pPr>
    </w:p>
    <w:p>
      <w:pPr>
        <w:pStyle w:val="32"/>
        <w:spacing w:before="0" w:line="360" w:lineRule="auto"/>
        <w:ind w:firstLine="600" w:firstLineChars="200"/>
        <w:rPr>
          <w:rFonts w:hint="eastAsia" w:ascii="ˎ̥" w:hAnsi="ˎ̥" w:eastAsia="宋体" w:cs="宋体"/>
          <w:sz w:val="30"/>
          <w:szCs w:val="30"/>
        </w:rPr>
      </w:pPr>
    </w:p>
    <w:p>
      <w:pPr>
        <w:pStyle w:val="32"/>
        <w:spacing w:before="0" w:line="360" w:lineRule="auto"/>
        <w:ind w:firstLine="600" w:firstLineChars="200"/>
        <w:rPr>
          <w:rFonts w:hint="eastAsia" w:ascii="ˎ̥" w:hAnsi="ˎ̥" w:eastAsia="宋体" w:cs="宋体"/>
          <w:sz w:val="30"/>
          <w:szCs w:val="30"/>
        </w:rPr>
      </w:pPr>
    </w:p>
    <w:p>
      <w:pPr>
        <w:pStyle w:val="4"/>
        <w:ind w:right="440"/>
        <w:jc w:val="right"/>
        <w:rPr>
          <w:rStyle w:val="26"/>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6"/>
          <w:rFonts w:hint="eastAsia" w:ascii="黑体" w:hAnsi="黑体" w:eastAsia="黑体"/>
          <w:b w:val="0"/>
          <w:bCs w:val="0"/>
        </w:rPr>
        <w:t>2019年度部门决算情况说明</w:t>
      </w:r>
      <w:bookmarkEnd w:id="22"/>
      <w:bookmarkEnd w:id="23"/>
    </w:p>
    <w:p/>
    <w:p>
      <w:pPr>
        <w:pStyle w:val="25"/>
        <w:numPr>
          <w:ilvl w:val="0"/>
          <w:numId w:val="1"/>
        </w:numPr>
        <w:spacing w:line="600" w:lineRule="exact"/>
        <w:ind w:firstLineChars="0"/>
        <w:outlineLvl w:val="1"/>
        <w:rPr>
          <w:rStyle w:val="27"/>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2019年度</w:t>
      </w:r>
      <w:r>
        <w:rPr>
          <w:rFonts w:hint="eastAsia" w:ascii="仿宋" w:hAnsi="仿宋" w:eastAsia="仿宋"/>
          <w:color w:val="000000"/>
          <w:sz w:val="32"/>
          <w:szCs w:val="32"/>
          <w:lang w:val="en-US" w:eastAsia="zh-CN"/>
        </w:rPr>
        <w:t>收入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94.25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支出94.25万元</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因2019年3月完成机构改革，故无上年数对比。</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pStyle w:val="2"/>
        <w:rPr>
          <w:rFonts w:hint="eastAsia"/>
        </w:rPr>
      </w:pPr>
    </w:p>
    <w:p>
      <w:pPr>
        <w:pStyle w:val="2"/>
      </w:pPr>
      <w:r>
        <w:drawing>
          <wp:inline distT="0" distB="0" distL="114300" distR="114300">
            <wp:extent cx="4572000" cy="2743200"/>
            <wp:effectExtent l="4445" t="4445" r="14605" b="1460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pPr>
    </w:p>
    <w:p>
      <w:pPr>
        <w:pStyle w:val="25"/>
        <w:numPr>
          <w:ilvl w:val="0"/>
          <w:numId w:val="1"/>
        </w:numPr>
        <w:spacing w:line="600" w:lineRule="exact"/>
        <w:ind w:firstLineChars="0"/>
        <w:outlineLvl w:val="1"/>
        <w:rPr>
          <w:rStyle w:val="27"/>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7"/>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94.25</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94.25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0.00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上级补助收入</w:t>
      </w:r>
      <w:r>
        <w:rPr>
          <w:rFonts w:hint="eastAsia" w:ascii="仿宋" w:hAnsi="仿宋" w:eastAsia="仿宋"/>
          <w:color w:val="000000" w:themeColor="text1"/>
          <w:sz w:val="32"/>
          <w:szCs w:val="32"/>
          <w:lang w:val="en-US" w:eastAsia="zh-CN"/>
          <w14:textFill>
            <w14:solidFill>
              <w14:schemeClr w14:val="tx1"/>
            </w14:solidFill>
          </w14:textFill>
        </w:rPr>
        <w:t>0.00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0.00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0.00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0.00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0.00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0.00</w:t>
      </w:r>
      <w:r>
        <w:rPr>
          <w:rFonts w:ascii="仿宋" w:hAnsi="仿宋" w:eastAsia="仿宋"/>
          <w:color w:val="000000"/>
          <w:sz w:val="32"/>
          <w:szCs w:val="32"/>
        </w:rPr>
        <w:t>%</w:t>
      </w:r>
      <w:r>
        <w:rPr>
          <w:rFonts w:hint="eastAsia" w:ascii="仿宋" w:hAnsi="仿宋" w:eastAsia="仿宋"/>
          <w:color w:val="000000"/>
          <w:sz w:val="32"/>
          <w:szCs w:val="32"/>
        </w:rPr>
        <w:t>。</w:t>
      </w:r>
    </w:p>
    <w:p>
      <w:pPr>
        <w:pStyle w:val="2"/>
        <w:rPr>
          <w:rFonts w:hint="eastAsia"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62336" behindDoc="0" locked="0" layoutInCell="1" allowOverlap="1">
            <wp:simplePos x="0" y="0"/>
            <wp:positionH relativeFrom="column">
              <wp:posOffset>299720</wp:posOffset>
            </wp:positionH>
            <wp:positionV relativeFrom="paragraph">
              <wp:posOffset>242570</wp:posOffset>
            </wp:positionV>
            <wp:extent cx="4419600" cy="2552700"/>
            <wp:effectExtent l="4445" t="4445" r="14605" b="14605"/>
            <wp:wrapTopAndBottom/>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5"/>
        <w:numPr>
          <w:ilvl w:val="0"/>
          <w:numId w:val="1"/>
        </w:numPr>
        <w:spacing w:line="600" w:lineRule="exact"/>
        <w:ind w:firstLineChars="0"/>
        <w:outlineLvl w:val="1"/>
        <w:rPr>
          <w:rStyle w:val="27"/>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7"/>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94.25</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94.25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0.00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0.00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0.00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0.00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pStyle w:val="2"/>
      </w:pPr>
      <w:r>
        <w:drawing>
          <wp:anchor distT="0" distB="0" distL="114300" distR="114300" simplePos="0" relativeHeight="251663360" behindDoc="0" locked="0" layoutInCell="1" allowOverlap="1">
            <wp:simplePos x="0" y="0"/>
            <wp:positionH relativeFrom="column">
              <wp:posOffset>318770</wp:posOffset>
            </wp:positionH>
            <wp:positionV relativeFrom="paragraph">
              <wp:posOffset>29845</wp:posOffset>
            </wp:positionV>
            <wp:extent cx="4343400" cy="2353310"/>
            <wp:effectExtent l="4445" t="4445" r="14605" b="23495"/>
            <wp:wrapTopAndBottom/>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Style w:val="27"/>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9年财政拨款</w:t>
      </w:r>
      <w:r>
        <w:rPr>
          <w:rFonts w:hint="eastAsia" w:ascii="仿宋" w:hAnsi="仿宋" w:eastAsia="仿宋"/>
          <w:color w:val="000000"/>
          <w:sz w:val="32"/>
          <w:szCs w:val="32"/>
          <w:lang w:val="en-US" w:eastAsia="zh-CN"/>
        </w:rPr>
        <w:t>收入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94.25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支出94.25万元</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因2019年3月完成机构改革，故无上年数对比。</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w:t>
      </w:r>
    </w:p>
    <w:p>
      <w:pPr>
        <w:pStyle w:val="2"/>
      </w:pPr>
      <w:r>
        <w:drawing>
          <wp:inline distT="0" distB="0" distL="114300" distR="114300">
            <wp:extent cx="4381500" cy="2466975"/>
            <wp:effectExtent l="4445" t="4445" r="14605" b="5080"/>
            <wp:docPr id="1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7"/>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94.25</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因2019年3月完成机构改革，故无上年数对比。</w:t>
      </w:r>
    </w:p>
    <w:p>
      <w:pPr>
        <w:spacing w:line="600" w:lineRule="exact"/>
        <w:ind w:firstLine="420" w:firstLineChars="200"/>
        <w:rPr>
          <w:rFonts w:ascii="仿宋" w:hAnsi="仿宋" w:eastAsia="仿宋"/>
          <w:color w:val="000000" w:themeColor="text1"/>
          <w:sz w:val="32"/>
          <w:szCs w:val="32"/>
          <w14:textFill>
            <w14:solidFill>
              <w14:schemeClr w14:val="tx1"/>
            </w14:solidFill>
          </w14:textFill>
        </w:rPr>
      </w:pPr>
      <w:r>
        <w:drawing>
          <wp:anchor distT="0" distB="0" distL="114300" distR="114300" simplePos="0" relativeHeight="251664384" behindDoc="0" locked="0" layoutInCell="1" allowOverlap="1">
            <wp:simplePos x="0" y="0"/>
            <wp:positionH relativeFrom="column">
              <wp:posOffset>528320</wp:posOffset>
            </wp:positionH>
            <wp:positionV relativeFrom="paragraph">
              <wp:posOffset>452120</wp:posOffset>
            </wp:positionV>
            <wp:extent cx="4343400" cy="2458085"/>
            <wp:effectExtent l="4445" t="4445" r="14605" b="13970"/>
            <wp:wrapTopAndBottom/>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000000" w:themeColor="text1"/>
          <w:sz w:val="32"/>
          <w:szCs w:val="32"/>
          <w14:textFill>
            <w14:solidFill>
              <w14:schemeClr w14:val="tx1"/>
            </w14:solidFill>
          </w14:textFill>
        </w:rPr>
        <w:t>（图5：一般公共预算财政拨款支出决算变动情况）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eastAsia" w:ascii="仿宋" w:hAnsi="仿宋" w:eastAsia="仿宋"/>
          <w:b/>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94.25</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9.45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color w:val="000000" w:themeColor="text1"/>
          <w:sz w:val="32"/>
          <w:szCs w:val="32"/>
          <w:lang w:val="en-US" w:eastAsia="zh-CN"/>
          <w14:textFill>
            <w14:solidFill>
              <w14:schemeClr w14:val="tx1"/>
            </w14:solidFill>
          </w14:textFill>
        </w:rPr>
        <w:t>4.38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9.11</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lang w:val="en-US" w:eastAsia="zh-CN"/>
          <w14:textFill>
            <w14:solidFill>
              <w14:schemeClr w14:val="tx1"/>
            </w14:solidFill>
          </w14:textFill>
        </w:rPr>
        <w:t>节能环保支出</w:t>
      </w:r>
      <w:r>
        <w:rPr>
          <w:rFonts w:hint="eastAsia" w:ascii="仿宋" w:hAnsi="仿宋" w:eastAsia="仿宋"/>
          <w:color w:val="000000" w:themeColor="text1"/>
          <w:sz w:val="32"/>
          <w:szCs w:val="32"/>
          <w:lang w:val="en-US" w:eastAsia="zh-CN"/>
          <w14:textFill>
            <w14:solidFill>
              <w14:schemeClr w14:val="tx1"/>
            </w14:solidFill>
          </w14:textFill>
        </w:rPr>
        <w:t>71.31万元，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75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（罗列全部功能分类科目，至类级。）</w:t>
      </w:r>
    </w:p>
    <w:tbl>
      <w:tblPr>
        <w:tblStyle w:val="14"/>
        <w:tblW w:w="6600" w:type="dxa"/>
        <w:tblInd w:w="0" w:type="dxa"/>
        <w:shd w:val="clear" w:color="auto" w:fill="auto"/>
        <w:tblLayout w:type="autofit"/>
        <w:tblCellMar>
          <w:top w:w="0" w:type="dxa"/>
          <w:left w:w="0" w:type="dxa"/>
          <w:bottom w:w="0" w:type="dxa"/>
          <w:right w:w="0" w:type="dxa"/>
        </w:tblCellMar>
      </w:tblPr>
      <w:tblGrid>
        <w:gridCol w:w="990"/>
        <w:gridCol w:w="3930"/>
        <w:gridCol w:w="1680"/>
      </w:tblGrid>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94,587.44</w:t>
            </w: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94,587.44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63,057.84</w:t>
            </w: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31,529.60</w:t>
            </w: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43,793.04</w:t>
            </w: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43,793.04</w:t>
            </w: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43,793.04</w:t>
            </w: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713,060.68</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713,060.68</w:t>
            </w: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2111450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713,060.68</w:t>
            </w: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91,080.00</w:t>
            </w: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91,080.00</w:t>
            </w: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91,080.00</w:t>
            </w:r>
          </w:p>
        </w:tc>
      </w:tr>
    </w:tbl>
    <w:p>
      <w:pPr>
        <w:spacing w:line="600" w:lineRule="exact"/>
        <w:rPr>
          <w:rFonts w:hint="eastAsia"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pStyle w:val="2"/>
      </w:pPr>
      <w:r>
        <w:drawing>
          <wp:inline distT="0" distB="0" distL="114300" distR="114300">
            <wp:extent cx="4610100" cy="2866390"/>
            <wp:effectExtent l="4445" t="4445" r="14605" b="5715"/>
            <wp:docPr id="1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themeColor="text1"/>
          <w:sz w:val="32"/>
          <w:szCs w:val="32"/>
          <w14:textFill>
            <w14:solidFill>
              <w14:schemeClr w14:val="tx1"/>
            </w14:solidFill>
          </w14:textFill>
        </w:rPr>
        <w:t>2019年般公共预算支出决算数为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94.25</w:t>
      </w:r>
      <w:r>
        <w:rPr>
          <w:rFonts w:hint="eastAsia" w:ascii="仿宋" w:hAnsi="仿宋" w:eastAsia="仿宋"/>
          <w:color w:val="000000" w:themeColor="text1"/>
          <w:sz w:val="32"/>
          <w:szCs w:val="32"/>
          <w14:textFill>
            <w14:solidFill>
              <w14:schemeClr w14:val="tx1"/>
            </w14:solidFill>
          </w14:textFill>
        </w:rPr>
        <w:t>，</w:t>
      </w:r>
      <w:r>
        <w:rPr>
          <w:rStyle w:val="16"/>
          <w:rFonts w:hint="eastAsia" w:ascii="仿宋" w:hAnsi="仿宋" w:eastAsia="仿宋"/>
          <w:bCs/>
          <w:color w:val="000000" w:themeColor="text1"/>
          <w:sz w:val="32"/>
          <w:szCs w:val="32"/>
          <w14:textFill>
            <w14:solidFill>
              <w14:schemeClr w14:val="tx1"/>
            </w14:solidFill>
          </w14:textFill>
        </w:rPr>
        <w:t>完成</w:t>
      </w:r>
      <w:r>
        <w:rPr>
          <w:rStyle w:val="16"/>
          <w:rFonts w:hint="eastAsia" w:ascii="仿宋" w:hAnsi="仿宋" w:eastAsia="仿宋"/>
          <w:bCs/>
          <w:color w:val="000000"/>
          <w:sz w:val="32"/>
          <w:szCs w:val="32"/>
        </w:rPr>
        <w:t>预算</w:t>
      </w:r>
      <w:r>
        <w:rPr>
          <w:rStyle w:val="16"/>
          <w:rFonts w:hint="eastAsia" w:ascii="仿宋" w:hAnsi="仿宋" w:eastAsia="仿宋"/>
          <w:bCs/>
          <w:color w:val="000000"/>
          <w:sz w:val="32"/>
          <w:szCs w:val="32"/>
          <w:lang w:val="en-US" w:eastAsia="zh-CN"/>
        </w:rPr>
        <w:t>100</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。其中：</w:t>
      </w:r>
      <w:bookmarkEnd w:id="37"/>
      <w:bookmarkEnd w:id="38"/>
      <w:bookmarkEnd w:id="39"/>
    </w:p>
    <w:p>
      <w:pPr>
        <w:numPr>
          <w:ilvl w:val="0"/>
          <w:numId w:val="2"/>
        </w:numPr>
        <w:spacing w:line="600" w:lineRule="exact"/>
        <w:ind w:firstLine="643" w:firstLineChars="200"/>
        <w:rPr>
          <w:rStyle w:val="16"/>
          <w:rFonts w:hint="eastAsia" w:ascii="仿宋" w:hAnsi="仿宋" w:eastAsia="仿宋"/>
          <w:b w:val="0"/>
          <w:bCs/>
          <w:color w:val="000000"/>
          <w:sz w:val="32"/>
          <w:szCs w:val="32"/>
          <w:lang w:eastAsia="zh-CN"/>
        </w:rPr>
      </w:pPr>
      <w:r>
        <w:rPr>
          <w:rFonts w:hint="eastAsia" w:ascii="仿宋" w:hAnsi="仿宋" w:eastAsia="仿宋"/>
          <w:b/>
          <w:color w:val="000000" w:themeColor="text1"/>
          <w:sz w:val="32"/>
          <w:szCs w:val="32"/>
          <w14:textFill>
            <w14:solidFill>
              <w14:schemeClr w14:val="tx1"/>
            </w14:solidFill>
          </w14:textFill>
        </w:rPr>
        <w:t>社会保障和就业</w:t>
      </w:r>
    </w:p>
    <w:p>
      <w:pPr>
        <w:numPr>
          <w:ilvl w:val="0"/>
          <w:numId w:val="0"/>
        </w:numPr>
        <w:spacing w:line="600" w:lineRule="exact"/>
        <w:ind w:firstLine="640" w:firstLineChars="200"/>
        <w:rPr>
          <w:rStyle w:val="16"/>
          <w:rFonts w:hint="eastAsia" w:ascii="仿宋" w:hAnsi="仿宋" w:eastAsia="仿宋"/>
          <w:b w:val="0"/>
          <w:bCs/>
          <w:color w:val="000000"/>
          <w:sz w:val="32"/>
          <w:szCs w:val="32"/>
          <w:lang w:eastAsia="zh-CN"/>
        </w:rPr>
      </w:pPr>
      <w:r>
        <w:rPr>
          <w:rFonts w:hint="eastAsia" w:ascii="仿宋" w:hAnsi="仿宋" w:eastAsia="仿宋"/>
          <w:b w:val="0"/>
          <w:bCs/>
          <w:color w:val="000000" w:themeColor="text1"/>
          <w:sz w:val="32"/>
          <w:szCs w:val="32"/>
          <w:lang w:val="en-US" w:eastAsia="zh-CN"/>
          <w14:textFill>
            <w14:solidFill>
              <w14:schemeClr w14:val="tx1"/>
            </w14:solidFill>
          </w14:textFill>
        </w:rPr>
        <w:t>（1）2080505机关事业单位基本养老保险缴费支出</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6.3</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p>
    <w:p>
      <w:pPr>
        <w:numPr>
          <w:ilvl w:val="0"/>
          <w:numId w:val="0"/>
        </w:numPr>
        <w:spacing w:line="600" w:lineRule="exact"/>
        <w:ind w:firstLine="640" w:firstLineChars="200"/>
        <w:rPr>
          <w:rStyle w:val="16"/>
          <w:rFonts w:hint="eastAsia" w:ascii="仿宋" w:hAnsi="仿宋" w:eastAsia="仿宋"/>
          <w:b w:val="0"/>
          <w:bCs/>
          <w:color w:val="000000"/>
          <w:sz w:val="32"/>
          <w:szCs w:val="32"/>
        </w:rPr>
      </w:pPr>
      <w:r>
        <w:rPr>
          <w:rStyle w:val="16"/>
          <w:rFonts w:hint="eastAsia" w:ascii="仿宋" w:hAnsi="仿宋" w:eastAsia="仿宋"/>
          <w:b w:val="0"/>
          <w:bCs/>
          <w:color w:val="000000"/>
          <w:sz w:val="32"/>
          <w:szCs w:val="32"/>
          <w:lang w:val="en-US" w:eastAsia="zh-CN"/>
        </w:rPr>
        <w:t>（2）2080506机关事业单位职业年金缴费支出3.15</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numPr>
          <w:ilvl w:val="0"/>
          <w:numId w:val="2"/>
        </w:numPr>
        <w:spacing w:line="600" w:lineRule="exact"/>
        <w:ind w:left="0" w:leftChars="0" w:firstLine="643" w:firstLineChars="200"/>
        <w:rPr>
          <w:rStyle w:val="16"/>
          <w:rFonts w:hint="eastAsia" w:ascii="仿宋" w:hAnsi="仿宋" w:eastAsia="仿宋"/>
          <w:b w:val="0"/>
          <w:bCs/>
          <w:color w:val="000000"/>
          <w:sz w:val="32"/>
          <w:szCs w:val="32"/>
          <w:lang w:eastAsia="zh-CN"/>
        </w:rPr>
      </w:pPr>
      <w:r>
        <w:rPr>
          <w:rFonts w:hint="eastAsia" w:ascii="仿宋" w:hAnsi="仿宋" w:eastAsia="仿宋"/>
          <w:b/>
          <w:bCs/>
          <w:color w:val="000000" w:themeColor="text1"/>
          <w:sz w:val="32"/>
          <w:szCs w:val="32"/>
          <w14:textFill>
            <w14:solidFill>
              <w14:schemeClr w14:val="tx1"/>
            </w14:solidFill>
          </w14:textFill>
        </w:rPr>
        <w:t>卫生健康</w:t>
      </w:r>
      <w:r>
        <w:rPr>
          <w:rFonts w:hint="eastAsia" w:ascii="仿宋" w:hAnsi="仿宋" w:eastAsia="仿宋"/>
          <w:b/>
          <w:bCs/>
          <w:color w:val="000000" w:themeColor="text1"/>
          <w:sz w:val="32"/>
          <w:szCs w:val="32"/>
          <w:lang w:val="en-US" w:eastAsia="zh-CN"/>
          <w14:textFill>
            <w14:solidFill>
              <w14:schemeClr w14:val="tx1"/>
            </w14:solidFill>
          </w14:textFill>
        </w:rPr>
        <w:t>2101101行政单位医疗</w:t>
      </w:r>
      <w:r>
        <w:rPr>
          <w:rFonts w:hint="eastAsia" w:ascii="仿宋" w:hAnsi="仿宋" w:eastAsia="仿宋"/>
          <w:b/>
          <w:bCs/>
          <w:color w:val="000000" w:themeColor="text1"/>
          <w:sz w:val="32"/>
          <w:szCs w:val="32"/>
          <w14:textFill>
            <w14:solidFill>
              <w14:schemeClr w14:val="tx1"/>
            </w14:solidFill>
          </w14:textFill>
        </w:rPr>
        <w:t>支出</w:t>
      </w:r>
      <w:r>
        <w:rPr>
          <w:rFonts w:hint="eastAsia" w:ascii="仿宋" w:hAnsi="仿宋" w:eastAsia="仿宋"/>
          <w:b/>
          <w:bCs/>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4.38</w:t>
      </w:r>
      <w:r>
        <w:rPr>
          <w:rFonts w:hint="eastAsia" w:ascii="仿宋" w:hAnsi="仿宋" w:eastAsia="仿宋"/>
          <w:color w:val="000000" w:themeColor="text1"/>
          <w:sz w:val="32"/>
          <w:szCs w:val="32"/>
          <w14:textFill>
            <w14:solidFill>
              <w14:schemeClr w14:val="tx1"/>
            </w14:solidFill>
          </w14:textFill>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p>
    <w:p>
      <w:pPr>
        <w:numPr>
          <w:ilvl w:val="0"/>
          <w:numId w:val="2"/>
        </w:numPr>
        <w:spacing w:line="600" w:lineRule="exact"/>
        <w:ind w:left="0" w:leftChars="0" w:firstLine="643" w:firstLineChars="200"/>
        <w:rPr>
          <w:rStyle w:val="16"/>
          <w:rFonts w:hint="eastAsia" w:ascii="仿宋" w:hAnsi="仿宋" w:eastAsia="仿宋"/>
          <w:b w:val="0"/>
          <w:bCs/>
          <w:color w:val="000000"/>
          <w:sz w:val="32"/>
          <w:szCs w:val="32"/>
          <w:lang w:eastAsia="zh-CN"/>
        </w:rPr>
      </w:pPr>
      <w:r>
        <w:rPr>
          <w:rFonts w:hint="eastAsia" w:ascii="仿宋" w:hAnsi="仿宋" w:eastAsia="仿宋"/>
          <w:b/>
          <w:bCs/>
          <w:color w:val="000000" w:themeColor="text1"/>
          <w:sz w:val="32"/>
          <w:szCs w:val="32"/>
          <w14:textFill>
            <w14:solidFill>
              <w14:schemeClr w14:val="tx1"/>
            </w14:solidFill>
          </w14:textFill>
        </w:rPr>
        <w:t>住房保障</w:t>
      </w:r>
      <w:r>
        <w:rPr>
          <w:rFonts w:hint="eastAsia" w:ascii="仿宋" w:hAnsi="仿宋" w:eastAsia="仿宋"/>
          <w:b/>
          <w:bCs/>
          <w:color w:val="000000" w:themeColor="text1"/>
          <w:sz w:val="32"/>
          <w:szCs w:val="32"/>
          <w:lang w:val="en-US" w:eastAsia="zh-CN"/>
          <w14:textFill>
            <w14:solidFill>
              <w14:schemeClr w14:val="tx1"/>
            </w14:solidFill>
          </w14:textFill>
        </w:rPr>
        <w:t>2210201住房公积金</w:t>
      </w:r>
      <w:r>
        <w:rPr>
          <w:rFonts w:hint="eastAsia" w:ascii="仿宋" w:hAnsi="仿宋" w:eastAsia="仿宋"/>
          <w:b/>
          <w:bCs/>
          <w:color w:val="000000" w:themeColor="text1"/>
          <w:sz w:val="32"/>
          <w:szCs w:val="32"/>
          <w14:textFill>
            <w14:solidFill>
              <w14:schemeClr w14:val="tx1"/>
            </w14:solidFill>
          </w14:textFill>
        </w:rPr>
        <w:t>支出</w:t>
      </w:r>
      <w:r>
        <w:rPr>
          <w:rFonts w:hint="eastAsia" w:ascii="仿宋" w:hAnsi="仿宋" w:eastAsia="仿宋"/>
          <w:b/>
          <w:bCs/>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9.11</w:t>
      </w:r>
      <w:r>
        <w:rPr>
          <w:rFonts w:hint="eastAsia" w:ascii="仿宋" w:hAnsi="仿宋" w:eastAsia="仿宋"/>
          <w:color w:val="000000" w:themeColor="text1"/>
          <w:sz w:val="32"/>
          <w:szCs w:val="32"/>
          <w14:textFill>
            <w14:solidFill>
              <w14:schemeClr w14:val="tx1"/>
            </w14:solidFill>
          </w14:textFill>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p>
    <w:p>
      <w:pPr>
        <w:numPr>
          <w:ilvl w:val="0"/>
          <w:numId w:val="2"/>
        </w:numPr>
        <w:spacing w:line="600" w:lineRule="exact"/>
        <w:ind w:left="0" w:leftChars="0" w:firstLine="643" w:firstLineChars="200"/>
        <w:rPr>
          <w:rFonts w:hint="eastAsia"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lang w:val="en-US" w:eastAsia="zh-CN"/>
          <w14:textFill>
            <w14:solidFill>
              <w14:schemeClr w14:val="tx1"/>
            </w14:solidFill>
          </w14:textFill>
        </w:rPr>
        <w:t>节能环保2110101行政运行支出：</w:t>
      </w:r>
      <w:r>
        <w:rPr>
          <w:rFonts w:hint="eastAsia" w:ascii="仿宋" w:hAnsi="仿宋" w:eastAsia="仿宋"/>
          <w:b w:val="0"/>
          <w:bCs w:val="0"/>
          <w:color w:val="000000" w:themeColor="text1"/>
          <w:sz w:val="32"/>
          <w:szCs w:val="32"/>
          <w:lang w:val="en-US" w:eastAsia="zh-CN"/>
          <w14:textFill>
            <w14:solidFill>
              <w14:schemeClr w14:val="tx1"/>
            </w14:solidFill>
          </w14:textFill>
        </w:rPr>
        <w:t>71.31万元，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p>
    <w:p>
      <w:pPr>
        <w:tabs>
          <w:tab w:val="right" w:pos="8306"/>
        </w:tabs>
        <w:spacing w:line="600" w:lineRule="exact"/>
        <w:ind w:firstLine="640"/>
        <w:outlineLvl w:val="1"/>
        <w:rPr>
          <w:rStyle w:val="27"/>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40"/>
      <w:bookmarkEnd w:id="41"/>
      <w:r>
        <w:rPr>
          <w:rStyle w:val="2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94.25</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22.94</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71.31</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7"/>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hint="default"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15.15</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177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超预算主要原因为:车辆使用年限已久，维修费用高。</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0.00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14.21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94</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0.94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drawing>
          <wp:anchor distT="0" distB="0" distL="114300" distR="114300" simplePos="0" relativeHeight="251665408" behindDoc="0" locked="0" layoutInCell="1" allowOverlap="1">
            <wp:simplePos x="0" y="0"/>
            <wp:positionH relativeFrom="column">
              <wp:posOffset>375285</wp:posOffset>
            </wp:positionH>
            <wp:positionV relativeFrom="paragraph">
              <wp:posOffset>436880</wp:posOffset>
            </wp:positionV>
            <wp:extent cx="3888105" cy="2121535"/>
            <wp:effectExtent l="4445" t="4445" r="12700" b="7620"/>
            <wp:wrapTopAndBottom/>
            <wp:docPr id="1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000000"/>
          <w:sz w:val="32"/>
          <w:szCs w:val="32"/>
        </w:rPr>
        <w:t>（图7：“三公”经费财政拨款支出结构）（饼状图）</w:t>
      </w:r>
    </w:p>
    <w:p>
      <w:pPr>
        <w:pStyle w:val="2"/>
      </w:pPr>
    </w:p>
    <w:p>
      <w:pPr>
        <w:spacing w:line="600" w:lineRule="exact"/>
        <w:ind w:firstLine="643" w:firstLineChars="200"/>
        <w:rPr>
          <w:rFonts w:hint="eastAsia" w:ascii="仿宋" w:hAnsi="仿宋" w:eastAsia="仿宋"/>
          <w:color w:val="000000"/>
          <w:sz w:val="32"/>
          <w:szCs w:val="32"/>
          <w:lang w:val="en-US" w:eastAsia="zh-CN"/>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w:t>
      </w:r>
      <w:r>
        <w:rPr>
          <w:rFonts w:hint="eastAsia" w:ascii="仿宋" w:hAnsi="仿宋" w:eastAsia="仿宋"/>
          <w:color w:val="000000"/>
          <w:sz w:val="32"/>
          <w:szCs w:val="32"/>
          <w:lang w:val="en-US" w:eastAsia="zh-CN"/>
        </w:rPr>
        <w:t>因2019年3月完成机构改革，故无上年数对比。</w:t>
      </w:r>
    </w:p>
    <w:p>
      <w:pPr>
        <w:spacing w:line="600" w:lineRule="exact"/>
        <w:ind w:firstLine="643" w:firstLineChars="200"/>
        <w:rPr>
          <w:rFonts w:hint="eastAsia" w:ascii="仿宋" w:hAnsi="仿宋" w:eastAsia="仿宋"/>
          <w:color w:val="000000"/>
          <w:sz w:val="32"/>
          <w:szCs w:val="32"/>
          <w:lang w:val="en-US"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0.00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 w:hAnsi="仿宋" w:eastAsia="仿宋"/>
          <w:color w:val="000000"/>
          <w:sz w:val="32"/>
          <w:szCs w:val="32"/>
          <w:lang w:val="en-US" w:eastAsia="zh-CN"/>
        </w:rPr>
        <w:t>因2019年3月完成机构改革，故无上年数对比。</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w:t>
      </w:r>
      <w:r>
        <w:rPr>
          <w:rFonts w:hint="eastAsia" w:ascii="仿宋_GB2312" w:eastAsia="仿宋_GB2312"/>
          <w:color w:val="000000"/>
          <w:sz w:val="32"/>
          <w:szCs w:val="32"/>
          <w:lang w:val="en-US" w:eastAsia="zh-CN"/>
        </w:rPr>
        <w:t>监测</w:t>
      </w:r>
      <w:r>
        <w:rPr>
          <w:rFonts w:hint="eastAsia" w:ascii="仿宋_GB2312" w:eastAsia="仿宋_GB2312"/>
          <w:color w:val="000000"/>
          <w:sz w:val="32"/>
          <w:szCs w:val="32"/>
        </w:rPr>
        <w:t>执法执勤用车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监测</w:t>
      </w:r>
      <w:r>
        <w:rPr>
          <w:rFonts w:hint="eastAsia" w:ascii="仿宋_GB2312" w:eastAsia="仿宋_GB2312"/>
          <w:color w:val="000000"/>
          <w:sz w:val="32"/>
          <w:szCs w:val="32"/>
        </w:rPr>
        <w:t>执法等所需的公务用车燃料费、维修费、过路过桥费、保险费等支出。</w:t>
      </w:r>
    </w:p>
    <w:p>
      <w:pPr>
        <w:spacing w:line="600" w:lineRule="exact"/>
        <w:ind w:firstLine="643" w:firstLineChars="200"/>
        <w:rPr>
          <w:rFonts w:hint="eastAsia" w:ascii="仿宋" w:hAnsi="仿宋" w:eastAsia="仿宋"/>
          <w:color w:val="000000"/>
          <w:sz w:val="32"/>
          <w:szCs w:val="32"/>
          <w:lang w:val="en-US" w:eastAsia="zh-CN"/>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0.00</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 w:hAnsi="仿宋" w:eastAsia="仿宋"/>
          <w:color w:val="000000"/>
          <w:sz w:val="32"/>
          <w:szCs w:val="32"/>
          <w:lang w:val="en-US" w:eastAsia="zh-CN"/>
        </w:rPr>
        <w:t>因2019年3月完成机构改革，故无上年数对比。</w:t>
      </w:r>
    </w:p>
    <w:p>
      <w:pPr>
        <w:spacing w:line="600" w:lineRule="exact"/>
        <w:ind w:firstLine="640"/>
        <w:rPr>
          <w:rFonts w:hint="eastAsia" w:ascii="仿宋_GB2312" w:eastAsia="仿宋_GB2312"/>
          <w:color w:val="000000"/>
          <w:sz w:val="32"/>
          <w:szCs w:val="32"/>
          <w:lang w:eastAsia="zh-CN"/>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0.00</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3"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eastAsia="zh-CN"/>
          <w14:textFill>
            <w14:solidFill>
              <w14:schemeClr w14:val="tx1"/>
            </w14:solidFill>
          </w14:textFill>
        </w:rPr>
        <w:t>。</w:t>
      </w:r>
    </w:p>
    <w:p>
      <w:pPr>
        <w:spacing w:line="600" w:lineRule="exact"/>
        <w:ind w:firstLine="640"/>
        <w:outlineLvl w:val="1"/>
        <w:rPr>
          <w:rStyle w:val="27"/>
          <w:rFonts w:ascii="黑体" w:hAnsi="黑体" w:eastAsia="黑体"/>
        </w:rPr>
      </w:pPr>
      <w:bookmarkStart w:id="46" w:name="_Toc15396610"/>
      <w:bookmarkStart w:id="47" w:name="_Toc15377218"/>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w:t>
      </w:r>
    </w:p>
    <w:p>
      <w:pPr>
        <w:numPr>
          <w:ilvl w:val="0"/>
          <w:numId w:val="3"/>
        </w:numPr>
        <w:spacing w:line="600" w:lineRule="exact"/>
        <w:ind w:firstLine="640"/>
        <w:outlineLvl w:val="1"/>
        <w:rPr>
          <w:rStyle w:val="27"/>
          <w:rFonts w:ascii="黑体" w:hAnsi="黑体" w:eastAsia="黑体"/>
          <w:b w:val="0"/>
        </w:rPr>
      </w:pPr>
      <w:bookmarkStart w:id="48" w:name="_Toc15396611"/>
      <w:bookmarkStart w:id="49" w:name="_Toc15377219"/>
      <w:r>
        <w:rPr>
          <w:rStyle w:val="27"/>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w:t>
      </w:r>
    </w:p>
    <w:p>
      <w:pPr>
        <w:spacing w:line="600" w:lineRule="exact"/>
        <w:ind w:firstLine="640" w:firstLineChars="200"/>
        <w:outlineLvl w:val="1"/>
        <w:rPr>
          <w:rStyle w:val="27"/>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7"/>
          <w:rFonts w:hint="eastAsia" w:ascii="黑体" w:hAnsi="黑体" w:eastAsia="黑体"/>
        </w:rPr>
        <w:t>、</w:t>
      </w:r>
      <w:r>
        <w:rPr>
          <w:rStyle w:val="27"/>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 w:hAnsi="仿宋" w:eastAsia="仿宋"/>
          <w:color w:val="000000"/>
          <w:sz w:val="32"/>
          <w:szCs w:val="32"/>
          <w:lang w:val="en-US" w:eastAsia="zh-CN"/>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val="en-US" w:eastAsia="zh-CN"/>
        </w:rPr>
        <w:t>汶川县环保监测站</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94.25</w:t>
      </w:r>
      <w:r>
        <w:rPr>
          <w:rFonts w:hint="eastAsia" w:ascii="仿宋_GB2312" w:eastAsia="仿宋_GB2312"/>
          <w:color w:val="000000"/>
          <w:sz w:val="32"/>
          <w:szCs w:val="32"/>
        </w:rPr>
        <w:t>万元，</w:t>
      </w:r>
      <w:r>
        <w:rPr>
          <w:rFonts w:hint="eastAsia" w:ascii="仿宋" w:hAnsi="仿宋" w:eastAsia="仿宋"/>
          <w:color w:val="000000"/>
          <w:sz w:val="32"/>
          <w:szCs w:val="32"/>
          <w:lang w:val="en-US" w:eastAsia="zh-CN"/>
        </w:rPr>
        <w:t>因2019年3月完成机构改革，故无上年数对比。</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val="en-US" w:eastAsia="zh-CN"/>
        </w:rPr>
        <w:t>汶川县环保监测站</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汶川县环保监测站</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val="en-US" w:eastAsia="zh-CN"/>
        </w:rPr>
        <w:t>监测</w:t>
      </w:r>
      <w:r>
        <w:rPr>
          <w:rFonts w:hint="eastAsia" w:ascii="仿宋_GB2312" w:eastAsia="仿宋_GB2312"/>
          <w:color w:val="000000"/>
          <w:sz w:val="32"/>
          <w:szCs w:val="32"/>
        </w:rPr>
        <w:t>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主要是用于</w:t>
      </w:r>
      <w:r>
        <w:rPr>
          <w:rFonts w:hint="eastAsia" w:ascii="仿宋_GB2312" w:eastAsia="仿宋_GB2312"/>
          <w:color w:val="000000" w:themeColor="text1"/>
          <w:sz w:val="32"/>
          <w:szCs w:val="32"/>
          <w:lang w:val="en-US" w:eastAsia="zh-CN"/>
          <w14:textFill>
            <w14:solidFill>
              <w14:schemeClr w14:val="tx1"/>
            </w14:solidFill>
          </w14:textFill>
        </w:rPr>
        <w:t>单位日常运行及监测执法用车。</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numPr>
          <w:ilvl w:val="0"/>
          <w:numId w:val="4"/>
        </w:numPr>
        <w:autoSpaceDE w:val="0"/>
        <w:autoSpaceDN w:val="0"/>
        <w:adjustRightInd w:val="0"/>
        <w:spacing w:line="600" w:lineRule="exact"/>
        <w:ind w:firstLine="643" w:firstLineChars="200"/>
        <w:jc w:val="left"/>
        <w:outlineLvl w:val="2"/>
        <w:rPr>
          <w:rFonts w:hint="eastAsia" w:ascii="仿宋" w:hAnsi="仿宋" w:eastAsia="仿宋"/>
          <w:b/>
          <w:color w:val="000000"/>
          <w:sz w:val="32"/>
          <w:szCs w:val="32"/>
        </w:rPr>
      </w:pPr>
      <w:r>
        <w:rPr>
          <w:rFonts w:hint="eastAsia" w:ascii="仿宋" w:hAnsi="仿宋" w:eastAsia="仿宋"/>
          <w:b/>
          <w:color w:val="000000"/>
          <w:sz w:val="32"/>
          <w:szCs w:val="32"/>
        </w:rPr>
        <w:t>预算绩效管理情况。</w:t>
      </w:r>
    </w:p>
    <w:p>
      <w:pPr>
        <w:pStyle w:val="2"/>
        <w:numPr>
          <w:ilvl w:val="0"/>
          <w:numId w:val="0"/>
        </w:numPr>
        <w:ind w:firstLine="640" w:firstLineChars="200"/>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在2019年度四川省阿坝州汶川</w:t>
      </w:r>
      <w:r>
        <w:rPr>
          <w:rFonts w:hint="eastAsia" w:ascii="仿宋_GB2312" w:eastAsia="仿宋_GB2312" w:cs="Times New Roman"/>
          <w:color w:val="000000" w:themeColor="text1"/>
          <w:kern w:val="2"/>
          <w:sz w:val="32"/>
          <w:szCs w:val="32"/>
          <w:lang w:val="en-US" w:eastAsia="zh-CN" w:bidi="ar-SA"/>
          <w14:textFill>
            <w14:solidFill>
              <w14:schemeClr w14:val="tx1"/>
            </w14:solidFill>
          </w14:textFill>
        </w:rPr>
        <w:t>生态环境局</w:t>
      </w: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部门决算表中反映。</w:t>
      </w:r>
    </w:p>
    <w:p>
      <w:pPr>
        <w:pStyle w:val="2"/>
        <w:numPr>
          <w:ilvl w:val="0"/>
          <w:numId w:val="0"/>
        </w:numPr>
        <w:ind w:firstLine="640" w:firstLineChars="200"/>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p>
    <w:p>
      <w:pPr>
        <w:pStyle w:val="2"/>
        <w:numPr>
          <w:ilvl w:val="0"/>
          <w:numId w:val="0"/>
        </w:numPr>
        <w:ind w:firstLine="640" w:firstLineChars="200"/>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p>
    <w:p>
      <w:pPr>
        <w:pStyle w:val="2"/>
        <w:numPr>
          <w:ilvl w:val="0"/>
          <w:numId w:val="0"/>
        </w:numPr>
        <w:ind w:firstLine="640" w:firstLineChars="200"/>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p>
    <w:p>
      <w:pPr>
        <w:pStyle w:val="2"/>
        <w:numPr>
          <w:ilvl w:val="0"/>
          <w:numId w:val="0"/>
        </w:numPr>
        <w:ind w:firstLine="640" w:firstLineChars="200"/>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p>
    <w:p>
      <w:pPr>
        <w:pStyle w:val="2"/>
        <w:numPr>
          <w:ilvl w:val="0"/>
          <w:numId w:val="0"/>
        </w:numPr>
        <w:ind w:firstLine="640" w:firstLineChars="200"/>
        <w:rPr>
          <w:rFonts w:hint="default" w:ascii="仿宋_GB2312" w:hAnsi="Times New Roman" w:eastAsia="仿宋_GB2312" w:cs="Times New Roman"/>
          <w:color w:val="000000" w:themeColor="text1"/>
          <w:kern w:val="2"/>
          <w:sz w:val="32"/>
          <w:szCs w:val="32"/>
          <w:lang w:val="en-US" w:eastAsia="zh-CN" w:bidi="ar-SA"/>
          <w14:textFill>
            <w14:solidFill>
              <w14:schemeClr w14:val="tx1"/>
            </w14:solidFill>
          </w14:textFill>
        </w:rPr>
      </w:pPr>
    </w:p>
    <w:p>
      <w:pPr>
        <w:numPr>
          <w:ilvl w:val="0"/>
          <w:numId w:val="5"/>
        </w:numPr>
        <w:spacing w:line="600" w:lineRule="exact"/>
        <w:ind w:firstLine="660" w:firstLineChars="150"/>
        <w:jc w:val="center"/>
        <w:outlineLvl w:val="0"/>
        <w:rPr>
          <w:rStyle w:val="26"/>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26"/>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4"/>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Style w:val="24"/>
        <w:spacing w:line="560" w:lineRule="exact"/>
        <w:ind w:firstLine="640" w:firstLineChars="200"/>
        <w:rPr>
          <w:rFonts w:hint="eastAsia" w:ascii="仿宋_GB2312" w:eastAsia="仿宋_GB2312"/>
          <w:color w:val="000000"/>
          <w:sz w:val="32"/>
          <w:szCs w:val="32"/>
        </w:rPr>
      </w:pPr>
      <w:r>
        <w:rPr>
          <w:rFonts w:hint="eastAsia" w:ascii="仿宋_GB2312" w:eastAsia="仿宋_GB2312"/>
          <w:sz w:val="32"/>
          <w:szCs w:val="32"/>
          <w:lang w:val="en-US" w:eastAsia="zh-CN"/>
        </w:rPr>
        <w:t>9.</w:t>
      </w:r>
      <w:r>
        <w:rPr>
          <w:rFonts w:hint="eastAsia" w:ascii="仿宋_GB2312" w:eastAsia="仿宋_GB2312"/>
          <w:color w:val="000000"/>
          <w:sz w:val="32"/>
          <w:szCs w:val="32"/>
        </w:rPr>
        <w:t>社会保障和就业</w:t>
      </w:r>
      <w:r>
        <w:rPr>
          <w:rFonts w:hint="eastAsia" w:ascii="仿宋_GB2312" w:eastAsia="仿宋_GB2312"/>
          <w:color w:val="000000"/>
          <w:sz w:val="32"/>
          <w:szCs w:val="32"/>
          <w:lang w:val="en-US" w:eastAsia="zh-CN"/>
        </w:rPr>
        <w:t>208</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机关事业单位养老保险缴费支出</w:t>
      </w:r>
      <w:r>
        <w:rPr>
          <w:rFonts w:hint="eastAsia" w:ascii="仿宋_GB2312" w:eastAsia="仿宋_GB2312"/>
          <w:color w:val="000000"/>
          <w:sz w:val="32"/>
          <w:szCs w:val="32"/>
        </w:rPr>
        <w:t>。</w:t>
      </w:r>
    </w:p>
    <w:p>
      <w:pPr>
        <w:pStyle w:val="24"/>
        <w:spacing w:line="56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社会保障和就业</w:t>
      </w:r>
      <w:r>
        <w:rPr>
          <w:rFonts w:hint="eastAsia" w:ascii="仿宋_GB2312" w:eastAsia="仿宋_GB2312"/>
          <w:color w:val="000000"/>
          <w:sz w:val="32"/>
          <w:szCs w:val="32"/>
          <w:lang w:val="en-US" w:eastAsia="zh-CN"/>
        </w:rPr>
        <w:t>208</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06</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机关事业单位职业年金缴费支出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医疗卫生与计划生育</w:t>
      </w:r>
      <w:r>
        <w:rPr>
          <w:rFonts w:hint="eastAsia" w:ascii="仿宋_GB2312" w:eastAsia="仿宋_GB2312"/>
          <w:color w:val="000000"/>
          <w:sz w:val="32"/>
          <w:szCs w:val="32"/>
          <w:lang w:val="en-US" w:eastAsia="zh-CN"/>
        </w:rPr>
        <w:t>210</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行政单位医疗</w:t>
      </w:r>
      <w:r>
        <w:rPr>
          <w:rFonts w:hint="eastAsia" w:ascii="仿宋_GB2312" w:eastAsia="仿宋_GB2312"/>
          <w:color w:val="000000"/>
          <w:sz w:val="32"/>
          <w:szCs w:val="32"/>
        </w:rPr>
        <w:t>。</w:t>
      </w:r>
    </w:p>
    <w:p>
      <w:pPr>
        <w:pStyle w:val="2"/>
        <w:ind w:left="0" w:leftChars="0"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医疗卫生与计划生育</w:t>
      </w:r>
      <w:r>
        <w:rPr>
          <w:rFonts w:hint="eastAsia" w:ascii="仿宋_GB2312" w:eastAsia="仿宋_GB2312"/>
          <w:color w:val="000000"/>
          <w:sz w:val="32"/>
          <w:szCs w:val="32"/>
          <w:lang w:val="en-US" w:eastAsia="zh-CN"/>
        </w:rPr>
        <w:t>210</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02</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事业单位医疗</w:t>
      </w:r>
      <w:r>
        <w:rPr>
          <w:rFonts w:hint="eastAsia" w:ascii="仿宋_GB2312" w:eastAsia="仿宋_GB2312"/>
          <w:color w:val="000000"/>
          <w:sz w:val="32"/>
          <w:szCs w:val="32"/>
        </w:rPr>
        <w:t>。</w:t>
      </w:r>
    </w:p>
    <w:p>
      <w:pPr>
        <w:pStyle w:val="24"/>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13.节能环保211（类）01（款）01（项）：指行政运行。</w:t>
      </w:r>
    </w:p>
    <w:p>
      <w:pPr>
        <w:pStyle w:val="24"/>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14.住房保障221（类）02（款）01（项）：指住房公积金</w:t>
      </w: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6"/>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6"/>
          <w:rFonts w:hint="eastAsia" w:ascii="黑体" w:hAnsi="黑体" w:eastAsia="黑体"/>
          <w:b w:val="0"/>
        </w:rPr>
        <w:t>四部分 附件</w:t>
      </w:r>
      <w:bookmarkEnd w:id="58"/>
    </w:p>
    <w:p>
      <w:pPr>
        <w:pStyle w:val="2"/>
        <w:numPr>
          <w:ilvl w:val="0"/>
          <w:numId w:val="0"/>
        </w:numPr>
        <w:ind w:firstLine="640" w:firstLineChars="200"/>
        <w:rPr>
          <w:rFonts w:hint="eastAsia" w:ascii="黑体" w:hAnsi="黑体" w:eastAsia="黑体" w:cs="黑体"/>
          <w:sz w:val="32"/>
          <w:szCs w:val="32"/>
        </w:rPr>
      </w:pPr>
      <w:r>
        <w:rPr>
          <w:rFonts w:hint="eastAsia" w:ascii="黑体" w:hAnsi="黑体" w:eastAsia="黑体" w:cs="黑体"/>
          <w:sz w:val="32"/>
          <w:szCs w:val="32"/>
        </w:rPr>
        <w:t>附件1</w:t>
      </w:r>
    </w:p>
    <w:p>
      <w:pPr>
        <w:pStyle w:val="2"/>
        <w:numPr>
          <w:ilvl w:val="0"/>
          <w:numId w:val="0"/>
        </w:numPr>
        <w:ind w:firstLine="640" w:firstLineChars="200"/>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在2019年度四川省阿坝州汶川</w:t>
      </w:r>
      <w:r>
        <w:rPr>
          <w:rFonts w:hint="eastAsia" w:ascii="仿宋_GB2312" w:eastAsia="仿宋_GB2312" w:cs="Times New Roman"/>
          <w:color w:val="000000" w:themeColor="text1"/>
          <w:kern w:val="2"/>
          <w:sz w:val="32"/>
          <w:szCs w:val="32"/>
          <w:lang w:val="en-US" w:eastAsia="zh-CN" w:bidi="ar-SA"/>
          <w14:textFill>
            <w14:solidFill>
              <w14:schemeClr w14:val="tx1"/>
            </w14:solidFill>
          </w14:textFill>
        </w:rPr>
        <w:t>生态环境局</w:t>
      </w: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部门决算表中反映。</w:t>
      </w:r>
    </w:p>
    <w:p>
      <w:pPr>
        <w:pStyle w:val="2"/>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pStyle w:val="2"/>
        <w:numPr>
          <w:ilvl w:val="0"/>
          <w:numId w:val="0"/>
        </w:numPr>
        <w:ind w:firstLine="640" w:firstLineChars="200"/>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在2019年度四川省阿坝州汶川</w:t>
      </w:r>
      <w:r>
        <w:rPr>
          <w:rFonts w:hint="eastAsia" w:ascii="仿宋_GB2312" w:eastAsia="仿宋_GB2312" w:cs="Times New Roman"/>
          <w:color w:val="000000" w:themeColor="text1"/>
          <w:kern w:val="2"/>
          <w:sz w:val="32"/>
          <w:szCs w:val="32"/>
          <w:lang w:val="en-US" w:eastAsia="zh-CN" w:bidi="ar-SA"/>
          <w14:textFill>
            <w14:solidFill>
              <w14:schemeClr w14:val="tx1"/>
            </w14:solidFill>
          </w14:textFill>
        </w:rPr>
        <w:t>生态环境局</w:t>
      </w: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部门决算表中反映。</w:t>
      </w:r>
    </w:p>
    <w:p>
      <w:pPr>
        <w:adjustRightInd w:val="0"/>
        <w:snapToGrid w:val="0"/>
        <w:spacing w:line="600" w:lineRule="exact"/>
        <w:ind w:firstLine="640" w:firstLineChars="200"/>
        <w:rPr>
          <w:rFonts w:ascii="仿宋_GB2312" w:hAnsi="宋体" w:eastAsia="仿宋_GB2312"/>
          <w:sz w:val="32"/>
          <w:szCs w:val="32"/>
          <w:lang w:val="zh-CN"/>
        </w:rPr>
      </w:pP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6"/>
          <w:rFonts w:ascii="黑体" w:hAnsi="黑体" w:eastAsia="黑体"/>
          <w:b w:val="0"/>
        </w:rPr>
      </w:pPr>
    </w:p>
    <w:p>
      <w:pPr>
        <w:widowControl/>
        <w:jc w:val="left"/>
        <w:rPr>
          <w:rStyle w:val="26"/>
          <w:rFonts w:ascii="黑体" w:hAnsi="黑体" w:eastAsia="黑体"/>
          <w:b w:val="0"/>
        </w:rPr>
      </w:pPr>
      <w:r>
        <w:rPr>
          <w:rStyle w:val="26"/>
          <w:rFonts w:ascii="黑体" w:hAnsi="黑体" w:eastAsia="黑体"/>
          <w:b w:val="0"/>
        </w:rPr>
        <w:br w:type="page"/>
      </w:r>
    </w:p>
    <w:p>
      <w:pPr>
        <w:spacing w:line="600" w:lineRule="exact"/>
        <w:jc w:val="center"/>
        <w:outlineLvl w:val="0"/>
        <w:rPr>
          <w:rStyle w:val="26"/>
          <w:rFonts w:ascii="黑体" w:hAnsi="黑体" w:eastAsia="黑体"/>
          <w:b w:val="0"/>
        </w:rPr>
      </w:pPr>
    </w:p>
    <w:p>
      <w:pPr>
        <w:spacing w:line="600" w:lineRule="exact"/>
        <w:jc w:val="center"/>
        <w:outlineLvl w:val="0"/>
        <w:rPr>
          <w:rStyle w:val="26"/>
          <w:rFonts w:ascii="黑体" w:hAnsi="黑体" w:eastAsia="黑体"/>
          <w:b w:val="0"/>
        </w:rPr>
      </w:pPr>
      <w:bookmarkStart w:id="59" w:name="_Toc15396618"/>
      <w:r>
        <w:rPr>
          <w:rFonts w:hint="eastAsia" w:ascii="黑体" w:hAnsi="黑体" w:eastAsia="黑体"/>
          <w:color w:val="000000"/>
          <w:sz w:val="44"/>
          <w:szCs w:val="44"/>
        </w:rPr>
        <w:t>第</w:t>
      </w:r>
      <w:r>
        <w:rPr>
          <w:rStyle w:val="26"/>
          <w:rFonts w:hint="eastAsia" w:ascii="黑体" w:hAnsi="黑体" w:eastAsia="黑体"/>
          <w:b w:val="0"/>
        </w:rPr>
        <w:t>五部分 附表</w:t>
      </w:r>
      <w:bookmarkEnd w:id="57"/>
      <w:bookmarkEnd w:id="59"/>
    </w:p>
    <w:p>
      <w:pPr>
        <w:spacing w:line="600" w:lineRule="exact"/>
        <w:jc w:val="center"/>
        <w:outlineLvl w:val="0"/>
        <w:rPr>
          <w:rFonts w:ascii="仿宋" w:hAnsi="仿宋" w:eastAsia="仿宋"/>
          <w:b/>
          <w:color w:val="000000"/>
          <w:sz w:val="44"/>
          <w:szCs w:val="44"/>
        </w:rPr>
      </w:pPr>
    </w:p>
    <w:p>
      <w:pPr>
        <w:pStyle w:val="5"/>
        <w:rPr>
          <w:rFonts w:ascii="仿宋" w:hAnsi="仿宋" w:eastAsia="仿宋"/>
          <w:color w:val="000000"/>
        </w:rPr>
      </w:pPr>
      <w:bookmarkStart w:id="60" w:name="_Toc15396619"/>
      <w:r>
        <w:rPr>
          <w:rFonts w:hint="eastAsia" w:ascii="仿宋" w:hAnsi="仿宋" w:eastAsia="仿宋"/>
          <w:b w:val="0"/>
          <w:color w:val="000000"/>
        </w:rPr>
        <w:t>一、收</w:t>
      </w:r>
      <w:r>
        <w:rPr>
          <w:rStyle w:val="27"/>
          <w:rFonts w:hint="eastAsia" w:ascii="仿宋" w:hAnsi="仿宋" w:eastAsia="仿宋"/>
          <w:b w:val="0"/>
          <w:bCs w:val="0"/>
        </w:rPr>
        <w:t>入支出决算总表</w:t>
      </w:r>
      <w:bookmarkEnd w:id="60"/>
    </w:p>
    <w:p>
      <w:pPr>
        <w:pStyle w:val="5"/>
        <w:rPr>
          <w:rFonts w:ascii="仿宋" w:hAnsi="仿宋" w:eastAsia="仿宋"/>
          <w:color w:val="000000"/>
        </w:rPr>
      </w:pPr>
      <w:bookmarkStart w:id="61" w:name="_Toc15396620"/>
      <w:r>
        <w:rPr>
          <w:rFonts w:hint="eastAsia" w:ascii="仿宋" w:hAnsi="仿宋" w:eastAsia="仿宋"/>
          <w:b w:val="0"/>
          <w:color w:val="000000"/>
        </w:rPr>
        <w:t>二、收</w:t>
      </w:r>
      <w:r>
        <w:rPr>
          <w:rStyle w:val="27"/>
          <w:rFonts w:hint="eastAsia" w:ascii="仿宋" w:hAnsi="仿宋" w:eastAsia="仿宋"/>
          <w:b w:val="0"/>
          <w:bCs w:val="0"/>
        </w:rPr>
        <w:t>入决算表</w:t>
      </w:r>
      <w:bookmarkEnd w:id="61"/>
    </w:p>
    <w:p>
      <w:pPr>
        <w:pStyle w:val="5"/>
        <w:rPr>
          <w:rFonts w:ascii="仿宋" w:hAnsi="仿宋" w:eastAsia="仿宋"/>
          <w:color w:val="000000"/>
        </w:rPr>
      </w:pPr>
      <w:bookmarkStart w:id="62"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出决算表</w:t>
      </w:r>
      <w:bookmarkEnd w:id="62"/>
    </w:p>
    <w:p>
      <w:pPr>
        <w:pStyle w:val="5"/>
        <w:rPr>
          <w:rFonts w:ascii="仿宋" w:hAnsi="仿宋" w:eastAsia="仿宋"/>
          <w:b w:val="0"/>
          <w:color w:val="000000"/>
        </w:rPr>
      </w:pPr>
      <w:bookmarkStart w:id="63" w:name="_Toc15396622"/>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63"/>
    </w:p>
    <w:p>
      <w:pPr>
        <w:pStyle w:val="5"/>
        <w:rPr>
          <w:rStyle w:val="27"/>
          <w:rFonts w:ascii="仿宋" w:hAnsi="仿宋" w:eastAsia="仿宋"/>
          <w:b w:val="0"/>
          <w:bCs w:val="0"/>
        </w:rPr>
      </w:pPr>
      <w:bookmarkStart w:id="64"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w:t>
      </w:r>
      <w:bookmarkEnd w:id="64"/>
      <w:bookmarkStart w:id="65" w:name="_Toc15396624"/>
    </w:p>
    <w:p>
      <w:pPr>
        <w:pStyle w:val="5"/>
        <w:rPr>
          <w:rFonts w:ascii="仿宋" w:hAnsi="仿宋" w:eastAsia="仿宋"/>
          <w:color w:val="000000"/>
        </w:rPr>
      </w:pPr>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65"/>
    </w:p>
    <w:p>
      <w:pPr>
        <w:pStyle w:val="5"/>
        <w:rPr>
          <w:rFonts w:ascii="仿宋" w:hAnsi="仿宋" w:eastAsia="仿宋"/>
          <w:color w:val="000000"/>
        </w:rPr>
      </w:pPr>
      <w:bookmarkStart w:id="66"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66"/>
    </w:p>
    <w:p>
      <w:pPr>
        <w:pStyle w:val="5"/>
        <w:rPr>
          <w:rFonts w:ascii="仿宋" w:hAnsi="仿宋" w:eastAsia="仿宋"/>
          <w:color w:val="000000"/>
        </w:rPr>
      </w:pPr>
      <w:bookmarkStart w:id="67" w:name="_Toc15396626"/>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67"/>
    </w:p>
    <w:p>
      <w:pPr>
        <w:pStyle w:val="5"/>
        <w:rPr>
          <w:rFonts w:ascii="仿宋" w:hAnsi="仿宋" w:eastAsia="仿宋"/>
          <w:color w:val="000000"/>
        </w:rPr>
      </w:pPr>
      <w:bookmarkStart w:id="68"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68"/>
    </w:p>
    <w:p>
      <w:pPr>
        <w:pStyle w:val="5"/>
        <w:rPr>
          <w:rFonts w:ascii="仿宋" w:hAnsi="仿宋" w:eastAsia="仿宋"/>
          <w:color w:val="000000"/>
        </w:rPr>
      </w:pPr>
      <w:bookmarkStart w:id="69" w:name="_Toc15396628"/>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69"/>
    </w:p>
    <w:p>
      <w:pPr>
        <w:pStyle w:val="5"/>
        <w:rPr>
          <w:rFonts w:ascii="仿宋" w:hAnsi="仿宋" w:eastAsia="仿宋"/>
          <w:color w:val="000000"/>
        </w:rPr>
      </w:pPr>
      <w:bookmarkStart w:id="70" w:name="_Toc15396629"/>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70"/>
    </w:p>
    <w:p>
      <w:pPr>
        <w:pStyle w:val="5"/>
        <w:rPr>
          <w:rFonts w:ascii="仿宋" w:hAnsi="仿宋" w:eastAsia="仿宋"/>
          <w:color w:val="000000"/>
        </w:rPr>
      </w:pPr>
      <w:bookmarkStart w:id="71" w:name="_Toc15396630"/>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71"/>
    </w:p>
    <w:p>
      <w:pPr>
        <w:pStyle w:val="5"/>
        <w:rPr>
          <w:rFonts w:ascii="仿宋" w:hAnsi="仿宋" w:eastAsia="仿宋"/>
          <w:color w:val="000000" w:themeColor="text1"/>
          <w14:textFill>
            <w14:solidFill>
              <w14:schemeClr w14:val="tx1"/>
            </w14:solidFill>
          </w14:textFill>
        </w:rPr>
      </w:pPr>
      <w:bookmarkStart w:id="72" w:name="_Toc15396631"/>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407AED"/>
    <w:multiLevelType w:val="singleLevel"/>
    <w:tmpl w:val="C5407AED"/>
    <w:lvl w:ilvl="0" w:tentative="0">
      <w:start w:val="4"/>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301BBD"/>
    <w:multiLevelType w:val="singleLevel"/>
    <w:tmpl w:val="E2301BBD"/>
    <w:lvl w:ilvl="0" w:tentative="0">
      <w:start w:val="1"/>
      <w:numFmt w:val="decimal"/>
      <w:lvlText w:val="%1."/>
      <w:lvlJc w:val="left"/>
      <w:pPr>
        <w:tabs>
          <w:tab w:val="left" w:pos="312"/>
        </w:tabs>
      </w:p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72B5B38"/>
    <w:rsid w:val="078A037E"/>
    <w:rsid w:val="10C055FF"/>
    <w:rsid w:val="16BB723D"/>
    <w:rsid w:val="1F667340"/>
    <w:rsid w:val="240371BF"/>
    <w:rsid w:val="26B27764"/>
    <w:rsid w:val="29FD04D3"/>
    <w:rsid w:val="319F7F4E"/>
    <w:rsid w:val="3B4F5D80"/>
    <w:rsid w:val="3FF46D8D"/>
    <w:rsid w:val="444504D7"/>
    <w:rsid w:val="45035986"/>
    <w:rsid w:val="4ECE2238"/>
    <w:rsid w:val="598126B4"/>
    <w:rsid w:val="705813BD"/>
    <w:rsid w:val="72734D90"/>
    <w:rsid w:val="79C7398E"/>
    <w:rsid w:val="7B2D1C91"/>
    <w:rsid w:val="7F546EA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next w:val="2"/>
    <w:qFormat/>
    <w:uiPriority w:val="0"/>
    <w:pPr>
      <w:spacing w:after="120"/>
      <w:ind w:left="200" w:leftChars="200"/>
    </w:pPr>
  </w:style>
  <w:style w:type="paragraph" w:styleId="7">
    <w:name w:val="Body Text"/>
    <w:basedOn w:val="1"/>
    <w:link w:val="23"/>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字符"/>
    <w:link w:val="11"/>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字符"/>
    <w:link w:val="10"/>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字符"/>
    <w:link w:val="7"/>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字符"/>
    <w:basedOn w:val="15"/>
    <w:link w:val="4"/>
    <w:qFormat/>
    <w:uiPriority w:val="9"/>
    <w:rPr>
      <w:rFonts w:ascii="Times New Roman" w:hAnsi="Times New Roman"/>
      <w:b/>
      <w:bCs/>
      <w:kern w:val="44"/>
      <w:sz w:val="44"/>
      <w:szCs w:val="44"/>
    </w:rPr>
  </w:style>
  <w:style w:type="character" w:customStyle="1" w:styleId="27">
    <w:name w:val="标题 2 字符"/>
    <w:basedOn w:val="15"/>
    <w:link w:val="5"/>
    <w:qFormat/>
    <w:uiPriority w:val="9"/>
    <w:rPr>
      <w:rFonts w:asciiTheme="majorHAnsi" w:hAnsiTheme="majorHAnsi" w:eastAsiaTheme="majorEastAsia" w:cstheme="majorBidi"/>
      <w:b/>
      <w:bCs/>
      <w:kern w:val="2"/>
      <w:sz w:val="32"/>
      <w:szCs w:val="32"/>
    </w:rPr>
  </w:style>
  <w:style w:type="paragraph" w:customStyle="1" w:styleId="28">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字符"/>
    <w:basedOn w:val="15"/>
    <w:link w:val="9"/>
    <w:semiHidden/>
    <w:qFormat/>
    <w:uiPriority w:val="99"/>
    <w:rPr>
      <w:rFonts w:ascii="Times New Roman" w:hAnsi="Times New Roman"/>
      <w:kern w:val="2"/>
      <w:sz w:val="18"/>
      <w:szCs w:val="18"/>
    </w:rPr>
  </w:style>
  <w:style w:type="character" w:customStyle="1" w:styleId="30">
    <w:name w:val="标题 3 字符"/>
    <w:basedOn w:val="15"/>
    <w:link w:val="6"/>
    <w:qFormat/>
    <w:uiPriority w:val="9"/>
    <w:rPr>
      <w:rFonts w:ascii="Times New Roman" w:hAnsi="Times New Roman"/>
      <w:b/>
      <w:bCs/>
      <w:kern w:val="2"/>
      <w:sz w:val="32"/>
      <w:szCs w:val="32"/>
    </w:rPr>
  </w:style>
  <w:style w:type="paragraph" w:customStyle="1" w:styleId="31">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正文文本1"/>
    <w:basedOn w:val="1"/>
    <w:qFormat/>
    <w:uiPriority w:val="0"/>
    <w:pPr>
      <w:spacing w:before="93"/>
    </w:pPr>
    <w:rPr>
      <w:rFonts w:ascii="仿宋_GB2312" w:hAnsi="仿宋_GB2312" w:eastAsia="仿宋_GB2312" w:cs="Times New Roman"/>
      <w:kern w:val="0"/>
      <w:sz w:val="3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2019年收、支决算总计变动情况图</a:t>
            </a:r>
          </a:p>
          <a:p>
            <a:pPr defTabSz="914400">
              <a:defRPr lang="zh-CN" sz="1800" b="1" i="0" u="none" strike="noStrike" kern="1200" baseline="0">
                <a:solidFill>
                  <a:schemeClr val="dk1">
                    <a:lumMod val="75000"/>
                    <a:lumOff val="25000"/>
                  </a:schemeClr>
                </a:solidFill>
                <a:latin typeface="+mn-lt"/>
                <a:ea typeface="+mn-ea"/>
                <a:cs typeface="+mn-cs"/>
              </a:defRPr>
            </a:pPr>
          </a:p>
        </c:rich>
      </c:tx>
      <c:layout/>
      <c:overlay val="0"/>
      <c:spPr>
        <a:noFill/>
        <a:ln>
          <a:noFill/>
        </a:ln>
        <a:effectLst/>
      </c:spPr>
    </c:title>
    <c:autoTitleDeleted val="0"/>
    <c:plotArea>
      <c:layout/>
      <c:barChart>
        <c:barDir val="col"/>
        <c:grouping val="clustered"/>
        <c:varyColors val="0"/>
        <c:ser>
          <c:idx val="0"/>
          <c:order val="0"/>
          <c:tx>
            <c:strRef>
              <c:f>[工作簿1]Sheet1!$A$3</c:f>
              <c:strCache>
                <c:ptCount val="1"/>
                <c:pt idx="0">
                  <c:v>2019年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multiLvlStrRef>
              <c:f>[工作簿1]Sheet1!$B$1:$C$2</c:f>
              <c:multiLvlStrCache>
                <c:ptCount val="2"/>
                <c:lvl>
                  <c:pt idx="0">
                    <c:v>收入</c:v>
                  </c:pt>
                  <c:pt idx="1">
                    <c:v>支出</c:v>
                  </c:pt>
                </c:lvl>
                <c:lvl>
                  <c:pt idx="0">
                    <c:v>单位：万元</c:v>
                  </c:pt>
                </c:lvl>
              </c:multiLvlStrCache>
            </c:multiLvlStrRef>
          </c:cat>
          <c:val>
            <c:numRef>
              <c:f>[工作簿1]Sheet1!$B$3:$C$3</c:f>
              <c:numCache>
                <c:formatCode>General</c:formatCode>
                <c:ptCount val="2"/>
                <c:pt idx="0">
                  <c:v>94.25</c:v>
                </c:pt>
                <c:pt idx="1">
                  <c:v>94.25</c:v>
                </c:pt>
              </c:numCache>
            </c:numRef>
          </c:val>
        </c:ser>
        <c:dLbls>
          <c:showLegendKey val="0"/>
          <c:showVal val="1"/>
          <c:showCatName val="0"/>
          <c:showSerName val="0"/>
          <c:showPercent val="0"/>
          <c:showBubbleSize val="0"/>
        </c:dLbls>
        <c:gapWidth val="65"/>
        <c:overlap val="0"/>
        <c:axId val="770004815"/>
        <c:axId val="678740031"/>
      </c:barChart>
      <c:catAx>
        <c:axId val="770004815"/>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678740031"/>
        <c:crosses val="autoZero"/>
        <c:auto val="1"/>
        <c:lblAlgn val="ctr"/>
        <c:lblOffset val="100"/>
        <c:noMultiLvlLbl val="0"/>
      </c:catAx>
      <c:valAx>
        <c:axId val="678740031"/>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770004815"/>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80" b="1" i="0" u="none" strike="noStrike" kern="1200" baseline="0">
                <a:solidFill>
                  <a:schemeClr val="dk1">
                    <a:lumMod val="75000"/>
                    <a:lumOff val="25000"/>
                  </a:schemeClr>
                </a:solidFill>
                <a:latin typeface="+mn-lt"/>
                <a:ea typeface="+mn-ea"/>
                <a:cs typeface="+mn-cs"/>
              </a:defRPr>
            </a:pPr>
            <a:r>
              <a:rPr sz="1680"/>
              <a:t>2019年收入决算结构图                                                                                                                                                                         </a:t>
            </a:r>
            <a:endParaRPr sz="1680"/>
          </a:p>
          <a:p>
            <a:pPr defTabSz="914400">
              <a:defRPr lang="zh-CN" sz="1680" b="1" i="0" u="none" strike="noStrike" kern="1200" baseline="0">
                <a:solidFill>
                  <a:schemeClr val="dk1">
                    <a:lumMod val="75000"/>
                    <a:lumOff val="25000"/>
                  </a:schemeClr>
                </a:solidFill>
                <a:latin typeface="+mn-lt"/>
                <a:ea typeface="+mn-ea"/>
                <a:cs typeface="+mn-cs"/>
              </a:defRPr>
            </a:pPr>
            <a:endParaRPr sz="1680"/>
          </a:p>
          <a:p>
            <a:pPr defTabSz="914400">
              <a:defRPr lang="zh-CN" sz="1680" b="1" i="0" u="none" strike="noStrike" kern="1200" baseline="0">
                <a:solidFill>
                  <a:schemeClr val="dk1">
                    <a:lumMod val="75000"/>
                    <a:lumOff val="25000"/>
                  </a:schemeClr>
                </a:solidFill>
                <a:latin typeface="+mn-lt"/>
                <a:ea typeface="+mn-ea"/>
                <a:cs typeface="+mn-cs"/>
              </a:defRPr>
            </a:pPr>
            <a:r>
              <a:rPr sz="1680"/>
              <a:t>                                                   单位：万元</a:t>
            </a:r>
            <a:endParaRPr sz="1680"/>
          </a:p>
        </c:rich>
      </c:tx>
      <c:layout/>
      <c:overlay val="0"/>
      <c:spPr>
        <a:noFill/>
        <a:ln>
          <a:noFill/>
        </a:ln>
        <a:effectLst/>
      </c:spPr>
    </c:title>
    <c:autoTitleDeleted val="0"/>
    <c:plotArea>
      <c:layout/>
      <c:pieChart>
        <c:varyColors val="1"/>
        <c:ser>
          <c:idx val="0"/>
          <c:order val="0"/>
          <c:tx>
            <c:strRef>
              <c:f>[工作簿1]Sheet1!$B$1:$B$2</c:f>
              <c:strCache>
                <c:ptCount val="1"/>
                <c:pt idx="0">
                  <c:v>2019年收入决算结构图
 单位：万元</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4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[工作簿1]Sheet1!$A$3</c:f>
              <c:strCache>
                <c:ptCount val="1"/>
                <c:pt idx="0">
                  <c:v>2019年财政拨款收入</c:v>
                </c:pt>
              </c:strCache>
            </c:strRef>
          </c:cat>
          <c:val>
            <c:numRef>
              <c:f>[工作簿1]Sheet1!$B$3</c:f>
              <c:numCache>
                <c:formatCode>General</c:formatCode>
                <c:ptCount val="1"/>
                <c:pt idx="0">
                  <c:v>94.25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400" b="0" i="0" u="none" strike="noStrike" kern="1200" baseline="0">
                <a:solidFill>
                  <a:schemeClr val="dk1">
                    <a:lumMod val="75000"/>
                    <a:lumOff val="25000"/>
                  </a:schemeClr>
                </a:solidFill>
                <a:latin typeface="+mn-lt"/>
                <a:ea typeface="+mn-ea"/>
                <a:cs typeface="+mn-cs"/>
              </a:defRPr>
            </a:pPr>
          </a:p>
        </c:txPr>
      </c:legendEntry>
      <c:layout>
        <c:manualLayout>
          <c:xMode val="edge"/>
          <c:yMode val="edge"/>
          <c:x val="0.654166666666667"/>
          <c:y val="0.550925925925926"/>
        </c:manualLayout>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14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sz="1400"/>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80" b="1" i="0" u="none" strike="noStrike" kern="1200" baseline="0">
                <a:solidFill>
                  <a:schemeClr val="dk1">
                    <a:lumMod val="75000"/>
                    <a:lumOff val="25000"/>
                  </a:schemeClr>
                </a:solidFill>
                <a:latin typeface="+mn-lt"/>
                <a:ea typeface="+mn-ea"/>
                <a:cs typeface="+mn-cs"/>
              </a:defRPr>
            </a:pPr>
            <a:r>
              <a:rPr sz="1680"/>
              <a:t>2019年支出决算结构图                                                                                                                                                                         </a:t>
            </a:r>
            <a:endParaRPr sz="1680"/>
          </a:p>
          <a:p>
            <a:pPr defTabSz="914400">
              <a:defRPr lang="zh-CN" sz="1680" b="1" i="0" u="none" strike="noStrike" kern="1200" baseline="0">
                <a:solidFill>
                  <a:schemeClr val="dk1">
                    <a:lumMod val="75000"/>
                    <a:lumOff val="25000"/>
                  </a:schemeClr>
                </a:solidFill>
                <a:latin typeface="+mn-lt"/>
                <a:ea typeface="+mn-ea"/>
                <a:cs typeface="+mn-cs"/>
              </a:defRPr>
            </a:pPr>
            <a:endParaRPr sz="1680"/>
          </a:p>
          <a:p>
            <a:pPr defTabSz="914400">
              <a:defRPr lang="zh-CN" sz="1680" b="1" i="0" u="none" strike="noStrike" kern="1200" baseline="0">
                <a:solidFill>
                  <a:schemeClr val="dk1">
                    <a:lumMod val="75000"/>
                    <a:lumOff val="25000"/>
                  </a:schemeClr>
                </a:solidFill>
                <a:latin typeface="+mn-lt"/>
                <a:ea typeface="+mn-ea"/>
                <a:cs typeface="+mn-cs"/>
              </a:defRPr>
            </a:pPr>
            <a:r>
              <a:rPr sz="1680"/>
              <a:t>                                               单位：万元</a:t>
            </a:r>
            <a:endParaRPr sz="1680"/>
          </a:p>
        </c:rich>
      </c:tx>
      <c:layout>
        <c:manualLayout>
          <c:xMode val="edge"/>
          <c:yMode val="edge"/>
          <c:x val="0.104970760233918"/>
          <c:y val="0.0485698866702644"/>
        </c:manualLayout>
      </c:layout>
      <c:overlay val="0"/>
      <c:spPr>
        <a:noFill/>
        <a:ln>
          <a:noFill/>
        </a:ln>
        <a:effectLst/>
      </c:spPr>
    </c:title>
    <c:autoTitleDeleted val="0"/>
    <c:plotArea>
      <c:layout/>
      <c:pieChart>
        <c:varyColors val="1"/>
        <c:ser>
          <c:idx val="0"/>
          <c:order val="0"/>
          <c:tx>
            <c:strRef>
              <c:f>[工作簿1]Sheet1!$B$1:$B$2</c:f>
              <c:strCache>
                <c:ptCount val="1"/>
                <c:pt idx="0">
                  <c:v>2019年支出决算结构图
 单位：万元</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4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[工作簿1]Sheet1!$A$3</c:f>
              <c:strCache>
                <c:ptCount val="1"/>
                <c:pt idx="0">
                  <c:v>2019年基本支出</c:v>
                </c:pt>
              </c:strCache>
            </c:strRef>
          </c:cat>
          <c:val>
            <c:numRef>
              <c:f>[工作簿1]Sheet1!$B$3</c:f>
              <c:numCache>
                <c:formatCode>General</c:formatCode>
                <c:ptCount val="1"/>
                <c:pt idx="0">
                  <c:v>94.25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400" b="0" i="0" u="none" strike="noStrike" kern="1200" baseline="0">
                <a:solidFill>
                  <a:schemeClr val="dk1">
                    <a:lumMod val="75000"/>
                    <a:lumOff val="25000"/>
                  </a:schemeClr>
                </a:solidFill>
                <a:latin typeface="+mn-lt"/>
                <a:ea typeface="+mn-ea"/>
                <a:cs typeface="+mn-cs"/>
              </a:defRPr>
            </a:pPr>
          </a:p>
        </c:txPr>
      </c:legendEntry>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14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sz="1400"/>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0" i="0" u="none" strike="noStrike" kern="1200" baseline="0">
                <a:solidFill>
                  <a:schemeClr val="dk1">
                    <a:lumMod val="65000"/>
                    <a:lumOff val="35000"/>
                  </a:schemeClr>
                </a:solidFill>
                <a:effectLst/>
                <a:latin typeface="+mn-lt"/>
                <a:ea typeface="+mn-ea"/>
                <a:cs typeface="+mn-cs"/>
              </a:defRPr>
            </a:pPr>
            <a:r>
              <a:t>2019年财政拨款收、支决算总计变动情况图</a:t>
            </a:r>
          </a:p>
        </c:rich>
      </c:tx>
      <c:layout/>
      <c:overlay val="0"/>
      <c:spPr>
        <a:noFill/>
        <a:ln>
          <a:noFill/>
        </a:ln>
        <a:effectLst/>
      </c:spPr>
    </c:title>
    <c:autoTitleDeleted val="0"/>
    <c:plotArea>
      <c:layout/>
      <c:barChart>
        <c:barDir val="col"/>
        <c:grouping val="clustered"/>
        <c:varyColors val="0"/>
        <c:ser>
          <c:idx val="0"/>
          <c:order val="0"/>
          <c:tx>
            <c:strRef>
              <c:f>[工作簿1]Sheet1!$A$3</c:f>
              <c:strCache>
                <c:ptCount val="1"/>
                <c:pt idx="0">
                  <c:v>2019年基本支出</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multiLvlStrRef>
              <c:f>[工作簿1]Sheet1!$B$1:$C$2</c:f>
              <c:multiLvlStrCache>
                <c:ptCount val="2"/>
                <c:lvl>
                  <c:pt idx="0">
                    <c:v>收入</c:v>
                  </c:pt>
                  <c:pt idx="1">
                    <c:v>支出</c:v>
                  </c:pt>
                </c:lvl>
                <c:lvl>
                  <c:pt idx="0">
                    <c:v>单位：万元</c:v>
                  </c:pt>
                </c:lvl>
              </c:multiLvlStrCache>
            </c:multiLvlStrRef>
          </c:cat>
          <c:val>
            <c:numRef>
              <c:f>[工作簿1]Sheet1!$B$3:$C$3</c:f>
              <c:numCache>
                <c:formatCode>General</c:formatCode>
                <c:ptCount val="2"/>
                <c:pt idx="0">
                  <c:v>94.25</c:v>
                </c:pt>
                <c:pt idx="1">
                  <c:v>94.25</c:v>
                </c:pt>
              </c:numCache>
            </c:numRef>
          </c:val>
        </c:ser>
        <c:dLbls>
          <c:showLegendKey val="0"/>
          <c:showVal val="1"/>
          <c:showCatName val="0"/>
          <c:showSerName val="0"/>
          <c:showPercent val="0"/>
          <c:showBubbleSize val="0"/>
        </c:dLbls>
        <c:gapWidth val="41"/>
        <c:overlap val="0"/>
        <c:axId val="870609257"/>
        <c:axId val="656312385"/>
      </c:barChart>
      <c:catAx>
        <c:axId val="870609257"/>
        <c:scaling>
          <c:orientation val="minMax"/>
        </c:scaling>
        <c:delete val="0"/>
        <c:axPos val="b"/>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effectLst/>
                <a:latin typeface="+mn-lt"/>
                <a:ea typeface="+mn-ea"/>
                <a:cs typeface="+mn-cs"/>
              </a:defRPr>
            </a:pPr>
          </a:p>
        </c:txPr>
        <c:crossAx val="656312385"/>
        <c:crosses val="autoZero"/>
        <c:auto val="1"/>
        <c:lblAlgn val="ctr"/>
        <c:lblOffset val="100"/>
        <c:noMultiLvlLbl val="0"/>
      </c:catAx>
      <c:valAx>
        <c:axId val="656312385"/>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crossAx val="870609257"/>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gra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0" i="0" u="none" strike="noStrike" kern="1200" baseline="0">
                <a:solidFill>
                  <a:schemeClr val="dk1">
                    <a:lumMod val="65000"/>
                    <a:lumOff val="35000"/>
                  </a:schemeClr>
                </a:solidFill>
                <a:effectLst/>
                <a:latin typeface="+mn-lt"/>
                <a:ea typeface="+mn-ea"/>
                <a:cs typeface="+mn-cs"/>
              </a:defRPr>
            </a:pPr>
            <a:r>
              <a:t>2019年财政拨款收、支决算总计变动情况图</a:t>
            </a:r>
          </a:p>
        </c:rich>
      </c:tx>
      <c:layout>
        <c:manualLayout>
          <c:xMode val="edge"/>
          <c:yMode val="edge"/>
          <c:x val="0.0986842105263158"/>
          <c:y val="0.0387496770860243"/>
        </c:manualLayout>
      </c:layout>
      <c:overlay val="0"/>
      <c:spPr>
        <a:noFill/>
        <a:ln>
          <a:noFill/>
        </a:ln>
        <a:effectLst/>
      </c:spPr>
    </c:title>
    <c:autoTitleDeleted val="0"/>
    <c:plotArea>
      <c:layout/>
      <c:barChart>
        <c:barDir val="col"/>
        <c:grouping val="clustered"/>
        <c:varyColors val="0"/>
        <c:ser>
          <c:idx val="0"/>
          <c:order val="0"/>
          <c:tx>
            <c:strRef>
              <c:f>[工作簿1]Sheet1!$A$3</c:f>
              <c:strCache>
                <c:ptCount val="1"/>
                <c:pt idx="0">
                  <c:v>2019年基本支出</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multiLvlStrRef>
              <c:f>[工作簿1]Sheet1!$B$1:$C$2</c:f>
              <c:multiLvlStrCache>
                <c:ptCount val="2"/>
                <c:lvl>
                  <c:pt idx="0">
                    <c:v>一般公共预算财政拨款支出</c:v>
                  </c:pt>
                  <c:pt idx="1">
                    <c:v>本年支出</c:v>
                  </c:pt>
                </c:lvl>
                <c:lvl>
                  <c:pt idx="0">
                    <c:v>单位：万元</c:v>
                  </c:pt>
                </c:lvl>
              </c:multiLvlStrCache>
            </c:multiLvlStrRef>
          </c:cat>
          <c:val>
            <c:numRef>
              <c:f>[工作簿1]Sheet1!$B$3:$C$3</c:f>
              <c:numCache>
                <c:formatCode>General</c:formatCode>
                <c:ptCount val="2"/>
                <c:pt idx="0">
                  <c:v>94.25</c:v>
                </c:pt>
                <c:pt idx="1">
                  <c:v>94.25</c:v>
                </c:pt>
              </c:numCache>
            </c:numRef>
          </c:val>
        </c:ser>
        <c:dLbls>
          <c:showLegendKey val="0"/>
          <c:showVal val="1"/>
          <c:showCatName val="0"/>
          <c:showSerName val="0"/>
          <c:showPercent val="0"/>
          <c:showBubbleSize val="0"/>
        </c:dLbls>
        <c:gapWidth val="41"/>
        <c:overlap val="0"/>
        <c:axId val="870609257"/>
        <c:axId val="656312385"/>
      </c:barChart>
      <c:catAx>
        <c:axId val="870609257"/>
        <c:scaling>
          <c:orientation val="minMax"/>
        </c:scaling>
        <c:delete val="0"/>
        <c:axPos val="b"/>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effectLst/>
                <a:latin typeface="+mn-lt"/>
                <a:ea typeface="+mn-ea"/>
                <a:cs typeface="+mn-cs"/>
              </a:defRPr>
            </a:pPr>
          </a:p>
        </c:txPr>
        <c:crossAx val="656312385"/>
        <c:crosses val="autoZero"/>
        <c:auto val="1"/>
        <c:lblAlgn val="ctr"/>
        <c:lblOffset val="100"/>
        <c:noMultiLvlLbl val="0"/>
      </c:catAx>
      <c:valAx>
        <c:axId val="656312385"/>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crossAx val="870609257"/>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gra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[工作簿1]Sheet1!$B$1:$B$2</c:f>
              <c:strCache>
                <c:ptCount val="1"/>
                <c:pt idx="0">
                  <c:v>2019年一般公共预算财政拨款支出决算结构图
</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[工作簿1]Sheet1!$A$3:$A$6</c:f>
              <c:strCache>
                <c:ptCount val="4"/>
                <c:pt idx="0">
                  <c:v>社会保障和就业（类）支出</c:v>
                </c:pt>
                <c:pt idx="1">
                  <c:v>卫生健康支出</c:v>
                </c:pt>
                <c:pt idx="2">
                  <c:v>住房保障支出</c:v>
                </c:pt>
                <c:pt idx="3">
                  <c:v>节能环保支出</c:v>
                </c:pt>
              </c:strCache>
            </c:strRef>
          </c:cat>
          <c:val>
            <c:numRef>
              <c:f>[工作簿1]Sheet1!$B$3:$B$6</c:f>
              <c:numCache>
                <c:formatCode>General</c:formatCode>
                <c:ptCount val="4"/>
                <c:pt idx="0">
                  <c:v>9.46</c:v>
                </c:pt>
                <c:pt idx="1">
                  <c:v>4.38</c:v>
                </c:pt>
                <c:pt idx="2">
                  <c:v>9.11</c:v>
                </c:pt>
                <c:pt idx="3">
                  <c:v>71.31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[工作簿1]Sheet1!$B$1:$B$2</c:f>
              <c:strCache>
                <c:ptCount val="1"/>
                <c:pt idx="0">
                  <c:v>2019年“三公”经费财政拨款支出结构
</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[工作簿1]Sheet1!$A$3:$A$5</c:f>
              <c:strCache>
                <c:ptCount val="3"/>
                <c:pt idx="0">
                  <c:v>因公出国（境）费支出</c:v>
                </c:pt>
                <c:pt idx="1">
                  <c:v>公务用车购置及运行维护费支出</c:v>
                </c:pt>
                <c:pt idx="2">
                  <c:v>公务接待费支出</c:v>
                </c:pt>
              </c:strCache>
            </c:strRef>
          </c:cat>
          <c:val>
            <c:numRef>
              <c:f>[工作簿1]Sheet1!$B$3:$B$5</c:f>
              <c:numCache>
                <c:formatCode>General</c:formatCode>
                <c:ptCount val="3"/>
                <c:pt idx="0">
                  <c:v>0</c:v>
                </c:pt>
                <c:pt idx="1">
                  <c:v>0</c:v>
                </c:pt>
                <c:pt idx="2">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7320</Characters>
  <Lines>61</Lines>
  <Paragraphs>17</Paragraphs>
  <TotalTime>6</TotalTime>
  <ScaleCrop>false</ScaleCrop>
  <LinksUpToDate>false</LinksUpToDate>
  <CharactersWithSpaces>8587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程静</cp:lastModifiedBy>
  <cp:lastPrinted>2020-10-09T09:50:10Z</cp:lastPrinted>
  <dcterms:modified xsi:type="dcterms:W3CDTF">2020-10-09T09:51:05Z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