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1440" w:firstLineChars="200"/>
        <w:jc w:val="center"/>
        <w:outlineLvl w:val="0"/>
        <w:rPr>
          <w:rFonts w:ascii="方正小标宋简体" w:hAnsi="宋体" w:eastAsia="方正小标宋简体"/>
          <w:color w:val="000000"/>
          <w:sz w:val="72"/>
          <w:szCs w:val="72"/>
        </w:rPr>
      </w:pPr>
      <w:bookmarkStart w:id="0" w:name="_Toc15306267"/>
    </w:p>
    <w:p>
      <w:pPr>
        <w:spacing w:line="600" w:lineRule="exact"/>
        <w:ind w:firstLine="1440" w:firstLineChars="200"/>
        <w:jc w:val="center"/>
        <w:outlineLvl w:val="0"/>
        <w:rPr>
          <w:rFonts w:ascii="方正小标宋简体" w:hAnsi="宋体" w:eastAsia="方正小标宋简体"/>
          <w:color w:val="000000"/>
          <w:sz w:val="72"/>
          <w:szCs w:val="72"/>
        </w:rPr>
      </w:pPr>
    </w:p>
    <w:p>
      <w:pPr>
        <w:spacing w:line="600" w:lineRule="exact"/>
        <w:ind w:firstLine="1440" w:firstLineChars="200"/>
        <w:jc w:val="center"/>
        <w:outlineLvl w:val="0"/>
        <w:rPr>
          <w:rFonts w:ascii="方正小标宋简体" w:hAnsi="宋体" w:eastAsia="方正小标宋简体"/>
          <w:color w:val="000000"/>
          <w:sz w:val="72"/>
          <w:szCs w:val="72"/>
        </w:rPr>
      </w:pPr>
    </w:p>
    <w:p>
      <w:pPr>
        <w:spacing w:line="600" w:lineRule="exact"/>
        <w:ind w:firstLine="1440" w:firstLineChars="200"/>
        <w:jc w:val="center"/>
        <w:outlineLvl w:val="0"/>
        <w:rPr>
          <w:rFonts w:ascii="方正小标宋简体" w:hAnsi="宋体" w:eastAsia="方正小标宋简体"/>
          <w:color w:val="000000"/>
          <w:sz w:val="72"/>
          <w:szCs w:val="72"/>
        </w:rPr>
      </w:pPr>
    </w:p>
    <w:p>
      <w:pPr>
        <w:adjustRightInd w:val="0"/>
        <w:snapToGrid w:val="0"/>
        <w:spacing w:line="360" w:lineRule="auto"/>
        <w:ind w:firstLine="1440" w:firstLineChars="200"/>
        <w:jc w:val="center"/>
        <w:outlineLvl w:val="0"/>
        <w:rPr>
          <w:rFonts w:ascii="黑体" w:hAnsi="黑体" w:eastAsia="黑体"/>
          <w:color w:val="000000"/>
          <w:sz w:val="72"/>
          <w:szCs w:val="72"/>
        </w:rPr>
      </w:pPr>
      <w:bookmarkStart w:id="1" w:name="_Toc15377193"/>
      <w:bookmarkStart w:id="2" w:name="_Toc15378441"/>
      <w:bookmarkStart w:id="3" w:name="_Toc15377425"/>
      <w:bookmarkStart w:id="4" w:name="_Toc15396597"/>
      <w:bookmarkStart w:id="5" w:name="_Toc15396475"/>
      <w:r>
        <w:rPr>
          <w:rFonts w:ascii="黑体" w:hAnsi="黑体" w:eastAsia="黑体"/>
          <w:color w:val="000000"/>
          <w:sz w:val="72"/>
          <w:szCs w:val="72"/>
        </w:rPr>
        <w:t>201</w:t>
      </w:r>
      <w:r>
        <w:rPr>
          <w:rFonts w:hint="eastAsia" w:ascii="黑体" w:hAnsi="黑体" w:eastAsia="黑体"/>
          <w:color w:val="000000"/>
          <w:sz w:val="72"/>
          <w:szCs w:val="72"/>
        </w:rPr>
        <w:t>9年度</w:t>
      </w:r>
      <w:bookmarkEnd w:id="1"/>
      <w:bookmarkEnd w:id="2"/>
      <w:bookmarkEnd w:id="3"/>
      <w:bookmarkEnd w:id="4"/>
      <w:bookmarkEnd w:id="5"/>
    </w:p>
    <w:p>
      <w:pPr>
        <w:adjustRightInd w:val="0"/>
        <w:snapToGrid w:val="0"/>
        <w:spacing w:line="360" w:lineRule="auto"/>
        <w:ind w:firstLine="1440" w:firstLineChars="200"/>
        <w:jc w:val="center"/>
        <w:outlineLvl w:val="0"/>
        <w:rPr>
          <w:rFonts w:ascii="黑体" w:hAnsi="黑体" w:eastAsia="黑体"/>
          <w:color w:val="000000"/>
          <w:sz w:val="72"/>
          <w:szCs w:val="72"/>
        </w:rPr>
      </w:pPr>
      <w:bookmarkStart w:id="6" w:name="_Toc15377426"/>
      <w:bookmarkStart w:id="7" w:name="_Toc15377194"/>
      <w:bookmarkStart w:id="8" w:name="_Toc15396598"/>
      <w:bookmarkStart w:id="9" w:name="_Toc15396476"/>
      <w:bookmarkStart w:id="10" w:name="_Toc15378442"/>
      <w:r>
        <w:rPr>
          <w:rFonts w:hint="eastAsia" w:ascii="黑体" w:hAnsi="黑体" w:eastAsia="黑体"/>
          <w:color w:val="000000"/>
          <w:sz w:val="72"/>
          <w:szCs w:val="72"/>
        </w:rPr>
        <w:t>四川省</w:t>
      </w:r>
      <w:bookmarkEnd w:id="0"/>
      <w:bookmarkStart w:id="11" w:name="_Toc15306268"/>
      <w:r>
        <w:rPr>
          <w:rFonts w:hint="eastAsia" w:ascii="黑体" w:hAnsi="黑体" w:eastAsia="黑体"/>
          <w:color w:val="000000"/>
          <w:sz w:val="72"/>
          <w:szCs w:val="72"/>
        </w:rPr>
        <w:t>汶川县纪委监委</w:t>
      </w:r>
    </w:p>
    <w:p>
      <w:pPr>
        <w:adjustRightInd w:val="0"/>
        <w:snapToGrid w:val="0"/>
        <w:spacing w:line="360" w:lineRule="auto"/>
        <w:ind w:firstLine="1440" w:firstLineChars="200"/>
        <w:jc w:val="center"/>
        <w:outlineLvl w:val="0"/>
        <w:rPr>
          <w:rFonts w:ascii="黑体" w:hAnsi="黑体" w:eastAsia="黑体"/>
          <w:color w:val="000000"/>
          <w:sz w:val="72"/>
          <w:szCs w:val="72"/>
        </w:rPr>
      </w:pPr>
      <w:r>
        <w:rPr>
          <w:rFonts w:hint="eastAsia" w:ascii="黑体" w:hAnsi="黑体" w:eastAsia="黑体"/>
          <w:color w:val="000000"/>
          <w:sz w:val="72"/>
          <w:szCs w:val="72"/>
        </w:rPr>
        <w:t>部门决算</w:t>
      </w:r>
      <w:bookmarkEnd w:id="6"/>
      <w:bookmarkEnd w:id="7"/>
      <w:bookmarkEnd w:id="8"/>
      <w:bookmarkEnd w:id="9"/>
      <w:bookmarkEnd w:id="10"/>
      <w:bookmarkEnd w:id="11"/>
    </w:p>
    <w:p>
      <w:pPr>
        <w:widowControl/>
        <w:ind w:firstLine="720" w:firstLineChars="200"/>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ind w:firstLine="960" w:firstLineChars="200"/>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spacing w:before="0"/>
        <w:ind w:firstLine="560" w:firstLineChars="200"/>
      </w:pPr>
      <w:r>
        <w:rPr>
          <w:rFonts w:hint="eastAsia"/>
        </w:rPr>
        <w:t>公开时间：2020年9月28日</w:t>
      </w:r>
    </w:p>
    <w:p>
      <w:pPr>
        <w:ind w:firstLine="420" w:firstLineChars="200"/>
      </w:pPr>
    </w:p>
    <w:p>
      <w:pPr>
        <w:pStyle w:val="10"/>
        <w:spacing w:before="0"/>
        <w:ind w:firstLine="560" w:firstLineChars="200"/>
        <w:rPr>
          <w:rFonts w:cstheme="minorBidi"/>
        </w:rPr>
      </w:pPr>
      <w:r>
        <w:fldChar w:fldCharType="begin"/>
      </w:r>
      <w:r>
        <w:instrText xml:space="preserve"> HYPERLINK \l "_Toc15396599" </w:instrText>
      </w:r>
      <w:r>
        <w:fldChar w:fldCharType="separate"/>
      </w:r>
      <w:r>
        <w:rPr>
          <w:rStyle w:val="16"/>
          <w:rFonts w:hint="eastAsia"/>
        </w:rPr>
        <w:t>第一部分</w:t>
      </w:r>
      <w:r>
        <w:rPr>
          <w:rStyle w:val="16"/>
        </w:rPr>
        <w:t xml:space="preserve"> </w:t>
      </w:r>
      <w:r>
        <w:rPr>
          <w:rStyle w:val="16"/>
          <w:rFonts w:hint="eastAsia"/>
        </w:rPr>
        <w:t>部门概况</w:t>
      </w:r>
      <w:r>
        <w:tab/>
      </w:r>
      <w:r>
        <w:rPr>
          <w:rFonts w:hint="eastAsia"/>
        </w:rPr>
        <w:t>4</w:t>
      </w:r>
      <w:r>
        <w:rPr>
          <w:rFonts w:hint="eastAsia"/>
        </w:rPr>
        <w:fldChar w:fldCharType="end"/>
      </w:r>
    </w:p>
    <w:p>
      <w:pPr>
        <w:pStyle w:val="11"/>
        <w:ind w:firstLine="420" w:firstLineChars="200"/>
        <w:rPr>
          <w:rFonts w:ascii="仿宋" w:hAnsi="仿宋" w:eastAsia="仿宋" w:cstheme="minorBidi"/>
          <w:sz w:val="28"/>
          <w:szCs w:val="28"/>
        </w:rPr>
      </w:pPr>
      <w:r>
        <w:fldChar w:fldCharType="begin"/>
      </w:r>
      <w:r>
        <w:instrText xml:space="preserve"> HYPERLINK \l "_Toc15396600" </w:instrText>
      </w:r>
      <w:r>
        <w:fldChar w:fldCharType="separate"/>
      </w:r>
      <w:r>
        <w:rPr>
          <w:rStyle w:val="16"/>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ind w:firstLine="420" w:firstLineChars="200"/>
        <w:rPr>
          <w:rFonts w:ascii="仿宋" w:hAnsi="仿宋" w:eastAsia="仿宋" w:cstheme="minorBidi"/>
          <w:sz w:val="28"/>
          <w:szCs w:val="28"/>
        </w:rPr>
      </w:pPr>
      <w:r>
        <w:fldChar w:fldCharType="begin"/>
      </w:r>
      <w:r>
        <w:instrText xml:space="preserve"> HYPERLINK \l "_Toc15396601" </w:instrText>
      </w:r>
      <w:r>
        <w:fldChar w:fldCharType="separate"/>
      </w:r>
      <w:r>
        <w:rPr>
          <w:rStyle w:val="16"/>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spacing w:before="0"/>
        <w:ind w:firstLine="560" w:firstLineChars="200"/>
      </w:pPr>
      <w:r>
        <w:fldChar w:fldCharType="begin"/>
      </w:r>
      <w:r>
        <w:instrText xml:space="preserve"> HYPERLINK \l "_Toc15396602" </w:instrText>
      </w:r>
      <w:r>
        <w:fldChar w:fldCharType="separate"/>
      </w:r>
      <w:r>
        <w:rPr>
          <w:rStyle w:val="16"/>
          <w:rFonts w:hint="eastAsia"/>
        </w:rPr>
        <w:t>第二部分</w:t>
      </w:r>
      <w:r>
        <w:rPr>
          <w:rStyle w:val="16"/>
        </w:rPr>
        <w:t xml:space="preserve"> 2018</w:t>
      </w:r>
      <w:r>
        <w:rPr>
          <w:rStyle w:val="16"/>
          <w:rFonts w:hint="eastAsia"/>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ind w:firstLine="420" w:firstLineChars="200"/>
        <w:rPr>
          <w:rFonts w:ascii="仿宋" w:hAnsi="仿宋" w:eastAsia="仿宋" w:cstheme="minorBidi"/>
          <w:sz w:val="28"/>
          <w:szCs w:val="28"/>
        </w:rPr>
      </w:pPr>
      <w:r>
        <w:fldChar w:fldCharType="begin"/>
      </w:r>
      <w:r>
        <w:instrText xml:space="preserve"> HYPERLINK \l "_Toc15396603" </w:instrText>
      </w:r>
      <w:r>
        <w:fldChar w:fldCharType="separate"/>
      </w:r>
      <w:r>
        <w:rPr>
          <w:rStyle w:val="16"/>
          <w:rFonts w:hint="eastAsia" w:ascii="仿宋" w:hAnsi="仿宋" w:eastAsia="仿宋" w:cstheme="majorBidi"/>
          <w:bCs/>
          <w:sz w:val="28"/>
          <w:szCs w:val="28"/>
        </w:rPr>
        <w:t>一、</w:t>
      </w:r>
      <w:r>
        <w:rPr>
          <w:rStyle w:val="16"/>
          <w:rFonts w:hint="eastAsia" w:ascii="仿宋" w:hAnsi="仿宋" w:eastAsia="仿宋"/>
          <w:sz w:val="28"/>
          <w:szCs w:val="28"/>
        </w:rPr>
        <w:t>收</w:t>
      </w:r>
      <w:r>
        <w:rPr>
          <w:rStyle w:val="16"/>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ind w:firstLine="420" w:firstLineChars="200"/>
        <w:rPr>
          <w:rFonts w:ascii="仿宋" w:hAnsi="仿宋" w:eastAsia="仿宋" w:cstheme="minorBidi"/>
          <w:sz w:val="28"/>
          <w:szCs w:val="28"/>
        </w:rPr>
      </w:pPr>
      <w:r>
        <w:fldChar w:fldCharType="begin"/>
      </w:r>
      <w:r>
        <w:instrText xml:space="preserve"> HYPERLINK \l "_Toc15396604" </w:instrText>
      </w:r>
      <w:r>
        <w:fldChar w:fldCharType="separate"/>
      </w:r>
      <w:r>
        <w:rPr>
          <w:rStyle w:val="16"/>
          <w:rFonts w:hint="eastAsia" w:ascii="仿宋" w:hAnsi="仿宋" w:eastAsia="仿宋" w:cstheme="majorBidi"/>
          <w:bCs/>
          <w:sz w:val="28"/>
          <w:szCs w:val="28"/>
        </w:rPr>
        <w:t>二、</w:t>
      </w:r>
      <w:r>
        <w:rPr>
          <w:rStyle w:val="16"/>
          <w:rFonts w:hint="eastAsia" w:ascii="仿宋" w:hAnsi="仿宋" w:eastAsia="仿宋"/>
          <w:sz w:val="28"/>
          <w:szCs w:val="28"/>
        </w:rPr>
        <w:t>收</w:t>
      </w:r>
      <w:r>
        <w:rPr>
          <w:rStyle w:val="16"/>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ind w:firstLine="420" w:firstLineChars="200"/>
        <w:rPr>
          <w:rFonts w:ascii="仿宋" w:hAnsi="仿宋" w:eastAsia="仿宋" w:cstheme="minorBidi"/>
          <w:sz w:val="28"/>
          <w:szCs w:val="28"/>
        </w:rPr>
      </w:pPr>
      <w:r>
        <w:fldChar w:fldCharType="begin"/>
      </w:r>
      <w:r>
        <w:instrText xml:space="preserve"> HYPERLINK \l "_Toc15396605" </w:instrText>
      </w:r>
      <w:r>
        <w:fldChar w:fldCharType="separate"/>
      </w:r>
      <w:r>
        <w:rPr>
          <w:rStyle w:val="16"/>
          <w:rFonts w:hint="eastAsia" w:ascii="仿宋" w:hAnsi="仿宋" w:eastAsia="仿宋" w:cstheme="majorBidi"/>
          <w:bCs/>
          <w:sz w:val="28"/>
          <w:szCs w:val="28"/>
        </w:rPr>
        <w:t>三、</w:t>
      </w:r>
      <w:r>
        <w:rPr>
          <w:rStyle w:val="16"/>
          <w:rFonts w:hint="eastAsia" w:ascii="仿宋" w:hAnsi="仿宋" w:eastAsia="仿宋"/>
          <w:sz w:val="28"/>
          <w:szCs w:val="28"/>
        </w:rPr>
        <w:t>支</w:t>
      </w:r>
      <w:r>
        <w:rPr>
          <w:rStyle w:val="16"/>
          <w:rFonts w:hint="eastAsia" w:ascii="仿宋" w:hAnsi="仿宋" w:eastAsia="仿宋" w:cstheme="majorBidi"/>
          <w:bCs/>
          <w:sz w:val="28"/>
          <w:szCs w:val="28"/>
        </w:rPr>
        <w:t>出决算情况说明</w:t>
      </w:r>
      <w:r>
        <w:rPr>
          <w:rFonts w:ascii="仿宋" w:hAnsi="仿宋" w:eastAsia="仿宋"/>
          <w:sz w:val="28"/>
          <w:szCs w:val="28"/>
        </w:rPr>
        <w:tab/>
      </w:r>
      <w:r>
        <w:rPr>
          <w:rFonts w:hint="eastAsia" w:ascii="仿宋" w:hAnsi="仿宋" w:eastAsia="仿宋"/>
          <w:sz w:val="28"/>
          <w:szCs w:val="28"/>
        </w:rPr>
        <w:t>7</w:t>
      </w:r>
      <w:r>
        <w:rPr>
          <w:rFonts w:hint="eastAsia" w:ascii="仿宋" w:hAnsi="仿宋" w:eastAsia="仿宋"/>
          <w:sz w:val="28"/>
          <w:szCs w:val="28"/>
        </w:rPr>
        <w:fldChar w:fldCharType="end"/>
      </w:r>
    </w:p>
    <w:p>
      <w:pPr>
        <w:pStyle w:val="11"/>
        <w:ind w:firstLine="420" w:firstLineChars="200"/>
        <w:rPr>
          <w:rFonts w:ascii="仿宋" w:hAnsi="仿宋" w:eastAsia="仿宋" w:cstheme="minorBidi"/>
          <w:sz w:val="28"/>
          <w:szCs w:val="28"/>
        </w:rPr>
      </w:pPr>
      <w:r>
        <w:fldChar w:fldCharType="begin"/>
      </w:r>
      <w:r>
        <w:instrText xml:space="preserve"> HYPERLINK \l "_Toc15396606" </w:instrText>
      </w:r>
      <w:r>
        <w:fldChar w:fldCharType="separate"/>
      </w:r>
      <w:r>
        <w:rPr>
          <w:rStyle w:val="16"/>
          <w:rFonts w:hint="eastAsia" w:ascii="仿宋" w:hAnsi="仿宋" w:eastAsia="仿宋"/>
          <w:sz w:val="28"/>
          <w:szCs w:val="28"/>
        </w:rPr>
        <w:t>四、财</w:t>
      </w:r>
      <w:r>
        <w:rPr>
          <w:rStyle w:val="16"/>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hint="eastAsia" w:ascii="仿宋" w:hAnsi="仿宋" w:eastAsia="仿宋"/>
          <w:sz w:val="28"/>
          <w:szCs w:val="28"/>
        </w:rPr>
        <w:t>7</w:t>
      </w:r>
      <w:r>
        <w:rPr>
          <w:rFonts w:hint="eastAsia" w:ascii="仿宋" w:hAnsi="仿宋" w:eastAsia="仿宋"/>
          <w:sz w:val="28"/>
          <w:szCs w:val="28"/>
        </w:rPr>
        <w:fldChar w:fldCharType="end"/>
      </w:r>
    </w:p>
    <w:p>
      <w:pPr>
        <w:pStyle w:val="11"/>
        <w:ind w:firstLine="420" w:firstLineChars="200"/>
        <w:rPr>
          <w:rFonts w:ascii="仿宋" w:hAnsi="仿宋" w:eastAsia="仿宋" w:cstheme="minorBidi"/>
          <w:sz w:val="28"/>
          <w:szCs w:val="28"/>
        </w:rPr>
      </w:pPr>
      <w:r>
        <w:fldChar w:fldCharType="begin"/>
      </w:r>
      <w:r>
        <w:instrText xml:space="preserve"> HYPERLINK \l "_Toc15396607" </w:instrText>
      </w:r>
      <w:r>
        <w:fldChar w:fldCharType="separate"/>
      </w:r>
      <w:r>
        <w:rPr>
          <w:rStyle w:val="16"/>
          <w:rFonts w:hint="eastAsia" w:ascii="仿宋" w:hAnsi="仿宋" w:eastAsia="仿宋"/>
          <w:sz w:val="28"/>
          <w:szCs w:val="28"/>
        </w:rPr>
        <w:t>五、一</w:t>
      </w:r>
      <w:r>
        <w:rPr>
          <w:rStyle w:val="16"/>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hint="eastAsia" w:ascii="仿宋" w:hAnsi="仿宋" w:eastAsia="仿宋"/>
          <w:sz w:val="28"/>
          <w:szCs w:val="28"/>
        </w:rPr>
        <w:t>8</w:t>
      </w:r>
      <w:r>
        <w:rPr>
          <w:rFonts w:hint="eastAsia" w:ascii="仿宋" w:hAnsi="仿宋" w:eastAsia="仿宋"/>
          <w:sz w:val="28"/>
          <w:szCs w:val="28"/>
        </w:rPr>
        <w:fldChar w:fldCharType="end"/>
      </w:r>
    </w:p>
    <w:p>
      <w:pPr>
        <w:pStyle w:val="11"/>
        <w:ind w:firstLine="420" w:firstLineChars="200"/>
        <w:rPr>
          <w:rFonts w:ascii="仿宋" w:hAnsi="仿宋" w:eastAsia="仿宋" w:cstheme="minorBidi"/>
          <w:sz w:val="28"/>
          <w:szCs w:val="28"/>
        </w:rPr>
      </w:pPr>
      <w:r>
        <w:fldChar w:fldCharType="begin"/>
      </w:r>
      <w:r>
        <w:instrText xml:space="preserve"> HYPERLINK \l "_Toc15396608" </w:instrText>
      </w:r>
      <w:r>
        <w:fldChar w:fldCharType="separate"/>
      </w:r>
      <w:r>
        <w:rPr>
          <w:rStyle w:val="16"/>
          <w:rFonts w:hint="eastAsia" w:ascii="仿宋" w:hAnsi="仿宋" w:eastAsia="仿宋"/>
          <w:sz w:val="28"/>
          <w:szCs w:val="28"/>
        </w:rPr>
        <w:t>六、一</w:t>
      </w:r>
      <w:r>
        <w:rPr>
          <w:rStyle w:val="16"/>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hint="eastAsia" w:ascii="仿宋" w:hAnsi="仿宋" w:eastAsia="仿宋"/>
          <w:sz w:val="28"/>
          <w:szCs w:val="28"/>
        </w:rPr>
        <w:t>10</w:t>
      </w:r>
      <w:r>
        <w:rPr>
          <w:rFonts w:hint="eastAsia" w:ascii="仿宋" w:hAnsi="仿宋" w:eastAsia="仿宋"/>
          <w:sz w:val="28"/>
          <w:szCs w:val="28"/>
        </w:rPr>
        <w:fldChar w:fldCharType="end"/>
      </w:r>
    </w:p>
    <w:p>
      <w:pPr>
        <w:pStyle w:val="11"/>
        <w:ind w:firstLine="420" w:firstLineChars="200"/>
        <w:rPr>
          <w:rFonts w:ascii="仿宋" w:hAnsi="仿宋" w:eastAsia="仿宋" w:cstheme="minorBidi"/>
          <w:sz w:val="28"/>
          <w:szCs w:val="28"/>
        </w:rPr>
      </w:pPr>
      <w:r>
        <w:fldChar w:fldCharType="begin"/>
      </w:r>
      <w:r>
        <w:instrText xml:space="preserve"> HYPERLINK \l "_Toc15396609" </w:instrText>
      </w:r>
      <w:r>
        <w:fldChar w:fldCharType="separate"/>
      </w:r>
      <w:r>
        <w:rPr>
          <w:rStyle w:val="16"/>
          <w:rFonts w:hint="eastAsia" w:ascii="仿宋" w:hAnsi="仿宋" w:eastAsia="仿宋"/>
          <w:sz w:val="28"/>
          <w:szCs w:val="28"/>
        </w:rPr>
        <w:t>七、</w:t>
      </w:r>
      <w:r>
        <w:rPr>
          <w:rStyle w:val="16"/>
          <w:rFonts w:ascii="仿宋" w:hAnsi="仿宋" w:eastAsia="仿宋"/>
          <w:sz w:val="28"/>
          <w:szCs w:val="28"/>
        </w:rPr>
        <w:t>“</w:t>
      </w:r>
      <w:r>
        <w:rPr>
          <w:rStyle w:val="16"/>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hint="eastAsia" w:ascii="仿宋" w:hAnsi="仿宋" w:eastAsia="仿宋"/>
          <w:sz w:val="28"/>
          <w:szCs w:val="28"/>
        </w:rPr>
        <w:t>11</w:t>
      </w:r>
      <w:r>
        <w:rPr>
          <w:rFonts w:hint="eastAsia" w:ascii="仿宋" w:hAnsi="仿宋" w:eastAsia="仿宋"/>
          <w:sz w:val="28"/>
          <w:szCs w:val="28"/>
        </w:rPr>
        <w:fldChar w:fldCharType="end"/>
      </w:r>
    </w:p>
    <w:p>
      <w:pPr>
        <w:pStyle w:val="11"/>
        <w:ind w:firstLine="420" w:firstLineChars="200"/>
        <w:rPr>
          <w:rFonts w:ascii="仿宋" w:hAnsi="仿宋" w:eastAsia="仿宋" w:cstheme="minorBidi"/>
          <w:sz w:val="28"/>
          <w:szCs w:val="28"/>
        </w:rPr>
      </w:pPr>
      <w:r>
        <w:fldChar w:fldCharType="begin"/>
      </w:r>
      <w:r>
        <w:instrText xml:space="preserve"> HYPERLINK \l "_Toc15396610" </w:instrText>
      </w:r>
      <w:r>
        <w:fldChar w:fldCharType="separate"/>
      </w:r>
      <w:r>
        <w:rPr>
          <w:rStyle w:val="16"/>
          <w:rFonts w:hint="eastAsia" w:ascii="仿宋" w:hAnsi="仿宋" w:eastAsia="仿宋"/>
          <w:sz w:val="28"/>
          <w:szCs w:val="28"/>
        </w:rPr>
        <w:t>八、</w:t>
      </w:r>
      <w:r>
        <w:rPr>
          <w:rStyle w:val="16"/>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hint="eastAsia" w:ascii="仿宋" w:hAnsi="仿宋" w:eastAsia="仿宋"/>
          <w:sz w:val="28"/>
          <w:szCs w:val="28"/>
        </w:rPr>
        <w:t>11</w:t>
      </w:r>
      <w:r>
        <w:rPr>
          <w:rFonts w:hint="eastAsia" w:ascii="仿宋" w:hAnsi="仿宋" w:eastAsia="仿宋"/>
          <w:sz w:val="28"/>
          <w:szCs w:val="28"/>
        </w:rPr>
        <w:fldChar w:fldCharType="end"/>
      </w:r>
    </w:p>
    <w:p>
      <w:pPr>
        <w:pStyle w:val="11"/>
        <w:ind w:firstLine="420" w:firstLineChars="200"/>
        <w:rPr>
          <w:rFonts w:ascii="仿宋" w:hAnsi="仿宋" w:eastAsia="仿宋" w:cstheme="minorBidi"/>
          <w:sz w:val="28"/>
          <w:szCs w:val="28"/>
        </w:rPr>
      </w:pPr>
      <w:r>
        <w:fldChar w:fldCharType="begin"/>
      </w:r>
      <w:r>
        <w:instrText xml:space="preserve"> HYPERLINK \l "_Toc15396611" </w:instrText>
      </w:r>
      <w:r>
        <w:fldChar w:fldCharType="separate"/>
      </w:r>
      <w:r>
        <w:rPr>
          <w:rStyle w:val="16"/>
          <w:rFonts w:hint="eastAsia" w:ascii="仿宋" w:hAnsi="仿宋" w:eastAsia="仿宋" w:cstheme="majorBidi"/>
          <w:bCs/>
          <w:sz w:val="28"/>
          <w:szCs w:val="28"/>
        </w:rPr>
        <w:t>九、</w:t>
      </w:r>
      <w:r>
        <w:rPr>
          <w:rStyle w:val="16"/>
          <w:rFonts w:hint="eastAsia" w:ascii="仿宋" w:hAnsi="仿宋" w:eastAsia="仿宋"/>
          <w:sz w:val="28"/>
          <w:szCs w:val="28"/>
        </w:rPr>
        <w:t xml:space="preserve"> 国</w:t>
      </w:r>
      <w:r>
        <w:rPr>
          <w:rStyle w:val="16"/>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hint="eastAsia" w:ascii="仿宋" w:hAnsi="仿宋" w:eastAsia="仿宋"/>
          <w:sz w:val="28"/>
          <w:szCs w:val="28"/>
        </w:rPr>
        <w:t>11</w:t>
      </w:r>
      <w:r>
        <w:rPr>
          <w:rFonts w:hint="eastAsia" w:ascii="仿宋" w:hAnsi="仿宋" w:eastAsia="仿宋"/>
          <w:sz w:val="28"/>
          <w:szCs w:val="28"/>
        </w:rPr>
        <w:fldChar w:fldCharType="end"/>
      </w:r>
    </w:p>
    <w:p>
      <w:pPr>
        <w:pStyle w:val="11"/>
        <w:ind w:firstLine="420" w:firstLineChars="200"/>
        <w:rPr>
          <w:rFonts w:ascii="仿宋" w:hAnsi="仿宋" w:eastAsia="仿宋" w:cstheme="minorBidi"/>
          <w:sz w:val="28"/>
          <w:szCs w:val="28"/>
        </w:rPr>
      </w:pPr>
      <w:r>
        <w:fldChar w:fldCharType="begin"/>
      </w:r>
      <w:r>
        <w:instrText xml:space="preserve"> HYPERLINK \l "_Toc15396612" </w:instrText>
      </w:r>
      <w:r>
        <w:fldChar w:fldCharType="separate"/>
      </w:r>
      <w:r>
        <w:rPr>
          <w:rStyle w:val="16"/>
          <w:rFonts w:hint="eastAsia" w:ascii="仿宋" w:hAnsi="仿宋" w:eastAsia="仿宋"/>
          <w:sz w:val="28"/>
          <w:szCs w:val="28"/>
        </w:rPr>
        <w:t>十</w:t>
      </w:r>
      <w:r>
        <w:rPr>
          <w:rStyle w:val="16"/>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w:t>
      </w:r>
      <w:r>
        <w:rPr>
          <w:rFonts w:hint="eastAsia"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spacing w:before="0"/>
        <w:ind w:firstLine="560" w:firstLineChars="200"/>
        <w:rPr>
          <w:rFonts w:cstheme="minorBidi"/>
        </w:rPr>
      </w:pPr>
      <w:r>
        <w:fldChar w:fldCharType="begin"/>
      </w:r>
      <w:r>
        <w:instrText xml:space="preserve"> HYPERLINK \l "_Toc15396613" </w:instrText>
      </w:r>
      <w:r>
        <w:fldChar w:fldCharType="separate"/>
      </w:r>
      <w:r>
        <w:rPr>
          <w:rStyle w:val="16"/>
          <w:rFonts w:hint="eastAsia"/>
          <w:bCs/>
          <w:kern w:val="44"/>
        </w:rPr>
        <w:t>第三部分</w:t>
      </w:r>
      <w:r>
        <w:rPr>
          <w:rStyle w:val="16"/>
          <w:rFonts w:hint="eastAsia"/>
        </w:rPr>
        <w:t xml:space="preserve"> 名</w:t>
      </w:r>
      <w:r>
        <w:rPr>
          <w:rStyle w:val="16"/>
          <w:rFonts w:hint="eastAsia"/>
          <w:bCs/>
          <w:kern w:val="44"/>
        </w:rPr>
        <w:t>词解释</w:t>
      </w:r>
      <w:r>
        <w:tab/>
      </w:r>
      <w:r>
        <w:fldChar w:fldCharType="begin"/>
      </w:r>
      <w:r>
        <w:instrText xml:space="preserve"> PAGEREF _Toc15396613 \h </w:instrText>
      </w:r>
      <w:r>
        <w:fldChar w:fldCharType="separate"/>
      </w:r>
      <w:r>
        <w:t>1</w:t>
      </w:r>
      <w:r>
        <w:rPr>
          <w:rFonts w:hint="eastAsia"/>
        </w:rPr>
        <w:t>5</w:t>
      </w:r>
      <w:r>
        <w:fldChar w:fldCharType="end"/>
      </w:r>
      <w:r>
        <w:fldChar w:fldCharType="end"/>
      </w:r>
    </w:p>
    <w:p>
      <w:pPr>
        <w:pStyle w:val="10"/>
        <w:spacing w:before="0"/>
        <w:ind w:firstLine="560" w:firstLineChars="200"/>
        <w:rPr>
          <w:rFonts w:cstheme="minorBidi"/>
        </w:rPr>
      </w:pPr>
      <w:r>
        <w:fldChar w:fldCharType="begin"/>
      </w:r>
      <w:r>
        <w:instrText xml:space="preserve"> HYPERLINK \l "_Toc15396614" </w:instrText>
      </w:r>
      <w:r>
        <w:fldChar w:fldCharType="separate"/>
      </w:r>
      <w:r>
        <w:rPr>
          <w:rStyle w:val="16"/>
          <w:rFonts w:hint="eastAsia"/>
        </w:rPr>
        <w:t>第</w:t>
      </w:r>
      <w:r>
        <w:rPr>
          <w:rStyle w:val="16"/>
          <w:rFonts w:hint="eastAsia"/>
          <w:bCs/>
          <w:kern w:val="44"/>
        </w:rPr>
        <w:t>四部分</w:t>
      </w:r>
      <w:r>
        <w:rPr>
          <w:rStyle w:val="16"/>
          <w:bCs/>
          <w:kern w:val="44"/>
        </w:rPr>
        <w:t xml:space="preserve"> </w:t>
      </w:r>
      <w:r>
        <w:rPr>
          <w:rStyle w:val="16"/>
          <w:bCs/>
          <w:kern w:val="44"/>
        </w:rPr>
        <w:fldChar w:fldCharType="end"/>
      </w:r>
      <w:r>
        <w:fldChar w:fldCharType="begin"/>
      </w:r>
      <w:r>
        <w:instrText xml:space="preserve"> HYPERLINK \l "_Toc15396618" </w:instrText>
      </w:r>
      <w:r>
        <w:fldChar w:fldCharType="separate"/>
      </w:r>
      <w:r>
        <w:rPr>
          <w:rStyle w:val="16"/>
          <w:rFonts w:hint="eastAsia"/>
          <w:bCs/>
          <w:kern w:val="44"/>
        </w:rPr>
        <w:t>附表</w:t>
      </w:r>
      <w:r>
        <w:tab/>
      </w:r>
      <w:r>
        <w:fldChar w:fldCharType="begin"/>
      </w:r>
      <w:r>
        <w:instrText xml:space="preserve"> PAGEREF _Toc15396618 \h </w:instrText>
      </w:r>
      <w:r>
        <w:fldChar w:fldCharType="separate"/>
      </w:r>
      <w:r>
        <w:t>19</w:t>
      </w:r>
      <w:r>
        <w:fldChar w:fldCharType="end"/>
      </w:r>
      <w:r>
        <w:fldChar w:fldCharType="end"/>
      </w:r>
    </w:p>
    <w:p>
      <w:pPr>
        <w:pStyle w:val="11"/>
        <w:ind w:firstLine="560" w:firstLineChars="200"/>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6"/>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20</w:t>
      </w:r>
      <w:r>
        <w:rPr>
          <w:rFonts w:ascii="仿宋" w:hAnsi="仿宋" w:eastAsia="仿宋"/>
          <w:sz w:val="28"/>
          <w:szCs w:val="28"/>
        </w:rPr>
        <w:fldChar w:fldCharType="end"/>
      </w:r>
      <w:r>
        <w:rPr>
          <w:rFonts w:ascii="仿宋" w:hAnsi="仿宋" w:eastAsia="仿宋"/>
          <w:sz w:val="28"/>
          <w:szCs w:val="28"/>
        </w:rPr>
        <w:fldChar w:fldCharType="end"/>
      </w:r>
    </w:p>
    <w:p>
      <w:pPr>
        <w:pStyle w:val="11"/>
        <w:ind w:firstLine="560" w:firstLineChars="200"/>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6"/>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rPr>
        <w:t>1</w:t>
      </w:r>
      <w:r>
        <w:rPr>
          <w:rFonts w:ascii="仿宋" w:hAnsi="仿宋" w:eastAsia="仿宋"/>
          <w:sz w:val="28"/>
          <w:szCs w:val="28"/>
        </w:rPr>
        <w:fldChar w:fldCharType="end"/>
      </w:r>
      <w:r>
        <w:rPr>
          <w:rFonts w:ascii="仿宋" w:hAnsi="仿宋" w:eastAsia="仿宋"/>
          <w:sz w:val="28"/>
          <w:szCs w:val="28"/>
        </w:rPr>
        <w:fldChar w:fldCharType="end"/>
      </w:r>
    </w:p>
    <w:p>
      <w:pPr>
        <w:pStyle w:val="11"/>
        <w:ind w:firstLine="560" w:firstLineChars="200"/>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6"/>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rPr>
        <w:t>2</w:t>
      </w:r>
      <w:r>
        <w:rPr>
          <w:rFonts w:ascii="仿宋" w:hAnsi="仿宋" w:eastAsia="仿宋"/>
          <w:sz w:val="28"/>
          <w:szCs w:val="28"/>
        </w:rPr>
        <w:fldChar w:fldCharType="end"/>
      </w:r>
      <w:r>
        <w:rPr>
          <w:rFonts w:ascii="仿宋" w:hAnsi="仿宋" w:eastAsia="仿宋"/>
          <w:sz w:val="28"/>
          <w:szCs w:val="28"/>
        </w:rPr>
        <w:fldChar w:fldCharType="end"/>
      </w:r>
    </w:p>
    <w:p>
      <w:pPr>
        <w:pStyle w:val="11"/>
        <w:ind w:firstLine="560" w:firstLineChars="200"/>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6"/>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rPr>
        <w:t>3</w:t>
      </w:r>
      <w:r>
        <w:rPr>
          <w:rFonts w:ascii="仿宋" w:hAnsi="仿宋" w:eastAsia="仿宋"/>
          <w:sz w:val="28"/>
          <w:szCs w:val="28"/>
        </w:rPr>
        <w:fldChar w:fldCharType="end"/>
      </w:r>
      <w:r>
        <w:rPr>
          <w:rFonts w:ascii="仿宋" w:hAnsi="仿宋" w:eastAsia="仿宋"/>
          <w:sz w:val="28"/>
          <w:szCs w:val="28"/>
        </w:rPr>
        <w:fldChar w:fldCharType="end"/>
      </w:r>
    </w:p>
    <w:p>
      <w:pPr>
        <w:pStyle w:val="11"/>
        <w:ind w:firstLine="560" w:firstLineChars="200"/>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1"/>
        <w:ind w:firstLine="560" w:firstLineChars="200"/>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6"/>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ind w:firstLine="560" w:firstLineChars="200"/>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6"/>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ind w:firstLine="560" w:firstLineChars="200"/>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6"/>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ind w:firstLine="560" w:firstLineChars="200"/>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6"/>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ind w:firstLine="560" w:firstLineChars="200"/>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6"/>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rPr>
        <w:t>9</w:t>
      </w:r>
      <w:r>
        <w:rPr>
          <w:rFonts w:ascii="仿宋" w:hAnsi="仿宋" w:eastAsia="仿宋"/>
          <w:sz w:val="28"/>
          <w:szCs w:val="28"/>
        </w:rPr>
        <w:fldChar w:fldCharType="end"/>
      </w:r>
      <w:r>
        <w:rPr>
          <w:rFonts w:ascii="仿宋" w:hAnsi="仿宋" w:eastAsia="仿宋"/>
          <w:sz w:val="28"/>
          <w:szCs w:val="28"/>
        </w:rPr>
        <w:fldChar w:fldCharType="end"/>
      </w:r>
    </w:p>
    <w:p>
      <w:pPr>
        <w:pStyle w:val="11"/>
        <w:ind w:firstLine="560" w:firstLineChars="200"/>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6"/>
          <w:rFonts w:hint="eastAsia" w:ascii="仿宋" w:hAnsi="仿宋" w:eastAsia="仿宋"/>
          <w:sz w:val="28"/>
          <w:szCs w:val="28"/>
        </w:rPr>
        <w:t>政府性基金预算财政拨款收入支出决算表</w:t>
      </w:r>
      <w:r>
        <w:rPr>
          <w:rFonts w:ascii="仿宋" w:hAnsi="仿宋" w:eastAsia="仿宋"/>
          <w:sz w:val="28"/>
          <w:szCs w:val="28"/>
        </w:rPr>
        <w:tab/>
      </w:r>
      <w:r>
        <w:rPr>
          <w:rFonts w:hint="eastAsia" w:ascii="仿宋" w:hAnsi="仿宋" w:eastAsia="仿宋"/>
          <w:sz w:val="28"/>
          <w:szCs w:val="28"/>
        </w:rPr>
        <w:t>30</w:t>
      </w:r>
      <w:r>
        <w:rPr>
          <w:rFonts w:hint="eastAsia" w:ascii="仿宋" w:hAnsi="仿宋" w:eastAsia="仿宋"/>
          <w:sz w:val="28"/>
          <w:szCs w:val="28"/>
        </w:rPr>
        <w:fldChar w:fldCharType="end"/>
      </w:r>
    </w:p>
    <w:p>
      <w:pPr>
        <w:pStyle w:val="11"/>
        <w:ind w:firstLine="560" w:firstLineChars="200"/>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6"/>
          <w:rFonts w:hint="eastAsia" w:ascii="仿宋" w:hAnsi="仿宋" w:eastAsia="仿宋"/>
          <w:sz w:val="28"/>
          <w:szCs w:val="28"/>
        </w:rPr>
        <w:t>政府性基金预算财政拨款“三公”经费支出决算表</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ind w:firstLine="560" w:firstLineChars="200"/>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6"/>
          <w:rFonts w:hint="eastAsia" w:ascii="仿宋" w:hAnsi="仿宋" w:eastAsia="仿宋"/>
          <w:sz w:val="28"/>
          <w:szCs w:val="28"/>
        </w:rPr>
        <w:t>国有资本经营预算支出决算表</w:t>
      </w:r>
      <w:r>
        <w:rPr>
          <w:rFonts w:ascii="仿宋" w:hAnsi="仿宋" w:eastAsia="仿宋"/>
          <w:sz w:val="28"/>
          <w:szCs w:val="28"/>
        </w:rPr>
        <w:tab/>
      </w:r>
      <w:r>
        <w:rPr>
          <w:rFonts w:hint="eastAsia" w:ascii="仿宋" w:hAnsi="仿宋" w:eastAsia="仿宋"/>
          <w:sz w:val="28"/>
          <w:szCs w:val="28"/>
        </w:rPr>
        <w:t>32</w:t>
      </w:r>
      <w:r>
        <w:rPr>
          <w:rFonts w:hint="eastAsia" w:ascii="仿宋" w:hAnsi="仿宋" w:eastAsia="仿宋"/>
          <w:sz w:val="28"/>
          <w:szCs w:val="28"/>
        </w:rPr>
        <w:fldChar w:fldCharType="end"/>
      </w:r>
    </w:p>
    <w:p>
      <w:pPr>
        <w:widowControl/>
        <w:ind w:firstLine="480" w:firstLineChars="200"/>
        <w:jc w:val="left"/>
        <w:rPr>
          <w:rFonts w:ascii="仿宋" w:hAnsi="仿宋" w:eastAsia="仿宋"/>
          <w:color w:val="000000"/>
          <w:sz w:val="24"/>
        </w:rPr>
      </w:pPr>
      <w:r>
        <w:rPr>
          <w:rFonts w:ascii="仿宋" w:hAnsi="仿宋" w:eastAsia="仿宋"/>
          <w:color w:val="000000"/>
          <w:sz w:val="24"/>
        </w:rPr>
        <w:fldChar w:fldCharType="end"/>
      </w:r>
    </w:p>
    <w:p>
      <w:pPr>
        <w:widowControl/>
        <w:ind w:firstLine="422" w:firstLineChars="200"/>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spacing w:before="0" w:after="0"/>
        <w:ind w:firstLine="2640" w:firstLineChars="600"/>
        <w:rPr>
          <w:rStyle w:val="25"/>
          <w:rFonts w:ascii="黑体" w:hAnsi="黑体" w:eastAsia="黑体"/>
          <w:b w:val="0"/>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ind w:firstLine="420" w:firstLineChars="200"/>
      </w:pPr>
    </w:p>
    <w:p>
      <w:pPr>
        <w:pStyle w:val="11"/>
        <w:ind w:firstLine="560" w:firstLineChars="200"/>
        <w:rPr>
          <w:rFonts w:ascii="仿宋" w:hAnsi="仿宋" w:eastAsia="仿宋"/>
          <w:sz w:val="28"/>
          <w:szCs w:val="28"/>
        </w:rPr>
      </w:pPr>
    </w:p>
    <w:p>
      <w:pPr>
        <w:pStyle w:val="11"/>
        <w:ind w:firstLine="560" w:firstLineChars="200"/>
        <w:rPr>
          <w:b/>
          <w:bCs/>
          <w:sz w:val="28"/>
          <w:szCs w:val="28"/>
        </w:rPr>
      </w:pPr>
      <w:bookmarkStart w:id="14" w:name="_Toc15377197"/>
      <w:bookmarkStart w:id="15" w:name="_Toc15396600"/>
      <w:r>
        <w:rPr>
          <w:rFonts w:hint="eastAsia" w:ascii="仿宋" w:hAnsi="仿宋" w:eastAsia="仿宋"/>
          <w:sz w:val="28"/>
          <w:szCs w:val="28"/>
        </w:rPr>
        <w:t>一、基</w:t>
      </w:r>
      <w:r>
        <w:rPr>
          <w:rFonts w:hint="eastAsia" w:ascii="仿宋" w:hAnsi="仿宋" w:eastAsia="仿宋"/>
          <w:b/>
          <w:bCs/>
          <w:sz w:val="28"/>
          <w:szCs w:val="28"/>
        </w:rPr>
        <w:t>本职能及主要工作</w:t>
      </w:r>
      <w:bookmarkEnd w:id="14"/>
      <w:bookmarkEnd w:id="15"/>
    </w:p>
    <w:p>
      <w:pPr>
        <w:pStyle w:val="11"/>
        <w:ind w:firstLine="560" w:firstLineChars="200"/>
        <w:rPr>
          <w:rFonts w:ascii="仿宋" w:hAnsi="仿宋" w:eastAsia="仿宋"/>
          <w:sz w:val="28"/>
          <w:szCs w:val="28"/>
        </w:rPr>
      </w:pPr>
      <w:bookmarkStart w:id="16" w:name="_Toc15377200"/>
      <w:bookmarkStart w:id="17" w:name="_Toc15396601"/>
      <w:r>
        <w:rPr>
          <w:rFonts w:hint="eastAsia" w:ascii="仿宋" w:hAnsi="仿宋" w:eastAsia="仿宋"/>
          <w:sz w:val="28"/>
          <w:szCs w:val="28"/>
        </w:rPr>
        <w:t>（一）基本职能</w:t>
      </w:r>
    </w:p>
    <w:p>
      <w:pPr>
        <w:pStyle w:val="11"/>
        <w:ind w:firstLine="560" w:firstLineChars="200"/>
        <w:rPr>
          <w:rFonts w:ascii="仿宋" w:hAnsi="仿宋" w:eastAsia="仿宋"/>
          <w:sz w:val="28"/>
          <w:szCs w:val="28"/>
        </w:rPr>
      </w:pPr>
      <w:r>
        <w:rPr>
          <w:rFonts w:hint="eastAsia" w:ascii="仿宋" w:hAnsi="仿宋" w:eastAsia="仿宋"/>
          <w:sz w:val="28"/>
          <w:szCs w:val="28"/>
        </w:rPr>
        <w:t>根据县委办关于印发《中共汶川县纪律检查委员会、汶川县监察委员会机关职能配置、内设机构和人员编制规定》的通知（汶委办发【2019】12号）文件规定，主要职责是：履行党的纪律检查和国家监察两项职能。</w:t>
      </w:r>
    </w:p>
    <w:p>
      <w:pPr>
        <w:pStyle w:val="11"/>
        <w:ind w:firstLine="560" w:firstLineChars="200"/>
        <w:rPr>
          <w:rFonts w:ascii="仿宋" w:hAnsi="仿宋" w:eastAsia="仿宋"/>
          <w:sz w:val="28"/>
          <w:szCs w:val="28"/>
        </w:rPr>
      </w:pPr>
      <w:r>
        <w:rPr>
          <w:rFonts w:hint="eastAsia" w:ascii="仿宋" w:hAnsi="仿宋" w:eastAsia="仿宋"/>
          <w:sz w:val="28"/>
          <w:szCs w:val="28"/>
        </w:rPr>
        <w:t>（二）当年取得的主要事业成效</w:t>
      </w:r>
    </w:p>
    <w:p>
      <w:pPr>
        <w:pStyle w:val="11"/>
        <w:ind w:firstLine="560" w:firstLineChars="200"/>
        <w:rPr>
          <w:rFonts w:ascii="仿宋" w:hAnsi="仿宋" w:eastAsia="仿宋"/>
          <w:sz w:val="28"/>
          <w:szCs w:val="28"/>
        </w:rPr>
      </w:pPr>
      <w:r>
        <w:rPr>
          <w:rFonts w:hint="eastAsia" w:ascii="仿宋" w:hAnsi="仿宋" w:eastAsia="仿宋"/>
          <w:sz w:val="28"/>
          <w:szCs w:val="28"/>
        </w:rPr>
        <w:t>一是推动各项决策部署落到实处。全县各级纪检监察机关紧紧围绕县委、县政府的中心工作，重点抓好县委、县政府安排部署的重点工作、民生工程等工作的监督检查，保障和推动汶川科学发展、加快发展。二是开展党风廉政建设社会评价。高度重视并进一步深化全县党风廉政建设社会评价工作，全面开展政风行风群众满意度测评，通过结合开展党的群众路线教育实践活动，促进全县各级党员、干部进一步转变工作作风，切实把心思用在想事谋事上，把精力放在干正事干实事干成事上，不断赢得群众的信任和支持，最大限度激发反腐倡廉正能量。三是抓好惩治和预防腐败工作。坚持以制定落实我县惩防体系实施办法为主线，从教育、制度、惩处、纠风、治理、监督等方面入手，深入开展廉政文化“八进”活动，积极探索家庭—学校—社会廉洁教育新模式，大力营造倡廉、敬廉、尚廉氛围；进一步健全反腐败法规制度，切实把权力关进制度的“笼子”里；加大纪检监察办案力度，坚持有案必查、有腐必惩，“老虎”、“苍蝇”一起打，坚决查处领导干部违纪违法案件，以惩治腐败的实际成效取信于民。四是加强纪检监察机关自身建设。以贯彻落实中央、省纪委“转职能、转作风、转方式”要求为契机，进一步优化纪检监察机关内设机构，规范基层纪检监察干部的职责分工，通过建立纪委书记（纪检组长）约谈制度，强化一对一的沟通、交流和指导。按照“打铁还需自身硬”、“信任不能代替监督”的要求，巩固“三项建设”成果，通过党的群众路线教育实践活动，以更高的标准、更严的纪律，打造人民满意的纪检监察队伍；通过强化科技运用，努力提升科技手段防治腐败能力；进一步加强派驻机构的管理，充分发挥好派驻派出机构的作用。</w:t>
      </w:r>
    </w:p>
    <w:p>
      <w:pPr>
        <w:pStyle w:val="11"/>
        <w:ind w:firstLine="560" w:firstLineChars="200"/>
        <w:rPr>
          <w:rFonts w:ascii="仿宋" w:hAnsi="仿宋" w:eastAsia="仿宋"/>
          <w:b/>
          <w:bCs/>
          <w:sz w:val="28"/>
          <w:szCs w:val="28"/>
        </w:rPr>
      </w:pPr>
      <w:r>
        <w:rPr>
          <w:rFonts w:hint="eastAsia" w:ascii="仿宋" w:hAnsi="仿宋" w:eastAsia="仿宋"/>
          <w:sz w:val="28"/>
          <w:szCs w:val="28"/>
        </w:rPr>
        <w:t>二、机</w:t>
      </w:r>
      <w:r>
        <w:rPr>
          <w:rFonts w:hint="eastAsia" w:ascii="仿宋" w:hAnsi="仿宋" w:eastAsia="仿宋"/>
          <w:b/>
          <w:bCs/>
          <w:sz w:val="28"/>
          <w:szCs w:val="28"/>
        </w:rPr>
        <w:t>构设置</w:t>
      </w:r>
      <w:bookmarkEnd w:id="16"/>
      <w:bookmarkEnd w:id="17"/>
    </w:p>
    <w:p>
      <w:pPr>
        <w:pStyle w:val="11"/>
        <w:ind w:firstLine="560" w:firstLineChars="200"/>
        <w:rPr>
          <w:rFonts w:ascii="仿宋" w:hAnsi="仿宋" w:eastAsia="仿宋"/>
          <w:sz w:val="28"/>
          <w:szCs w:val="28"/>
        </w:rPr>
      </w:pPr>
      <w:bookmarkStart w:id="18" w:name="_Toc15377204"/>
      <w:bookmarkStart w:id="19" w:name="_Toc15396602"/>
      <w:r>
        <w:rPr>
          <w:rFonts w:hint="eastAsia" w:ascii="仿宋" w:hAnsi="仿宋" w:eastAsia="仿宋"/>
          <w:sz w:val="28"/>
          <w:szCs w:val="28"/>
        </w:rPr>
        <w:t>本部门下属二级预算单位2个。</w:t>
      </w:r>
    </w:p>
    <w:p>
      <w:pPr>
        <w:pStyle w:val="11"/>
        <w:ind w:firstLine="560" w:firstLineChars="200"/>
        <w:rPr>
          <w:rFonts w:hint="eastAsia" w:ascii="仿宋" w:hAnsi="仿宋" w:eastAsia="仿宋"/>
          <w:sz w:val="28"/>
          <w:szCs w:val="28"/>
        </w:rPr>
      </w:pPr>
      <w:r>
        <w:rPr>
          <w:rFonts w:hint="eastAsia" w:ascii="仿宋" w:hAnsi="仿宋" w:eastAsia="仿宋"/>
          <w:sz w:val="28"/>
          <w:szCs w:val="28"/>
        </w:rPr>
        <w:t>单位编制数为：行政53名，工勤5名。单位年末人数为52名，其中：行政48名，工勤4名。今年因纪检体制改革，增加行政编制18名。</w:t>
      </w:r>
    </w:p>
    <w:p>
      <w:pPr>
        <w:pStyle w:val="11"/>
        <w:ind w:firstLine="560" w:firstLineChars="200"/>
        <w:rPr>
          <w:rFonts w:ascii="仿宋" w:hAnsi="仿宋" w:eastAsia="仿宋"/>
          <w:sz w:val="28"/>
          <w:szCs w:val="28"/>
        </w:rPr>
      </w:pPr>
    </w:p>
    <w:p>
      <w:pPr>
        <w:pStyle w:val="11"/>
        <w:ind w:firstLine="560" w:firstLineChars="200"/>
        <w:rPr>
          <w:rFonts w:ascii="仿宋" w:hAnsi="仿宋" w:eastAsia="仿宋"/>
          <w:sz w:val="28"/>
          <w:szCs w:val="28"/>
        </w:rPr>
      </w:pPr>
    </w:p>
    <w:p>
      <w:pPr>
        <w:pStyle w:val="11"/>
        <w:ind w:firstLine="560" w:firstLineChars="200"/>
        <w:rPr>
          <w:rFonts w:ascii="仿宋" w:hAnsi="仿宋" w:eastAsia="仿宋"/>
          <w:sz w:val="28"/>
          <w:szCs w:val="28"/>
        </w:rPr>
      </w:pPr>
    </w:p>
    <w:p>
      <w:pPr>
        <w:pStyle w:val="11"/>
        <w:ind w:firstLine="560" w:firstLineChars="200"/>
        <w:rPr>
          <w:rFonts w:ascii="仿宋" w:hAnsi="仿宋" w:eastAsia="仿宋"/>
          <w:sz w:val="28"/>
          <w:szCs w:val="28"/>
        </w:rPr>
      </w:pPr>
    </w:p>
    <w:p>
      <w:pPr>
        <w:pStyle w:val="11"/>
        <w:ind w:firstLine="560" w:firstLineChars="200"/>
        <w:rPr>
          <w:rFonts w:ascii="仿宋" w:hAnsi="仿宋" w:eastAsia="仿宋"/>
          <w:sz w:val="28"/>
          <w:szCs w:val="28"/>
        </w:rPr>
      </w:pPr>
    </w:p>
    <w:p>
      <w:pPr>
        <w:pStyle w:val="11"/>
        <w:ind w:firstLine="560" w:firstLineChars="200"/>
        <w:rPr>
          <w:rFonts w:ascii="仿宋" w:hAnsi="仿宋" w:eastAsia="仿宋"/>
          <w:sz w:val="28"/>
          <w:szCs w:val="28"/>
        </w:rPr>
      </w:pPr>
    </w:p>
    <w:p>
      <w:pPr>
        <w:pStyle w:val="11"/>
        <w:ind w:firstLine="560" w:firstLineChars="200"/>
        <w:rPr>
          <w:rFonts w:ascii="仿宋" w:hAnsi="仿宋" w:eastAsia="仿宋"/>
          <w:sz w:val="28"/>
          <w:szCs w:val="28"/>
        </w:rPr>
      </w:pPr>
    </w:p>
    <w:p>
      <w:pPr>
        <w:pStyle w:val="11"/>
        <w:ind w:firstLine="560" w:firstLineChars="200"/>
        <w:rPr>
          <w:rFonts w:ascii="仿宋" w:hAnsi="仿宋" w:eastAsia="仿宋"/>
          <w:sz w:val="28"/>
          <w:szCs w:val="28"/>
        </w:rPr>
      </w:pPr>
    </w:p>
    <w:p>
      <w:pPr>
        <w:pStyle w:val="11"/>
        <w:ind w:left="0" w:leftChars="0"/>
        <w:rPr>
          <w:rFonts w:ascii="仿宋" w:hAnsi="仿宋" w:eastAsia="仿宋"/>
          <w:sz w:val="28"/>
          <w:szCs w:val="28"/>
        </w:rPr>
      </w:pPr>
    </w:p>
    <w:p>
      <w:pPr>
        <w:pStyle w:val="2"/>
        <w:spacing w:before="0" w:after="0"/>
        <w:ind w:firstLine="880" w:firstLineChars="200"/>
        <w:rPr>
          <w:rFonts w:ascii="黑体" w:hAnsi="黑体" w:eastAsia="黑体"/>
          <w:b w:val="0"/>
        </w:rPr>
      </w:pPr>
      <w:r>
        <w:rPr>
          <w:rFonts w:hint="eastAsia" w:ascii="黑体" w:hAnsi="黑体" w:eastAsia="黑体"/>
          <w:b w:val="0"/>
        </w:rPr>
        <w:t>第二部分 2019年度部门决算情况说明</w:t>
      </w:r>
      <w:bookmarkEnd w:id="18"/>
      <w:bookmarkEnd w:id="19"/>
    </w:p>
    <w:p>
      <w:pPr>
        <w:pStyle w:val="11"/>
        <w:ind w:firstLine="560" w:firstLineChars="200"/>
        <w:rPr>
          <w:rFonts w:ascii="仿宋" w:hAnsi="仿宋" w:eastAsia="仿宋"/>
          <w:sz w:val="28"/>
          <w:szCs w:val="28"/>
        </w:rPr>
      </w:pPr>
    </w:p>
    <w:p>
      <w:pPr>
        <w:pStyle w:val="11"/>
        <w:ind w:firstLine="560" w:firstLineChars="200"/>
        <w:rPr>
          <w:rFonts w:ascii="仿宋" w:hAnsi="仿宋" w:eastAsia="仿宋"/>
          <w:bCs/>
          <w:sz w:val="28"/>
          <w:szCs w:val="28"/>
        </w:rPr>
      </w:pPr>
      <w:bookmarkStart w:id="20" w:name="_Toc15377205"/>
      <w:bookmarkStart w:id="21" w:name="_Toc15396603"/>
      <w:r>
        <w:rPr>
          <w:rFonts w:hint="eastAsia" w:ascii="仿宋" w:hAnsi="仿宋" w:eastAsia="仿宋"/>
          <w:sz w:val="28"/>
          <w:szCs w:val="28"/>
        </w:rPr>
        <w:t>收</w:t>
      </w:r>
      <w:r>
        <w:rPr>
          <w:rFonts w:hint="eastAsia" w:ascii="仿宋" w:hAnsi="仿宋" w:eastAsia="仿宋"/>
          <w:bCs/>
          <w:sz w:val="28"/>
          <w:szCs w:val="28"/>
        </w:rPr>
        <w:t>入支出决算总体情况说明</w:t>
      </w:r>
      <w:bookmarkEnd w:id="20"/>
      <w:bookmarkEnd w:id="21"/>
    </w:p>
    <w:p>
      <w:pPr>
        <w:pStyle w:val="11"/>
        <w:ind w:firstLine="560" w:firstLineChars="200"/>
        <w:rPr>
          <w:rFonts w:hint="eastAsia" w:ascii="仿宋" w:hAnsi="仿宋" w:eastAsia="仿宋"/>
          <w:sz w:val="28"/>
          <w:szCs w:val="28"/>
        </w:rPr>
      </w:pPr>
      <w:r>
        <w:rPr>
          <w:rFonts w:hint="eastAsia" w:ascii="仿宋" w:hAnsi="仿宋" w:eastAsia="仿宋"/>
          <w:sz w:val="28"/>
          <w:szCs w:val="28"/>
        </w:rPr>
        <w:t>当年收入总数为971.31万元，比上年增加36.66%；本年支出总数为1087.97万元，比上年增加52.56%。收支的增加原因是纪检监察改革人员增加相应收支增加。财政拨款支出主要用于保障机构正常运转、完成日常工作任务以及承担全省纪检监察事业发展相关工作。基本支出，是用于保障县纪委监察委机关、县直机关纪工委等机构正常运转的日常支出，包括基本工资、津贴补贴等人员经费以及办公费、印刷费、水电费、办公设备购置等日常公用经费；项目支出是用于办案开支、巡察办开支及党风廉政建设等工作开支。</w:t>
      </w:r>
    </w:p>
    <w:p>
      <w:pPr>
        <w:pStyle w:val="11"/>
        <w:ind w:firstLine="560" w:firstLineChars="200"/>
        <w:rPr>
          <w:rFonts w:hint="eastAsia" w:ascii="仿宋" w:hAnsi="仿宋" w:eastAsia="仿宋"/>
          <w:sz w:val="28"/>
          <w:szCs w:val="28"/>
        </w:rPr>
      </w:pPr>
      <w:r>
        <w:rPr>
          <w:rFonts w:hint="eastAsia" w:ascii="仿宋" w:hAnsi="仿宋" w:eastAsia="仿宋"/>
          <w:sz w:val="28"/>
          <w:szCs w:val="28"/>
        </w:rPr>
        <w:t>（图</w:t>
      </w:r>
      <w:r>
        <w:rPr>
          <w:rFonts w:ascii="仿宋" w:hAnsi="仿宋" w:eastAsia="仿宋"/>
          <w:sz w:val="28"/>
          <w:szCs w:val="28"/>
        </w:rPr>
        <w:t>1</w:t>
      </w:r>
      <w:r>
        <w:rPr>
          <w:rFonts w:hint="eastAsia" w:ascii="仿宋" w:hAnsi="仿宋" w:eastAsia="仿宋"/>
          <w:sz w:val="28"/>
          <w:szCs w:val="28"/>
        </w:rPr>
        <w:t>：收、支决算总计变动情况图）（柱状图）</w:t>
      </w:r>
    </w:p>
    <w:p>
      <w:r>
        <w:drawing>
          <wp:inline distT="0" distB="0" distL="0" distR="0">
            <wp:extent cx="4999990" cy="3080385"/>
            <wp:effectExtent l="19050" t="0" r="10033" b="5436"/>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11"/>
        <w:ind w:firstLine="560" w:firstLineChars="200"/>
        <w:rPr>
          <w:rFonts w:ascii="仿宋" w:hAnsi="仿宋" w:eastAsia="仿宋"/>
          <w:sz w:val="28"/>
          <w:szCs w:val="28"/>
        </w:rPr>
      </w:pPr>
    </w:p>
    <w:p>
      <w:pPr>
        <w:pStyle w:val="11"/>
        <w:ind w:firstLine="560" w:firstLineChars="200"/>
        <w:rPr>
          <w:rFonts w:hint="eastAsia" w:ascii="仿宋" w:hAnsi="仿宋" w:eastAsia="仿宋"/>
          <w:sz w:val="28"/>
          <w:szCs w:val="28"/>
        </w:rPr>
      </w:pPr>
      <w:bookmarkStart w:id="22" w:name="_Toc15377206"/>
      <w:bookmarkStart w:id="23" w:name="_Toc15396604"/>
    </w:p>
    <w:p>
      <w:pPr>
        <w:pStyle w:val="11"/>
        <w:ind w:firstLine="560" w:firstLineChars="200"/>
        <w:rPr>
          <w:rFonts w:ascii="仿宋" w:hAnsi="仿宋" w:eastAsia="仿宋"/>
          <w:bCs/>
          <w:sz w:val="28"/>
          <w:szCs w:val="28"/>
        </w:rPr>
      </w:pPr>
      <w:r>
        <w:rPr>
          <w:rFonts w:hint="eastAsia" w:ascii="仿宋" w:hAnsi="仿宋" w:eastAsia="仿宋"/>
          <w:sz w:val="28"/>
          <w:szCs w:val="28"/>
        </w:rPr>
        <w:t>收</w:t>
      </w:r>
      <w:r>
        <w:rPr>
          <w:rFonts w:hint="eastAsia" w:ascii="仿宋" w:hAnsi="仿宋" w:eastAsia="仿宋"/>
          <w:bCs/>
          <w:sz w:val="28"/>
          <w:szCs w:val="28"/>
        </w:rPr>
        <w:t>入决算情况说明</w:t>
      </w:r>
      <w:bookmarkEnd w:id="22"/>
      <w:bookmarkEnd w:id="23"/>
    </w:p>
    <w:p>
      <w:pPr>
        <w:pStyle w:val="11"/>
        <w:ind w:firstLine="560" w:firstLineChars="200"/>
        <w:rPr>
          <w:rFonts w:ascii="仿宋" w:hAnsi="仿宋" w:eastAsia="仿宋"/>
          <w:sz w:val="28"/>
          <w:szCs w:val="28"/>
        </w:rPr>
      </w:pPr>
      <w:r>
        <w:rPr>
          <w:rFonts w:ascii="仿宋" w:hAnsi="仿宋" w:eastAsia="仿宋"/>
          <w:sz w:val="28"/>
          <w:szCs w:val="28"/>
        </w:rPr>
        <w:t>201</w:t>
      </w:r>
      <w:r>
        <w:rPr>
          <w:rFonts w:hint="eastAsia" w:ascii="仿宋" w:hAnsi="仿宋" w:eastAsia="仿宋"/>
          <w:sz w:val="28"/>
          <w:szCs w:val="28"/>
        </w:rPr>
        <w:t>9年本年收入合计971.31万元，其中：一般公共预算财政拨款收入971.31万元，占100</w:t>
      </w:r>
      <w:r>
        <w:rPr>
          <w:rFonts w:ascii="仿宋" w:hAnsi="仿宋" w:eastAsia="仿宋"/>
          <w:sz w:val="28"/>
          <w:szCs w:val="28"/>
        </w:rPr>
        <w:t>%</w:t>
      </w:r>
      <w:r>
        <w:rPr>
          <w:rFonts w:hint="eastAsia" w:ascii="仿宋" w:hAnsi="仿宋" w:eastAsia="仿宋"/>
          <w:sz w:val="28"/>
          <w:szCs w:val="28"/>
        </w:rPr>
        <w:t>。</w:t>
      </w:r>
    </w:p>
    <w:p>
      <w:pPr>
        <w:pStyle w:val="11"/>
        <w:ind w:firstLine="560" w:firstLineChars="200"/>
        <w:rPr>
          <w:rFonts w:ascii="仿宋" w:hAnsi="仿宋" w:eastAsia="仿宋"/>
          <w:sz w:val="28"/>
          <w:szCs w:val="28"/>
        </w:rPr>
      </w:pPr>
      <w:r>
        <w:rPr>
          <w:rFonts w:hint="eastAsia" w:ascii="仿宋" w:hAnsi="仿宋" w:eastAsia="仿宋"/>
          <w:sz w:val="28"/>
          <w:szCs w:val="28"/>
        </w:rPr>
        <w:t>（图2：收入决算结构图）（饼状图）</w:t>
      </w:r>
    </w:p>
    <w:p>
      <w:pPr>
        <w:pStyle w:val="11"/>
        <w:ind w:firstLine="560" w:firstLineChars="200"/>
        <w:rPr>
          <w:rFonts w:ascii="仿宋" w:hAnsi="仿宋" w:eastAsia="仿宋"/>
          <w:sz w:val="28"/>
          <w:szCs w:val="28"/>
        </w:rPr>
      </w:pPr>
      <w:r>
        <w:rPr>
          <w:rFonts w:ascii="仿宋" w:hAnsi="仿宋" w:eastAsia="仿宋"/>
          <w:sz w:val="28"/>
          <w:szCs w:val="28"/>
        </w:rPr>
        <w:drawing>
          <wp:inline distT="0" distB="0" distL="0" distR="0">
            <wp:extent cx="5210175" cy="1933575"/>
            <wp:effectExtent l="19050" t="0" r="9525" b="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11"/>
        <w:ind w:firstLine="560" w:firstLineChars="200"/>
        <w:rPr>
          <w:rFonts w:ascii="仿宋" w:hAnsi="仿宋" w:eastAsia="仿宋"/>
          <w:bCs/>
          <w:sz w:val="28"/>
          <w:szCs w:val="28"/>
        </w:rPr>
      </w:pPr>
      <w:bookmarkStart w:id="24" w:name="_Toc15377207"/>
      <w:bookmarkStart w:id="25" w:name="_Toc15396605"/>
      <w:r>
        <w:rPr>
          <w:rFonts w:hint="eastAsia" w:ascii="仿宋" w:hAnsi="仿宋" w:eastAsia="仿宋"/>
          <w:sz w:val="28"/>
          <w:szCs w:val="28"/>
        </w:rPr>
        <w:t>支</w:t>
      </w:r>
      <w:r>
        <w:rPr>
          <w:rFonts w:hint="eastAsia" w:ascii="仿宋" w:hAnsi="仿宋" w:eastAsia="仿宋"/>
          <w:bCs/>
          <w:sz w:val="28"/>
          <w:szCs w:val="28"/>
        </w:rPr>
        <w:t>出决算情况说明</w:t>
      </w:r>
      <w:bookmarkEnd w:id="24"/>
      <w:bookmarkEnd w:id="25"/>
    </w:p>
    <w:p>
      <w:pPr>
        <w:pStyle w:val="11"/>
        <w:ind w:firstLine="560" w:firstLineChars="200"/>
        <w:rPr>
          <w:rFonts w:hint="eastAsia" w:ascii="仿宋" w:hAnsi="仿宋" w:eastAsia="仿宋"/>
          <w:sz w:val="28"/>
          <w:szCs w:val="28"/>
        </w:rPr>
      </w:pPr>
      <w:r>
        <w:rPr>
          <w:rFonts w:ascii="仿宋" w:hAnsi="仿宋" w:eastAsia="仿宋"/>
          <w:sz w:val="28"/>
          <w:szCs w:val="28"/>
        </w:rPr>
        <w:t>201</w:t>
      </w:r>
      <w:r>
        <w:rPr>
          <w:rFonts w:hint="eastAsia" w:ascii="仿宋" w:hAnsi="仿宋" w:eastAsia="仿宋"/>
          <w:sz w:val="28"/>
          <w:szCs w:val="28"/>
        </w:rPr>
        <w:t>9年本年支出合计1087.97万元，其中：基本支出为865.15万元，专项支出为222.82万元。</w:t>
      </w:r>
    </w:p>
    <w:p>
      <w:pPr>
        <w:pStyle w:val="11"/>
        <w:ind w:firstLine="560" w:firstLineChars="200"/>
        <w:rPr>
          <w:rFonts w:ascii="仿宋" w:hAnsi="仿宋" w:eastAsia="仿宋"/>
          <w:sz w:val="28"/>
          <w:szCs w:val="28"/>
        </w:rPr>
      </w:pPr>
      <w:r>
        <w:rPr>
          <w:rFonts w:hint="eastAsia" w:ascii="仿宋" w:hAnsi="仿宋" w:eastAsia="仿宋"/>
          <w:sz w:val="28"/>
          <w:szCs w:val="28"/>
        </w:rPr>
        <w:t>（图3：支出决算结构图）（饼状图）</w:t>
      </w:r>
    </w:p>
    <w:p>
      <w:pPr>
        <w:pStyle w:val="11"/>
        <w:ind w:firstLine="560" w:firstLineChars="200"/>
        <w:rPr>
          <w:rFonts w:ascii="仿宋" w:hAnsi="仿宋" w:eastAsia="仿宋"/>
          <w:sz w:val="28"/>
          <w:szCs w:val="28"/>
        </w:rPr>
      </w:pPr>
      <w:r>
        <w:rPr>
          <w:rFonts w:ascii="仿宋" w:hAnsi="仿宋" w:eastAsia="仿宋"/>
          <w:sz w:val="28"/>
          <w:szCs w:val="28"/>
        </w:rPr>
        <w:drawing>
          <wp:inline distT="0" distB="0" distL="0" distR="0">
            <wp:extent cx="5102860" cy="2181225"/>
            <wp:effectExtent l="19050" t="0" r="21590" b="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11"/>
        <w:ind w:firstLine="560" w:firstLineChars="200"/>
        <w:rPr>
          <w:rFonts w:ascii="仿宋" w:hAnsi="仿宋" w:eastAsia="仿宋"/>
          <w:bCs/>
          <w:sz w:val="28"/>
          <w:szCs w:val="28"/>
        </w:rPr>
      </w:pPr>
      <w:bookmarkStart w:id="26" w:name="_Toc15377208"/>
      <w:bookmarkStart w:id="27" w:name="_Toc15396606"/>
      <w:r>
        <w:rPr>
          <w:rFonts w:hint="eastAsia" w:ascii="仿宋" w:hAnsi="仿宋" w:eastAsia="仿宋"/>
          <w:sz w:val="28"/>
          <w:szCs w:val="28"/>
        </w:rPr>
        <w:t>四、财</w:t>
      </w:r>
      <w:r>
        <w:rPr>
          <w:rFonts w:hint="eastAsia" w:ascii="仿宋" w:hAnsi="仿宋" w:eastAsia="仿宋"/>
          <w:bCs/>
          <w:sz w:val="28"/>
          <w:szCs w:val="28"/>
        </w:rPr>
        <w:t>政拨款收入支出决算总体情况说明</w:t>
      </w:r>
      <w:bookmarkEnd w:id="26"/>
      <w:bookmarkEnd w:id="27"/>
    </w:p>
    <w:p>
      <w:pPr>
        <w:pStyle w:val="11"/>
        <w:ind w:firstLine="560" w:firstLineChars="200"/>
        <w:rPr>
          <w:rFonts w:hint="eastAsia" w:ascii="仿宋" w:hAnsi="仿宋" w:eastAsia="仿宋"/>
          <w:sz w:val="28"/>
          <w:szCs w:val="28"/>
        </w:rPr>
      </w:pPr>
      <w:r>
        <w:rPr>
          <w:rFonts w:hint="eastAsia" w:ascii="仿宋" w:hAnsi="仿宋" w:eastAsia="仿宋"/>
          <w:sz w:val="28"/>
          <w:szCs w:val="28"/>
        </w:rPr>
        <w:t>2019年财政拨款收入总计971.31万元，与2018年相比，增加36.66%；财政拨款支出总计1087.97万元，与2018年相比，增加52.56%。收支的增加原因是纪检监察改革人员增加相应收支增加。财政拨款支出主要用于保障机构正常运转、完成日常工作任务以及承担全省纪检监察事业发展相关工作。基本支出，是用于保障县纪委监察委机关、县直机关纪工委等机构正常运转的日常支出，包括基本工资、津贴补贴等人员经费以及办公费、印刷费、水电费、办公设备购置等日常公用经费；项目支出是用于办案开支、巡察办开支及党风廉政建设等工作开支。</w:t>
      </w:r>
    </w:p>
    <w:p>
      <w:pPr>
        <w:pStyle w:val="11"/>
        <w:ind w:firstLine="560" w:firstLineChars="200"/>
        <w:rPr>
          <w:rFonts w:ascii="仿宋" w:hAnsi="仿宋" w:eastAsia="仿宋"/>
          <w:sz w:val="28"/>
          <w:szCs w:val="28"/>
        </w:rPr>
      </w:pPr>
      <w:r>
        <w:rPr>
          <w:rFonts w:hint="eastAsia" w:ascii="仿宋" w:hAnsi="仿宋" w:eastAsia="仿宋"/>
          <w:sz w:val="28"/>
          <w:szCs w:val="28"/>
        </w:rPr>
        <w:t>（图4：财政拨款收、支决算总计变动情况）（柱状图）</w:t>
      </w:r>
    </w:p>
    <w:p>
      <w:pPr>
        <w:pStyle w:val="11"/>
        <w:ind w:firstLine="560" w:firstLineChars="200"/>
        <w:rPr>
          <w:rFonts w:ascii="仿宋" w:hAnsi="仿宋" w:eastAsia="仿宋"/>
          <w:sz w:val="28"/>
          <w:szCs w:val="28"/>
        </w:rPr>
      </w:pPr>
      <w:r>
        <w:rPr>
          <w:rFonts w:ascii="仿宋" w:hAnsi="仿宋" w:eastAsia="仿宋"/>
          <w:sz w:val="28"/>
          <w:szCs w:val="28"/>
        </w:rPr>
        <w:drawing>
          <wp:inline distT="0" distB="0" distL="0" distR="0">
            <wp:extent cx="5274310" cy="2181225"/>
            <wp:effectExtent l="19050" t="0" r="21590" b="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11"/>
        <w:ind w:firstLine="560" w:firstLineChars="200"/>
        <w:rPr>
          <w:rFonts w:ascii="仿宋" w:hAnsi="仿宋" w:eastAsia="仿宋"/>
          <w:sz w:val="28"/>
          <w:szCs w:val="28"/>
        </w:rPr>
      </w:pPr>
    </w:p>
    <w:p>
      <w:pPr>
        <w:pStyle w:val="11"/>
        <w:ind w:firstLine="560" w:firstLineChars="200"/>
        <w:rPr>
          <w:rFonts w:ascii="仿宋" w:hAnsi="仿宋" w:eastAsia="仿宋"/>
          <w:bCs/>
          <w:sz w:val="28"/>
          <w:szCs w:val="28"/>
        </w:rPr>
      </w:pPr>
      <w:bookmarkStart w:id="28" w:name="_Toc15377209"/>
      <w:bookmarkStart w:id="29" w:name="_Toc15396607"/>
      <w:r>
        <w:rPr>
          <w:rFonts w:hint="eastAsia" w:ascii="仿宋" w:hAnsi="仿宋" w:eastAsia="仿宋"/>
          <w:sz w:val="28"/>
          <w:szCs w:val="28"/>
        </w:rPr>
        <w:t>五、一</w:t>
      </w:r>
      <w:r>
        <w:rPr>
          <w:rFonts w:hint="eastAsia" w:ascii="仿宋" w:hAnsi="仿宋" w:eastAsia="仿宋"/>
          <w:bCs/>
          <w:sz w:val="28"/>
          <w:szCs w:val="28"/>
        </w:rPr>
        <w:t>般公共预算财政拨款支出决算情况说明</w:t>
      </w:r>
      <w:bookmarkEnd w:id="28"/>
      <w:bookmarkEnd w:id="29"/>
    </w:p>
    <w:p>
      <w:pPr>
        <w:pStyle w:val="11"/>
        <w:ind w:firstLine="560" w:firstLineChars="200"/>
        <w:rPr>
          <w:rFonts w:ascii="仿宋" w:hAnsi="仿宋" w:eastAsia="仿宋"/>
          <w:sz w:val="28"/>
          <w:szCs w:val="28"/>
        </w:rPr>
      </w:pPr>
      <w:bookmarkStart w:id="30" w:name="_Toc15377210"/>
      <w:r>
        <w:rPr>
          <w:rFonts w:hint="eastAsia" w:ascii="仿宋" w:hAnsi="仿宋" w:eastAsia="仿宋"/>
          <w:sz w:val="28"/>
          <w:szCs w:val="28"/>
        </w:rPr>
        <w:t>（一）一般公共预算财政拨款支出决算总体情况</w:t>
      </w:r>
      <w:bookmarkEnd w:id="30"/>
    </w:p>
    <w:p>
      <w:pPr>
        <w:pStyle w:val="11"/>
        <w:ind w:firstLine="560" w:firstLineChars="200"/>
        <w:rPr>
          <w:rFonts w:ascii="仿宋" w:hAnsi="仿宋" w:eastAsia="仿宋"/>
          <w:sz w:val="28"/>
          <w:szCs w:val="28"/>
        </w:rPr>
      </w:pPr>
      <w:r>
        <w:rPr>
          <w:rFonts w:ascii="仿宋" w:hAnsi="仿宋" w:eastAsia="仿宋"/>
          <w:sz w:val="28"/>
          <w:szCs w:val="28"/>
        </w:rPr>
        <w:t>201</w:t>
      </w:r>
      <w:r>
        <w:rPr>
          <w:rFonts w:hint="eastAsia" w:ascii="仿宋" w:hAnsi="仿宋" w:eastAsia="仿宋"/>
          <w:sz w:val="28"/>
          <w:szCs w:val="28"/>
        </w:rPr>
        <w:t>9年一般公共预算财政拨款支出1087.97万元，占本年支出合计的100</w:t>
      </w:r>
      <w:r>
        <w:rPr>
          <w:rFonts w:ascii="仿宋" w:hAnsi="仿宋" w:eastAsia="仿宋"/>
          <w:sz w:val="28"/>
          <w:szCs w:val="28"/>
        </w:rPr>
        <w:t>%</w:t>
      </w:r>
      <w:r>
        <w:rPr>
          <w:rFonts w:hint="eastAsia" w:ascii="仿宋" w:hAnsi="仿宋" w:eastAsia="仿宋"/>
          <w:sz w:val="28"/>
          <w:szCs w:val="28"/>
        </w:rPr>
        <w:t>。与</w:t>
      </w:r>
      <w:r>
        <w:rPr>
          <w:rFonts w:ascii="仿宋" w:hAnsi="仿宋" w:eastAsia="仿宋"/>
          <w:sz w:val="28"/>
          <w:szCs w:val="28"/>
        </w:rPr>
        <w:t>201</w:t>
      </w:r>
      <w:r>
        <w:rPr>
          <w:rFonts w:hint="eastAsia" w:ascii="仿宋" w:hAnsi="仿宋" w:eastAsia="仿宋"/>
          <w:sz w:val="28"/>
          <w:szCs w:val="28"/>
        </w:rPr>
        <w:t>8年相比，一般公共预算财政拨款增加260.56万元，增长36.66</w:t>
      </w:r>
      <w:r>
        <w:rPr>
          <w:rFonts w:ascii="仿宋" w:hAnsi="仿宋" w:eastAsia="仿宋"/>
          <w:sz w:val="28"/>
          <w:szCs w:val="28"/>
        </w:rPr>
        <w:t>%</w:t>
      </w:r>
      <w:r>
        <w:rPr>
          <w:rFonts w:hint="eastAsia" w:ascii="仿宋" w:hAnsi="仿宋" w:eastAsia="仿宋"/>
          <w:sz w:val="28"/>
          <w:szCs w:val="28"/>
        </w:rPr>
        <w:t>。主要变动原因是巡察办人员增加、巡察经费等专项开支的增加等。</w:t>
      </w:r>
    </w:p>
    <w:p>
      <w:pPr>
        <w:pStyle w:val="11"/>
        <w:ind w:firstLine="560" w:firstLineChars="200"/>
        <w:rPr>
          <w:rFonts w:ascii="仿宋" w:hAnsi="仿宋" w:eastAsia="仿宋"/>
          <w:sz w:val="28"/>
          <w:szCs w:val="28"/>
        </w:rPr>
      </w:pPr>
      <w:r>
        <w:rPr>
          <w:rFonts w:hint="eastAsia" w:ascii="仿宋" w:hAnsi="仿宋" w:eastAsia="仿宋"/>
          <w:sz w:val="28"/>
          <w:szCs w:val="28"/>
        </w:rPr>
        <w:t>（图5：一般公共预算财政拨款支出决算变动情况）（柱状图）</w:t>
      </w:r>
    </w:p>
    <w:p>
      <w:pPr>
        <w:pStyle w:val="11"/>
        <w:ind w:firstLine="560" w:firstLineChars="200"/>
        <w:rPr>
          <w:rFonts w:ascii="仿宋" w:hAnsi="仿宋" w:eastAsia="仿宋"/>
          <w:sz w:val="28"/>
          <w:szCs w:val="28"/>
        </w:rPr>
      </w:pPr>
      <w:r>
        <w:rPr>
          <w:rFonts w:ascii="仿宋" w:hAnsi="仿宋" w:eastAsia="仿宋"/>
          <w:sz w:val="28"/>
          <w:szCs w:val="28"/>
        </w:rPr>
        <w:drawing>
          <wp:inline distT="0" distB="0" distL="0" distR="0">
            <wp:extent cx="5274310" cy="2390775"/>
            <wp:effectExtent l="19050" t="0" r="21590" b="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11"/>
        <w:ind w:firstLine="560" w:firstLineChars="200"/>
        <w:rPr>
          <w:rFonts w:ascii="仿宋" w:hAnsi="仿宋" w:eastAsia="仿宋"/>
          <w:sz w:val="28"/>
          <w:szCs w:val="28"/>
        </w:rPr>
      </w:pPr>
      <w:bookmarkStart w:id="31" w:name="_Toc15377211"/>
      <w:r>
        <w:rPr>
          <w:rFonts w:hint="eastAsia" w:ascii="仿宋" w:hAnsi="仿宋" w:eastAsia="仿宋"/>
          <w:sz w:val="28"/>
          <w:szCs w:val="28"/>
        </w:rPr>
        <w:t>（二）一般公共预算财政拨款支出决算结构情况</w:t>
      </w:r>
      <w:bookmarkEnd w:id="31"/>
    </w:p>
    <w:p>
      <w:pPr>
        <w:pStyle w:val="11"/>
        <w:ind w:firstLine="560" w:firstLineChars="200"/>
        <w:rPr>
          <w:rFonts w:ascii="仿宋" w:hAnsi="仿宋" w:eastAsia="仿宋"/>
          <w:sz w:val="28"/>
          <w:szCs w:val="28"/>
        </w:rPr>
      </w:pPr>
      <w:r>
        <w:rPr>
          <w:rFonts w:ascii="仿宋" w:hAnsi="仿宋" w:eastAsia="仿宋"/>
          <w:sz w:val="28"/>
          <w:szCs w:val="28"/>
        </w:rPr>
        <w:t>201</w:t>
      </w:r>
      <w:r>
        <w:rPr>
          <w:rFonts w:hint="eastAsia" w:ascii="仿宋" w:hAnsi="仿宋" w:eastAsia="仿宋"/>
          <w:sz w:val="28"/>
          <w:szCs w:val="28"/>
        </w:rPr>
        <w:t>9年一般公共预算财政拨款支出1087.97万元，主要用于以下方面</w:t>
      </w:r>
      <w:r>
        <w:rPr>
          <w:rFonts w:ascii="仿宋" w:hAnsi="仿宋" w:eastAsia="仿宋"/>
          <w:sz w:val="28"/>
          <w:szCs w:val="28"/>
        </w:rPr>
        <w:t>:</w:t>
      </w:r>
      <w:r>
        <w:rPr>
          <w:rFonts w:hint="eastAsia" w:ascii="仿宋" w:hAnsi="仿宋" w:eastAsia="仿宋"/>
          <w:sz w:val="28"/>
          <w:szCs w:val="28"/>
        </w:rPr>
        <w:t>一般公共服务（类）支出902.23万元，占82.93</w:t>
      </w:r>
      <w:r>
        <w:rPr>
          <w:rFonts w:ascii="仿宋" w:hAnsi="仿宋" w:eastAsia="仿宋"/>
          <w:sz w:val="28"/>
          <w:szCs w:val="28"/>
        </w:rPr>
        <w:t>%</w:t>
      </w:r>
      <w:r>
        <w:rPr>
          <w:rFonts w:hint="eastAsia" w:ascii="仿宋" w:hAnsi="仿宋" w:eastAsia="仿宋"/>
          <w:sz w:val="28"/>
          <w:szCs w:val="28"/>
        </w:rPr>
        <w:t>；教育（类）支出4.70万元，占0.43</w:t>
      </w:r>
      <w:r>
        <w:rPr>
          <w:rFonts w:ascii="仿宋" w:hAnsi="仿宋" w:eastAsia="仿宋"/>
          <w:sz w:val="28"/>
          <w:szCs w:val="28"/>
        </w:rPr>
        <w:t>%</w:t>
      </w:r>
      <w:r>
        <w:rPr>
          <w:rFonts w:hint="eastAsia" w:ascii="仿宋" w:hAnsi="仿宋" w:eastAsia="仿宋"/>
          <w:sz w:val="28"/>
          <w:szCs w:val="28"/>
        </w:rPr>
        <w:t>；社会保障和就业（类）支出81.89万元，占7.53</w:t>
      </w:r>
      <w:r>
        <w:rPr>
          <w:rFonts w:ascii="仿宋" w:hAnsi="仿宋" w:eastAsia="仿宋"/>
          <w:sz w:val="28"/>
          <w:szCs w:val="28"/>
        </w:rPr>
        <w:t>%</w:t>
      </w:r>
      <w:r>
        <w:rPr>
          <w:rFonts w:hint="eastAsia" w:ascii="仿宋" w:hAnsi="仿宋" w:eastAsia="仿宋"/>
          <w:sz w:val="28"/>
          <w:szCs w:val="28"/>
        </w:rPr>
        <w:t>；医疗卫生（类）支出38.66万元，占3.55</w:t>
      </w:r>
      <w:r>
        <w:rPr>
          <w:rFonts w:ascii="仿宋" w:hAnsi="仿宋" w:eastAsia="仿宋"/>
          <w:sz w:val="28"/>
          <w:szCs w:val="28"/>
        </w:rPr>
        <w:t>%</w:t>
      </w:r>
      <w:r>
        <w:rPr>
          <w:rFonts w:hint="eastAsia" w:ascii="仿宋" w:hAnsi="仿宋" w:eastAsia="仿宋"/>
          <w:sz w:val="28"/>
          <w:szCs w:val="28"/>
        </w:rPr>
        <w:t>；住房保障（类）支出60.49万元，占5.56</w:t>
      </w:r>
      <w:r>
        <w:rPr>
          <w:rFonts w:ascii="仿宋" w:hAnsi="仿宋" w:eastAsia="仿宋"/>
          <w:sz w:val="28"/>
          <w:szCs w:val="28"/>
        </w:rPr>
        <w:t>%</w:t>
      </w:r>
      <w:r>
        <w:rPr>
          <w:rFonts w:hint="eastAsia" w:ascii="仿宋" w:hAnsi="仿宋" w:eastAsia="仿宋"/>
          <w:sz w:val="28"/>
          <w:szCs w:val="28"/>
        </w:rPr>
        <w:t>。</w:t>
      </w:r>
    </w:p>
    <w:p>
      <w:pPr>
        <w:pStyle w:val="11"/>
        <w:ind w:firstLine="560" w:firstLineChars="200"/>
        <w:rPr>
          <w:rFonts w:ascii="仿宋" w:hAnsi="仿宋" w:eastAsia="仿宋"/>
          <w:sz w:val="28"/>
          <w:szCs w:val="28"/>
        </w:rPr>
      </w:pPr>
      <w:r>
        <w:rPr>
          <w:rFonts w:hint="eastAsia" w:ascii="仿宋" w:hAnsi="仿宋" w:eastAsia="仿宋"/>
          <w:sz w:val="28"/>
          <w:szCs w:val="28"/>
        </w:rPr>
        <w:t>（图6：一般公共预算财政拨款支出决算结构）（饼状图）</w:t>
      </w:r>
    </w:p>
    <w:p>
      <w:pPr>
        <w:pStyle w:val="11"/>
        <w:ind w:firstLine="560" w:firstLineChars="200"/>
        <w:rPr>
          <w:rFonts w:ascii="仿宋" w:hAnsi="仿宋" w:eastAsia="仿宋"/>
          <w:sz w:val="28"/>
          <w:szCs w:val="28"/>
        </w:rPr>
      </w:pPr>
      <w:r>
        <w:rPr>
          <w:rFonts w:ascii="仿宋" w:hAnsi="仿宋" w:eastAsia="仿宋"/>
          <w:sz w:val="28"/>
          <w:szCs w:val="28"/>
        </w:rPr>
        <w:drawing>
          <wp:inline distT="0" distB="0" distL="0" distR="0">
            <wp:extent cx="5274310" cy="1981200"/>
            <wp:effectExtent l="19050" t="0" r="21590" b="0"/>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11"/>
        <w:ind w:firstLine="560" w:firstLineChars="200"/>
        <w:rPr>
          <w:rFonts w:ascii="仿宋" w:hAnsi="仿宋" w:eastAsia="仿宋"/>
          <w:sz w:val="28"/>
          <w:szCs w:val="28"/>
        </w:rPr>
      </w:pPr>
      <w:bookmarkStart w:id="32" w:name="_Toc15377212"/>
      <w:r>
        <w:rPr>
          <w:rFonts w:hint="eastAsia" w:ascii="仿宋" w:hAnsi="仿宋" w:eastAsia="仿宋"/>
          <w:sz w:val="28"/>
          <w:szCs w:val="28"/>
        </w:rPr>
        <w:t>（三）一般公共预算财政拨款支出决算具体情况</w:t>
      </w:r>
      <w:bookmarkEnd w:id="32"/>
    </w:p>
    <w:p>
      <w:pPr>
        <w:pStyle w:val="11"/>
        <w:ind w:firstLine="560" w:firstLineChars="200"/>
        <w:rPr>
          <w:rFonts w:ascii="仿宋" w:hAnsi="仿宋" w:eastAsia="仿宋"/>
          <w:sz w:val="28"/>
          <w:szCs w:val="28"/>
        </w:rPr>
      </w:pPr>
      <w:bookmarkStart w:id="33" w:name="_Toc15377213"/>
      <w:bookmarkStart w:id="34" w:name="_Toc15377444"/>
      <w:bookmarkStart w:id="35" w:name="_Toc15378460"/>
      <w:r>
        <w:rPr>
          <w:rFonts w:hint="eastAsia" w:ascii="仿宋" w:hAnsi="仿宋" w:eastAsia="仿宋"/>
          <w:sz w:val="28"/>
          <w:szCs w:val="28"/>
        </w:rPr>
        <w:t>209年般公共预算支出决算数为1087.97万元，</w:t>
      </w:r>
      <w:r>
        <w:rPr>
          <w:rFonts w:hint="eastAsia"/>
          <w:b/>
          <w:sz w:val="28"/>
          <w:szCs w:val="28"/>
        </w:rPr>
        <w:t>完成预算97.61</w:t>
      </w:r>
      <w:r>
        <w:rPr>
          <w:b/>
          <w:sz w:val="28"/>
          <w:szCs w:val="28"/>
        </w:rPr>
        <w:t>%</w:t>
      </w:r>
      <w:r>
        <w:rPr>
          <w:rFonts w:hint="eastAsia"/>
          <w:b/>
          <w:sz w:val="28"/>
          <w:szCs w:val="28"/>
        </w:rPr>
        <w:t>。其中：</w:t>
      </w:r>
      <w:bookmarkEnd w:id="33"/>
      <w:bookmarkEnd w:id="34"/>
      <w:bookmarkEnd w:id="35"/>
    </w:p>
    <w:p>
      <w:pPr>
        <w:pStyle w:val="11"/>
        <w:ind w:firstLine="560" w:firstLineChars="200"/>
        <w:rPr>
          <w:rFonts w:hint="eastAsia"/>
          <w:sz w:val="28"/>
          <w:szCs w:val="28"/>
        </w:rPr>
      </w:pPr>
      <w:r>
        <w:rPr>
          <w:rFonts w:hint="eastAsia"/>
          <w:sz w:val="28"/>
          <w:szCs w:val="28"/>
        </w:rPr>
        <w:t>1.</w:t>
      </w:r>
      <w:r>
        <w:rPr>
          <w:rFonts w:hint="eastAsia"/>
          <w:b/>
          <w:sz w:val="28"/>
          <w:szCs w:val="28"/>
        </w:rPr>
        <w:t>一般公共服务（类）201（款）11（项）01</w:t>
      </w:r>
      <w:r>
        <w:rPr>
          <w:rFonts w:hint="eastAsia"/>
          <w:sz w:val="28"/>
          <w:szCs w:val="28"/>
        </w:rPr>
        <w:t>:支出决算为</w:t>
      </w:r>
      <w:r>
        <w:rPr>
          <w:rFonts w:hint="eastAsia" w:ascii="仿宋" w:hAnsi="仿宋" w:eastAsia="仿宋"/>
          <w:sz w:val="28"/>
          <w:szCs w:val="28"/>
        </w:rPr>
        <w:t>684.11</w:t>
      </w:r>
      <w:r>
        <w:rPr>
          <w:rFonts w:hint="eastAsia"/>
          <w:sz w:val="28"/>
          <w:szCs w:val="28"/>
        </w:rPr>
        <w:t>万元，完成预算97.90%，未支付完原因是：</w:t>
      </w:r>
      <w:r>
        <w:rPr>
          <w:rFonts w:hint="eastAsia" w:ascii="仿宋" w:hAnsi="仿宋" w:eastAsia="仿宋"/>
          <w:sz w:val="28"/>
          <w:szCs w:val="28"/>
        </w:rPr>
        <w:t>办案设备购置经费尚未支付</w:t>
      </w:r>
      <w:r>
        <w:rPr>
          <w:rFonts w:hint="eastAsia"/>
          <w:sz w:val="28"/>
          <w:szCs w:val="28"/>
        </w:rPr>
        <w:t>；</w:t>
      </w:r>
      <w:r>
        <w:rPr>
          <w:rFonts w:hint="eastAsia"/>
          <w:b/>
          <w:sz w:val="28"/>
          <w:szCs w:val="28"/>
        </w:rPr>
        <w:t>一般公共服务（类）201（款）11（项）04:</w:t>
      </w:r>
      <w:r>
        <w:rPr>
          <w:rFonts w:hint="eastAsia"/>
          <w:sz w:val="28"/>
          <w:szCs w:val="28"/>
        </w:rPr>
        <w:t>支出决算数为57.49万元，完成预算82.75%，未支付完的原因是：已开支办案费用尚未结帐；</w:t>
      </w:r>
      <w:r>
        <w:rPr>
          <w:rFonts w:hint="eastAsia"/>
          <w:b/>
          <w:sz w:val="28"/>
          <w:szCs w:val="28"/>
        </w:rPr>
        <w:t>一般公共服务（类）201（款）11（项）05:</w:t>
      </w:r>
      <w:r>
        <w:rPr>
          <w:rFonts w:hint="eastAsia"/>
          <w:sz w:val="28"/>
          <w:szCs w:val="28"/>
        </w:rPr>
        <w:t>支出决算数为5万元，完成预算100%；</w:t>
      </w:r>
      <w:r>
        <w:rPr>
          <w:rFonts w:hint="eastAsia"/>
          <w:b/>
          <w:sz w:val="28"/>
          <w:szCs w:val="28"/>
        </w:rPr>
        <w:t>一般公共服务（类）201（款）11（项）99:</w:t>
      </w:r>
      <w:r>
        <w:rPr>
          <w:rFonts w:hint="eastAsia"/>
          <w:sz w:val="28"/>
          <w:szCs w:val="28"/>
        </w:rPr>
        <w:t>支出决算数为153.63万元，完成预算100%，此款项中106.63万元为脱贫攻坚巡察经费上年结转数。</w:t>
      </w:r>
      <w:r>
        <w:rPr>
          <w:rFonts w:hint="eastAsia"/>
          <w:b/>
          <w:sz w:val="28"/>
          <w:szCs w:val="28"/>
        </w:rPr>
        <w:t>一般公共服务（类）201（款）32（项）99:</w:t>
      </w:r>
      <w:r>
        <w:rPr>
          <w:rFonts w:hint="eastAsia"/>
          <w:sz w:val="28"/>
          <w:szCs w:val="28"/>
        </w:rPr>
        <w:t>支出决算数为2万元，此款项为其他组织事务支出上年结转数。</w:t>
      </w:r>
    </w:p>
    <w:p>
      <w:pPr>
        <w:pStyle w:val="11"/>
        <w:ind w:firstLine="560" w:firstLineChars="200"/>
        <w:rPr>
          <w:rFonts w:hint="eastAsia"/>
          <w:sz w:val="28"/>
          <w:szCs w:val="28"/>
        </w:rPr>
      </w:pPr>
      <w:r>
        <w:rPr>
          <w:rFonts w:hint="eastAsia" w:ascii="仿宋" w:eastAsia="仿宋"/>
          <w:sz w:val="28"/>
          <w:szCs w:val="28"/>
        </w:rPr>
        <w:t>2.培训支出</w:t>
      </w:r>
      <w:r>
        <w:rPr>
          <w:rFonts w:hint="eastAsia"/>
          <w:b/>
          <w:sz w:val="28"/>
          <w:szCs w:val="28"/>
        </w:rPr>
        <w:t>（类）</w:t>
      </w:r>
      <w:r>
        <w:rPr>
          <w:rFonts w:hint="eastAsia" w:ascii="仿宋" w:eastAsia="仿宋"/>
          <w:sz w:val="28"/>
          <w:szCs w:val="28"/>
        </w:rPr>
        <w:t>205</w:t>
      </w:r>
      <w:r>
        <w:rPr>
          <w:rFonts w:hint="eastAsia"/>
          <w:b/>
          <w:sz w:val="28"/>
          <w:szCs w:val="28"/>
        </w:rPr>
        <w:t>（款）</w:t>
      </w:r>
      <w:r>
        <w:rPr>
          <w:rFonts w:hint="eastAsia" w:ascii="仿宋" w:eastAsia="仿宋"/>
          <w:sz w:val="28"/>
          <w:szCs w:val="28"/>
        </w:rPr>
        <w:t>08</w:t>
      </w:r>
      <w:r>
        <w:rPr>
          <w:rFonts w:hint="eastAsia"/>
          <w:b/>
          <w:sz w:val="28"/>
          <w:szCs w:val="28"/>
        </w:rPr>
        <w:t>（项）</w:t>
      </w:r>
      <w:r>
        <w:rPr>
          <w:rFonts w:hint="eastAsia" w:ascii="仿宋" w:eastAsia="仿宋"/>
          <w:sz w:val="28"/>
          <w:szCs w:val="28"/>
        </w:rPr>
        <w:t>03：</w:t>
      </w:r>
      <w:r>
        <w:rPr>
          <w:rFonts w:hint="eastAsia"/>
          <w:sz w:val="28"/>
          <w:szCs w:val="28"/>
        </w:rPr>
        <w:t>支出决算数为4.7万元，此款项为其他组织事务支出上年结转数。</w:t>
      </w:r>
    </w:p>
    <w:p>
      <w:pPr>
        <w:pStyle w:val="11"/>
        <w:ind w:firstLine="560" w:firstLineChars="200"/>
        <w:rPr>
          <w:sz w:val="28"/>
          <w:szCs w:val="28"/>
        </w:rPr>
      </w:pPr>
      <w:r>
        <w:rPr>
          <w:rFonts w:hint="eastAsia"/>
          <w:sz w:val="28"/>
          <w:szCs w:val="28"/>
        </w:rPr>
        <w:t xml:space="preserve">3. </w:t>
      </w:r>
      <w:r>
        <w:rPr>
          <w:rFonts w:hint="eastAsia"/>
          <w:b/>
          <w:sz w:val="28"/>
          <w:szCs w:val="28"/>
        </w:rPr>
        <w:t>社会保障和就业（类）208（款）05（项）05:</w:t>
      </w:r>
      <w:r>
        <w:rPr>
          <w:rFonts w:hint="eastAsia"/>
          <w:sz w:val="28"/>
          <w:szCs w:val="28"/>
        </w:rPr>
        <w:t>支出决算数为55.7元，完成预算100%；</w:t>
      </w:r>
      <w:r>
        <w:rPr>
          <w:rFonts w:hint="eastAsia"/>
          <w:b/>
          <w:sz w:val="28"/>
          <w:szCs w:val="28"/>
        </w:rPr>
        <w:t>社会保障和就业（类）208（款）05（项）06:</w:t>
      </w:r>
      <w:r>
        <w:rPr>
          <w:rFonts w:hint="eastAsia"/>
          <w:sz w:val="28"/>
          <w:szCs w:val="28"/>
        </w:rPr>
        <w:t>支出决算数为26.19万元，完成预算100%。</w:t>
      </w:r>
      <w:r>
        <w:rPr>
          <w:rFonts w:hint="eastAsia"/>
          <w:sz w:val="28"/>
          <w:szCs w:val="28"/>
        </w:rPr>
        <w:br w:type="textWrapping"/>
      </w:r>
      <w:r>
        <w:rPr>
          <w:rFonts w:hint="eastAsia"/>
          <w:sz w:val="28"/>
          <w:szCs w:val="28"/>
        </w:rPr>
        <w:t>　　4.</w:t>
      </w:r>
      <w:r>
        <w:rPr>
          <w:rFonts w:hint="eastAsia"/>
          <w:b/>
          <w:sz w:val="28"/>
          <w:szCs w:val="28"/>
        </w:rPr>
        <w:t>医疗卫生与计划生育（类）210（款）11（项）01:</w:t>
      </w:r>
      <w:r>
        <w:rPr>
          <w:rFonts w:hint="eastAsia"/>
          <w:sz w:val="28"/>
          <w:szCs w:val="28"/>
        </w:rPr>
        <w:t>支出决算数为38.66万元，完成预算100%。</w:t>
      </w:r>
      <w:r>
        <w:rPr>
          <w:rFonts w:hint="eastAsia"/>
          <w:sz w:val="28"/>
          <w:szCs w:val="28"/>
        </w:rPr>
        <w:br w:type="textWrapping"/>
      </w:r>
      <w:r>
        <w:rPr>
          <w:rFonts w:hint="eastAsia"/>
          <w:sz w:val="28"/>
          <w:szCs w:val="28"/>
        </w:rPr>
        <w:t xml:space="preserve">   5.</w:t>
      </w:r>
      <w:r>
        <w:rPr>
          <w:rFonts w:hint="eastAsia"/>
          <w:b/>
          <w:sz w:val="28"/>
          <w:szCs w:val="28"/>
        </w:rPr>
        <w:t xml:space="preserve"> 住房保障支出（类）221（款）02（项）01：</w:t>
      </w:r>
      <w:r>
        <w:rPr>
          <w:rFonts w:hint="eastAsia"/>
          <w:sz w:val="28"/>
          <w:szCs w:val="28"/>
        </w:rPr>
        <w:t>支出决算数为60.49万元，完成预算100%。</w:t>
      </w:r>
    </w:p>
    <w:p>
      <w:pPr>
        <w:pStyle w:val="11"/>
        <w:ind w:firstLine="560" w:firstLineChars="200"/>
        <w:rPr>
          <w:rFonts w:ascii="仿宋" w:hAnsi="仿宋" w:eastAsia="仿宋"/>
          <w:b/>
          <w:bCs/>
          <w:sz w:val="28"/>
          <w:szCs w:val="28"/>
        </w:rPr>
      </w:pPr>
      <w:bookmarkStart w:id="36" w:name="_Toc15377214"/>
      <w:bookmarkStart w:id="37" w:name="_Toc15396608"/>
      <w:r>
        <w:rPr>
          <w:rFonts w:hint="eastAsia" w:ascii="仿宋" w:hAnsi="仿宋" w:eastAsia="仿宋"/>
          <w:sz w:val="28"/>
          <w:szCs w:val="28"/>
        </w:rPr>
        <w:t>六、一</w:t>
      </w:r>
      <w:r>
        <w:rPr>
          <w:rFonts w:hint="eastAsia" w:ascii="仿宋" w:hAnsi="仿宋" w:eastAsia="仿宋"/>
          <w:bCs/>
          <w:sz w:val="28"/>
          <w:szCs w:val="28"/>
        </w:rPr>
        <w:t>般公共预算财政拨款基本支出决算情况说明</w:t>
      </w:r>
      <w:bookmarkEnd w:id="36"/>
      <w:bookmarkEnd w:id="37"/>
    </w:p>
    <w:p>
      <w:pPr>
        <w:pStyle w:val="11"/>
        <w:ind w:firstLine="560" w:firstLineChars="200"/>
        <w:rPr>
          <w:rFonts w:ascii="仿宋" w:hAnsi="仿宋" w:eastAsia="仿宋"/>
          <w:sz w:val="28"/>
          <w:szCs w:val="28"/>
        </w:rPr>
      </w:pPr>
      <w:r>
        <w:rPr>
          <w:rFonts w:ascii="仿宋" w:hAnsi="仿宋" w:eastAsia="仿宋"/>
          <w:sz w:val="28"/>
          <w:szCs w:val="28"/>
        </w:rPr>
        <w:t>201</w:t>
      </w:r>
      <w:r>
        <w:rPr>
          <w:rFonts w:hint="eastAsia" w:ascii="仿宋" w:hAnsi="仿宋" w:eastAsia="仿宋"/>
          <w:sz w:val="28"/>
          <w:szCs w:val="28"/>
        </w:rPr>
        <w:t>9年一般公共预算财政拨款基本支出865.14万元，其中：</w:t>
      </w:r>
    </w:p>
    <w:p>
      <w:pPr>
        <w:pStyle w:val="11"/>
        <w:ind w:firstLine="560" w:firstLineChars="200"/>
        <w:rPr>
          <w:rFonts w:ascii="仿宋" w:hAnsi="仿宋" w:eastAsia="仿宋"/>
          <w:sz w:val="28"/>
          <w:szCs w:val="28"/>
        </w:rPr>
      </w:pPr>
      <w:r>
        <w:rPr>
          <w:rFonts w:hint="eastAsia" w:ascii="仿宋" w:hAnsi="仿宋" w:eastAsia="仿宋"/>
          <w:sz w:val="28"/>
          <w:szCs w:val="28"/>
        </w:rPr>
        <w:t>人员经费713.63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sz w:val="28"/>
          <w:szCs w:val="28"/>
        </w:rPr>
        <w:br w:type="textWrapping"/>
      </w:r>
      <w:r>
        <w:rPr>
          <w:rFonts w:hint="eastAsia" w:ascii="仿宋" w:hAnsi="仿宋" w:eastAsia="仿宋"/>
          <w:sz w:val="28"/>
          <w:szCs w:val="28"/>
        </w:rPr>
        <w:t>　　公用经费151.51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pStyle w:val="11"/>
        <w:ind w:firstLine="560" w:firstLineChars="200"/>
        <w:rPr>
          <w:rFonts w:ascii="仿宋" w:hAnsi="仿宋" w:eastAsia="仿宋"/>
          <w:bCs/>
          <w:sz w:val="28"/>
          <w:szCs w:val="28"/>
        </w:rPr>
      </w:pPr>
      <w:bookmarkStart w:id="38" w:name="_Toc15377215"/>
      <w:bookmarkStart w:id="39" w:name="_Toc15396609"/>
      <w:r>
        <w:rPr>
          <w:rFonts w:hint="eastAsia" w:ascii="仿宋" w:hAnsi="仿宋" w:eastAsia="仿宋"/>
          <w:sz w:val="28"/>
          <w:szCs w:val="28"/>
        </w:rPr>
        <w:t>七、</w:t>
      </w:r>
      <w:r>
        <w:rPr>
          <w:rFonts w:hint="eastAsia" w:ascii="仿宋" w:hAnsi="仿宋" w:eastAsia="仿宋"/>
          <w:b/>
          <w:bCs/>
          <w:sz w:val="28"/>
          <w:szCs w:val="28"/>
        </w:rPr>
        <w:t>“</w:t>
      </w:r>
      <w:r>
        <w:rPr>
          <w:rFonts w:hint="eastAsia" w:ascii="仿宋" w:hAnsi="仿宋" w:eastAsia="仿宋"/>
          <w:bCs/>
          <w:sz w:val="28"/>
          <w:szCs w:val="28"/>
        </w:rPr>
        <w:t>三公”经费财政拨款支出决算情况说明</w:t>
      </w:r>
      <w:bookmarkEnd w:id="38"/>
      <w:bookmarkEnd w:id="39"/>
    </w:p>
    <w:p>
      <w:pPr>
        <w:pStyle w:val="11"/>
        <w:ind w:firstLine="560" w:firstLineChars="200"/>
        <w:rPr>
          <w:rFonts w:ascii="仿宋" w:hAnsi="仿宋" w:eastAsia="仿宋"/>
          <w:sz w:val="28"/>
          <w:szCs w:val="28"/>
        </w:rPr>
      </w:pPr>
      <w:bookmarkStart w:id="40" w:name="_Toc15377216"/>
      <w:r>
        <w:rPr>
          <w:rFonts w:hint="eastAsia" w:ascii="仿宋" w:hAnsi="仿宋" w:eastAsia="仿宋"/>
          <w:sz w:val="28"/>
          <w:szCs w:val="28"/>
        </w:rPr>
        <w:t>（一）“三公”经费财政拨款支出决算总体情况说明</w:t>
      </w:r>
      <w:bookmarkEnd w:id="40"/>
    </w:p>
    <w:p>
      <w:pPr>
        <w:pStyle w:val="11"/>
        <w:ind w:firstLine="560" w:firstLineChars="200"/>
        <w:rPr>
          <w:rFonts w:ascii="仿宋" w:hAnsi="仿宋" w:eastAsia="仿宋"/>
          <w:sz w:val="28"/>
          <w:szCs w:val="28"/>
        </w:rPr>
      </w:pPr>
      <w:r>
        <w:rPr>
          <w:rFonts w:ascii="仿宋" w:hAnsi="仿宋" w:eastAsia="仿宋"/>
          <w:sz w:val="28"/>
          <w:szCs w:val="28"/>
        </w:rPr>
        <w:t>201</w:t>
      </w:r>
      <w:r>
        <w:rPr>
          <w:rFonts w:hint="eastAsia" w:ascii="仿宋" w:hAnsi="仿宋" w:eastAsia="仿宋"/>
          <w:sz w:val="28"/>
          <w:szCs w:val="28"/>
        </w:rPr>
        <w:t>9年“三公”经费财政拨款支出决算为38.13万元，完成预算100</w:t>
      </w:r>
      <w:r>
        <w:rPr>
          <w:rFonts w:ascii="仿宋" w:hAnsi="仿宋" w:eastAsia="仿宋"/>
          <w:sz w:val="28"/>
          <w:szCs w:val="28"/>
        </w:rPr>
        <w:t>%</w:t>
      </w:r>
      <w:r>
        <w:rPr>
          <w:rFonts w:hint="eastAsia" w:ascii="仿宋" w:hAnsi="仿宋" w:eastAsia="仿宋"/>
          <w:sz w:val="28"/>
          <w:szCs w:val="28"/>
        </w:rPr>
        <w:t>。</w:t>
      </w:r>
    </w:p>
    <w:p>
      <w:pPr>
        <w:pStyle w:val="11"/>
        <w:ind w:firstLine="560" w:firstLineChars="200"/>
        <w:rPr>
          <w:rFonts w:ascii="仿宋" w:hAnsi="仿宋" w:eastAsia="仿宋"/>
          <w:sz w:val="28"/>
          <w:szCs w:val="28"/>
        </w:rPr>
      </w:pPr>
      <w:bookmarkStart w:id="41" w:name="_Toc15377217"/>
      <w:r>
        <w:rPr>
          <w:rFonts w:hint="eastAsia" w:ascii="仿宋" w:hAnsi="仿宋" w:eastAsia="仿宋"/>
          <w:sz w:val="28"/>
          <w:szCs w:val="28"/>
        </w:rPr>
        <w:t>（二）“三公”经费财政拨款支出决算具体情况说明</w:t>
      </w:r>
      <w:bookmarkEnd w:id="41"/>
    </w:p>
    <w:p>
      <w:pPr>
        <w:pStyle w:val="11"/>
        <w:ind w:firstLine="560" w:firstLineChars="200"/>
        <w:rPr>
          <w:rFonts w:ascii="仿宋" w:hAnsi="仿宋" w:eastAsia="仿宋"/>
          <w:sz w:val="28"/>
          <w:szCs w:val="28"/>
        </w:rPr>
      </w:pPr>
      <w:r>
        <w:rPr>
          <w:rFonts w:ascii="仿宋" w:hAnsi="仿宋" w:eastAsia="仿宋"/>
          <w:sz w:val="28"/>
          <w:szCs w:val="28"/>
        </w:rPr>
        <w:t>201</w:t>
      </w:r>
      <w:r>
        <w:rPr>
          <w:rFonts w:hint="eastAsia" w:ascii="仿宋" w:hAnsi="仿宋" w:eastAsia="仿宋"/>
          <w:sz w:val="28"/>
          <w:szCs w:val="28"/>
        </w:rPr>
        <w:t>8年“三公”经费财政拨款支出决算中，因公出国（境）费支出决算0万元；公务用车购置及运行维护费支出决算36.85万元，占100</w:t>
      </w:r>
      <w:r>
        <w:rPr>
          <w:rFonts w:ascii="仿宋" w:hAnsi="仿宋" w:eastAsia="仿宋"/>
          <w:sz w:val="28"/>
          <w:szCs w:val="28"/>
        </w:rPr>
        <w:t>%</w:t>
      </w:r>
      <w:r>
        <w:rPr>
          <w:rFonts w:hint="eastAsia" w:ascii="仿宋" w:hAnsi="仿宋" w:eastAsia="仿宋"/>
          <w:sz w:val="28"/>
          <w:szCs w:val="28"/>
        </w:rPr>
        <w:t>；公务接待费支出决算1.28万元。具体情况如下：</w:t>
      </w:r>
    </w:p>
    <w:p>
      <w:pPr>
        <w:pStyle w:val="11"/>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因公出国（境）经费支出0万元</w:t>
      </w:r>
      <w:r>
        <w:rPr>
          <w:rFonts w:hint="eastAsia"/>
          <w:sz w:val="28"/>
          <w:szCs w:val="28"/>
        </w:rPr>
        <w:t>。</w:t>
      </w:r>
      <w:r>
        <w:rPr>
          <w:rFonts w:hint="eastAsia" w:ascii="仿宋" w:hAnsi="仿宋" w:eastAsia="仿宋"/>
          <w:sz w:val="28"/>
          <w:szCs w:val="28"/>
        </w:rPr>
        <w:t>全年安排因公出国（境）团组0次，出国（境）0人。因公出国（境）支出决算与</w:t>
      </w:r>
      <w:r>
        <w:rPr>
          <w:rFonts w:ascii="仿宋" w:hAnsi="仿宋" w:eastAsia="仿宋"/>
          <w:sz w:val="28"/>
          <w:szCs w:val="28"/>
        </w:rPr>
        <w:t>201</w:t>
      </w:r>
      <w:r>
        <w:rPr>
          <w:rFonts w:hint="eastAsia" w:ascii="仿宋" w:hAnsi="仿宋" w:eastAsia="仿宋"/>
          <w:sz w:val="28"/>
          <w:szCs w:val="28"/>
        </w:rPr>
        <w:t>7年持平。</w:t>
      </w:r>
    </w:p>
    <w:p>
      <w:pPr>
        <w:pStyle w:val="11"/>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公务用车购置及运行维护费支出36.85万元,</w:t>
      </w:r>
      <w:r>
        <w:rPr>
          <w:rFonts w:hint="eastAsia"/>
          <w:sz w:val="28"/>
          <w:szCs w:val="28"/>
        </w:rPr>
        <w:t>完成预算99.6</w:t>
      </w:r>
      <w:r>
        <w:rPr>
          <w:sz w:val="28"/>
          <w:szCs w:val="28"/>
        </w:rPr>
        <w:t>%</w:t>
      </w:r>
      <w:r>
        <w:rPr>
          <w:rFonts w:hint="eastAsia"/>
          <w:sz w:val="28"/>
          <w:szCs w:val="28"/>
        </w:rPr>
        <w:t>。</w:t>
      </w:r>
      <w:r>
        <w:rPr>
          <w:rFonts w:hint="eastAsia" w:ascii="仿宋" w:hAnsi="仿宋" w:eastAsia="仿宋"/>
          <w:sz w:val="28"/>
          <w:szCs w:val="28"/>
        </w:rPr>
        <w:t>公务用车购置及运行维护费支出决算比</w:t>
      </w:r>
      <w:r>
        <w:rPr>
          <w:rFonts w:ascii="仿宋" w:hAnsi="仿宋" w:eastAsia="仿宋"/>
          <w:sz w:val="28"/>
          <w:szCs w:val="28"/>
        </w:rPr>
        <w:t>201</w:t>
      </w:r>
      <w:r>
        <w:rPr>
          <w:rFonts w:hint="eastAsia" w:ascii="仿宋" w:hAnsi="仿宋" w:eastAsia="仿宋"/>
          <w:sz w:val="28"/>
          <w:szCs w:val="28"/>
        </w:rPr>
        <w:t>8年增加0.65万元，1.76%。主要原因是工作任务加重，公务用车开支的增加。</w:t>
      </w:r>
    </w:p>
    <w:p>
      <w:pPr>
        <w:pStyle w:val="11"/>
        <w:ind w:firstLine="560" w:firstLineChars="200"/>
        <w:rPr>
          <w:rFonts w:ascii="仿宋" w:hAnsi="仿宋" w:eastAsia="仿宋"/>
          <w:sz w:val="28"/>
          <w:szCs w:val="28"/>
        </w:rPr>
      </w:pPr>
      <w:r>
        <w:rPr>
          <w:rFonts w:hint="eastAsia" w:ascii="仿宋" w:hAnsi="仿宋" w:eastAsia="仿宋"/>
          <w:sz w:val="28"/>
          <w:szCs w:val="28"/>
        </w:rPr>
        <w:t>其中：公务用车购置支出0万元。</w:t>
      </w:r>
    </w:p>
    <w:p>
      <w:pPr>
        <w:pStyle w:val="11"/>
        <w:ind w:firstLine="560" w:firstLineChars="200"/>
        <w:rPr>
          <w:rFonts w:ascii="仿宋" w:hAnsi="仿宋" w:eastAsia="仿宋"/>
          <w:sz w:val="28"/>
          <w:szCs w:val="28"/>
        </w:rPr>
      </w:pPr>
      <w:r>
        <w:rPr>
          <w:rFonts w:hint="eastAsia" w:ascii="仿宋" w:hAnsi="仿宋" w:eastAsia="仿宋"/>
          <w:sz w:val="28"/>
          <w:szCs w:val="28"/>
        </w:rPr>
        <w:t>公务用车运行维护费支出36.85万元。主要用于监督执纪问责等所需的公务用车燃料费、维修费、过路过桥费、保险费等支出。</w:t>
      </w:r>
    </w:p>
    <w:p>
      <w:pPr>
        <w:pStyle w:val="11"/>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公务接待费支出1.28万元，</w:t>
      </w:r>
      <w:r>
        <w:rPr>
          <w:rFonts w:hint="eastAsia"/>
          <w:sz w:val="28"/>
          <w:szCs w:val="28"/>
        </w:rPr>
        <w:t>完成预算25.6</w:t>
      </w:r>
      <w:r>
        <w:rPr>
          <w:sz w:val="28"/>
          <w:szCs w:val="28"/>
        </w:rPr>
        <w:t>%</w:t>
      </w:r>
      <w:r>
        <w:rPr>
          <w:rFonts w:hint="eastAsia"/>
          <w:sz w:val="28"/>
          <w:szCs w:val="28"/>
        </w:rPr>
        <w:t>。</w:t>
      </w:r>
      <w:r>
        <w:rPr>
          <w:rFonts w:hint="eastAsia" w:ascii="仿宋" w:hAnsi="仿宋" w:eastAsia="仿宋"/>
          <w:sz w:val="28"/>
          <w:szCs w:val="28"/>
        </w:rPr>
        <w:t>公务接待费支出决算比</w:t>
      </w:r>
      <w:r>
        <w:rPr>
          <w:rFonts w:ascii="仿宋" w:hAnsi="仿宋" w:eastAsia="仿宋"/>
          <w:sz w:val="28"/>
          <w:szCs w:val="28"/>
        </w:rPr>
        <w:t>201</w:t>
      </w:r>
      <w:r>
        <w:rPr>
          <w:rFonts w:hint="eastAsia" w:ascii="仿宋" w:hAnsi="仿宋" w:eastAsia="仿宋"/>
          <w:sz w:val="28"/>
          <w:szCs w:val="28"/>
        </w:rPr>
        <w:t>8年增加1.28万元，25.6%。</w:t>
      </w:r>
    </w:p>
    <w:p>
      <w:pPr>
        <w:pStyle w:val="11"/>
        <w:ind w:firstLine="560" w:firstLineChars="200"/>
        <w:rPr>
          <w:rFonts w:ascii="仿宋" w:hAnsi="仿宋" w:eastAsia="仿宋"/>
          <w:b/>
          <w:bCs/>
          <w:sz w:val="28"/>
          <w:szCs w:val="28"/>
        </w:rPr>
      </w:pPr>
      <w:bookmarkStart w:id="42" w:name="_Toc15377218"/>
      <w:bookmarkStart w:id="43" w:name="_Toc15396610"/>
      <w:r>
        <w:rPr>
          <w:rFonts w:hint="eastAsia" w:ascii="仿宋" w:hAnsi="仿宋" w:eastAsia="仿宋"/>
          <w:sz w:val="28"/>
          <w:szCs w:val="28"/>
        </w:rPr>
        <w:t>八、</w:t>
      </w:r>
      <w:r>
        <w:rPr>
          <w:rFonts w:hint="eastAsia" w:ascii="仿宋" w:hAnsi="仿宋" w:eastAsia="仿宋"/>
          <w:bCs/>
          <w:sz w:val="28"/>
          <w:szCs w:val="28"/>
        </w:rPr>
        <w:t>政府性基金预算支出决算情况说明</w:t>
      </w:r>
      <w:bookmarkEnd w:id="42"/>
      <w:bookmarkEnd w:id="43"/>
    </w:p>
    <w:p>
      <w:pPr>
        <w:pStyle w:val="11"/>
        <w:ind w:firstLine="560" w:firstLineChars="200"/>
        <w:rPr>
          <w:rFonts w:ascii="仿宋" w:hAnsi="仿宋" w:eastAsia="仿宋"/>
          <w:sz w:val="28"/>
          <w:szCs w:val="28"/>
        </w:rPr>
      </w:pPr>
      <w:r>
        <w:rPr>
          <w:rFonts w:ascii="仿宋" w:hAnsi="仿宋" w:eastAsia="仿宋"/>
          <w:sz w:val="28"/>
          <w:szCs w:val="28"/>
        </w:rPr>
        <w:t>201</w:t>
      </w:r>
      <w:r>
        <w:rPr>
          <w:rFonts w:hint="eastAsia" w:ascii="仿宋" w:hAnsi="仿宋" w:eastAsia="仿宋"/>
          <w:sz w:val="28"/>
          <w:szCs w:val="28"/>
        </w:rPr>
        <w:t>9年政府性基金预算拨款支出0万元。</w:t>
      </w:r>
    </w:p>
    <w:p>
      <w:pPr>
        <w:pStyle w:val="11"/>
        <w:ind w:firstLine="560" w:firstLineChars="200"/>
        <w:rPr>
          <w:rFonts w:ascii="仿宋" w:hAnsi="仿宋" w:eastAsia="仿宋"/>
          <w:bCs/>
          <w:sz w:val="28"/>
          <w:szCs w:val="28"/>
        </w:rPr>
      </w:pPr>
      <w:bookmarkStart w:id="44" w:name="_Toc15377219"/>
      <w:bookmarkStart w:id="45" w:name="_Toc15396611"/>
      <w:r>
        <w:rPr>
          <w:rFonts w:hint="eastAsia" w:ascii="仿宋" w:hAnsi="仿宋" w:eastAsia="仿宋"/>
          <w:bCs/>
          <w:sz w:val="28"/>
          <w:szCs w:val="28"/>
        </w:rPr>
        <w:t>国有资本经营预算支出决算情况说明</w:t>
      </w:r>
      <w:bookmarkEnd w:id="44"/>
      <w:bookmarkEnd w:id="45"/>
    </w:p>
    <w:p>
      <w:pPr>
        <w:pStyle w:val="11"/>
        <w:ind w:firstLine="560" w:firstLineChars="200"/>
        <w:rPr>
          <w:rFonts w:ascii="仿宋" w:hAnsi="仿宋" w:eastAsia="仿宋"/>
          <w:sz w:val="28"/>
          <w:szCs w:val="28"/>
        </w:rPr>
      </w:pPr>
      <w:r>
        <w:rPr>
          <w:rFonts w:ascii="仿宋" w:hAnsi="仿宋" w:eastAsia="仿宋"/>
          <w:sz w:val="28"/>
          <w:szCs w:val="28"/>
        </w:rPr>
        <w:t>201</w:t>
      </w:r>
      <w:r>
        <w:rPr>
          <w:rFonts w:hint="eastAsia" w:ascii="仿宋" w:hAnsi="仿宋" w:eastAsia="仿宋"/>
          <w:sz w:val="28"/>
          <w:szCs w:val="28"/>
        </w:rPr>
        <w:t>9年国有资本经营预算拨款支出0万元。</w:t>
      </w:r>
    </w:p>
    <w:p>
      <w:pPr>
        <w:pStyle w:val="11"/>
        <w:ind w:firstLine="560" w:firstLineChars="200"/>
        <w:rPr>
          <w:rFonts w:ascii="仿宋" w:hAnsi="仿宋" w:eastAsia="仿宋"/>
          <w:bCs/>
          <w:sz w:val="28"/>
          <w:szCs w:val="28"/>
        </w:rPr>
      </w:pPr>
      <w:r>
        <w:rPr>
          <w:rFonts w:hint="eastAsia" w:ascii="仿宋" w:hAnsi="仿宋" w:eastAsia="仿宋"/>
          <w:bCs/>
          <w:sz w:val="28"/>
          <w:szCs w:val="28"/>
        </w:rPr>
        <w:t>预算绩效情况说明</w:t>
      </w:r>
    </w:p>
    <w:p>
      <w:pPr>
        <w:pStyle w:val="11"/>
        <w:ind w:firstLine="560" w:firstLineChars="200"/>
        <w:rPr>
          <w:rFonts w:ascii="仿宋" w:hAnsi="仿宋" w:eastAsia="仿宋"/>
          <w:sz w:val="28"/>
          <w:szCs w:val="28"/>
        </w:rPr>
      </w:pPr>
      <w:r>
        <w:rPr>
          <w:rFonts w:hint="eastAsia" w:ascii="仿宋" w:hAnsi="仿宋" w:eastAsia="仿宋"/>
          <w:sz w:val="28"/>
          <w:szCs w:val="28"/>
        </w:rPr>
        <w:t>预算绩效管理工作开展情况。</w:t>
      </w:r>
    </w:p>
    <w:p>
      <w:pPr>
        <w:pStyle w:val="11"/>
        <w:ind w:firstLine="560" w:firstLineChars="200"/>
        <w:rPr>
          <w:rFonts w:ascii="仿宋" w:hAnsi="仿宋" w:eastAsia="仿宋"/>
          <w:sz w:val="28"/>
          <w:szCs w:val="28"/>
        </w:rPr>
      </w:pPr>
      <w:r>
        <w:rPr>
          <w:rFonts w:hint="eastAsia" w:ascii="仿宋" w:hAnsi="仿宋" w:eastAsia="仿宋"/>
          <w:sz w:val="28"/>
          <w:szCs w:val="28"/>
        </w:rPr>
        <w:t>根据预算绩效管理要求，本单位在年初预算编制阶段，组织对各个项目开展了预算事前绩效评估，对4个项目编制了绩效目标，预算执行过程中，选取2个项目开展绩效监控，年终执行完毕后，对2个项目开展了绩效目标完成情况梳理填报。</w:t>
      </w:r>
    </w:p>
    <w:p>
      <w:pPr>
        <w:pStyle w:val="11"/>
        <w:ind w:firstLine="560" w:firstLineChars="200"/>
        <w:rPr>
          <w:rFonts w:ascii="仿宋" w:hAnsi="仿宋" w:eastAsia="仿宋"/>
          <w:sz w:val="28"/>
          <w:szCs w:val="28"/>
        </w:rPr>
      </w:pPr>
      <w:r>
        <w:rPr>
          <w:rFonts w:hint="eastAsia" w:ascii="仿宋" w:hAnsi="仿宋" w:eastAsia="仿宋"/>
          <w:sz w:val="28"/>
          <w:szCs w:val="28"/>
        </w:rPr>
        <w:t>本单位按要求对2019年部门整体支出开展绩效自评，从评价情况来看全年经费收支保障了单位的正常运转。</w:t>
      </w:r>
    </w:p>
    <w:p>
      <w:pPr>
        <w:pStyle w:val="11"/>
        <w:ind w:firstLine="560" w:firstLineChars="200"/>
        <w:rPr>
          <w:rFonts w:ascii="仿宋" w:hAnsi="仿宋" w:eastAsia="仿宋"/>
          <w:sz w:val="28"/>
          <w:szCs w:val="28"/>
        </w:rPr>
      </w:pPr>
      <w:r>
        <w:rPr>
          <w:rFonts w:hint="eastAsia" w:ascii="仿宋" w:hAnsi="仿宋" w:eastAsia="仿宋"/>
          <w:sz w:val="28"/>
          <w:szCs w:val="28"/>
        </w:rPr>
        <w:t>项目绩效目标完成情况。</w:t>
      </w:r>
      <w:r>
        <w:rPr>
          <w:rFonts w:hint="eastAsia" w:ascii="仿宋" w:hAnsi="仿宋" w:eastAsia="仿宋"/>
          <w:sz w:val="28"/>
          <w:szCs w:val="28"/>
        </w:rPr>
        <w:br w:type="textWrapping"/>
      </w:r>
      <w:r>
        <w:rPr>
          <w:rFonts w:hint="eastAsia" w:ascii="仿宋" w:hAnsi="仿宋" w:eastAsia="仿宋"/>
          <w:sz w:val="28"/>
          <w:szCs w:val="28"/>
        </w:rPr>
        <w:t xml:space="preserve">    本单位在2019年度部门决算中反映“大案要案查处</w:t>
      </w:r>
      <w:r>
        <w:rPr>
          <w:rFonts w:ascii="仿宋" w:hAnsi="仿宋" w:eastAsia="仿宋"/>
          <w:sz w:val="28"/>
          <w:szCs w:val="28"/>
        </w:rPr>
        <w:t>”</w:t>
      </w:r>
      <w:r>
        <w:rPr>
          <w:rFonts w:hint="eastAsia" w:ascii="仿宋" w:hAnsi="仿宋" w:eastAsia="仿宋"/>
          <w:sz w:val="28"/>
          <w:szCs w:val="28"/>
        </w:rPr>
        <w:t>、“派驻派出机构</w:t>
      </w:r>
      <w:r>
        <w:rPr>
          <w:rFonts w:ascii="仿宋" w:hAnsi="仿宋" w:eastAsia="仿宋"/>
          <w:sz w:val="28"/>
          <w:szCs w:val="28"/>
        </w:rPr>
        <w:t>”</w:t>
      </w:r>
      <w:r>
        <w:rPr>
          <w:rFonts w:hint="eastAsia" w:ascii="仿宋" w:hAnsi="仿宋" w:eastAsia="仿宋"/>
          <w:sz w:val="28"/>
          <w:szCs w:val="28"/>
        </w:rPr>
        <w:t>、“其他纪检监察事务支出”、“其他支出”4个项目绩效目标实际完成情况。</w:t>
      </w:r>
    </w:p>
    <w:p>
      <w:pPr>
        <w:pStyle w:val="11"/>
        <w:ind w:firstLine="560" w:firstLineChars="200"/>
        <w:rPr>
          <w:rFonts w:ascii="仿宋" w:hAnsi="仿宋" w:eastAsia="仿宋"/>
          <w:sz w:val="28"/>
          <w:szCs w:val="28"/>
        </w:rPr>
      </w:pPr>
      <w:r>
        <w:rPr>
          <w:rFonts w:hint="eastAsia" w:ascii="仿宋" w:hAnsi="仿宋" w:eastAsia="仿宋"/>
          <w:sz w:val="28"/>
          <w:szCs w:val="28"/>
        </w:rPr>
        <w:t>“大案要案查处</w:t>
      </w:r>
      <w:r>
        <w:rPr>
          <w:rFonts w:ascii="仿宋" w:hAnsi="仿宋" w:eastAsia="仿宋"/>
          <w:sz w:val="28"/>
          <w:szCs w:val="28"/>
        </w:rPr>
        <w:t>”</w:t>
      </w:r>
      <w:r>
        <w:rPr>
          <w:rFonts w:hint="eastAsia" w:ascii="仿宋" w:hAnsi="仿宋" w:eastAsia="仿宋"/>
          <w:sz w:val="28"/>
          <w:szCs w:val="28"/>
        </w:rPr>
        <w:t>项目绩效目标完成情况综述。项目全年预算数60万元，执行数为57.49万元，完成预算的95.82%。通过项目实施，保障了案件查处所需的各项支出。</w:t>
      </w:r>
    </w:p>
    <w:p>
      <w:pPr>
        <w:pStyle w:val="11"/>
        <w:ind w:firstLine="560" w:firstLineChars="200"/>
        <w:rPr>
          <w:rFonts w:ascii="仿宋" w:hAnsi="仿宋" w:eastAsia="仿宋"/>
          <w:sz w:val="28"/>
          <w:szCs w:val="28"/>
        </w:rPr>
      </w:pPr>
      <w:r>
        <w:rPr>
          <w:rFonts w:hint="eastAsia" w:ascii="仿宋" w:hAnsi="仿宋" w:eastAsia="仿宋"/>
          <w:sz w:val="28"/>
          <w:szCs w:val="28"/>
        </w:rPr>
        <w:t>“派驻派出机构</w:t>
      </w:r>
      <w:r>
        <w:rPr>
          <w:rFonts w:ascii="仿宋" w:hAnsi="仿宋" w:eastAsia="仿宋"/>
          <w:sz w:val="28"/>
          <w:szCs w:val="28"/>
        </w:rPr>
        <w:t>”</w:t>
      </w:r>
      <w:r>
        <w:rPr>
          <w:rFonts w:hint="eastAsia" w:ascii="仿宋" w:hAnsi="仿宋" w:eastAsia="仿宋"/>
          <w:sz w:val="28"/>
          <w:szCs w:val="28"/>
        </w:rPr>
        <w:t>项目绩效目标完成情况综述。项目全年预算数5万元，执行数为5万元，完成预算的100%。通过项目实施，保障了派驻机构的正常日常运行。</w:t>
      </w:r>
    </w:p>
    <w:p>
      <w:pPr>
        <w:pStyle w:val="11"/>
        <w:ind w:firstLine="560" w:firstLineChars="200"/>
        <w:rPr>
          <w:rFonts w:ascii="仿宋" w:hAnsi="仿宋" w:eastAsia="仿宋"/>
          <w:sz w:val="28"/>
          <w:szCs w:val="28"/>
        </w:rPr>
      </w:pPr>
      <w:r>
        <w:rPr>
          <w:rFonts w:hint="eastAsia" w:ascii="仿宋" w:hAnsi="仿宋" w:eastAsia="仿宋"/>
          <w:sz w:val="28"/>
          <w:szCs w:val="28"/>
        </w:rPr>
        <w:t>“基层党建经费”项目绩效目标完成情况综述。项目上年结转结余数2万元，执行数为2万元。通过项目实施，保障了基层党建工作的开展。</w:t>
      </w:r>
    </w:p>
    <w:p>
      <w:pPr>
        <w:pStyle w:val="11"/>
        <w:ind w:firstLine="560" w:firstLineChars="200"/>
        <w:rPr>
          <w:rFonts w:ascii="仿宋" w:hAnsi="仿宋" w:eastAsia="仿宋"/>
          <w:sz w:val="28"/>
          <w:szCs w:val="28"/>
        </w:rPr>
      </w:pPr>
    </w:p>
    <w:tbl>
      <w:tblPr>
        <w:tblStyle w:val="12"/>
        <w:tblpPr w:leftFromText="180" w:rightFromText="180" w:vertAnchor="text" w:horzAnchor="page" w:tblpXSpec="center" w:tblpY="423"/>
        <w:tblOverlap w:val="never"/>
        <w:tblW w:w="0" w:type="auto"/>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11"/>
              <w:ind w:firstLine="560" w:firstLineChars="200"/>
              <w:rPr>
                <w:rFonts w:ascii="仿宋" w:hAnsi="仿宋" w:eastAsia="仿宋"/>
                <w:sz w:val="28"/>
                <w:szCs w:val="28"/>
              </w:rPr>
            </w:pPr>
            <w:r>
              <w:rPr>
                <w:rFonts w:hint="eastAsia" w:ascii="仿宋" w:hAnsi="仿宋" w:eastAsia="仿宋"/>
                <w:sz w:val="28"/>
                <w:szCs w:val="28"/>
              </w:rPr>
              <w:t>项目支出绩效目标完成情况表</w:t>
            </w:r>
            <w:r>
              <w:rPr>
                <w:rFonts w:hint="eastAsia" w:ascii="仿宋" w:hAnsi="仿宋" w:eastAsia="仿宋"/>
                <w:sz w:val="28"/>
                <w:szCs w:val="28"/>
              </w:rPr>
              <w:br w:type="textWrapping"/>
            </w:r>
            <w:r>
              <w:rPr>
                <w:rFonts w:hint="eastAsia" w:ascii="仿宋" w:hAnsi="仿宋" w:eastAsia="仿宋"/>
                <w:sz w:val="28"/>
                <w:szCs w:val="28"/>
              </w:rPr>
              <w:t>(2019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r>
              <w:rPr>
                <w:rFonts w:hint="eastAsia" w:ascii="仿宋" w:hAnsi="仿宋" w:eastAsia="仿宋"/>
                <w:sz w:val="28"/>
                <w:szCs w:val="28"/>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r>
              <w:rPr>
                <w:rFonts w:hint="eastAsia" w:ascii="仿宋" w:hAnsi="仿宋" w:eastAsia="仿宋"/>
                <w:sz w:val="28"/>
                <w:szCs w:val="28"/>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r>
              <w:rPr>
                <w:rFonts w:hint="eastAsia" w:ascii="仿宋" w:hAnsi="仿宋" w:eastAsia="仿宋"/>
                <w:sz w:val="28"/>
                <w:szCs w:val="28"/>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r>
              <w:rPr>
                <w:rFonts w:hint="eastAsia" w:ascii="仿宋" w:hAnsi="仿宋" w:eastAsia="仿宋"/>
                <w:sz w:val="28"/>
                <w:szCs w:val="28"/>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r>
              <w:rPr>
                <w:rFonts w:hint="eastAsia" w:ascii="仿宋" w:hAnsi="仿宋" w:eastAsia="仿宋"/>
                <w:sz w:val="28"/>
                <w:szCs w:val="28"/>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r>
      <w:tr>
        <w:tblPrEx>
          <w:tblCellMar>
            <w:top w:w="0" w:type="dxa"/>
            <w:left w:w="0" w:type="dxa"/>
            <w:bottom w:w="0" w:type="dxa"/>
            <w:right w:w="0" w:type="dxa"/>
          </w:tblCellMar>
        </w:tblPrEx>
        <w:trPr>
          <w:trHeight w:val="276"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pStyle w:val="11"/>
              <w:ind w:firstLine="560" w:firstLineChars="200"/>
              <w:rPr>
                <w:rFonts w:ascii="仿宋" w:hAnsi="仿宋" w:eastAsia="仿宋"/>
                <w:sz w:val="28"/>
                <w:szCs w:val="28"/>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r>
              <w:rPr>
                <w:rFonts w:hint="eastAsia" w:ascii="仿宋" w:hAnsi="仿宋" w:eastAsia="仿宋"/>
                <w:sz w:val="28"/>
                <w:szCs w:val="28"/>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r>
              <w:rPr>
                <w:rFonts w:hint="eastAsia" w:ascii="仿宋" w:hAnsi="仿宋" w:eastAsia="仿宋"/>
                <w:sz w:val="28"/>
                <w:szCs w:val="28"/>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r>
      <w:tr>
        <w:tblPrEx>
          <w:tblCellMar>
            <w:top w:w="0" w:type="dxa"/>
            <w:left w:w="0" w:type="dxa"/>
            <w:bottom w:w="0" w:type="dxa"/>
            <w:right w:w="0" w:type="dxa"/>
          </w:tblCellMar>
        </w:tblPrEx>
        <w:trPr>
          <w:trHeight w:val="1511"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pStyle w:val="11"/>
              <w:ind w:firstLine="560" w:firstLineChars="200"/>
              <w:rPr>
                <w:rFonts w:ascii="仿宋" w:hAnsi="仿宋" w:eastAsia="仿宋"/>
                <w:sz w:val="28"/>
                <w:szCs w:val="28"/>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r>
              <w:rPr>
                <w:rFonts w:hint="eastAsia" w:ascii="仿宋" w:hAnsi="仿宋" w:eastAsia="仿宋"/>
                <w:sz w:val="28"/>
                <w:szCs w:val="28"/>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r>
              <w:rPr>
                <w:rFonts w:hint="eastAsia" w:ascii="仿宋" w:hAnsi="仿宋" w:eastAsia="仿宋"/>
                <w:sz w:val="28"/>
                <w:szCs w:val="28"/>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r>
              <w:rPr>
                <w:rFonts w:hint="eastAsia" w:ascii="仿宋" w:hAnsi="仿宋" w:eastAsia="仿宋"/>
                <w:sz w:val="28"/>
                <w:szCs w:val="28"/>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r>
              <w:rPr>
                <w:rFonts w:hint="eastAsia" w:ascii="仿宋" w:hAnsi="仿宋" w:eastAsia="仿宋"/>
                <w:sz w:val="28"/>
                <w:szCs w:val="28"/>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r>
              <w:rPr>
                <w:rFonts w:hint="eastAsia" w:ascii="仿宋" w:hAnsi="仿宋" w:eastAsia="仿宋"/>
                <w:sz w:val="28"/>
                <w:szCs w:val="28"/>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r>
              <w:rPr>
                <w:rFonts w:hint="eastAsia" w:ascii="仿宋" w:hAnsi="仿宋" w:eastAsia="仿宋"/>
                <w:sz w:val="28"/>
                <w:szCs w:val="28"/>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r>
              <w:rPr>
                <w:rFonts w:hint="eastAsia" w:ascii="仿宋" w:hAnsi="仿宋" w:eastAsia="仿宋"/>
                <w:sz w:val="28"/>
                <w:szCs w:val="28"/>
              </w:rPr>
              <w:t>实际完成目标</w:t>
            </w:r>
          </w:p>
        </w:tc>
      </w:tr>
      <w:tr>
        <w:tblPrEx>
          <w:tblCellMar>
            <w:top w:w="0" w:type="dxa"/>
            <w:left w:w="0" w:type="dxa"/>
            <w:bottom w:w="0" w:type="dxa"/>
            <w:right w:w="0" w:type="dxa"/>
          </w:tblCellMar>
        </w:tblPrEx>
        <w:trPr>
          <w:trHeight w:val="1159"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pStyle w:val="11"/>
              <w:ind w:firstLine="560" w:firstLineChars="200"/>
              <w:rPr>
                <w:rFonts w:ascii="仿宋" w:hAnsi="仿宋" w:eastAsia="仿宋"/>
                <w:sz w:val="28"/>
                <w:szCs w:val="28"/>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r>
              <w:rPr>
                <w:rFonts w:hint="eastAsia" w:ascii="仿宋" w:hAnsi="仿宋" w:eastAsia="仿宋"/>
                <w:sz w:val="28"/>
                <w:szCs w:val="28"/>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r>
              <w:rPr>
                <w:rFonts w:hint="eastAsia" w:ascii="仿宋" w:hAnsi="仿宋" w:eastAsia="仿宋"/>
                <w:sz w:val="28"/>
                <w:szCs w:val="28"/>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r>
              <w:rPr>
                <w:rFonts w:hint="eastAsia" w:ascii="仿宋" w:hAnsi="仿宋" w:eastAsia="仿宋"/>
                <w:sz w:val="28"/>
                <w:szCs w:val="28"/>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r>
              <w:rPr>
                <w:rFonts w:hint="eastAsia" w:ascii="仿宋" w:hAnsi="仿宋" w:eastAsia="仿宋"/>
                <w:sz w:val="28"/>
                <w:szCs w:val="28"/>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r>
              <w:rPr>
                <w:rFonts w:hint="eastAsia" w:ascii="仿宋" w:hAnsi="仿宋" w:eastAsia="仿宋"/>
                <w:sz w:val="28"/>
                <w:szCs w:val="28"/>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r>
              <w:rPr>
                <w:rFonts w:hint="eastAsia" w:ascii="仿宋" w:hAnsi="仿宋" w:eastAsia="仿宋"/>
                <w:sz w:val="28"/>
                <w:szCs w:val="28"/>
              </w:rPr>
              <w:t>实际完成指标值(包含数字及文字描述)</w:t>
            </w:r>
          </w:p>
        </w:tc>
      </w:tr>
      <w:tr>
        <w:tblPrEx>
          <w:tblCellMar>
            <w:top w:w="0" w:type="dxa"/>
            <w:left w:w="0" w:type="dxa"/>
            <w:bottom w:w="0" w:type="dxa"/>
            <w:right w:w="0" w:type="dxa"/>
          </w:tblCellMar>
        </w:tblPrEx>
        <w:trPr>
          <w:trHeight w:val="953"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pStyle w:val="11"/>
              <w:ind w:firstLine="560" w:firstLineChars="200"/>
              <w:rPr>
                <w:rFonts w:ascii="仿宋" w:hAnsi="仿宋" w:eastAsia="仿宋"/>
                <w:sz w:val="28"/>
                <w:szCs w:val="2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r>
              <w:rPr>
                <w:rFonts w:hint="eastAsia" w:ascii="仿宋" w:hAnsi="仿宋" w:eastAsia="仿宋"/>
                <w:sz w:val="28"/>
                <w:szCs w:val="28"/>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r>
      <w:tr>
        <w:tblPrEx>
          <w:tblCellMar>
            <w:top w:w="0" w:type="dxa"/>
            <w:left w:w="0" w:type="dxa"/>
            <w:bottom w:w="0" w:type="dxa"/>
            <w:right w:w="0" w:type="dxa"/>
          </w:tblCellMar>
        </w:tblPrEx>
        <w:trPr>
          <w:trHeight w:val="1297"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pStyle w:val="11"/>
              <w:ind w:firstLine="560" w:firstLineChars="200"/>
              <w:rPr>
                <w:rFonts w:ascii="仿宋" w:hAnsi="仿宋" w:eastAsia="仿宋"/>
                <w:sz w:val="28"/>
                <w:szCs w:val="2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r>
              <w:rPr>
                <w:rFonts w:hint="eastAsia" w:ascii="仿宋" w:hAnsi="仿宋" w:eastAsia="仿宋"/>
                <w:sz w:val="28"/>
                <w:szCs w:val="28"/>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r>
      <w:tr>
        <w:tblPrEx>
          <w:tblCellMar>
            <w:top w:w="0" w:type="dxa"/>
            <w:left w:w="0" w:type="dxa"/>
            <w:bottom w:w="0" w:type="dxa"/>
            <w:right w:w="0" w:type="dxa"/>
          </w:tblCellMar>
        </w:tblPrEx>
        <w:trPr>
          <w:trHeight w:val="1042"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pStyle w:val="11"/>
              <w:ind w:firstLine="560" w:firstLineChars="200"/>
              <w:rPr>
                <w:rFonts w:ascii="仿宋" w:hAnsi="仿宋" w:eastAsia="仿宋"/>
                <w:sz w:val="28"/>
                <w:szCs w:val="2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r>
              <w:rPr>
                <w:rFonts w:hint="eastAsia" w:ascii="仿宋" w:hAnsi="仿宋" w:eastAsia="仿宋"/>
                <w:sz w:val="28"/>
                <w:szCs w:val="28"/>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r>
      <w:tr>
        <w:tblPrEx>
          <w:tblCellMar>
            <w:top w:w="0" w:type="dxa"/>
            <w:left w:w="0" w:type="dxa"/>
            <w:bottom w:w="0" w:type="dxa"/>
            <w:right w:w="0" w:type="dxa"/>
          </w:tblCellMar>
        </w:tblPrEx>
        <w:trPr>
          <w:trHeight w:val="1042"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pStyle w:val="11"/>
              <w:ind w:firstLine="560" w:firstLineChars="200"/>
              <w:rPr>
                <w:rFonts w:ascii="仿宋" w:hAnsi="仿宋" w:eastAsia="仿宋"/>
                <w:sz w:val="28"/>
                <w:szCs w:val="2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r>
              <w:rPr>
                <w:rFonts w:hint="eastAsia" w:ascii="仿宋" w:hAnsi="仿宋" w:eastAsia="仿宋"/>
                <w:sz w:val="28"/>
                <w:szCs w:val="28"/>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r>
      <w:tr>
        <w:tblPrEx>
          <w:tblCellMar>
            <w:top w:w="0" w:type="dxa"/>
            <w:left w:w="0" w:type="dxa"/>
            <w:bottom w:w="0" w:type="dxa"/>
            <w:right w:w="0" w:type="dxa"/>
          </w:tblCellMar>
        </w:tblPrEx>
        <w:trPr>
          <w:trHeight w:val="1042"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pStyle w:val="11"/>
              <w:ind w:firstLine="560" w:firstLineChars="200"/>
              <w:rPr>
                <w:rFonts w:ascii="仿宋" w:hAnsi="仿宋" w:eastAsia="仿宋"/>
                <w:sz w:val="28"/>
                <w:szCs w:val="2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r>
              <w:rPr>
                <w:rFonts w:hint="eastAsia" w:ascii="仿宋" w:hAnsi="仿宋" w:eastAsia="仿宋"/>
                <w:sz w:val="28"/>
                <w:szCs w:val="28"/>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r>
      <w:tr>
        <w:tblPrEx>
          <w:tblCellMar>
            <w:top w:w="0" w:type="dxa"/>
            <w:left w:w="0" w:type="dxa"/>
            <w:bottom w:w="0" w:type="dxa"/>
            <w:right w:w="0" w:type="dxa"/>
          </w:tblCellMar>
        </w:tblPrEx>
        <w:trPr>
          <w:trHeight w:val="1042"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pStyle w:val="11"/>
              <w:ind w:firstLine="560" w:firstLineChars="200"/>
              <w:rPr>
                <w:rFonts w:ascii="仿宋" w:hAnsi="仿宋" w:eastAsia="仿宋"/>
                <w:sz w:val="28"/>
                <w:szCs w:val="2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r>
              <w:rPr>
                <w:rFonts w:hint="eastAsia" w:ascii="仿宋" w:hAnsi="仿宋" w:eastAsia="仿宋"/>
                <w:sz w:val="28"/>
                <w:szCs w:val="28"/>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r>
      <w:tr>
        <w:tblPrEx>
          <w:tblCellMar>
            <w:top w:w="0" w:type="dxa"/>
            <w:left w:w="0" w:type="dxa"/>
            <w:bottom w:w="0" w:type="dxa"/>
            <w:right w:w="0" w:type="dxa"/>
          </w:tblCellMar>
        </w:tblPrEx>
        <w:trPr>
          <w:trHeight w:val="1042"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pStyle w:val="11"/>
              <w:ind w:firstLine="560" w:firstLineChars="200"/>
              <w:rPr>
                <w:rFonts w:ascii="仿宋" w:hAnsi="仿宋" w:eastAsia="仿宋"/>
                <w:sz w:val="28"/>
                <w:szCs w:val="2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r>
              <w:rPr>
                <w:rFonts w:hint="eastAsia" w:ascii="仿宋" w:hAnsi="仿宋" w:eastAsia="仿宋"/>
                <w:sz w:val="28"/>
                <w:szCs w:val="28"/>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r>
      <w:tr>
        <w:tblPrEx>
          <w:tblCellMar>
            <w:top w:w="0" w:type="dxa"/>
            <w:left w:w="0" w:type="dxa"/>
            <w:bottom w:w="0" w:type="dxa"/>
            <w:right w:w="0" w:type="dxa"/>
          </w:tblCellMar>
        </w:tblPrEx>
        <w:trPr>
          <w:trHeight w:val="1297"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pStyle w:val="11"/>
              <w:ind w:firstLine="560" w:firstLineChars="200"/>
              <w:rPr>
                <w:rFonts w:ascii="仿宋" w:hAnsi="仿宋" w:eastAsia="仿宋"/>
                <w:sz w:val="28"/>
                <w:szCs w:val="2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r>
              <w:rPr>
                <w:rFonts w:hint="eastAsia" w:ascii="仿宋" w:hAnsi="仿宋" w:eastAsia="仿宋"/>
                <w:sz w:val="28"/>
                <w:szCs w:val="28"/>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r>
      <w:tr>
        <w:tblPrEx>
          <w:tblCellMar>
            <w:top w:w="0" w:type="dxa"/>
            <w:left w:w="0" w:type="dxa"/>
            <w:bottom w:w="0" w:type="dxa"/>
            <w:right w:w="0" w:type="dxa"/>
          </w:tblCellMar>
        </w:tblPrEx>
        <w:trPr>
          <w:trHeight w:val="1297"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pStyle w:val="11"/>
              <w:ind w:firstLine="560" w:firstLineChars="200"/>
              <w:rPr>
                <w:rFonts w:ascii="仿宋" w:hAnsi="仿宋" w:eastAsia="仿宋"/>
                <w:sz w:val="28"/>
                <w:szCs w:val="2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r>
              <w:rPr>
                <w:rFonts w:hint="eastAsia" w:ascii="仿宋" w:hAnsi="仿宋" w:eastAsia="仿宋"/>
                <w:sz w:val="28"/>
                <w:szCs w:val="28"/>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r>
      <w:tr>
        <w:tblPrEx>
          <w:tblCellMar>
            <w:top w:w="0" w:type="dxa"/>
            <w:left w:w="0" w:type="dxa"/>
            <w:bottom w:w="0" w:type="dxa"/>
            <w:right w:w="0" w:type="dxa"/>
          </w:tblCellMar>
        </w:tblPrEx>
        <w:trPr>
          <w:trHeight w:val="1050"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pStyle w:val="11"/>
              <w:ind w:firstLine="560" w:firstLineChars="200"/>
              <w:rPr>
                <w:rFonts w:ascii="仿宋" w:hAnsi="仿宋" w:eastAsia="仿宋"/>
                <w:sz w:val="28"/>
                <w:szCs w:val="2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r>
              <w:rPr>
                <w:rFonts w:hint="eastAsia" w:ascii="仿宋" w:hAnsi="仿宋" w:eastAsia="仿宋"/>
                <w:sz w:val="28"/>
                <w:szCs w:val="28"/>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1"/>
              <w:ind w:firstLine="560" w:firstLineChars="200"/>
              <w:rPr>
                <w:rFonts w:ascii="仿宋" w:hAnsi="仿宋" w:eastAsia="仿宋"/>
                <w:sz w:val="28"/>
                <w:szCs w:val="28"/>
              </w:rPr>
            </w:pPr>
          </w:p>
        </w:tc>
      </w:tr>
    </w:tbl>
    <w:p>
      <w:pPr>
        <w:pStyle w:val="11"/>
        <w:ind w:firstLine="560" w:firstLineChars="200"/>
        <w:rPr>
          <w:rFonts w:ascii="仿宋" w:hAnsi="仿宋" w:eastAsia="仿宋"/>
          <w:sz w:val="28"/>
          <w:szCs w:val="28"/>
        </w:rPr>
      </w:pPr>
    </w:p>
    <w:p>
      <w:pPr>
        <w:pStyle w:val="11"/>
        <w:ind w:firstLine="560" w:firstLineChars="200"/>
        <w:rPr>
          <w:rFonts w:ascii="仿宋" w:hAnsi="仿宋" w:eastAsia="仿宋"/>
          <w:sz w:val="28"/>
          <w:szCs w:val="28"/>
        </w:rPr>
      </w:pPr>
    </w:p>
    <w:p>
      <w:pPr>
        <w:pStyle w:val="11"/>
        <w:ind w:firstLine="560" w:firstLineChars="200"/>
        <w:rPr>
          <w:rFonts w:ascii="仿宋" w:hAnsi="仿宋" w:eastAsia="仿宋"/>
          <w:sz w:val="28"/>
          <w:szCs w:val="28"/>
        </w:rPr>
      </w:pPr>
      <w:r>
        <w:rPr>
          <w:rFonts w:hint="eastAsia" w:ascii="仿宋" w:hAnsi="仿宋" w:eastAsia="仿宋"/>
          <w:sz w:val="28"/>
          <w:szCs w:val="28"/>
        </w:rPr>
        <w:t>部门开展绩效评价结果。</w:t>
      </w:r>
    </w:p>
    <w:p>
      <w:pPr>
        <w:pStyle w:val="11"/>
        <w:ind w:firstLine="560" w:firstLineChars="200"/>
        <w:rPr>
          <w:rFonts w:ascii="仿宋" w:hAnsi="仿宋" w:eastAsia="仿宋"/>
          <w:sz w:val="28"/>
          <w:szCs w:val="28"/>
        </w:rPr>
      </w:pPr>
      <w:r>
        <w:rPr>
          <w:rFonts w:hint="eastAsia" w:ascii="仿宋" w:hAnsi="仿宋" w:eastAsia="仿宋"/>
          <w:sz w:val="28"/>
          <w:szCs w:val="28"/>
        </w:rPr>
        <w:t>本部门按要求对2018年部门整体支出绩效评价情况开展自评。</w:t>
      </w:r>
    </w:p>
    <w:p>
      <w:pPr>
        <w:pStyle w:val="11"/>
        <w:ind w:firstLine="560" w:firstLineChars="200"/>
        <w:rPr>
          <w:rFonts w:ascii="仿宋" w:hAnsi="仿宋" w:eastAsia="仿宋"/>
          <w:sz w:val="28"/>
          <w:szCs w:val="28"/>
        </w:rPr>
      </w:pPr>
      <w:r>
        <w:rPr>
          <w:rFonts w:hint="eastAsia" w:ascii="仿宋" w:hAnsi="仿宋" w:eastAsia="仿宋"/>
          <w:sz w:val="28"/>
          <w:szCs w:val="28"/>
        </w:rPr>
        <w:t>本部门自行组织对“大案要案查处</w:t>
      </w:r>
      <w:r>
        <w:rPr>
          <w:rFonts w:ascii="仿宋" w:hAnsi="仿宋" w:eastAsia="仿宋"/>
          <w:sz w:val="28"/>
          <w:szCs w:val="28"/>
        </w:rPr>
        <w:t>”</w:t>
      </w:r>
      <w:r>
        <w:rPr>
          <w:rFonts w:hint="eastAsia" w:ascii="仿宋" w:hAnsi="仿宋" w:eastAsia="仿宋"/>
          <w:sz w:val="28"/>
          <w:szCs w:val="28"/>
        </w:rPr>
        <w:t>、“派驻派出机构</w:t>
      </w:r>
      <w:r>
        <w:rPr>
          <w:rFonts w:ascii="仿宋" w:hAnsi="仿宋" w:eastAsia="仿宋"/>
          <w:sz w:val="28"/>
          <w:szCs w:val="28"/>
        </w:rPr>
        <w:t>”</w:t>
      </w:r>
    </w:p>
    <w:p>
      <w:pPr>
        <w:pStyle w:val="11"/>
        <w:ind w:firstLine="560" w:firstLineChars="200"/>
        <w:rPr>
          <w:rFonts w:ascii="仿宋" w:hAnsi="仿宋" w:eastAsia="仿宋"/>
          <w:sz w:val="28"/>
          <w:szCs w:val="28"/>
        </w:rPr>
      </w:pPr>
      <w:r>
        <w:rPr>
          <w:rFonts w:hint="eastAsia" w:ascii="仿宋" w:hAnsi="仿宋" w:eastAsia="仿宋"/>
          <w:sz w:val="28"/>
          <w:szCs w:val="28"/>
        </w:rPr>
        <w:t>开展了绩效评价。</w:t>
      </w:r>
    </w:p>
    <w:p>
      <w:pPr>
        <w:pStyle w:val="11"/>
        <w:ind w:firstLine="560" w:firstLineChars="200"/>
        <w:rPr>
          <w:rFonts w:ascii="仿宋" w:hAnsi="仿宋" w:eastAsia="仿宋"/>
          <w:b/>
          <w:bCs/>
          <w:sz w:val="28"/>
          <w:szCs w:val="28"/>
        </w:rPr>
      </w:pPr>
      <w:bookmarkStart w:id="46" w:name="_Toc15396612"/>
      <w:bookmarkStart w:id="47" w:name="_Toc15377221"/>
      <w:r>
        <w:rPr>
          <w:rFonts w:hint="eastAsia" w:ascii="仿宋" w:hAnsi="仿宋" w:eastAsia="仿宋"/>
          <w:sz w:val="28"/>
          <w:szCs w:val="28"/>
        </w:rPr>
        <w:t>十</w:t>
      </w:r>
      <w:r>
        <w:rPr>
          <w:rFonts w:hint="eastAsia" w:ascii="仿宋" w:hAnsi="仿宋" w:eastAsia="仿宋"/>
          <w:b/>
          <w:bCs/>
          <w:sz w:val="28"/>
          <w:szCs w:val="28"/>
        </w:rPr>
        <w:t>一、</w:t>
      </w:r>
      <w:r>
        <w:rPr>
          <w:rFonts w:hint="eastAsia" w:ascii="仿宋" w:hAnsi="仿宋" w:eastAsia="仿宋"/>
          <w:bCs/>
          <w:sz w:val="28"/>
          <w:szCs w:val="28"/>
        </w:rPr>
        <w:t>其他重要事项的情况说明</w:t>
      </w:r>
      <w:bookmarkEnd w:id="46"/>
      <w:bookmarkEnd w:id="47"/>
    </w:p>
    <w:p>
      <w:pPr>
        <w:pStyle w:val="11"/>
        <w:ind w:firstLine="560" w:firstLineChars="200"/>
        <w:rPr>
          <w:rFonts w:ascii="仿宋" w:hAnsi="仿宋" w:eastAsia="仿宋"/>
          <w:sz w:val="28"/>
          <w:szCs w:val="28"/>
        </w:rPr>
      </w:pPr>
      <w:bookmarkStart w:id="48" w:name="_Toc15377222"/>
      <w:r>
        <w:rPr>
          <w:rFonts w:hint="eastAsia" w:ascii="仿宋" w:hAnsi="仿宋" w:eastAsia="仿宋"/>
          <w:sz w:val="28"/>
          <w:szCs w:val="28"/>
        </w:rPr>
        <w:t>（一）机关运行经费支出情况</w:t>
      </w:r>
      <w:bookmarkEnd w:id="48"/>
    </w:p>
    <w:p>
      <w:pPr>
        <w:pStyle w:val="11"/>
        <w:ind w:firstLine="560" w:firstLineChars="200"/>
        <w:rPr>
          <w:rFonts w:hint="eastAsia" w:ascii="仿宋" w:hAnsi="仿宋" w:eastAsia="仿宋"/>
          <w:sz w:val="28"/>
          <w:szCs w:val="28"/>
        </w:rPr>
      </w:pPr>
      <w:r>
        <w:rPr>
          <w:rFonts w:ascii="仿宋" w:hAnsi="仿宋" w:eastAsia="仿宋"/>
          <w:sz w:val="28"/>
          <w:szCs w:val="28"/>
        </w:rPr>
        <w:t>201</w:t>
      </w:r>
      <w:r>
        <w:rPr>
          <w:rFonts w:hint="eastAsia" w:ascii="仿宋" w:hAnsi="仿宋" w:eastAsia="仿宋"/>
          <w:sz w:val="28"/>
          <w:szCs w:val="28"/>
        </w:rPr>
        <w:t>9年，机关运行经费支出151.51万元，比</w:t>
      </w:r>
      <w:r>
        <w:rPr>
          <w:rFonts w:ascii="仿宋" w:hAnsi="仿宋" w:eastAsia="仿宋"/>
          <w:sz w:val="28"/>
          <w:szCs w:val="28"/>
        </w:rPr>
        <w:t>201</w:t>
      </w:r>
      <w:r>
        <w:rPr>
          <w:rFonts w:hint="eastAsia" w:ascii="仿宋" w:hAnsi="仿宋" w:eastAsia="仿宋"/>
          <w:sz w:val="28"/>
          <w:szCs w:val="28"/>
        </w:rPr>
        <w:t>8年增加115.26万元，上升318</w:t>
      </w:r>
      <w:r>
        <w:rPr>
          <w:rFonts w:ascii="仿宋" w:hAnsi="仿宋" w:eastAsia="仿宋"/>
          <w:sz w:val="28"/>
          <w:szCs w:val="28"/>
        </w:rPr>
        <w:t>%</w:t>
      </w:r>
      <w:r>
        <w:rPr>
          <w:rFonts w:hint="eastAsia" w:ascii="仿宋" w:hAnsi="仿宋" w:eastAsia="仿宋"/>
          <w:sz w:val="28"/>
          <w:szCs w:val="28"/>
        </w:rPr>
        <w:t>。主要原因是</w:t>
      </w:r>
      <w:bookmarkStart w:id="49" w:name="_Toc15377223"/>
      <w:r>
        <w:rPr>
          <w:rFonts w:hint="eastAsia" w:ascii="仿宋" w:hAnsi="仿宋" w:eastAsia="仿宋"/>
          <w:sz w:val="28"/>
          <w:szCs w:val="28"/>
        </w:rPr>
        <w:t>纪检监察改革，人员增加相应收支增加。</w:t>
      </w:r>
    </w:p>
    <w:p>
      <w:pPr>
        <w:pStyle w:val="11"/>
        <w:ind w:firstLine="560" w:firstLineChars="200"/>
        <w:rPr>
          <w:rFonts w:ascii="仿宋" w:hAnsi="仿宋" w:eastAsia="仿宋"/>
          <w:sz w:val="28"/>
          <w:szCs w:val="28"/>
        </w:rPr>
      </w:pPr>
      <w:r>
        <w:rPr>
          <w:rFonts w:hint="eastAsia" w:ascii="仿宋" w:hAnsi="仿宋" w:eastAsia="仿宋"/>
          <w:sz w:val="28"/>
          <w:szCs w:val="28"/>
        </w:rPr>
        <w:t>（二）政府采购支出情况</w:t>
      </w:r>
      <w:bookmarkEnd w:id="49"/>
    </w:p>
    <w:p>
      <w:pPr>
        <w:pStyle w:val="11"/>
        <w:ind w:firstLine="560" w:firstLineChars="200"/>
        <w:rPr>
          <w:rFonts w:ascii="仿宋" w:hAnsi="仿宋" w:eastAsia="仿宋"/>
          <w:sz w:val="28"/>
          <w:szCs w:val="28"/>
        </w:rPr>
      </w:pPr>
      <w:r>
        <w:rPr>
          <w:rFonts w:ascii="仿宋" w:hAnsi="仿宋" w:eastAsia="仿宋"/>
          <w:sz w:val="28"/>
          <w:szCs w:val="28"/>
        </w:rPr>
        <w:t>201</w:t>
      </w:r>
      <w:r>
        <w:rPr>
          <w:rFonts w:hint="eastAsia" w:ascii="仿宋" w:hAnsi="仿宋" w:eastAsia="仿宋"/>
          <w:sz w:val="28"/>
          <w:szCs w:val="28"/>
        </w:rPr>
        <w:t>9年，政府采购支出总额38.94万元，其中：政府采购货物支出38.94万元、政府采购工程支出0万元、政府采购服务支出0万元。主要用于购买办公用具等。</w:t>
      </w:r>
    </w:p>
    <w:p>
      <w:pPr>
        <w:pStyle w:val="11"/>
        <w:ind w:firstLine="560" w:firstLineChars="200"/>
        <w:rPr>
          <w:rFonts w:ascii="仿宋" w:hAnsi="仿宋" w:eastAsia="仿宋"/>
          <w:sz w:val="28"/>
          <w:szCs w:val="28"/>
        </w:rPr>
      </w:pPr>
      <w:bookmarkStart w:id="50" w:name="_Toc15377224"/>
      <w:r>
        <w:rPr>
          <w:rFonts w:hint="eastAsia" w:ascii="仿宋" w:hAnsi="仿宋" w:eastAsia="仿宋"/>
          <w:sz w:val="28"/>
          <w:szCs w:val="28"/>
        </w:rPr>
        <w:t>（三）国有资产占有使用情况</w:t>
      </w:r>
      <w:bookmarkEnd w:id="50"/>
    </w:p>
    <w:p>
      <w:pPr>
        <w:pStyle w:val="11"/>
        <w:ind w:firstLine="560" w:firstLineChars="200"/>
        <w:rPr>
          <w:rFonts w:ascii="仿宋" w:hAnsi="仿宋" w:eastAsia="仿宋"/>
          <w:sz w:val="28"/>
          <w:szCs w:val="28"/>
        </w:rPr>
      </w:pPr>
      <w:r>
        <w:rPr>
          <w:rFonts w:hint="eastAsia" w:ascii="仿宋" w:hAnsi="仿宋" w:eastAsia="仿宋"/>
          <w:sz w:val="28"/>
          <w:szCs w:val="28"/>
        </w:rPr>
        <w:t>截至</w:t>
      </w:r>
      <w:r>
        <w:rPr>
          <w:rFonts w:ascii="仿宋" w:hAnsi="仿宋" w:eastAsia="仿宋"/>
          <w:sz w:val="28"/>
          <w:szCs w:val="28"/>
        </w:rPr>
        <w:t>201</w:t>
      </w:r>
      <w:r>
        <w:rPr>
          <w:rFonts w:hint="eastAsia" w:ascii="仿宋" w:hAnsi="仿宋" w:eastAsia="仿宋"/>
          <w:sz w:val="28"/>
          <w:szCs w:val="28"/>
        </w:rPr>
        <w:t>9年</w:t>
      </w:r>
      <w:r>
        <w:rPr>
          <w:rFonts w:ascii="仿宋" w:hAnsi="仿宋" w:eastAsia="仿宋"/>
          <w:sz w:val="28"/>
          <w:szCs w:val="28"/>
        </w:rPr>
        <w:t>12</w:t>
      </w:r>
      <w:r>
        <w:rPr>
          <w:rFonts w:hint="eastAsia" w:ascii="仿宋" w:hAnsi="仿宋" w:eastAsia="仿宋"/>
          <w:sz w:val="28"/>
          <w:szCs w:val="28"/>
        </w:rPr>
        <w:t>月</w:t>
      </w:r>
      <w:r>
        <w:rPr>
          <w:rFonts w:ascii="仿宋" w:hAnsi="仿宋" w:eastAsia="仿宋"/>
          <w:sz w:val="28"/>
          <w:szCs w:val="28"/>
        </w:rPr>
        <w:t>31</w:t>
      </w:r>
      <w:r>
        <w:rPr>
          <w:rFonts w:hint="eastAsia" w:ascii="仿宋" w:hAnsi="仿宋" w:eastAsia="仿宋"/>
          <w:sz w:val="28"/>
          <w:szCs w:val="28"/>
        </w:rPr>
        <w:t>日，我单位共有车辆4辆，其中：部级领导干部用车0辆、一般公务用车0辆、一般执法执勤用车4辆、特种专业技术用车0辆、其他用车0辆，单价</w:t>
      </w:r>
      <w:r>
        <w:rPr>
          <w:rFonts w:ascii="仿宋" w:hAnsi="仿宋" w:eastAsia="仿宋"/>
          <w:sz w:val="28"/>
          <w:szCs w:val="28"/>
        </w:rPr>
        <w:t>50</w:t>
      </w:r>
      <w:r>
        <w:rPr>
          <w:rFonts w:hint="eastAsia" w:ascii="仿宋" w:hAnsi="仿宋" w:eastAsia="仿宋"/>
          <w:sz w:val="28"/>
          <w:szCs w:val="28"/>
        </w:rPr>
        <w:t>万元以上通用设备0台（套），单价</w:t>
      </w:r>
      <w:r>
        <w:rPr>
          <w:rFonts w:ascii="仿宋" w:hAnsi="仿宋" w:eastAsia="仿宋"/>
          <w:sz w:val="28"/>
          <w:szCs w:val="28"/>
        </w:rPr>
        <w:t>100</w:t>
      </w:r>
      <w:r>
        <w:rPr>
          <w:rFonts w:hint="eastAsia" w:ascii="仿宋" w:hAnsi="仿宋" w:eastAsia="仿宋"/>
          <w:sz w:val="28"/>
          <w:szCs w:val="28"/>
        </w:rPr>
        <w:t>万元以上专用设备0台（套）。</w:t>
      </w:r>
    </w:p>
    <w:p>
      <w:pPr>
        <w:pStyle w:val="11"/>
        <w:ind w:firstLine="560" w:firstLineChars="200"/>
        <w:rPr>
          <w:rFonts w:ascii="仿宋" w:hAnsi="仿宋" w:eastAsia="仿宋"/>
          <w:sz w:val="28"/>
          <w:szCs w:val="28"/>
        </w:rPr>
      </w:pPr>
      <w:r>
        <w:rPr>
          <w:rFonts w:ascii="仿宋" w:hAnsi="仿宋" w:eastAsia="仿宋"/>
          <w:sz w:val="28"/>
          <w:szCs w:val="28"/>
        </w:rPr>
        <w:br w:type="page"/>
      </w:r>
    </w:p>
    <w:p>
      <w:pPr>
        <w:pStyle w:val="11"/>
        <w:ind w:firstLine="560" w:firstLineChars="200"/>
        <w:rPr>
          <w:rFonts w:ascii="仿宋" w:hAnsi="仿宋" w:eastAsia="仿宋"/>
          <w:bCs/>
          <w:sz w:val="28"/>
          <w:szCs w:val="28"/>
        </w:rPr>
      </w:pPr>
      <w:bookmarkStart w:id="51" w:name="_Toc15377225"/>
      <w:bookmarkStart w:id="52" w:name="_Toc15396613"/>
      <w:r>
        <w:rPr>
          <w:rFonts w:hint="eastAsia" w:ascii="仿宋" w:hAnsi="仿宋" w:eastAsia="仿宋"/>
          <w:sz w:val="28"/>
          <w:szCs w:val="28"/>
        </w:rPr>
        <w:t>名</w:t>
      </w:r>
      <w:r>
        <w:rPr>
          <w:rFonts w:hint="eastAsia" w:ascii="仿宋" w:hAnsi="仿宋" w:eastAsia="仿宋"/>
          <w:bCs/>
          <w:sz w:val="28"/>
          <w:szCs w:val="28"/>
        </w:rPr>
        <w:t>词解释</w:t>
      </w:r>
      <w:bookmarkEnd w:id="51"/>
      <w:bookmarkEnd w:id="52"/>
    </w:p>
    <w:p>
      <w:pPr>
        <w:pStyle w:val="11"/>
        <w:ind w:firstLine="560" w:firstLineChars="200"/>
        <w:rPr>
          <w:rFonts w:ascii="仿宋" w:hAnsi="仿宋" w:eastAsia="仿宋"/>
          <w:sz w:val="28"/>
          <w:szCs w:val="28"/>
        </w:rPr>
      </w:pPr>
    </w:p>
    <w:p>
      <w:pPr>
        <w:pStyle w:val="11"/>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财政拨款收入：指单位从同级财政部门取得的财政预算资金。</w:t>
      </w:r>
    </w:p>
    <w:p>
      <w:pPr>
        <w:pStyle w:val="11"/>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事业收入：指事业单位开展专业业务活动及辅助活动取得的收入。如…（二级预算单位事业收入情况）等。</w:t>
      </w:r>
    </w:p>
    <w:p>
      <w:pPr>
        <w:pStyle w:val="11"/>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经营收入：指事业单位在专业业务活动及其辅助活动之外开展非独立核算经营活动取得的收入。如…（二级预算单位经营收入情况）等。</w:t>
      </w:r>
    </w:p>
    <w:p>
      <w:pPr>
        <w:pStyle w:val="11"/>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其他收入：指单位取得的除上述收入以外的各项收入。主要是…（收入类型）等。</w:t>
      </w:r>
      <w:r>
        <w:rPr>
          <w:rFonts w:ascii="仿宋" w:hAnsi="仿宋" w:eastAsia="仿宋"/>
          <w:sz w:val="28"/>
          <w:szCs w:val="28"/>
        </w:rPr>
        <w:t xml:space="preserve"> </w:t>
      </w:r>
    </w:p>
    <w:p>
      <w:pPr>
        <w:pStyle w:val="11"/>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 w:hAnsi="仿宋" w:eastAsia="仿宋"/>
          <w:sz w:val="28"/>
          <w:szCs w:val="28"/>
        </w:rPr>
        <w:t xml:space="preserve"> </w:t>
      </w:r>
    </w:p>
    <w:p>
      <w:pPr>
        <w:pStyle w:val="11"/>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年初结转和结余：指以前年度尚未完成、结转到本年按有关规定继续使用的资金。</w:t>
      </w:r>
      <w:r>
        <w:rPr>
          <w:rFonts w:ascii="仿宋" w:hAnsi="仿宋" w:eastAsia="仿宋"/>
          <w:sz w:val="28"/>
          <w:szCs w:val="28"/>
        </w:rPr>
        <w:t xml:space="preserve"> </w:t>
      </w:r>
    </w:p>
    <w:p>
      <w:pPr>
        <w:pStyle w:val="11"/>
        <w:ind w:firstLine="560" w:firstLineChars="200"/>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结余分配：指事业单位按照事业单位会计制度的规定从非财政补助结余中分配的事业基金和职工福利基金等。</w:t>
      </w:r>
    </w:p>
    <w:p>
      <w:pPr>
        <w:pStyle w:val="11"/>
        <w:ind w:firstLine="560" w:firstLineChars="200"/>
        <w:rPr>
          <w:rFonts w:ascii="仿宋" w:hAnsi="仿宋" w:eastAsia="仿宋"/>
          <w:sz w:val="28"/>
          <w:szCs w:val="28"/>
        </w:rPr>
      </w:pPr>
      <w:r>
        <w:rPr>
          <w:rFonts w:ascii="仿宋" w:hAnsi="仿宋" w:eastAsia="仿宋"/>
          <w:sz w:val="28"/>
          <w:szCs w:val="28"/>
        </w:rPr>
        <w:t>8</w:t>
      </w:r>
      <w:r>
        <w:rPr>
          <w:rFonts w:hint="eastAsia" w:ascii="仿宋" w:hAnsi="仿宋" w:eastAsia="仿宋"/>
          <w:sz w:val="28"/>
          <w:szCs w:val="28"/>
        </w:rPr>
        <w:t>、年末结转和结余：指单位按有关规定结转到下年或以后年度继续使用的资金。</w:t>
      </w:r>
    </w:p>
    <w:p>
      <w:pPr>
        <w:pStyle w:val="11"/>
        <w:ind w:firstLine="560" w:firstLineChars="200"/>
        <w:rPr>
          <w:rFonts w:ascii="仿宋" w:hAnsi="仿宋" w:eastAsia="仿宋"/>
          <w:sz w:val="28"/>
          <w:szCs w:val="28"/>
        </w:rPr>
      </w:pPr>
      <w:r>
        <w:rPr>
          <w:rFonts w:ascii="仿宋" w:hAnsi="仿宋" w:eastAsia="仿宋"/>
          <w:sz w:val="28"/>
          <w:szCs w:val="28"/>
        </w:rPr>
        <w:t>9.</w:t>
      </w:r>
      <w:r>
        <w:rPr>
          <w:rFonts w:hint="eastAsia" w:ascii="仿宋" w:hAnsi="仿宋" w:eastAsia="仿宋"/>
          <w:sz w:val="28"/>
          <w:szCs w:val="28"/>
        </w:rPr>
        <w:t>一般公共服务（类）…（款）…（项）：指……。</w:t>
      </w:r>
    </w:p>
    <w:p>
      <w:pPr>
        <w:pStyle w:val="11"/>
        <w:ind w:firstLine="560" w:firstLineChars="200"/>
        <w:rPr>
          <w:rFonts w:ascii="仿宋" w:hAnsi="仿宋" w:eastAsia="仿宋"/>
          <w:sz w:val="28"/>
          <w:szCs w:val="28"/>
        </w:rPr>
      </w:pPr>
      <w:r>
        <w:rPr>
          <w:rFonts w:ascii="仿宋" w:hAnsi="仿宋" w:eastAsia="仿宋"/>
          <w:sz w:val="28"/>
          <w:szCs w:val="28"/>
        </w:rPr>
        <w:t>10.</w:t>
      </w:r>
      <w:r>
        <w:rPr>
          <w:rFonts w:hint="eastAsia" w:ascii="仿宋" w:hAnsi="仿宋" w:eastAsia="仿宋"/>
          <w:sz w:val="28"/>
          <w:szCs w:val="28"/>
        </w:rPr>
        <w:t>外交（类）…（款）…（项）：指……。</w:t>
      </w:r>
    </w:p>
    <w:p>
      <w:pPr>
        <w:pStyle w:val="11"/>
        <w:ind w:firstLine="560" w:firstLineChars="200"/>
        <w:rPr>
          <w:rFonts w:ascii="仿宋" w:hAnsi="仿宋" w:eastAsia="仿宋"/>
          <w:sz w:val="28"/>
          <w:szCs w:val="28"/>
        </w:rPr>
      </w:pPr>
      <w:r>
        <w:rPr>
          <w:rFonts w:ascii="仿宋" w:hAnsi="仿宋" w:eastAsia="仿宋"/>
          <w:sz w:val="28"/>
          <w:szCs w:val="28"/>
        </w:rPr>
        <w:t>11.</w:t>
      </w:r>
      <w:r>
        <w:rPr>
          <w:rFonts w:hint="eastAsia" w:ascii="仿宋" w:hAnsi="仿宋" w:eastAsia="仿宋"/>
          <w:sz w:val="28"/>
          <w:szCs w:val="28"/>
        </w:rPr>
        <w:t>公共安全（类）…（款）…（项）：指……。</w:t>
      </w:r>
    </w:p>
    <w:p>
      <w:pPr>
        <w:pStyle w:val="11"/>
        <w:ind w:firstLine="560" w:firstLineChars="200"/>
        <w:rPr>
          <w:rFonts w:ascii="仿宋" w:hAnsi="仿宋" w:eastAsia="仿宋"/>
          <w:sz w:val="28"/>
          <w:szCs w:val="28"/>
        </w:rPr>
      </w:pPr>
      <w:r>
        <w:rPr>
          <w:rFonts w:ascii="仿宋" w:hAnsi="仿宋" w:eastAsia="仿宋"/>
          <w:sz w:val="28"/>
          <w:szCs w:val="28"/>
        </w:rPr>
        <w:t>12.</w:t>
      </w:r>
      <w:r>
        <w:rPr>
          <w:rFonts w:hint="eastAsia" w:ascii="仿宋" w:hAnsi="仿宋" w:eastAsia="仿宋"/>
          <w:sz w:val="28"/>
          <w:szCs w:val="28"/>
        </w:rPr>
        <w:t>教育（类）…（款）…（项）：指……。</w:t>
      </w:r>
    </w:p>
    <w:p>
      <w:pPr>
        <w:pStyle w:val="11"/>
        <w:ind w:firstLine="560" w:firstLineChars="200"/>
        <w:rPr>
          <w:rFonts w:ascii="仿宋" w:hAnsi="仿宋" w:eastAsia="仿宋"/>
          <w:sz w:val="28"/>
          <w:szCs w:val="28"/>
        </w:rPr>
      </w:pPr>
      <w:r>
        <w:rPr>
          <w:rFonts w:ascii="仿宋" w:hAnsi="仿宋" w:eastAsia="仿宋"/>
          <w:sz w:val="28"/>
          <w:szCs w:val="28"/>
        </w:rPr>
        <w:t>13.</w:t>
      </w:r>
      <w:r>
        <w:rPr>
          <w:rFonts w:hint="eastAsia" w:ascii="仿宋" w:hAnsi="仿宋" w:eastAsia="仿宋"/>
          <w:sz w:val="28"/>
          <w:szCs w:val="28"/>
        </w:rPr>
        <w:t>科学技术（类）…（款）…（项）：指……。</w:t>
      </w:r>
    </w:p>
    <w:p>
      <w:pPr>
        <w:pStyle w:val="11"/>
        <w:ind w:firstLine="560" w:firstLineChars="200"/>
        <w:rPr>
          <w:rFonts w:ascii="仿宋" w:hAnsi="仿宋" w:eastAsia="仿宋"/>
          <w:sz w:val="28"/>
          <w:szCs w:val="28"/>
        </w:rPr>
      </w:pPr>
      <w:r>
        <w:rPr>
          <w:rFonts w:ascii="仿宋" w:hAnsi="仿宋" w:eastAsia="仿宋"/>
          <w:sz w:val="28"/>
          <w:szCs w:val="28"/>
        </w:rPr>
        <w:t>14.</w:t>
      </w:r>
      <w:r>
        <w:rPr>
          <w:rFonts w:hint="eastAsia" w:ascii="仿宋" w:hAnsi="仿宋" w:eastAsia="仿宋"/>
          <w:sz w:val="28"/>
          <w:szCs w:val="28"/>
        </w:rPr>
        <w:t>文化体育与传媒（类）…（款）…（项）：指……。</w:t>
      </w:r>
    </w:p>
    <w:p>
      <w:pPr>
        <w:pStyle w:val="11"/>
        <w:ind w:firstLine="560" w:firstLineChars="200"/>
        <w:rPr>
          <w:rFonts w:ascii="仿宋" w:hAnsi="仿宋" w:eastAsia="仿宋"/>
          <w:sz w:val="28"/>
          <w:szCs w:val="28"/>
        </w:rPr>
      </w:pPr>
      <w:r>
        <w:rPr>
          <w:rFonts w:ascii="仿宋" w:hAnsi="仿宋" w:eastAsia="仿宋"/>
          <w:sz w:val="28"/>
          <w:szCs w:val="28"/>
        </w:rPr>
        <w:t>15.</w:t>
      </w:r>
      <w:r>
        <w:rPr>
          <w:rFonts w:hint="eastAsia" w:ascii="仿宋" w:hAnsi="仿宋" w:eastAsia="仿宋"/>
          <w:sz w:val="28"/>
          <w:szCs w:val="28"/>
        </w:rPr>
        <w:t>社会保障和就业（类）…（款）…（项）：指……。</w:t>
      </w:r>
    </w:p>
    <w:p>
      <w:pPr>
        <w:pStyle w:val="11"/>
        <w:ind w:firstLine="560" w:firstLineChars="200"/>
        <w:rPr>
          <w:rFonts w:ascii="仿宋" w:hAnsi="仿宋" w:eastAsia="仿宋"/>
          <w:sz w:val="28"/>
          <w:szCs w:val="28"/>
        </w:rPr>
      </w:pPr>
      <w:r>
        <w:rPr>
          <w:rFonts w:ascii="仿宋" w:hAnsi="仿宋" w:eastAsia="仿宋"/>
          <w:sz w:val="28"/>
          <w:szCs w:val="28"/>
        </w:rPr>
        <w:t>16.</w:t>
      </w:r>
      <w:r>
        <w:rPr>
          <w:rFonts w:hint="eastAsia" w:ascii="仿宋" w:hAnsi="仿宋" w:eastAsia="仿宋"/>
          <w:sz w:val="28"/>
          <w:szCs w:val="28"/>
        </w:rPr>
        <w:t>医疗卫生与计划生育（类）…（款）…（项）：指……。</w:t>
      </w:r>
    </w:p>
    <w:p>
      <w:pPr>
        <w:pStyle w:val="11"/>
        <w:ind w:firstLine="560" w:firstLineChars="200"/>
        <w:rPr>
          <w:rFonts w:ascii="仿宋" w:hAnsi="仿宋" w:eastAsia="仿宋"/>
          <w:sz w:val="28"/>
          <w:szCs w:val="28"/>
        </w:rPr>
      </w:pPr>
      <w:r>
        <w:rPr>
          <w:rFonts w:ascii="仿宋" w:hAnsi="仿宋" w:eastAsia="仿宋"/>
          <w:sz w:val="28"/>
          <w:szCs w:val="28"/>
        </w:rPr>
        <w:t>17.</w:t>
      </w:r>
      <w:r>
        <w:rPr>
          <w:rFonts w:hint="eastAsia" w:ascii="仿宋" w:hAnsi="仿宋" w:eastAsia="仿宋"/>
          <w:sz w:val="28"/>
          <w:szCs w:val="28"/>
        </w:rPr>
        <w:t>节能环保（类）…（款）…（项）：指……。</w:t>
      </w:r>
    </w:p>
    <w:p>
      <w:pPr>
        <w:pStyle w:val="11"/>
        <w:ind w:firstLine="560" w:firstLineChars="200"/>
        <w:rPr>
          <w:rFonts w:ascii="仿宋" w:hAnsi="仿宋" w:eastAsia="仿宋"/>
          <w:sz w:val="28"/>
          <w:szCs w:val="28"/>
        </w:rPr>
      </w:pPr>
      <w:r>
        <w:rPr>
          <w:rFonts w:ascii="仿宋" w:hAnsi="仿宋" w:eastAsia="仿宋"/>
          <w:sz w:val="28"/>
          <w:szCs w:val="28"/>
        </w:rPr>
        <w:t>18.</w:t>
      </w:r>
      <w:r>
        <w:rPr>
          <w:rFonts w:hint="eastAsia" w:ascii="仿宋" w:hAnsi="仿宋" w:eastAsia="仿宋"/>
          <w:sz w:val="28"/>
          <w:szCs w:val="28"/>
        </w:rPr>
        <w:t>城乡社区（类）…（款）…（项）：指……。</w:t>
      </w:r>
    </w:p>
    <w:p>
      <w:pPr>
        <w:pStyle w:val="11"/>
        <w:ind w:firstLine="560" w:firstLineChars="200"/>
        <w:rPr>
          <w:rFonts w:ascii="仿宋" w:hAnsi="仿宋" w:eastAsia="仿宋"/>
          <w:sz w:val="28"/>
          <w:szCs w:val="28"/>
        </w:rPr>
      </w:pPr>
      <w:r>
        <w:rPr>
          <w:rFonts w:ascii="仿宋" w:hAnsi="仿宋" w:eastAsia="仿宋"/>
          <w:sz w:val="28"/>
          <w:szCs w:val="28"/>
        </w:rPr>
        <w:t>19.</w:t>
      </w:r>
      <w:r>
        <w:rPr>
          <w:rFonts w:hint="eastAsia" w:ascii="仿宋" w:hAnsi="仿宋" w:eastAsia="仿宋"/>
          <w:sz w:val="28"/>
          <w:szCs w:val="28"/>
        </w:rPr>
        <w:t>农林水（类）…（款）…（项）：指……。</w:t>
      </w:r>
    </w:p>
    <w:p>
      <w:pPr>
        <w:pStyle w:val="11"/>
        <w:ind w:firstLine="560" w:firstLineChars="200"/>
        <w:rPr>
          <w:rFonts w:ascii="仿宋" w:hAnsi="仿宋" w:eastAsia="仿宋"/>
          <w:sz w:val="28"/>
          <w:szCs w:val="28"/>
        </w:rPr>
      </w:pPr>
      <w:r>
        <w:rPr>
          <w:rFonts w:ascii="仿宋" w:hAnsi="仿宋" w:eastAsia="仿宋"/>
          <w:sz w:val="28"/>
          <w:szCs w:val="28"/>
        </w:rPr>
        <w:t>20.</w:t>
      </w:r>
      <w:r>
        <w:rPr>
          <w:rFonts w:hint="eastAsia" w:ascii="仿宋" w:hAnsi="仿宋" w:eastAsia="仿宋"/>
          <w:sz w:val="28"/>
          <w:szCs w:val="28"/>
        </w:rPr>
        <w:t>交通运输（类）…（款）…（项）：指……。</w:t>
      </w:r>
    </w:p>
    <w:p>
      <w:pPr>
        <w:pStyle w:val="11"/>
        <w:ind w:firstLine="560" w:firstLineChars="200"/>
        <w:rPr>
          <w:rFonts w:ascii="仿宋" w:hAnsi="仿宋" w:eastAsia="仿宋"/>
          <w:sz w:val="28"/>
          <w:szCs w:val="28"/>
        </w:rPr>
      </w:pPr>
      <w:r>
        <w:rPr>
          <w:rFonts w:ascii="仿宋" w:hAnsi="仿宋" w:eastAsia="仿宋"/>
          <w:sz w:val="28"/>
          <w:szCs w:val="28"/>
        </w:rPr>
        <w:t>21.</w:t>
      </w:r>
      <w:r>
        <w:rPr>
          <w:rFonts w:hint="eastAsia" w:ascii="仿宋" w:hAnsi="仿宋" w:eastAsia="仿宋"/>
          <w:sz w:val="28"/>
          <w:szCs w:val="28"/>
        </w:rPr>
        <w:t>资源勘探信息等（类）…（款）…（项）：指……。</w:t>
      </w:r>
    </w:p>
    <w:p>
      <w:pPr>
        <w:pStyle w:val="11"/>
        <w:ind w:firstLine="560" w:firstLineChars="200"/>
        <w:rPr>
          <w:rFonts w:ascii="仿宋" w:hAnsi="仿宋" w:eastAsia="仿宋"/>
          <w:sz w:val="28"/>
          <w:szCs w:val="28"/>
        </w:rPr>
      </w:pPr>
      <w:r>
        <w:rPr>
          <w:rFonts w:ascii="仿宋" w:hAnsi="仿宋" w:eastAsia="仿宋"/>
          <w:sz w:val="28"/>
          <w:szCs w:val="28"/>
        </w:rPr>
        <w:t>22.</w:t>
      </w:r>
      <w:r>
        <w:rPr>
          <w:rFonts w:hint="eastAsia" w:ascii="仿宋" w:hAnsi="仿宋" w:eastAsia="仿宋"/>
          <w:sz w:val="28"/>
          <w:szCs w:val="28"/>
        </w:rPr>
        <w:t>商业服务业（类）…（款）…（项）：指……。</w:t>
      </w:r>
    </w:p>
    <w:p>
      <w:pPr>
        <w:pStyle w:val="11"/>
        <w:ind w:firstLine="560" w:firstLineChars="200"/>
        <w:rPr>
          <w:rFonts w:ascii="仿宋" w:hAnsi="仿宋" w:eastAsia="仿宋"/>
          <w:sz w:val="28"/>
          <w:szCs w:val="28"/>
        </w:rPr>
      </w:pPr>
      <w:r>
        <w:rPr>
          <w:rFonts w:ascii="仿宋" w:hAnsi="仿宋" w:eastAsia="仿宋"/>
          <w:sz w:val="28"/>
          <w:szCs w:val="28"/>
        </w:rPr>
        <w:t>23.</w:t>
      </w:r>
      <w:r>
        <w:rPr>
          <w:rFonts w:hint="eastAsia" w:ascii="仿宋" w:hAnsi="仿宋" w:eastAsia="仿宋"/>
          <w:sz w:val="28"/>
          <w:szCs w:val="28"/>
        </w:rPr>
        <w:t>金融（类）…（款）…（项）：指……。</w:t>
      </w:r>
    </w:p>
    <w:p>
      <w:pPr>
        <w:pStyle w:val="11"/>
        <w:ind w:firstLine="560" w:firstLineChars="200"/>
        <w:rPr>
          <w:rFonts w:ascii="仿宋" w:hAnsi="仿宋" w:eastAsia="仿宋"/>
          <w:sz w:val="28"/>
          <w:szCs w:val="28"/>
        </w:rPr>
      </w:pPr>
      <w:r>
        <w:rPr>
          <w:rFonts w:ascii="仿宋" w:hAnsi="仿宋" w:eastAsia="仿宋"/>
          <w:sz w:val="28"/>
          <w:szCs w:val="28"/>
        </w:rPr>
        <w:t>24.</w:t>
      </w:r>
      <w:r>
        <w:rPr>
          <w:rFonts w:hint="eastAsia" w:ascii="仿宋" w:hAnsi="仿宋" w:eastAsia="仿宋"/>
          <w:sz w:val="28"/>
          <w:szCs w:val="28"/>
        </w:rPr>
        <w:t>国土海洋气象等（类）…（款）…（项）：指……。</w:t>
      </w:r>
    </w:p>
    <w:p>
      <w:pPr>
        <w:pStyle w:val="11"/>
        <w:ind w:firstLine="560" w:firstLineChars="200"/>
        <w:rPr>
          <w:rFonts w:ascii="仿宋" w:hAnsi="仿宋" w:eastAsia="仿宋"/>
          <w:sz w:val="28"/>
          <w:szCs w:val="28"/>
        </w:rPr>
      </w:pPr>
      <w:r>
        <w:rPr>
          <w:rFonts w:ascii="仿宋" w:hAnsi="仿宋" w:eastAsia="仿宋"/>
          <w:sz w:val="28"/>
          <w:szCs w:val="28"/>
        </w:rPr>
        <w:t>25.</w:t>
      </w:r>
      <w:r>
        <w:rPr>
          <w:rFonts w:hint="eastAsia" w:ascii="仿宋" w:hAnsi="仿宋" w:eastAsia="仿宋"/>
          <w:sz w:val="28"/>
          <w:szCs w:val="28"/>
        </w:rPr>
        <w:t>住房保障（类）…（款）…（项）：指……。</w:t>
      </w:r>
    </w:p>
    <w:p>
      <w:pPr>
        <w:pStyle w:val="11"/>
        <w:ind w:firstLine="560" w:firstLineChars="200"/>
        <w:rPr>
          <w:rFonts w:ascii="仿宋" w:hAnsi="仿宋" w:eastAsia="仿宋"/>
          <w:sz w:val="28"/>
          <w:szCs w:val="28"/>
        </w:rPr>
      </w:pPr>
      <w:r>
        <w:rPr>
          <w:rFonts w:ascii="仿宋" w:hAnsi="仿宋" w:eastAsia="仿宋"/>
          <w:sz w:val="28"/>
          <w:szCs w:val="28"/>
        </w:rPr>
        <w:t>26.</w:t>
      </w:r>
      <w:r>
        <w:rPr>
          <w:rFonts w:hint="eastAsia" w:ascii="仿宋" w:hAnsi="仿宋" w:eastAsia="仿宋"/>
          <w:sz w:val="28"/>
          <w:szCs w:val="28"/>
        </w:rPr>
        <w:t>粮油物资储备（类）…（款）…（项）：指……。</w:t>
      </w:r>
    </w:p>
    <w:p>
      <w:pPr>
        <w:pStyle w:val="11"/>
        <w:ind w:firstLine="560" w:firstLineChars="200"/>
        <w:rPr>
          <w:rFonts w:ascii="仿宋" w:hAnsi="仿宋" w:eastAsia="仿宋"/>
          <w:sz w:val="28"/>
          <w:szCs w:val="28"/>
        </w:rPr>
      </w:pPr>
      <w:r>
        <w:rPr>
          <w:rFonts w:hint="eastAsia" w:ascii="仿宋" w:hAnsi="仿宋" w:eastAsia="仿宋"/>
          <w:sz w:val="28"/>
          <w:szCs w:val="28"/>
        </w:rPr>
        <w:t>……</w:t>
      </w:r>
    </w:p>
    <w:p>
      <w:pPr>
        <w:pStyle w:val="11"/>
        <w:ind w:firstLine="560" w:firstLineChars="200"/>
        <w:rPr>
          <w:rFonts w:ascii="仿宋" w:hAnsi="仿宋" w:eastAsia="仿宋"/>
          <w:sz w:val="28"/>
          <w:szCs w:val="28"/>
        </w:rPr>
      </w:pPr>
      <w:r>
        <w:rPr>
          <w:rFonts w:hint="eastAsia" w:ascii="仿宋" w:hAnsi="仿宋" w:eastAsia="仿宋"/>
          <w:sz w:val="28"/>
          <w:szCs w:val="28"/>
        </w:rPr>
        <w:t>……</w:t>
      </w:r>
    </w:p>
    <w:p>
      <w:pPr>
        <w:pStyle w:val="11"/>
        <w:ind w:firstLine="560" w:firstLineChars="200"/>
        <w:rPr>
          <w:rFonts w:ascii="仿宋" w:hAnsi="仿宋" w:eastAsia="仿宋"/>
          <w:sz w:val="28"/>
          <w:szCs w:val="28"/>
        </w:rPr>
      </w:pPr>
      <w:r>
        <w:rPr>
          <w:rFonts w:hint="eastAsia" w:ascii="仿宋" w:hAnsi="仿宋" w:eastAsia="仿宋"/>
          <w:sz w:val="28"/>
          <w:szCs w:val="28"/>
        </w:rPr>
        <w:t>……</w:t>
      </w:r>
    </w:p>
    <w:p>
      <w:pPr>
        <w:pStyle w:val="11"/>
        <w:ind w:firstLine="560" w:firstLineChars="200"/>
        <w:rPr>
          <w:rFonts w:ascii="仿宋" w:hAnsi="仿宋" w:eastAsia="仿宋"/>
          <w:sz w:val="28"/>
          <w:szCs w:val="28"/>
        </w:rPr>
      </w:pPr>
      <w:r>
        <w:rPr>
          <w:rFonts w:hint="eastAsia" w:ascii="仿宋" w:hAnsi="仿宋" w:eastAsia="仿宋"/>
          <w:sz w:val="28"/>
          <w:szCs w:val="28"/>
        </w:rPr>
        <w:t>（解释本部门决算报表中全部功能分类科目至项级，请参照《</w:t>
      </w:r>
      <w:r>
        <w:rPr>
          <w:rFonts w:ascii="仿宋" w:hAnsi="仿宋" w:eastAsia="仿宋"/>
          <w:sz w:val="28"/>
          <w:szCs w:val="28"/>
        </w:rPr>
        <w:t>201</w:t>
      </w:r>
      <w:r>
        <w:rPr>
          <w:rFonts w:hint="eastAsia" w:ascii="仿宋" w:hAnsi="仿宋" w:eastAsia="仿宋"/>
          <w:sz w:val="28"/>
          <w:szCs w:val="28"/>
        </w:rPr>
        <w:t>8年政府收支分类科目》增减内容。）</w:t>
      </w:r>
    </w:p>
    <w:p>
      <w:pPr>
        <w:pStyle w:val="11"/>
        <w:ind w:firstLine="560" w:firstLineChars="200"/>
        <w:rPr>
          <w:rFonts w:ascii="仿宋" w:hAnsi="仿宋" w:eastAsia="仿宋"/>
          <w:sz w:val="28"/>
          <w:szCs w:val="28"/>
        </w:rPr>
      </w:pPr>
      <w:r>
        <w:rPr>
          <w:rFonts w:ascii="仿宋" w:hAnsi="仿宋" w:eastAsia="仿宋"/>
          <w:sz w:val="28"/>
          <w:szCs w:val="28"/>
        </w:rPr>
        <w:t>27.</w:t>
      </w:r>
      <w:r>
        <w:rPr>
          <w:rFonts w:hint="eastAsia" w:ascii="仿宋" w:hAnsi="仿宋" w:eastAsia="仿宋"/>
          <w:sz w:val="28"/>
          <w:szCs w:val="28"/>
        </w:rPr>
        <w:t>基本支出：指为保障机构正常运转、完成日常工作任务而发生的人员支出和公用支出。</w:t>
      </w:r>
    </w:p>
    <w:p>
      <w:pPr>
        <w:pStyle w:val="11"/>
        <w:ind w:firstLine="560" w:firstLineChars="200"/>
        <w:rPr>
          <w:rFonts w:ascii="仿宋" w:hAnsi="仿宋" w:eastAsia="仿宋"/>
          <w:sz w:val="28"/>
          <w:szCs w:val="28"/>
        </w:rPr>
      </w:pPr>
      <w:r>
        <w:rPr>
          <w:rFonts w:ascii="仿宋" w:hAnsi="仿宋" w:eastAsia="仿宋"/>
          <w:sz w:val="28"/>
          <w:szCs w:val="28"/>
        </w:rPr>
        <w:t>28.</w:t>
      </w:r>
      <w:r>
        <w:rPr>
          <w:rFonts w:hint="eastAsia" w:ascii="仿宋" w:hAnsi="仿宋" w:eastAsia="仿宋"/>
          <w:sz w:val="28"/>
          <w:szCs w:val="28"/>
        </w:rPr>
        <w:t>项目支出：指在基本支出之外为完成特定行政任务和事业发展目标所发生的支出。</w:t>
      </w:r>
      <w:r>
        <w:rPr>
          <w:rFonts w:ascii="仿宋" w:hAnsi="仿宋" w:eastAsia="仿宋"/>
          <w:sz w:val="28"/>
          <w:szCs w:val="28"/>
        </w:rPr>
        <w:t xml:space="preserve"> </w:t>
      </w:r>
    </w:p>
    <w:p>
      <w:pPr>
        <w:pStyle w:val="11"/>
        <w:ind w:firstLine="560" w:firstLineChars="200"/>
        <w:rPr>
          <w:rFonts w:ascii="仿宋" w:hAnsi="仿宋" w:eastAsia="仿宋"/>
          <w:sz w:val="28"/>
          <w:szCs w:val="28"/>
        </w:rPr>
      </w:pPr>
      <w:r>
        <w:rPr>
          <w:rFonts w:ascii="仿宋" w:hAnsi="仿宋" w:eastAsia="仿宋"/>
          <w:sz w:val="28"/>
          <w:szCs w:val="28"/>
        </w:rPr>
        <w:t>29.</w:t>
      </w:r>
      <w:r>
        <w:rPr>
          <w:rFonts w:hint="eastAsia" w:ascii="仿宋" w:hAnsi="仿宋" w:eastAsia="仿宋"/>
          <w:sz w:val="28"/>
          <w:szCs w:val="28"/>
        </w:rPr>
        <w:t>经营支出：指事业单位在专业业务活动及其辅助活动之外开展非独立核算经营活动发生的支出。</w:t>
      </w:r>
    </w:p>
    <w:p>
      <w:pPr>
        <w:pStyle w:val="11"/>
        <w:ind w:firstLine="560" w:firstLineChars="200"/>
        <w:rPr>
          <w:rFonts w:ascii="仿宋" w:hAnsi="仿宋" w:eastAsia="仿宋"/>
          <w:sz w:val="28"/>
          <w:szCs w:val="28"/>
        </w:rPr>
      </w:pPr>
      <w:r>
        <w:rPr>
          <w:rFonts w:ascii="仿宋" w:hAnsi="仿宋" w:eastAsia="仿宋"/>
          <w:sz w:val="28"/>
          <w:szCs w:val="28"/>
        </w:rPr>
        <w:t>30.</w:t>
      </w:r>
      <w:r>
        <w:rPr>
          <w:rFonts w:hint="eastAsia" w:ascii="仿宋" w:hAnsi="仿宋" w:eastAsia="仿宋"/>
          <w:sz w:val="28"/>
          <w:szCs w:val="28"/>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1"/>
        <w:ind w:firstLine="560" w:firstLineChars="200"/>
        <w:rPr>
          <w:rFonts w:ascii="仿宋" w:hAnsi="仿宋" w:eastAsia="仿宋"/>
          <w:sz w:val="28"/>
          <w:szCs w:val="28"/>
        </w:rPr>
      </w:pPr>
      <w:r>
        <w:rPr>
          <w:rFonts w:ascii="仿宋" w:hAnsi="仿宋" w:eastAsia="仿宋"/>
          <w:sz w:val="28"/>
          <w:szCs w:val="28"/>
        </w:rPr>
        <w:t>31.</w:t>
      </w:r>
      <w:r>
        <w:rPr>
          <w:rFonts w:hint="eastAsia" w:ascii="仿宋" w:hAnsi="仿宋" w:eastAsia="仿宋"/>
          <w:sz w:val="28"/>
          <w:szCs w:val="28"/>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1"/>
        <w:ind w:firstLine="560" w:firstLineChars="200"/>
        <w:rPr>
          <w:rFonts w:ascii="仿宋" w:hAnsi="仿宋" w:eastAsia="仿宋"/>
          <w:sz w:val="28"/>
          <w:szCs w:val="28"/>
        </w:rPr>
      </w:pPr>
      <w:r>
        <w:rPr>
          <w:rFonts w:ascii="仿宋" w:hAnsi="仿宋" w:eastAsia="仿宋"/>
          <w:sz w:val="28"/>
          <w:szCs w:val="28"/>
        </w:rPr>
        <w:t>32.</w:t>
      </w:r>
      <w:r>
        <w:rPr>
          <w:rFonts w:hint="eastAsia" w:ascii="仿宋" w:hAnsi="仿宋" w:eastAsia="仿宋"/>
          <w:sz w:val="28"/>
          <w:szCs w:val="28"/>
        </w:rPr>
        <w:t>……。</w:t>
      </w:r>
    </w:p>
    <w:p>
      <w:pPr>
        <w:pStyle w:val="11"/>
        <w:ind w:firstLine="560" w:firstLineChars="200"/>
        <w:rPr>
          <w:rFonts w:ascii="仿宋" w:hAnsi="仿宋" w:eastAsia="仿宋"/>
          <w:sz w:val="28"/>
          <w:szCs w:val="28"/>
        </w:rPr>
      </w:pPr>
    </w:p>
    <w:p>
      <w:pPr>
        <w:pStyle w:val="11"/>
        <w:ind w:firstLine="560" w:firstLineChars="200"/>
        <w:rPr>
          <w:rFonts w:ascii="仿宋" w:hAnsi="仿宋" w:eastAsia="仿宋"/>
          <w:sz w:val="28"/>
          <w:szCs w:val="28"/>
        </w:rPr>
      </w:pPr>
      <w:r>
        <w:rPr>
          <w:rFonts w:hint="eastAsia" w:ascii="仿宋" w:hAnsi="仿宋" w:eastAsia="仿宋"/>
          <w:sz w:val="28"/>
          <w:szCs w:val="28"/>
        </w:rPr>
        <w:t>（名词解释部分请根据各部门实际列支情况罗列，并根据本部门职责职能增减名词解释内容。）</w:t>
      </w:r>
    </w:p>
    <w:p>
      <w:pPr>
        <w:pStyle w:val="11"/>
        <w:ind w:firstLine="560" w:firstLineChars="200"/>
        <w:rPr>
          <w:rFonts w:ascii="仿宋" w:hAnsi="仿宋" w:eastAsia="仿宋"/>
          <w:sz w:val="28"/>
          <w:szCs w:val="28"/>
        </w:rPr>
      </w:pPr>
      <w:bookmarkStart w:id="53" w:name="_Toc15377226"/>
      <w:r>
        <w:rPr>
          <w:rFonts w:ascii="仿宋" w:hAnsi="仿宋" w:eastAsia="仿宋"/>
          <w:sz w:val="28"/>
          <w:szCs w:val="28"/>
        </w:rPr>
        <w:br w:type="page"/>
      </w:r>
      <w:bookmarkStart w:id="54" w:name="_Toc15396618"/>
    </w:p>
    <w:p>
      <w:pPr>
        <w:pStyle w:val="11"/>
        <w:ind w:firstLine="562" w:firstLineChars="200"/>
        <w:rPr>
          <w:rFonts w:ascii="仿宋" w:hAnsi="仿宋" w:eastAsia="仿宋"/>
          <w:b/>
          <w:bCs/>
          <w:sz w:val="28"/>
          <w:szCs w:val="28"/>
        </w:rPr>
      </w:pPr>
      <w:r>
        <w:rPr>
          <w:rFonts w:hint="eastAsia" w:ascii="仿宋" w:hAnsi="仿宋" w:eastAsia="仿宋"/>
          <w:b/>
          <w:bCs/>
          <w:sz w:val="28"/>
          <w:szCs w:val="28"/>
        </w:rPr>
        <w:t>第四部分　附件</w:t>
      </w:r>
    </w:p>
    <w:p>
      <w:pPr>
        <w:pStyle w:val="11"/>
        <w:ind w:firstLine="560" w:firstLineChars="200"/>
        <w:rPr>
          <w:rFonts w:ascii="仿宋" w:hAnsi="仿宋" w:eastAsia="仿宋"/>
          <w:sz w:val="28"/>
          <w:szCs w:val="28"/>
        </w:rPr>
      </w:pPr>
    </w:p>
    <w:p>
      <w:pPr>
        <w:widowControl/>
        <w:spacing w:line="540" w:lineRule="exact"/>
        <w:ind w:firstLine="883" w:firstLineChars="200"/>
        <w:jc w:val="center"/>
        <w:rPr>
          <w:rFonts w:ascii="宋体" w:hAnsi="宋体" w:cs="宋体"/>
          <w:b/>
          <w:sz w:val="44"/>
          <w:szCs w:val="44"/>
        </w:rPr>
      </w:pPr>
      <w:r>
        <w:rPr>
          <w:rFonts w:ascii="宋体" w:hAnsi="宋体" w:cs="宋体"/>
          <w:b/>
          <w:kern w:val="1"/>
          <w:sz w:val="44"/>
          <w:szCs w:val="44"/>
          <w:shd w:val="clear" w:color="auto" w:fill="FFFFFF"/>
        </w:rPr>
        <w:t>201</w:t>
      </w:r>
      <w:r>
        <w:rPr>
          <w:rFonts w:hint="eastAsia" w:ascii="宋体" w:hAnsi="宋体" w:cs="宋体"/>
          <w:b/>
          <w:kern w:val="1"/>
          <w:sz w:val="44"/>
          <w:szCs w:val="44"/>
          <w:shd w:val="clear" w:color="auto" w:fill="FFFFFF"/>
        </w:rPr>
        <w:t>9</w:t>
      </w:r>
      <w:r>
        <w:rPr>
          <w:rFonts w:ascii="宋体" w:hAnsi="宋体" w:cs="宋体"/>
          <w:b/>
          <w:kern w:val="1"/>
          <w:sz w:val="44"/>
          <w:szCs w:val="44"/>
          <w:shd w:val="clear" w:color="auto" w:fill="FFFFFF"/>
        </w:rPr>
        <w:t>年</w:t>
      </w:r>
      <w:r>
        <w:rPr>
          <w:rFonts w:hint="eastAsia" w:ascii="宋体" w:hAnsi="宋体"/>
          <w:b/>
          <w:sz w:val="44"/>
          <w:szCs w:val="44"/>
        </w:rPr>
        <w:t>汶川</w:t>
      </w:r>
      <w:r>
        <w:rPr>
          <w:rFonts w:hint="eastAsia" w:ascii="宋体" w:hAnsi="宋体" w:cs="宋体"/>
          <w:b/>
          <w:sz w:val="44"/>
          <w:szCs w:val="44"/>
        </w:rPr>
        <w:t>县纪委监委</w:t>
      </w:r>
      <w:r>
        <w:rPr>
          <w:rFonts w:ascii="宋体" w:hAnsi="宋体" w:cs="宋体"/>
          <w:b/>
          <w:kern w:val="1"/>
          <w:sz w:val="44"/>
          <w:szCs w:val="44"/>
          <w:shd w:val="clear" w:color="auto" w:fill="FFFFFF"/>
        </w:rPr>
        <w:t>预算支出绩效报告</w:t>
      </w:r>
    </w:p>
    <w:p>
      <w:pPr>
        <w:spacing w:line="600" w:lineRule="exact"/>
        <w:ind w:firstLine="420" w:firstLineChars="200"/>
        <w:rPr>
          <w:rFonts w:hint="eastAsia"/>
        </w:rPr>
      </w:pPr>
    </w:p>
    <w:p>
      <w:pPr>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一、部门概况</w:t>
      </w:r>
    </w:p>
    <w:p>
      <w:pPr>
        <w:snapToGrid w:val="0"/>
        <w:spacing w:line="588" w:lineRule="exact"/>
        <w:ind w:firstLine="643" w:firstLineChars="200"/>
        <w:rPr>
          <w:rFonts w:hint="eastAsia" w:ascii="仿宋" w:hAnsi="仿宋" w:eastAsia="仿宋" w:cs="仿宋_GB2312"/>
          <w:sz w:val="32"/>
          <w:szCs w:val="32"/>
        </w:rPr>
      </w:pPr>
      <w:r>
        <w:rPr>
          <w:rFonts w:hint="eastAsia" w:ascii="楷体" w:hAnsi="楷体" w:eastAsia="楷体"/>
          <w:b/>
          <w:bCs/>
          <w:color w:val="000000"/>
          <w:sz w:val="32"/>
          <w:szCs w:val="32"/>
        </w:rPr>
        <w:t>（一）机构组成</w:t>
      </w:r>
    </w:p>
    <w:p>
      <w:pPr>
        <w:snapToGrid w:val="0"/>
        <w:spacing w:line="588" w:lineRule="exact"/>
        <w:ind w:firstLine="640" w:firstLineChars="200"/>
        <w:rPr>
          <w:rFonts w:hint="eastAsia" w:ascii="仿宋_GB2312" w:hAnsi="仿宋" w:eastAsia="仿宋_GB2312"/>
          <w:sz w:val="32"/>
          <w:szCs w:val="32"/>
        </w:rPr>
      </w:pPr>
      <w:r>
        <w:rPr>
          <w:rFonts w:hint="eastAsia" w:ascii="仿宋" w:hAnsi="仿宋" w:eastAsia="仿宋" w:cs="仿宋_GB2312"/>
          <w:sz w:val="32"/>
          <w:szCs w:val="32"/>
        </w:rPr>
        <w:t>县纪委监委2017年12月深化监察体制改革后，新组建成立内设机构10个，分别为办公室、党风政风监督室、信访室、第一、二、三、四纪检监察室、审理室、案件监督管理室和1个派出纪工委。县级派驻纪检组7个。共设乡镇纪委7个。县委巡察办设在科艺楼，下设3个常规巡察组。</w:t>
      </w:r>
    </w:p>
    <w:p>
      <w:pPr>
        <w:widowControl/>
        <w:spacing w:line="600" w:lineRule="exact"/>
        <w:ind w:firstLine="643" w:firstLineChars="200"/>
        <w:jc w:val="left"/>
        <w:rPr>
          <w:rFonts w:hint="eastAsia" w:ascii="楷体" w:hAnsi="楷体" w:eastAsia="楷体"/>
          <w:b/>
          <w:bCs/>
          <w:color w:val="000000"/>
          <w:sz w:val="32"/>
          <w:szCs w:val="32"/>
        </w:rPr>
      </w:pPr>
      <w:r>
        <w:rPr>
          <w:rFonts w:hint="eastAsia" w:ascii="楷体" w:hAnsi="楷体" w:eastAsia="楷体"/>
          <w:b/>
          <w:bCs/>
          <w:color w:val="000000"/>
          <w:sz w:val="32"/>
          <w:szCs w:val="32"/>
        </w:rPr>
        <w:t>（二）机构职能</w:t>
      </w:r>
    </w:p>
    <w:p>
      <w:pPr>
        <w:widowControl/>
        <w:spacing w:line="600" w:lineRule="exact"/>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一是《</w:t>
      </w:r>
      <w:r>
        <w:rPr>
          <w:rFonts w:hint="eastAsia" w:ascii="仿宋" w:hAnsi="仿宋" w:eastAsia="仿宋" w:cs="宋体"/>
          <w:bCs/>
          <w:kern w:val="0"/>
          <w:sz w:val="32"/>
          <w:szCs w:val="32"/>
          <w:lang w:eastAsia="zh-CN"/>
        </w:rPr>
        <w:t>中国共产</w:t>
      </w:r>
      <w:bookmarkStart w:id="68" w:name="_GoBack"/>
      <w:bookmarkEnd w:id="68"/>
      <w:r>
        <w:rPr>
          <w:rFonts w:hint="eastAsia" w:ascii="仿宋" w:hAnsi="仿宋" w:eastAsia="仿宋" w:cs="宋体"/>
          <w:bCs/>
          <w:kern w:val="0"/>
          <w:sz w:val="32"/>
          <w:szCs w:val="32"/>
          <w:lang w:eastAsia="zh-CN"/>
        </w:rPr>
        <w:t>党章程</w:t>
      </w:r>
      <w:r>
        <w:rPr>
          <w:rFonts w:hint="eastAsia" w:ascii="仿宋" w:hAnsi="仿宋" w:eastAsia="仿宋" w:cs="宋体"/>
          <w:bCs/>
          <w:kern w:val="0"/>
          <w:sz w:val="32"/>
          <w:szCs w:val="32"/>
        </w:rPr>
        <w:t>》赋予的纪委维护党的章程和其他党内法规，检查党的路线、方针、政策和决议的执行情况，协助党的委员会加强党风廉政建设和组织协调反腐败工作的“三项任务”，教育、监督、惩处、保护的“四项职能”，监督权、检查权、调查权、建议权和处分权“五项职权”；二是《监察法》赋予的监察机关执法监察、效能监察、廉政监察“三大职能”。</w:t>
      </w:r>
    </w:p>
    <w:p>
      <w:pPr>
        <w:widowControl/>
        <w:spacing w:line="600" w:lineRule="exact"/>
        <w:ind w:firstLine="643" w:firstLineChars="200"/>
        <w:jc w:val="left"/>
        <w:rPr>
          <w:rFonts w:hint="eastAsia" w:ascii="楷体" w:hAnsi="楷体" w:eastAsia="楷体"/>
          <w:b/>
          <w:bCs/>
          <w:color w:val="000000"/>
          <w:sz w:val="32"/>
          <w:szCs w:val="32"/>
        </w:rPr>
      </w:pPr>
      <w:r>
        <w:rPr>
          <w:rFonts w:hint="eastAsia" w:ascii="楷体" w:hAnsi="楷体" w:eastAsia="楷体"/>
          <w:b/>
          <w:bCs/>
          <w:color w:val="000000"/>
          <w:sz w:val="32"/>
          <w:szCs w:val="32"/>
        </w:rPr>
        <w:t>（三）人员概况</w:t>
      </w:r>
    </w:p>
    <w:p>
      <w:pPr>
        <w:widowControl/>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2019年单位编制数为：行政53名，工勤5名。单位年末人数为52名，其中：行政48名，工勤4名。今年因纪检体制改革，增加行政编制18名。</w:t>
      </w:r>
    </w:p>
    <w:p>
      <w:pPr>
        <w:spacing w:line="60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二、部门财政资金收支情况</w:t>
      </w:r>
    </w:p>
    <w:p>
      <w:pPr>
        <w:widowControl/>
        <w:spacing w:line="600" w:lineRule="exact"/>
        <w:ind w:firstLine="643" w:firstLineChars="200"/>
        <w:jc w:val="left"/>
        <w:rPr>
          <w:rFonts w:hint="eastAsia" w:ascii="楷体" w:hAnsi="楷体" w:eastAsia="楷体" w:cs="宋体"/>
          <w:b/>
          <w:bCs/>
          <w:kern w:val="0"/>
          <w:sz w:val="32"/>
          <w:szCs w:val="32"/>
        </w:rPr>
      </w:pPr>
      <w:r>
        <w:rPr>
          <w:rFonts w:hint="eastAsia" w:ascii="楷体" w:hAnsi="楷体" w:eastAsia="楷体" w:cs="宋体"/>
          <w:b/>
          <w:bCs/>
          <w:kern w:val="0"/>
          <w:sz w:val="32"/>
          <w:szCs w:val="32"/>
        </w:rPr>
        <w:t>（一）部门财政资金收入情况</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2019年全年收入合计971.31万元，其中：财政拨款收入971.31万元，占100%。</w:t>
      </w:r>
    </w:p>
    <w:p>
      <w:pPr>
        <w:widowControl/>
        <w:spacing w:line="600" w:lineRule="exact"/>
        <w:ind w:firstLine="643" w:firstLineChars="200"/>
        <w:jc w:val="left"/>
        <w:rPr>
          <w:rFonts w:hint="eastAsia" w:ascii="楷体" w:hAnsi="楷体" w:eastAsia="楷体" w:cs="宋体"/>
          <w:b/>
          <w:bCs/>
          <w:kern w:val="0"/>
          <w:sz w:val="32"/>
          <w:szCs w:val="32"/>
        </w:rPr>
      </w:pPr>
      <w:r>
        <w:rPr>
          <w:rFonts w:hint="eastAsia" w:ascii="楷体" w:hAnsi="楷体" w:eastAsia="楷体" w:cs="宋体"/>
          <w:b/>
          <w:bCs/>
          <w:kern w:val="0"/>
          <w:sz w:val="32"/>
          <w:szCs w:val="32"/>
        </w:rPr>
        <w:t>（二）部门财政资金支出情况</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2019年全年支出合计1087.97万元，其中：财政拨款支出1087.97万元，占100%；基本支出865.15万元，占80%；项目支出222.82万元，占20%。</w:t>
      </w:r>
    </w:p>
    <w:p>
      <w:pPr>
        <w:spacing w:line="60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三、部门财政支出管理情况</w:t>
      </w:r>
    </w:p>
    <w:p>
      <w:pPr>
        <w:widowControl/>
        <w:spacing w:line="600" w:lineRule="exact"/>
        <w:ind w:firstLine="643" w:firstLineChars="200"/>
        <w:jc w:val="left"/>
        <w:rPr>
          <w:rFonts w:hint="eastAsia" w:ascii="楷体" w:hAnsi="楷体" w:eastAsia="楷体" w:cs="宋体"/>
          <w:b/>
          <w:bCs/>
          <w:kern w:val="0"/>
          <w:sz w:val="32"/>
          <w:szCs w:val="32"/>
        </w:rPr>
      </w:pPr>
      <w:r>
        <w:rPr>
          <w:rFonts w:hint="eastAsia" w:ascii="楷体" w:hAnsi="楷体" w:eastAsia="楷体" w:cs="宋体"/>
          <w:b/>
          <w:bCs/>
          <w:kern w:val="0"/>
          <w:sz w:val="32"/>
          <w:szCs w:val="32"/>
        </w:rPr>
        <w:t>（一）预算编制情况</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根据全县部门编制预算口径和要求，确保我委保障机构正常运转、完成日常工作任务以及承担全省纪检监察事业发展相关工作，编制2019年预算。基本支出，是用于保障我委正常运转的日常支出，包括基本工资、津贴补贴等人员经费以及办公费、印刷费、水电费、办公设备购置等日常公用经费。项目支出，是用于保障我委完成特定的行政工作任务，用于专项业务工作的经费支出。</w:t>
      </w:r>
    </w:p>
    <w:p>
      <w:pPr>
        <w:widowControl/>
        <w:spacing w:line="600" w:lineRule="exact"/>
        <w:ind w:firstLine="643" w:firstLineChars="200"/>
        <w:jc w:val="left"/>
        <w:rPr>
          <w:rFonts w:hint="eastAsia" w:ascii="楷体" w:hAnsi="楷体" w:eastAsia="楷体" w:cs="宋体"/>
          <w:b/>
          <w:bCs/>
          <w:kern w:val="0"/>
          <w:sz w:val="32"/>
          <w:szCs w:val="32"/>
        </w:rPr>
      </w:pPr>
      <w:r>
        <w:rPr>
          <w:rFonts w:hint="eastAsia" w:ascii="楷体" w:hAnsi="楷体" w:eastAsia="楷体" w:cs="宋体"/>
          <w:b/>
          <w:bCs/>
          <w:kern w:val="0"/>
          <w:sz w:val="32"/>
          <w:szCs w:val="32"/>
        </w:rPr>
        <w:t>(二)执行管理情况</w:t>
      </w:r>
    </w:p>
    <w:p>
      <w:pPr>
        <w:spacing w:line="600" w:lineRule="exact"/>
        <w:ind w:firstLine="640" w:firstLineChars="200"/>
        <w:rPr>
          <w:rStyle w:val="14"/>
          <w:rFonts w:hint="eastAsia" w:ascii="仿宋" w:hAnsi="仿宋" w:eastAsia="仿宋"/>
          <w:b w:val="0"/>
          <w:color w:val="000000"/>
          <w:sz w:val="32"/>
          <w:szCs w:val="32"/>
        </w:rPr>
      </w:pPr>
      <w:r>
        <w:rPr>
          <w:rStyle w:val="14"/>
          <w:rFonts w:hint="eastAsia" w:ascii="仿宋" w:hAnsi="仿宋" w:eastAsia="仿宋"/>
          <w:b w:val="0"/>
          <w:color w:val="000000"/>
          <w:sz w:val="32"/>
          <w:szCs w:val="32"/>
        </w:rPr>
        <w:t>1.一般公共服务（类）201（款）11（项）01:</w:t>
      </w:r>
      <w:r>
        <w:rPr>
          <w:rFonts w:hint="eastAsia" w:ascii="仿宋" w:hAnsi="仿宋" w:eastAsia="仿宋"/>
          <w:color w:val="000000"/>
          <w:sz w:val="32"/>
          <w:szCs w:val="32"/>
        </w:rPr>
        <w:t>2019年决算数为684.11万元，完成预算。</w:t>
      </w:r>
      <w:r>
        <w:rPr>
          <w:rStyle w:val="14"/>
          <w:rFonts w:hint="eastAsia" w:ascii="仿宋" w:hAnsi="仿宋" w:eastAsia="仿宋"/>
          <w:b w:val="0"/>
          <w:color w:val="000000"/>
          <w:sz w:val="32"/>
          <w:szCs w:val="32"/>
        </w:rPr>
        <w:t>一般公共服务（类）201（款）11（项）04:</w:t>
      </w:r>
      <w:r>
        <w:rPr>
          <w:rFonts w:hint="eastAsia" w:ascii="仿宋" w:hAnsi="仿宋" w:eastAsia="仿宋"/>
          <w:color w:val="000000"/>
          <w:sz w:val="32"/>
          <w:szCs w:val="32"/>
        </w:rPr>
        <w:t>2019年决算数为57.49万元，完成预算96%，未支付完的原因是已支付办案经费未取得票据及时报销；</w:t>
      </w:r>
      <w:r>
        <w:rPr>
          <w:rStyle w:val="14"/>
          <w:rFonts w:hint="eastAsia" w:ascii="仿宋" w:hAnsi="仿宋" w:eastAsia="仿宋"/>
          <w:b w:val="0"/>
          <w:color w:val="000000"/>
          <w:sz w:val="32"/>
          <w:szCs w:val="32"/>
        </w:rPr>
        <w:t>一般公共服务（类）201（款）11（项）05:</w:t>
      </w:r>
      <w:r>
        <w:rPr>
          <w:rFonts w:hint="eastAsia" w:ascii="仿宋" w:hAnsi="仿宋" w:eastAsia="仿宋"/>
          <w:color w:val="000000"/>
          <w:sz w:val="32"/>
          <w:szCs w:val="32"/>
        </w:rPr>
        <w:t>2019年决算数为5万元，完成预算100%；</w:t>
      </w:r>
    </w:p>
    <w:p>
      <w:pPr>
        <w:spacing w:line="600" w:lineRule="exact"/>
        <w:ind w:firstLine="640" w:firstLineChars="200"/>
        <w:rPr>
          <w:rFonts w:hint="eastAsia" w:ascii="仿宋" w:hAnsi="仿宋" w:eastAsia="仿宋"/>
          <w:color w:val="000000"/>
          <w:sz w:val="32"/>
          <w:szCs w:val="32"/>
        </w:rPr>
      </w:pPr>
      <w:r>
        <w:rPr>
          <w:rStyle w:val="14"/>
          <w:rFonts w:hint="eastAsia" w:ascii="仿宋" w:hAnsi="仿宋" w:eastAsia="仿宋"/>
          <w:b w:val="0"/>
          <w:color w:val="000000"/>
          <w:sz w:val="32"/>
          <w:szCs w:val="32"/>
        </w:rPr>
        <w:t xml:space="preserve"> 2. 社会保障和就业（类）208（款）05（项）05:</w:t>
      </w:r>
      <w:r>
        <w:rPr>
          <w:rFonts w:hint="eastAsia" w:ascii="仿宋" w:hAnsi="仿宋" w:eastAsia="仿宋"/>
          <w:color w:val="000000"/>
          <w:sz w:val="32"/>
          <w:szCs w:val="32"/>
        </w:rPr>
        <w:t>2019年决算数为55.70元，完成预算100%；</w:t>
      </w:r>
      <w:r>
        <w:rPr>
          <w:rStyle w:val="14"/>
          <w:rFonts w:hint="eastAsia" w:ascii="仿宋" w:hAnsi="仿宋" w:eastAsia="仿宋"/>
          <w:b w:val="0"/>
          <w:color w:val="000000"/>
          <w:sz w:val="32"/>
          <w:szCs w:val="32"/>
        </w:rPr>
        <w:t>社会保障和就业（类）208（款）05（项）06:</w:t>
      </w:r>
      <w:r>
        <w:rPr>
          <w:rFonts w:hint="eastAsia" w:ascii="仿宋" w:hAnsi="仿宋" w:eastAsia="仿宋"/>
          <w:color w:val="000000"/>
          <w:sz w:val="32"/>
          <w:szCs w:val="32"/>
        </w:rPr>
        <w:t>2019年决算数为26.19万元，完成预算100%。</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w:t>
      </w:r>
      <w:r>
        <w:rPr>
          <w:rStyle w:val="14"/>
          <w:rFonts w:hint="eastAsia" w:ascii="仿宋" w:hAnsi="仿宋" w:eastAsia="仿宋"/>
          <w:b w:val="0"/>
          <w:color w:val="000000"/>
          <w:sz w:val="32"/>
          <w:szCs w:val="32"/>
        </w:rPr>
        <w:t>3.医疗卫生与计划生育（类）210（款）11（项）01:</w:t>
      </w:r>
      <w:r>
        <w:rPr>
          <w:rFonts w:hint="eastAsia" w:ascii="仿宋" w:hAnsi="仿宋" w:eastAsia="仿宋"/>
          <w:color w:val="000000"/>
          <w:sz w:val="32"/>
          <w:szCs w:val="32"/>
        </w:rPr>
        <w:t>2019年决算数为38.66万元，完成预算100%。</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4. 住房保障支出</w:t>
      </w:r>
      <w:r>
        <w:rPr>
          <w:rStyle w:val="14"/>
          <w:rFonts w:hint="eastAsia" w:ascii="仿宋" w:hAnsi="仿宋" w:eastAsia="仿宋"/>
          <w:b w:val="0"/>
          <w:color w:val="000000"/>
          <w:sz w:val="32"/>
          <w:szCs w:val="32"/>
        </w:rPr>
        <w:t>（类）221（款）02（项）01：</w:t>
      </w:r>
      <w:r>
        <w:rPr>
          <w:rFonts w:hint="eastAsia" w:ascii="仿宋" w:hAnsi="仿宋" w:eastAsia="仿宋"/>
          <w:color w:val="000000"/>
          <w:sz w:val="32"/>
          <w:szCs w:val="32"/>
        </w:rPr>
        <w:t>2019年决算数为60.49万元，完成预算100%。</w:t>
      </w:r>
    </w:p>
    <w:p>
      <w:pPr>
        <w:spacing w:line="620" w:lineRule="exact"/>
        <w:ind w:firstLine="640" w:firstLineChars="200"/>
        <w:rPr>
          <w:rFonts w:hint="eastAsia" w:ascii="仿宋" w:hAnsi="仿宋" w:eastAsia="仿宋"/>
          <w:i/>
          <w:color w:val="404040"/>
          <w:sz w:val="32"/>
          <w:szCs w:val="32"/>
        </w:rPr>
      </w:pPr>
      <w:r>
        <w:rPr>
          <w:rFonts w:hint="eastAsia" w:ascii="仿宋" w:hAnsi="仿宋" w:eastAsia="仿宋"/>
          <w:color w:val="333333"/>
          <w:sz w:val="32"/>
          <w:szCs w:val="32"/>
        </w:rPr>
        <w:t>5.2019年度“三公”经费财政拨款支出决算为38.13万元，完成预算100%，其中：公务用车购置及运行维护费支出决算为36.85万元，完成预算100%。</w:t>
      </w:r>
    </w:p>
    <w:p>
      <w:pPr>
        <w:spacing w:line="620" w:lineRule="exact"/>
        <w:ind w:firstLine="640" w:firstLineChars="200"/>
        <w:rPr>
          <w:rFonts w:hint="eastAsia" w:ascii="仿宋" w:hAnsi="仿宋" w:eastAsia="仿宋"/>
          <w:color w:val="333333"/>
          <w:sz w:val="32"/>
          <w:szCs w:val="32"/>
        </w:rPr>
      </w:pPr>
      <w:r>
        <w:rPr>
          <w:rFonts w:hint="eastAsia" w:ascii="仿宋" w:hAnsi="仿宋" w:eastAsia="仿宋"/>
          <w:color w:val="333333"/>
          <w:sz w:val="32"/>
          <w:szCs w:val="32"/>
        </w:rPr>
        <w:t>2019年度“三公”经费财政拨款支出决算数比2019年增加了1.93万元，上升了5%，其中：车辆运行维护费支出为36.85万元，比上年同期增加1.76%，本项支出主要用于巡察、办案及日常公务活动等所需的公务用车燃料费、维修费、过路过桥费、保险费支出，增加原因为人员增加经费增加。截至2019年12月底，单位共有公务用车4辆，其中：轿车1辆、越野车3辆。接待费支出为1.28万元，比上年同期增加1.28万元。 增减变动的主要原因是严格控制三公经费开支。</w:t>
      </w:r>
    </w:p>
    <w:p>
      <w:pPr>
        <w:widowControl/>
        <w:spacing w:line="600" w:lineRule="exact"/>
        <w:ind w:firstLine="643" w:firstLineChars="200"/>
        <w:jc w:val="left"/>
        <w:rPr>
          <w:rFonts w:hint="eastAsia" w:ascii="楷体" w:hAnsi="楷体" w:eastAsia="楷体" w:cs="宋体"/>
          <w:b/>
          <w:bCs/>
          <w:kern w:val="0"/>
          <w:sz w:val="32"/>
          <w:szCs w:val="32"/>
        </w:rPr>
      </w:pPr>
      <w:r>
        <w:rPr>
          <w:rFonts w:hint="eastAsia" w:ascii="楷体" w:hAnsi="楷体" w:eastAsia="楷体" w:cs="宋体"/>
          <w:b/>
          <w:bCs/>
          <w:kern w:val="0"/>
          <w:sz w:val="32"/>
          <w:szCs w:val="32"/>
        </w:rPr>
        <w:t>（三）综合管理情况</w:t>
      </w:r>
    </w:p>
    <w:p>
      <w:pPr>
        <w:widowControl/>
        <w:spacing w:line="600" w:lineRule="exact"/>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1.2019年一般公共预算财政拨款支出1087.97万元，其中：人员经费713.63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公用经费151.51万元，主要包括：办公费、印刷费、咨询费、手续费、水费、电费、邮电费、取暖费、物业管理费、差旅费、因公出国（境）费用、维修（护）费、租赁费、会议费、培训费、公务接待费、劳务费、委托业务费、工会经费、福利费、其他交通费、税金及附加费用、其他商品和服务支出。项目支出81.23万元，用于保障我委完成特定的行政工作任务，用于专项业务工作的经费支出。</w:t>
      </w:r>
    </w:p>
    <w:p>
      <w:pPr>
        <w:ind w:firstLine="640" w:firstLineChars="200"/>
        <w:rPr>
          <w:rFonts w:hint="eastAsia" w:ascii="仿宋" w:hAnsi="仿宋" w:eastAsia="仿宋" w:cs="仿宋"/>
          <w:bCs/>
          <w:sz w:val="32"/>
          <w:szCs w:val="32"/>
        </w:rPr>
      </w:pPr>
      <w:r>
        <w:rPr>
          <w:rFonts w:hint="eastAsia" w:ascii="仿宋" w:hAnsi="仿宋" w:eastAsia="仿宋"/>
          <w:color w:val="333333"/>
          <w:sz w:val="32"/>
          <w:szCs w:val="32"/>
        </w:rPr>
        <w:t>2.2019年</w:t>
      </w:r>
      <w:r>
        <w:rPr>
          <w:rFonts w:hint="eastAsia" w:ascii="仿宋" w:hAnsi="仿宋" w:eastAsia="仿宋" w:cs="仿宋"/>
          <w:bCs/>
          <w:sz w:val="32"/>
          <w:szCs w:val="32"/>
        </w:rPr>
        <w:t>政府采购支出共62.88万元，其中：办公设备购置48.28万元，档案室维修14.6万元。</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3.2019年其他一般罚没收入369.83万元。</w:t>
      </w:r>
    </w:p>
    <w:p>
      <w:pPr>
        <w:spacing w:line="600" w:lineRule="exact"/>
        <w:ind w:firstLine="640" w:firstLineChars="200"/>
        <w:rPr>
          <w:rFonts w:ascii="黑体" w:hAnsi="黑体" w:eastAsia="黑体"/>
          <w:color w:val="333333"/>
          <w:sz w:val="32"/>
          <w:szCs w:val="32"/>
        </w:rPr>
      </w:pPr>
      <w:r>
        <w:rPr>
          <w:rFonts w:ascii="黑体" w:hAnsi="黑体" w:eastAsia="黑体"/>
          <w:color w:val="333333"/>
          <w:sz w:val="32"/>
          <w:szCs w:val="32"/>
        </w:rPr>
        <w:t>四、评价结论及建议</w:t>
      </w:r>
    </w:p>
    <w:p>
      <w:pPr>
        <w:spacing w:line="60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全年经费收支保障了单位的正常运转。</w:t>
      </w:r>
    </w:p>
    <w:p>
      <w:pPr>
        <w:spacing w:line="600" w:lineRule="exact"/>
        <w:ind w:firstLine="640" w:firstLineChars="200"/>
        <w:rPr>
          <w:rFonts w:hint="eastAsia" w:ascii="仿宋" w:hAnsi="仿宋" w:eastAsia="仿宋"/>
          <w:color w:val="333333"/>
          <w:sz w:val="32"/>
          <w:szCs w:val="32"/>
        </w:rPr>
      </w:pPr>
      <w:r>
        <w:rPr>
          <w:rFonts w:hint="eastAsia" w:ascii="仿宋" w:hAnsi="仿宋" w:eastAsia="仿宋"/>
          <w:color w:val="333333"/>
          <w:sz w:val="32"/>
          <w:szCs w:val="32"/>
        </w:rPr>
        <w:t xml:space="preserve"> </w:t>
      </w:r>
    </w:p>
    <w:p>
      <w:pPr>
        <w:spacing w:line="600" w:lineRule="exact"/>
        <w:ind w:firstLine="640" w:firstLineChars="200"/>
        <w:rPr>
          <w:rFonts w:hint="eastAsia" w:ascii="仿宋" w:hAnsi="仿宋" w:eastAsia="仿宋"/>
          <w:color w:val="333333"/>
          <w:sz w:val="32"/>
          <w:szCs w:val="32"/>
        </w:rPr>
      </w:pPr>
    </w:p>
    <w:p>
      <w:pPr>
        <w:spacing w:line="600" w:lineRule="exact"/>
        <w:ind w:firstLine="640" w:firstLineChars="200"/>
        <w:rPr>
          <w:rFonts w:hint="eastAsia" w:ascii="仿宋" w:hAnsi="仿宋" w:eastAsia="仿宋"/>
          <w:color w:val="333333"/>
          <w:sz w:val="32"/>
          <w:szCs w:val="32"/>
        </w:rPr>
      </w:pPr>
      <w:r>
        <w:rPr>
          <w:rFonts w:hint="eastAsia" w:ascii="仿宋" w:hAnsi="仿宋" w:eastAsia="仿宋"/>
          <w:color w:val="333333"/>
          <w:sz w:val="32"/>
          <w:szCs w:val="32"/>
        </w:rPr>
        <w:t>中共汶川县纪律检查委员会</w:t>
      </w:r>
    </w:p>
    <w:p>
      <w:pPr>
        <w:spacing w:line="600" w:lineRule="exact"/>
        <w:ind w:right="320" w:firstLine="640" w:firstLineChars="200"/>
        <w:jc w:val="right"/>
        <w:rPr>
          <w:rFonts w:hint="eastAsia" w:ascii="仿宋" w:hAnsi="仿宋" w:eastAsia="仿宋"/>
          <w:color w:val="333333"/>
          <w:sz w:val="32"/>
          <w:szCs w:val="32"/>
        </w:rPr>
      </w:pPr>
      <w:r>
        <w:rPr>
          <w:rFonts w:hint="eastAsia" w:ascii="仿宋" w:hAnsi="仿宋" w:eastAsia="仿宋"/>
          <w:color w:val="333333"/>
          <w:sz w:val="32"/>
          <w:szCs w:val="32"/>
        </w:rPr>
        <w:t xml:space="preserve">2020年8月31日   </w:t>
      </w:r>
    </w:p>
    <w:p>
      <w:pPr>
        <w:spacing w:line="600" w:lineRule="exact"/>
        <w:ind w:firstLine="883" w:firstLineChars="200"/>
        <w:jc w:val="left"/>
        <w:outlineLvl w:val="0"/>
        <w:rPr>
          <w:rStyle w:val="25"/>
          <w:rFonts w:ascii="黑体" w:hAnsi="黑体" w:eastAsia="黑体"/>
        </w:rPr>
      </w:pPr>
    </w:p>
    <w:p>
      <w:pPr>
        <w:spacing w:line="600" w:lineRule="exact"/>
        <w:ind w:firstLine="880" w:firstLineChars="200"/>
        <w:jc w:val="center"/>
        <w:outlineLvl w:val="0"/>
        <w:rPr>
          <w:rFonts w:ascii="黑体" w:hAnsi="黑体" w:eastAsia="黑体"/>
          <w:color w:val="000000"/>
          <w:sz w:val="44"/>
          <w:szCs w:val="44"/>
        </w:rPr>
      </w:pPr>
    </w:p>
    <w:p>
      <w:pPr>
        <w:spacing w:line="600" w:lineRule="exact"/>
        <w:ind w:firstLine="880" w:firstLineChars="200"/>
        <w:jc w:val="center"/>
        <w:outlineLvl w:val="0"/>
        <w:rPr>
          <w:rFonts w:ascii="黑体" w:hAnsi="黑体" w:eastAsia="黑体"/>
          <w:color w:val="000000"/>
          <w:sz w:val="44"/>
          <w:szCs w:val="44"/>
        </w:rPr>
      </w:pPr>
    </w:p>
    <w:p>
      <w:pPr>
        <w:spacing w:line="600" w:lineRule="exact"/>
        <w:ind w:firstLine="880" w:firstLineChars="200"/>
        <w:jc w:val="center"/>
        <w:outlineLvl w:val="0"/>
        <w:rPr>
          <w:rFonts w:ascii="黑体" w:hAnsi="黑体" w:eastAsia="黑体"/>
          <w:color w:val="000000"/>
          <w:sz w:val="44"/>
          <w:szCs w:val="44"/>
        </w:rPr>
      </w:pPr>
    </w:p>
    <w:p>
      <w:pPr>
        <w:spacing w:line="600" w:lineRule="exact"/>
        <w:ind w:firstLine="880" w:firstLineChars="200"/>
        <w:jc w:val="center"/>
        <w:outlineLvl w:val="0"/>
        <w:rPr>
          <w:rFonts w:ascii="黑体" w:hAnsi="黑体" w:eastAsia="黑体"/>
          <w:color w:val="000000"/>
          <w:sz w:val="44"/>
          <w:szCs w:val="44"/>
        </w:rPr>
      </w:pPr>
    </w:p>
    <w:p>
      <w:pPr>
        <w:spacing w:line="600" w:lineRule="exact"/>
        <w:ind w:firstLine="880" w:firstLineChars="200"/>
        <w:jc w:val="center"/>
        <w:outlineLvl w:val="0"/>
        <w:rPr>
          <w:rFonts w:ascii="黑体" w:hAnsi="黑体" w:eastAsia="黑体"/>
          <w:color w:val="000000"/>
          <w:sz w:val="44"/>
          <w:szCs w:val="44"/>
        </w:rPr>
      </w:pPr>
    </w:p>
    <w:p>
      <w:pPr>
        <w:spacing w:line="600" w:lineRule="exact"/>
        <w:ind w:firstLine="880" w:firstLineChars="200"/>
        <w:jc w:val="center"/>
        <w:outlineLvl w:val="0"/>
        <w:rPr>
          <w:rFonts w:ascii="黑体" w:hAnsi="黑体" w:eastAsia="黑体"/>
          <w:color w:val="000000"/>
          <w:sz w:val="44"/>
          <w:szCs w:val="44"/>
        </w:rPr>
      </w:pPr>
    </w:p>
    <w:p>
      <w:pPr>
        <w:spacing w:line="600" w:lineRule="exact"/>
        <w:ind w:firstLine="880" w:firstLineChars="200"/>
        <w:jc w:val="center"/>
        <w:outlineLvl w:val="0"/>
        <w:rPr>
          <w:rFonts w:ascii="黑体" w:hAnsi="黑体" w:eastAsia="黑体"/>
          <w:color w:val="000000"/>
          <w:sz w:val="44"/>
          <w:szCs w:val="44"/>
        </w:rPr>
      </w:pPr>
    </w:p>
    <w:p>
      <w:pPr>
        <w:spacing w:line="600" w:lineRule="exact"/>
        <w:ind w:firstLine="880" w:firstLineChars="200"/>
        <w:jc w:val="center"/>
        <w:outlineLvl w:val="0"/>
        <w:rPr>
          <w:rFonts w:ascii="黑体" w:hAnsi="黑体" w:eastAsia="黑体"/>
          <w:color w:val="000000"/>
          <w:sz w:val="44"/>
          <w:szCs w:val="44"/>
        </w:rPr>
      </w:pPr>
    </w:p>
    <w:p>
      <w:pPr>
        <w:spacing w:line="600" w:lineRule="exact"/>
        <w:ind w:firstLine="880" w:firstLineChars="200"/>
        <w:jc w:val="center"/>
        <w:outlineLvl w:val="0"/>
        <w:rPr>
          <w:rStyle w:val="25"/>
          <w:rFonts w:ascii="黑体" w:hAnsi="黑体" w:eastAsia="黑体"/>
          <w:b w:val="0"/>
        </w:rPr>
      </w:pPr>
      <w:r>
        <w:rPr>
          <w:rFonts w:hint="eastAsia" w:ascii="黑体" w:hAnsi="黑体" w:eastAsia="黑体"/>
          <w:color w:val="000000"/>
          <w:sz w:val="44"/>
          <w:szCs w:val="44"/>
        </w:rPr>
        <w:t>第</w:t>
      </w:r>
      <w:r>
        <w:rPr>
          <w:rStyle w:val="25"/>
          <w:rFonts w:hint="eastAsia" w:ascii="黑体" w:hAnsi="黑体" w:eastAsia="黑体"/>
          <w:b w:val="0"/>
        </w:rPr>
        <w:t>五部分 附表</w:t>
      </w:r>
      <w:bookmarkEnd w:id="53"/>
      <w:bookmarkEnd w:id="54"/>
    </w:p>
    <w:p>
      <w:pPr>
        <w:spacing w:line="600" w:lineRule="exact"/>
        <w:ind w:firstLine="883" w:firstLineChars="200"/>
        <w:jc w:val="center"/>
        <w:outlineLvl w:val="0"/>
        <w:rPr>
          <w:rFonts w:ascii="仿宋" w:hAnsi="仿宋" w:eastAsia="仿宋"/>
          <w:b/>
          <w:color w:val="000000"/>
          <w:sz w:val="44"/>
          <w:szCs w:val="44"/>
        </w:rPr>
      </w:pPr>
    </w:p>
    <w:p>
      <w:pPr>
        <w:pStyle w:val="3"/>
        <w:spacing w:before="0" w:after="0"/>
        <w:ind w:firstLine="640" w:firstLineChars="200"/>
        <w:rPr>
          <w:rFonts w:ascii="仿宋" w:hAnsi="仿宋" w:eastAsia="仿宋"/>
          <w:color w:val="000000"/>
        </w:rPr>
      </w:pPr>
      <w:bookmarkStart w:id="55" w:name="_Toc15396619"/>
      <w:r>
        <w:rPr>
          <w:rFonts w:hint="eastAsia" w:ascii="仿宋" w:hAnsi="仿宋" w:eastAsia="仿宋"/>
          <w:b w:val="0"/>
          <w:color w:val="000000"/>
        </w:rPr>
        <w:t>一、收</w:t>
      </w:r>
      <w:r>
        <w:rPr>
          <w:rStyle w:val="26"/>
          <w:rFonts w:hint="eastAsia" w:ascii="仿宋" w:hAnsi="仿宋" w:eastAsia="仿宋"/>
          <w:b w:val="0"/>
          <w:bCs w:val="0"/>
        </w:rPr>
        <w:t>入支出决算总表</w:t>
      </w:r>
      <w:bookmarkEnd w:id="55"/>
    </w:p>
    <w:p>
      <w:pPr>
        <w:pStyle w:val="3"/>
        <w:spacing w:before="0" w:after="0"/>
        <w:ind w:firstLine="640" w:firstLineChars="200"/>
        <w:rPr>
          <w:rFonts w:ascii="仿宋" w:hAnsi="仿宋" w:eastAsia="仿宋"/>
          <w:color w:val="000000"/>
        </w:rPr>
      </w:pPr>
      <w:bookmarkStart w:id="56" w:name="_Toc15396620"/>
      <w:r>
        <w:rPr>
          <w:rFonts w:hint="eastAsia" w:ascii="仿宋" w:hAnsi="仿宋" w:eastAsia="仿宋"/>
          <w:b w:val="0"/>
          <w:color w:val="000000"/>
        </w:rPr>
        <w:t>二、收</w:t>
      </w:r>
      <w:r>
        <w:rPr>
          <w:rStyle w:val="26"/>
          <w:rFonts w:hint="eastAsia" w:ascii="仿宋" w:hAnsi="仿宋" w:eastAsia="仿宋"/>
          <w:b w:val="0"/>
          <w:bCs w:val="0"/>
        </w:rPr>
        <w:t>入总表</w:t>
      </w:r>
      <w:bookmarkEnd w:id="56"/>
    </w:p>
    <w:p>
      <w:pPr>
        <w:pStyle w:val="3"/>
        <w:spacing w:before="0" w:after="0"/>
        <w:ind w:firstLine="640" w:firstLineChars="200"/>
        <w:rPr>
          <w:rFonts w:ascii="仿宋" w:hAnsi="仿宋" w:eastAsia="仿宋"/>
          <w:color w:val="000000"/>
        </w:rPr>
      </w:pPr>
      <w:bookmarkStart w:id="57"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出总表</w:t>
      </w:r>
      <w:bookmarkEnd w:id="57"/>
    </w:p>
    <w:p>
      <w:pPr>
        <w:pStyle w:val="3"/>
        <w:spacing w:before="0" w:after="0"/>
        <w:ind w:firstLine="640" w:firstLineChars="200"/>
        <w:rPr>
          <w:rFonts w:ascii="仿宋" w:hAnsi="仿宋" w:eastAsia="仿宋"/>
          <w:b w:val="0"/>
          <w:color w:val="000000"/>
        </w:rPr>
      </w:pPr>
      <w:bookmarkStart w:id="58"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58"/>
    </w:p>
    <w:p>
      <w:pPr>
        <w:pStyle w:val="3"/>
        <w:spacing w:before="0" w:after="0"/>
        <w:ind w:firstLine="640" w:firstLineChars="200"/>
        <w:rPr>
          <w:rFonts w:ascii="仿宋" w:hAnsi="仿宋" w:eastAsia="仿宋"/>
          <w:color w:val="000000"/>
        </w:rPr>
      </w:pPr>
      <w:bookmarkStart w:id="59" w:name="_Toc15396623"/>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政拨款支出决算明细表（政府经济分类科目）</w:t>
      </w:r>
      <w:bookmarkEnd w:id="59"/>
    </w:p>
    <w:p>
      <w:pPr>
        <w:pStyle w:val="3"/>
        <w:spacing w:before="0" w:after="0"/>
        <w:ind w:firstLine="640" w:firstLineChars="200"/>
        <w:rPr>
          <w:rFonts w:ascii="仿宋" w:hAnsi="仿宋" w:eastAsia="仿宋"/>
          <w:color w:val="000000"/>
        </w:rPr>
      </w:pPr>
      <w:bookmarkStart w:id="60" w:name="_Toc15396624"/>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60"/>
    </w:p>
    <w:p>
      <w:pPr>
        <w:pStyle w:val="3"/>
        <w:spacing w:before="0" w:after="0"/>
        <w:ind w:firstLine="640" w:firstLineChars="200"/>
        <w:rPr>
          <w:rFonts w:ascii="仿宋" w:hAnsi="仿宋" w:eastAsia="仿宋"/>
          <w:color w:val="000000"/>
        </w:rPr>
      </w:pPr>
      <w:bookmarkStart w:id="61"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61"/>
    </w:p>
    <w:p>
      <w:pPr>
        <w:pStyle w:val="3"/>
        <w:spacing w:before="0" w:after="0"/>
        <w:ind w:firstLine="640" w:firstLineChars="200"/>
        <w:rPr>
          <w:rFonts w:ascii="仿宋" w:hAnsi="仿宋" w:eastAsia="仿宋"/>
          <w:color w:val="000000"/>
        </w:rPr>
      </w:pPr>
      <w:bookmarkStart w:id="62"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62"/>
    </w:p>
    <w:p>
      <w:pPr>
        <w:pStyle w:val="3"/>
        <w:spacing w:before="0" w:after="0"/>
        <w:ind w:firstLine="640" w:firstLineChars="200"/>
        <w:rPr>
          <w:rFonts w:ascii="仿宋" w:hAnsi="仿宋" w:eastAsia="仿宋"/>
          <w:color w:val="000000"/>
        </w:rPr>
      </w:pPr>
      <w:bookmarkStart w:id="63"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63"/>
    </w:p>
    <w:p>
      <w:pPr>
        <w:pStyle w:val="3"/>
        <w:spacing w:before="0" w:after="0"/>
        <w:ind w:firstLine="640" w:firstLineChars="200"/>
        <w:rPr>
          <w:rFonts w:ascii="仿宋" w:hAnsi="仿宋" w:eastAsia="仿宋"/>
          <w:color w:val="000000"/>
        </w:rPr>
      </w:pPr>
      <w:bookmarkStart w:id="64"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64"/>
    </w:p>
    <w:p>
      <w:pPr>
        <w:pStyle w:val="3"/>
        <w:spacing w:before="0" w:after="0"/>
        <w:ind w:firstLine="640" w:firstLineChars="200"/>
        <w:rPr>
          <w:rFonts w:ascii="仿宋" w:hAnsi="仿宋" w:eastAsia="仿宋"/>
          <w:color w:val="000000"/>
        </w:rPr>
      </w:pPr>
      <w:bookmarkStart w:id="65"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65"/>
    </w:p>
    <w:p>
      <w:pPr>
        <w:pStyle w:val="3"/>
        <w:spacing w:before="0" w:after="0"/>
        <w:ind w:firstLine="640" w:firstLineChars="200"/>
        <w:rPr>
          <w:rFonts w:ascii="仿宋" w:hAnsi="仿宋" w:eastAsia="仿宋"/>
          <w:color w:val="000000"/>
        </w:rPr>
      </w:pPr>
      <w:bookmarkStart w:id="66"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66"/>
    </w:p>
    <w:p>
      <w:pPr>
        <w:pStyle w:val="3"/>
        <w:spacing w:before="0" w:after="0"/>
        <w:ind w:firstLine="640" w:firstLineChars="200"/>
        <w:rPr>
          <w:rStyle w:val="26"/>
          <w:rFonts w:ascii="仿宋" w:hAnsi="仿宋" w:eastAsia="仿宋"/>
          <w:b w:val="0"/>
          <w:bCs w:val="0"/>
        </w:rPr>
      </w:pPr>
      <w:bookmarkStart w:id="67" w:name="_Toc15396631"/>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有资本经营预算支出决算表</w:t>
      </w:r>
      <w:bookmarkEnd w:id="67"/>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tbl>
      <w:tblPr>
        <w:tblStyle w:val="12"/>
        <w:tblW w:w="11399" w:type="dxa"/>
        <w:tblInd w:w="-743" w:type="dxa"/>
        <w:tblLayout w:type="autofit"/>
        <w:tblCellMar>
          <w:top w:w="0" w:type="dxa"/>
          <w:left w:w="108" w:type="dxa"/>
          <w:bottom w:w="0" w:type="dxa"/>
          <w:right w:w="108" w:type="dxa"/>
        </w:tblCellMar>
      </w:tblPr>
      <w:tblGrid>
        <w:gridCol w:w="1078"/>
        <w:gridCol w:w="1078"/>
        <w:gridCol w:w="1078"/>
        <w:gridCol w:w="98"/>
        <w:gridCol w:w="2145"/>
        <w:gridCol w:w="1078"/>
        <w:gridCol w:w="92"/>
        <w:gridCol w:w="475"/>
        <w:gridCol w:w="234"/>
        <w:gridCol w:w="1321"/>
        <w:gridCol w:w="267"/>
        <w:gridCol w:w="169"/>
        <w:gridCol w:w="1378"/>
        <w:gridCol w:w="273"/>
        <w:gridCol w:w="1055"/>
        <w:gridCol w:w="829"/>
        <w:gridCol w:w="223"/>
        <w:gridCol w:w="144"/>
        <w:gridCol w:w="72"/>
        <w:gridCol w:w="675"/>
        <w:gridCol w:w="213"/>
        <w:gridCol w:w="781"/>
        <w:gridCol w:w="1076"/>
        <w:gridCol w:w="75"/>
        <w:gridCol w:w="108"/>
      </w:tblGrid>
      <w:tr>
        <w:tblPrEx>
          <w:tblCellMar>
            <w:top w:w="0" w:type="dxa"/>
            <w:left w:w="108" w:type="dxa"/>
            <w:bottom w:w="0" w:type="dxa"/>
            <w:right w:w="108" w:type="dxa"/>
          </w:tblCellMar>
        </w:tblPrEx>
        <w:trPr>
          <w:gridAfter w:val="2"/>
          <w:wAfter w:w="271" w:type="dxa"/>
          <w:trHeight w:val="405" w:hRule="atLeast"/>
        </w:trPr>
        <w:tc>
          <w:tcPr>
            <w:tcW w:w="11128" w:type="dxa"/>
            <w:gridSpan w:val="23"/>
            <w:tcBorders>
              <w:top w:val="nil"/>
              <w:left w:val="nil"/>
              <w:bottom w:val="nil"/>
              <w:right w:val="nil"/>
            </w:tcBorders>
            <w:shd w:val="clear" w:color="auto" w:fill="auto"/>
            <w:noWrap/>
            <w:vAlign w:val="bottom"/>
          </w:tcPr>
          <w:p>
            <w:pPr>
              <w:widowControl/>
              <w:ind w:firstLine="640" w:firstLineChars="200"/>
              <w:jc w:val="center"/>
              <w:rPr>
                <w:rFonts w:ascii="宋体" w:hAnsi="宋体" w:cs="Arial"/>
                <w:color w:val="000000"/>
                <w:kern w:val="0"/>
                <w:sz w:val="32"/>
                <w:szCs w:val="32"/>
              </w:rPr>
            </w:pPr>
            <w:r>
              <w:rPr>
                <w:rFonts w:hint="eastAsia" w:ascii="宋体" w:hAnsi="宋体" w:cs="Arial"/>
                <w:color w:val="000000"/>
                <w:kern w:val="0"/>
                <w:sz w:val="32"/>
                <w:szCs w:val="32"/>
              </w:rPr>
              <w:t>收入支出决算总表</w:t>
            </w:r>
          </w:p>
        </w:tc>
      </w:tr>
      <w:tr>
        <w:tblPrEx>
          <w:tblCellMar>
            <w:top w:w="0" w:type="dxa"/>
            <w:left w:w="108" w:type="dxa"/>
            <w:bottom w:w="0" w:type="dxa"/>
            <w:right w:w="108" w:type="dxa"/>
          </w:tblCellMar>
        </w:tblPrEx>
        <w:trPr>
          <w:trHeight w:val="255" w:hRule="atLeast"/>
        </w:trPr>
        <w:tc>
          <w:tcPr>
            <w:tcW w:w="4106" w:type="dxa"/>
            <w:gridSpan w:val="7"/>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563" w:type="dxa"/>
            <w:gridSpan w:val="2"/>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1049"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5681" w:type="dxa"/>
            <w:gridSpan w:val="15"/>
            <w:tcBorders>
              <w:top w:val="nil"/>
              <w:left w:val="nil"/>
              <w:bottom w:val="nil"/>
              <w:right w:val="nil"/>
            </w:tcBorders>
            <w:shd w:val="clear" w:color="auto" w:fill="auto"/>
            <w:noWrap/>
            <w:vAlign w:val="bottom"/>
          </w:tcPr>
          <w:p>
            <w:pPr>
              <w:widowControl/>
              <w:ind w:firstLine="400" w:firstLineChars="200"/>
              <w:jc w:val="right"/>
              <w:rPr>
                <w:rFonts w:ascii="宋体" w:hAnsi="宋体" w:cs="Arial"/>
                <w:color w:val="000000"/>
                <w:kern w:val="0"/>
                <w:sz w:val="20"/>
                <w:szCs w:val="20"/>
              </w:rPr>
            </w:pPr>
            <w:r>
              <w:rPr>
                <w:rFonts w:hint="eastAsia" w:ascii="宋体" w:hAnsi="宋体" w:cs="Arial"/>
                <w:color w:val="000000"/>
                <w:kern w:val="0"/>
                <w:sz w:val="20"/>
                <w:szCs w:val="20"/>
              </w:rPr>
              <w:t>财决公开01表</w:t>
            </w:r>
          </w:p>
        </w:tc>
      </w:tr>
      <w:tr>
        <w:tblPrEx>
          <w:tblCellMar>
            <w:top w:w="0" w:type="dxa"/>
            <w:left w:w="108" w:type="dxa"/>
            <w:bottom w:w="0" w:type="dxa"/>
            <w:right w:w="108" w:type="dxa"/>
          </w:tblCellMar>
        </w:tblPrEx>
        <w:trPr>
          <w:trHeight w:val="255" w:hRule="atLeast"/>
        </w:trPr>
        <w:tc>
          <w:tcPr>
            <w:tcW w:w="5718" w:type="dxa"/>
            <w:gridSpan w:val="10"/>
            <w:tcBorders>
              <w:top w:val="nil"/>
              <w:left w:val="nil"/>
              <w:bottom w:val="nil"/>
              <w:right w:val="nil"/>
            </w:tcBorders>
            <w:shd w:val="clear" w:color="auto" w:fill="auto"/>
            <w:noWrap/>
            <w:vAlign w:val="bottom"/>
          </w:tcPr>
          <w:p>
            <w:pPr>
              <w:widowControl/>
              <w:ind w:firstLine="400" w:firstLineChars="200"/>
              <w:jc w:val="left"/>
              <w:rPr>
                <w:rFonts w:ascii="宋体" w:hAnsi="宋体" w:cs="Arial"/>
                <w:color w:val="000000"/>
                <w:kern w:val="0"/>
                <w:sz w:val="20"/>
                <w:szCs w:val="20"/>
              </w:rPr>
            </w:pPr>
            <w:r>
              <w:rPr>
                <w:rFonts w:hint="eastAsia" w:ascii="宋体" w:hAnsi="宋体" w:cs="Arial"/>
                <w:color w:val="000000"/>
                <w:kern w:val="0"/>
                <w:sz w:val="20"/>
                <w:szCs w:val="20"/>
              </w:rPr>
              <w:t>部门：四川省阿坝州汶川县纪委监察委（本级）</w:t>
            </w:r>
          </w:p>
        </w:tc>
        <w:tc>
          <w:tcPr>
            <w:tcW w:w="3460" w:type="dxa"/>
            <w:gridSpan w:val="9"/>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562" w:type="dxa"/>
            <w:gridSpan w:val="2"/>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1659" w:type="dxa"/>
            <w:gridSpan w:val="4"/>
            <w:tcBorders>
              <w:top w:val="nil"/>
              <w:left w:val="nil"/>
              <w:bottom w:val="nil"/>
              <w:right w:val="nil"/>
            </w:tcBorders>
            <w:shd w:val="clear" w:color="auto" w:fill="auto"/>
            <w:noWrap/>
            <w:vAlign w:val="bottom"/>
          </w:tcPr>
          <w:p>
            <w:pPr>
              <w:widowControl/>
              <w:ind w:firstLine="400" w:firstLineChars="200"/>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5718" w:type="dxa"/>
            <w:gridSpan w:val="10"/>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收入</w:t>
            </w:r>
          </w:p>
        </w:tc>
        <w:tc>
          <w:tcPr>
            <w:tcW w:w="5681" w:type="dxa"/>
            <w:gridSpan w:val="15"/>
            <w:tcBorders>
              <w:top w:val="single" w:color="000000" w:sz="4" w:space="0"/>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支出</w:t>
            </w:r>
          </w:p>
        </w:tc>
      </w:tr>
      <w:tr>
        <w:tblPrEx>
          <w:tblCellMar>
            <w:top w:w="0" w:type="dxa"/>
            <w:left w:w="108" w:type="dxa"/>
            <w:bottom w:w="0" w:type="dxa"/>
            <w:right w:w="108" w:type="dxa"/>
          </w:tblCellMar>
        </w:tblPrEx>
        <w:trPr>
          <w:trHeight w:val="308" w:hRule="atLeast"/>
        </w:trPr>
        <w:tc>
          <w:tcPr>
            <w:tcW w:w="3447" w:type="dxa"/>
            <w:gridSpan w:val="5"/>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586"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685" w:type="dxa"/>
            <w:gridSpan w:val="4"/>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金额</w:t>
            </w:r>
          </w:p>
        </w:tc>
        <w:tc>
          <w:tcPr>
            <w:tcW w:w="3153" w:type="dxa"/>
            <w:gridSpan w:val="6"/>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869" w:type="dxa"/>
            <w:gridSpan w:val="5"/>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659" w:type="dxa"/>
            <w:gridSpan w:val="4"/>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金额</w:t>
            </w:r>
          </w:p>
        </w:tc>
      </w:tr>
      <w:tr>
        <w:tblPrEx>
          <w:tblCellMar>
            <w:top w:w="0" w:type="dxa"/>
            <w:left w:w="108" w:type="dxa"/>
            <w:bottom w:w="0" w:type="dxa"/>
            <w:right w:w="108" w:type="dxa"/>
          </w:tblCellMar>
        </w:tblPrEx>
        <w:trPr>
          <w:trHeight w:val="308" w:hRule="atLeast"/>
        </w:trPr>
        <w:tc>
          <w:tcPr>
            <w:tcW w:w="3447" w:type="dxa"/>
            <w:gridSpan w:val="5"/>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586"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685" w:type="dxa"/>
            <w:gridSpan w:val="4"/>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3153" w:type="dxa"/>
            <w:gridSpan w:val="6"/>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869" w:type="dxa"/>
            <w:gridSpan w:val="5"/>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659" w:type="dxa"/>
            <w:gridSpan w:val="4"/>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2</w:t>
            </w:r>
          </w:p>
        </w:tc>
      </w:tr>
      <w:tr>
        <w:tblPrEx>
          <w:tblCellMar>
            <w:top w:w="0" w:type="dxa"/>
            <w:left w:w="108" w:type="dxa"/>
            <w:bottom w:w="0" w:type="dxa"/>
            <w:right w:w="108" w:type="dxa"/>
          </w:tblCellMar>
        </w:tblPrEx>
        <w:trPr>
          <w:trHeight w:val="255" w:hRule="atLeast"/>
        </w:trPr>
        <w:tc>
          <w:tcPr>
            <w:tcW w:w="3447" w:type="dxa"/>
            <w:gridSpan w:val="5"/>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一、一般公共预算财政拨款收入</w:t>
            </w:r>
          </w:p>
        </w:tc>
        <w:tc>
          <w:tcPr>
            <w:tcW w:w="586"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85"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971.31</w:t>
            </w:r>
          </w:p>
        </w:tc>
        <w:tc>
          <w:tcPr>
            <w:tcW w:w="3153" w:type="dxa"/>
            <w:gridSpan w:val="6"/>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869" w:type="dxa"/>
            <w:gridSpan w:val="5"/>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1659"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902.23</w:t>
            </w:r>
          </w:p>
        </w:tc>
      </w:tr>
      <w:tr>
        <w:tblPrEx>
          <w:tblCellMar>
            <w:top w:w="0" w:type="dxa"/>
            <w:left w:w="108" w:type="dxa"/>
            <w:bottom w:w="0" w:type="dxa"/>
            <w:right w:w="108" w:type="dxa"/>
          </w:tblCellMar>
        </w:tblPrEx>
        <w:trPr>
          <w:trHeight w:val="255" w:hRule="atLeast"/>
        </w:trPr>
        <w:tc>
          <w:tcPr>
            <w:tcW w:w="3447" w:type="dxa"/>
            <w:gridSpan w:val="5"/>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586"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85"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153" w:type="dxa"/>
            <w:gridSpan w:val="6"/>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869" w:type="dxa"/>
            <w:gridSpan w:val="5"/>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1659"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55" w:hRule="atLeast"/>
        </w:trPr>
        <w:tc>
          <w:tcPr>
            <w:tcW w:w="3447" w:type="dxa"/>
            <w:gridSpan w:val="5"/>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三、国有资本经营预算财政拨款收入</w:t>
            </w:r>
          </w:p>
        </w:tc>
        <w:tc>
          <w:tcPr>
            <w:tcW w:w="586"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85"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153" w:type="dxa"/>
            <w:gridSpan w:val="6"/>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869" w:type="dxa"/>
            <w:gridSpan w:val="5"/>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1659"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55" w:hRule="atLeast"/>
        </w:trPr>
        <w:tc>
          <w:tcPr>
            <w:tcW w:w="3447" w:type="dxa"/>
            <w:gridSpan w:val="5"/>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四、上级补助收入</w:t>
            </w:r>
          </w:p>
        </w:tc>
        <w:tc>
          <w:tcPr>
            <w:tcW w:w="586"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85"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153" w:type="dxa"/>
            <w:gridSpan w:val="6"/>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869" w:type="dxa"/>
            <w:gridSpan w:val="5"/>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1659"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55" w:hRule="atLeast"/>
        </w:trPr>
        <w:tc>
          <w:tcPr>
            <w:tcW w:w="3447" w:type="dxa"/>
            <w:gridSpan w:val="5"/>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五、事业收入</w:t>
            </w:r>
          </w:p>
        </w:tc>
        <w:tc>
          <w:tcPr>
            <w:tcW w:w="586"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685"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153" w:type="dxa"/>
            <w:gridSpan w:val="6"/>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869" w:type="dxa"/>
            <w:gridSpan w:val="5"/>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1659"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4.70</w:t>
            </w:r>
          </w:p>
        </w:tc>
      </w:tr>
      <w:tr>
        <w:tblPrEx>
          <w:tblCellMar>
            <w:top w:w="0" w:type="dxa"/>
            <w:left w:w="108" w:type="dxa"/>
            <w:bottom w:w="0" w:type="dxa"/>
            <w:right w:w="108" w:type="dxa"/>
          </w:tblCellMar>
        </w:tblPrEx>
        <w:trPr>
          <w:trHeight w:val="255" w:hRule="atLeast"/>
        </w:trPr>
        <w:tc>
          <w:tcPr>
            <w:tcW w:w="3447" w:type="dxa"/>
            <w:gridSpan w:val="5"/>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六、经营收入</w:t>
            </w:r>
          </w:p>
        </w:tc>
        <w:tc>
          <w:tcPr>
            <w:tcW w:w="586"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685"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153" w:type="dxa"/>
            <w:gridSpan w:val="6"/>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869" w:type="dxa"/>
            <w:gridSpan w:val="5"/>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1659"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55" w:hRule="atLeast"/>
        </w:trPr>
        <w:tc>
          <w:tcPr>
            <w:tcW w:w="3447" w:type="dxa"/>
            <w:gridSpan w:val="5"/>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七、附属单位上缴收入</w:t>
            </w:r>
          </w:p>
        </w:tc>
        <w:tc>
          <w:tcPr>
            <w:tcW w:w="586"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685"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153" w:type="dxa"/>
            <w:gridSpan w:val="6"/>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七、文化体育与传媒支出</w:t>
            </w:r>
          </w:p>
        </w:tc>
        <w:tc>
          <w:tcPr>
            <w:tcW w:w="869" w:type="dxa"/>
            <w:gridSpan w:val="5"/>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1659"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55" w:hRule="atLeast"/>
        </w:trPr>
        <w:tc>
          <w:tcPr>
            <w:tcW w:w="3447" w:type="dxa"/>
            <w:gridSpan w:val="5"/>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八、其他收入</w:t>
            </w:r>
          </w:p>
        </w:tc>
        <w:tc>
          <w:tcPr>
            <w:tcW w:w="586"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685"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p>
        </w:tc>
        <w:tc>
          <w:tcPr>
            <w:tcW w:w="3153" w:type="dxa"/>
            <w:gridSpan w:val="6"/>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869" w:type="dxa"/>
            <w:gridSpan w:val="5"/>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1659"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81.89</w:t>
            </w:r>
          </w:p>
        </w:tc>
      </w:tr>
      <w:tr>
        <w:tblPrEx>
          <w:tblCellMar>
            <w:top w:w="0" w:type="dxa"/>
            <w:left w:w="108" w:type="dxa"/>
            <w:bottom w:w="0" w:type="dxa"/>
            <w:right w:w="108" w:type="dxa"/>
          </w:tblCellMar>
        </w:tblPrEx>
        <w:trPr>
          <w:trHeight w:val="255" w:hRule="atLeast"/>
        </w:trPr>
        <w:tc>
          <w:tcPr>
            <w:tcW w:w="3447" w:type="dxa"/>
            <w:gridSpan w:val="5"/>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6"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685"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53" w:type="dxa"/>
            <w:gridSpan w:val="6"/>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九、医疗卫生与计划生育支出</w:t>
            </w:r>
          </w:p>
        </w:tc>
        <w:tc>
          <w:tcPr>
            <w:tcW w:w="869" w:type="dxa"/>
            <w:gridSpan w:val="5"/>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1659"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38.66</w:t>
            </w:r>
          </w:p>
        </w:tc>
      </w:tr>
      <w:tr>
        <w:tblPrEx>
          <w:tblCellMar>
            <w:top w:w="0" w:type="dxa"/>
            <w:left w:w="108" w:type="dxa"/>
            <w:bottom w:w="0" w:type="dxa"/>
            <w:right w:w="108" w:type="dxa"/>
          </w:tblCellMar>
        </w:tblPrEx>
        <w:trPr>
          <w:trHeight w:val="255" w:hRule="atLeast"/>
        </w:trPr>
        <w:tc>
          <w:tcPr>
            <w:tcW w:w="3447" w:type="dxa"/>
            <w:gridSpan w:val="5"/>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6"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685"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53" w:type="dxa"/>
            <w:gridSpan w:val="6"/>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869" w:type="dxa"/>
            <w:gridSpan w:val="5"/>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1659"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55" w:hRule="atLeast"/>
        </w:trPr>
        <w:tc>
          <w:tcPr>
            <w:tcW w:w="3447" w:type="dxa"/>
            <w:gridSpan w:val="5"/>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6"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685"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53" w:type="dxa"/>
            <w:gridSpan w:val="6"/>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869" w:type="dxa"/>
            <w:gridSpan w:val="5"/>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1659"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55" w:hRule="atLeast"/>
        </w:trPr>
        <w:tc>
          <w:tcPr>
            <w:tcW w:w="3447" w:type="dxa"/>
            <w:gridSpan w:val="5"/>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6"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685"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53" w:type="dxa"/>
            <w:gridSpan w:val="6"/>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869" w:type="dxa"/>
            <w:gridSpan w:val="5"/>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1659"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55" w:hRule="atLeast"/>
        </w:trPr>
        <w:tc>
          <w:tcPr>
            <w:tcW w:w="3447" w:type="dxa"/>
            <w:gridSpan w:val="5"/>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6"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685"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53" w:type="dxa"/>
            <w:gridSpan w:val="6"/>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869" w:type="dxa"/>
            <w:gridSpan w:val="5"/>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1659"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55" w:hRule="atLeast"/>
        </w:trPr>
        <w:tc>
          <w:tcPr>
            <w:tcW w:w="3447" w:type="dxa"/>
            <w:gridSpan w:val="5"/>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6"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685"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53" w:type="dxa"/>
            <w:gridSpan w:val="6"/>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869" w:type="dxa"/>
            <w:gridSpan w:val="5"/>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1659"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55" w:hRule="atLeast"/>
        </w:trPr>
        <w:tc>
          <w:tcPr>
            <w:tcW w:w="3447" w:type="dxa"/>
            <w:gridSpan w:val="5"/>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6"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685"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53" w:type="dxa"/>
            <w:gridSpan w:val="6"/>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869" w:type="dxa"/>
            <w:gridSpan w:val="5"/>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1659"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55" w:hRule="atLeast"/>
        </w:trPr>
        <w:tc>
          <w:tcPr>
            <w:tcW w:w="3447" w:type="dxa"/>
            <w:gridSpan w:val="5"/>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6"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685"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53" w:type="dxa"/>
            <w:gridSpan w:val="6"/>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869" w:type="dxa"/>
            <w:gridSpan w:val="5"/>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1659"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55" w:hRule="atLeast"/>
        </w:trPr>
        <w:tc>
          <w:tcPr>
            <w:tcW w:w="3447" w:type="dxa"/>
            <w:gridSpan w:val="5"/>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6"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685"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53" w:type="dxa"/>
            <w:gridSpan w:val="6"/>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869" w:type="dxa"/>
            <w:gridSpan w:val="5"/>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1659"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55" w:hRule="atLeast"/>
        </w:trPr>
        <w:tc>
          <w:tcPr>
            <w:tcW w:w="3447" w:type="dxa"/>
            <w:gridSpan w:val="5"/>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6"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1685"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53" w:type="dxa"/>
            <w:gridSpan w:val="6"/>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十八、国土海洋气象等支出</w:t>
            </w:r>
          </w:p>
        </w:tc>
        <w:tc>
          <w:tcPr>
            <w:tcW w:w="869" w:type="dxa"/>
            <w:gridSpan w:val="5"/>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1659"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55" w:hRule="atLeast"/>
        </w:trPr>
        <w:tc>
          <w:tcPr>
            <w:tcW w:w="3447" w:type="dxa"/>
            <w:gridSpan w:val="5"/>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6"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685"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53" w:type="dxa"/>
            <w:gridSpan w:val="6"/>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869" w:type="dxa"/>
            <w:gridSpan w:val="5"/>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1659"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60.49</w:t>
            </w:r>
          </w:p>
        </w:tc>
      </w:tr>
      <w:tr>
        <w:tblPrEx>
          <w:tblCellMar>
            <w:top w:w="0" w:type="dxa"/>
            <w:left w:w="108" w:type="dxa"/>
            <w:bottom w:w="0" w:type="dxa"/>
            <w:right w:w="108" w:type="dxa"/>
          </w:tblCellMar>
        </w:tblPrEx>
        <w:trPr>
          <w:trHeight w:val="255" w:hRule="atLeast"/>
        </w:trPr>
        <w:tc>
          <w:tcPr>
            <w:tcW w:w="3447" w:type="dxa"/>
            <w:gridSpan w:val="5"/>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6"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1685"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53" w:type="dxa"/>
            <w:gridSpan w:val="6"/>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869" w:type="dxa"/>
            <w:gridSpan w:val="5"/>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1659"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55" w:hRule="atLeast"/>
        </w:trPr>
        <w:tc>
          <w:tcPr>
            <w:tcW w:w="3447" w:type="dxa"/>
            <w:gridSpan w:val="5"/>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6"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1685"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53" w:type="dxa"/>
            <w:gridSpan w:val="6"/>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869" w:type="dxa"/>
            <w:gridSpan w:val="5"/>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1659"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5.00</w:t>
            </w:r>
          </w:p>
        </w:tc>
      </w:tr>
      <w:tr>
        <w:tblPrEx>
          <w:tblCellMar>
            <w:top w:w="0" w:type="dxa"/>
            <w:left w:w="108" w:type="dxa"/>
            <w:bottom w:w="0" w:type="dxa"/>
            <w:right w:w="108" w:type="dxa"/>
          </w:tblCellMar>
        </w:tblPrEx>
        <w:trPr>
          <w:trHeight w:val="255" w:hRule="atLeast"/>
        </w:trPr>
        <w:tc>
          <w:tcPr>
            <w:tcW w:w="3447" w:type="dxa"/>
            <w:gridSpan w:val="5"/>
            <w:tcBorders>
              <w:top w:val="nil"/>
              <w:left w:val="single" w:color="000000" w:sz="4" w:space="0"/>
              <w:bottom w:val="single" w:color="000000" w:sz="4" w:space="0"/>
              <w:right w:val="single" w:color="000000" w:sz="4" w:space="0"/>
            </w:tcBorders>
            <w:shd w:val="clear" w:color="FFFFFF" w:fill="C0C0C0"/>
            <w:noWrap/>
            <w:vAlign w:val="center"/>
          </w:tcPr>
          <w:p>
            <w:pPr>
              <w:widowControl/>
              <w:ind w:firstLine="400" w:firstLineChars="200"/>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86" w:type="dxa"/>
            <w:tcBorders>
              <w:top w:val="nil"/>
              <w:left w:val="nil"/>
              <w:bottom w:val="single" w:color="000000" w:sz="4" w:space="0"/>
              <w:right w:val="single" w:color="000000" w:sz="4" w:space="0"/>
            </w:tcBorders>
            <w:shd w:val="clear" w:color="FFFFFF" w:fill="C0C0C0"/>
            <w:noWrap/>
            <w:vAlign w:val="center"/>
          </w:tcPr>
          <w:p>
            <w:pPr>
              <w:widowControl/>
              <w:ind w:firstLine="400" w:firstLineChars="200"/>
              <w:jc w:val="center"/>
              <w:rPr>
                <w:rFonts w:ascii="宋体" w:hAnsi="宋体" w:cs="Arial"/>
                <w:color w:val="000000"/>
                <w:kern w:val="0"/>
                <w:sz w:val="20"/>
                <w:szCs w:val="20"/>
              </w:rPr>
            </w:pPr>
            <w:r>
              <w:rPr>
                <w:rFonts w:hint="eastAsia" w:ascii="宋体" w:hAnsi="宋体" w:cs="Arial"/>
                <w:color w:val="000000"/>
                <w:kern w:val="0"/>
                <w:sz w:val="20"/>
                <w:szCs w:val="20"/>
              </w:rPr>
              <w:t>22</w:t>
            </w:r>
          </w:p>
        </w:tc>
        <w:tc>
          <w:tcPr>
            <w:tcW w:w="1685" w:type="dxa"/>
            <w:gridSpan w:val="4"/>
            <w:tcBorders>
              <w:top w:val="nil"/>
              <w:left w:val="nil"/>
              <w:bottom w:val="single" w:color="000000" w:sz="4" w:space="0"/>
              <w:right w:val="single" w:color="000000" w:sz="4" w:space="0"/>
            </w:tcBorders>
            <w:shd w:val="clear" w:color="auto" w:fill="auto"/>
            <w:noWrap/>
            <w:vAlign w:val="center"/>
          </w:tcPr>
          <w:p>
            <w:pPr>
              <w:widowControl/>
              <w:ind w:firstLine="400" w:firstLineChars="200"/>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3153" w:type="dxa"/>
            <w:gridSpan w:val="6"/>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二十二、债务还本支出</w:t>
            </w:r>
          </w:p>
        </w:tc>
        <w:tc>
          <w:tcPr>
            <w:tcW w:w="869" w:type="dxa"/>
            <w:gridSpan w:val="5"/>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1659"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55" w:hRule="atLeast"/>
        </w:trPr>
        <w:tc>
          <w:tcPr>
            <w:tcW w:w="3447" w:type="dxa"/>
            <w:gridSpan w:val="5"/>
            <w:tcBorders>
              <w:top w:val="nil"/>
              <w:left w:val="single" w:color="000000" w:sz="4" w:space="0"/>
              <w:bottom w:val="single" w:color="000000" w:sz="4" w:space="0"/>
              <w:right w:val="single" w:color="000000" w:sz="4" w:space="0"/>
            </w:tcBorders>
            <w:shd w:val="clear" w:color="FFFFFF" w:fill="C0C0C0"/>
            <w:noWrap/>
            <w:vAlign w:val="center"/>
          </w:tcPr>
          <w:p>
            <w:pPr>
              <w:widowControl/>
              <w:ind w:firstLine="400" w:firstLineChars="200"/>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86" w:type="dxa"/>
            <w:tcBorders>
              <w:top w:val="nil"/>
              <w:left w:val="nil"/>
              <w:bottom w:val="single" w:color="000000" w:sz="4" w:space="0"/>
              <w:right w:val="single" w:color="000000" w:sz="4" w:space="0"/>
            </w:tcBorders>
            <w:shd w:val="clear" w:color="FFFFFF" w:fill="C0C0C0"/>
            <w:noWrap/>
            <w:vAlign w:val="center"/>
          </w:tcPr>
          <w:p>
            <w:pPr>
              <w:widowControl/>
              <w:ind w:firstLine="400" w:firstLineChars="200"/>
              <w:jc w:val="center"/>
              <w:rPr>
                <w:rFonts w:ascii="宋体" w:hAnsi="宋体" w:cs="Arial"/>
                <w:color w:val="000000"/>
                <w:kern w:val="0"/>
                <w:sz w:val="20"/>
                <w:szCs w:val="20"/>
              </w:rPr>
            </w:pPr>
            <w:r>
              <w:rPr>
                <w:rFonts w:hint="eastAsia" w:ascii="宋体" w:hAnsi="宋体" w:cs="Arial"/>
                <w:color w:val="000000"/>
                <w:kern w:val="0"/>
                <w:sz w:val="20"/>
                <w:szCs w:val="20"/>
              </w:rPr>
              <w:t>23</w:t>
            </w:r>
          </w:p>
        </w:tc>
        <w:tc>
          <w:tcPr>
            <w:tcW w:w="1685" w:type="dxa"/>
            <w:gridSpan w:val="4"/>
            <w:tcBorders>
              <w:top w:val="nil"/>
              <w:left w:val="nil"/>
              <w:bottom w:val="single" w:color="000000" w:sz="4" w:space="0"/>
              <w:right w:val="single" w:color="000000" w:sz="4" w:space="0"/>
            </w:tcBorders>
            <w:shd w:val="clear" w:color="auto" w:fill="auto"/>
            <w:noWrap/>
            <w:vAlign w:val="center"/>
          </w:tcPr>
          <w:p>
            <w:pPr>
              <w:widowControl/>
              <w:ind w:firstLine="400" w:firstLineChars="200"/>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3153" w:type="dxa"/>
            <w:gridSpan w:val="6"/>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二十三、债务付息支出</w:t>
            </w:r>
          </w:p>
        </w:tc>
        <w:tc>
          <w:tcPr>
            <w:tcW w:w="869" w:type="dxa"/>
            <w:gridSpan w:val="5"/>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1659"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55" w:hRule="atLeast"/>
        </w:trPr>
        <w:tc>
          <w:tcPr>
            <w:tcW w:w="3447" w:type="dxa"/>
            <w:gridSpan w:val="5"/>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2" w:firstLineChars="200"/>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586"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1685"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971.31</w:t>
            </w:r>
          </w:p>
        </w:tc>
        <w:tc>
          <w:tcPr>
            <w:tcW w:w="3153" w:type="dxa"/>
            <w:gridSpan w:val="6"/>
            <w:tcBorders>
              <w:top w:val="nil"/>
              <w:left w:val="nil"/>
              <w:bottom w:val="single" w:color="000000" w:sz="4" w:space="0"/>
              <w:right w:val="single" w:color="000000" w:sz="4" w:space="0"/>
            </w:tcBorders>
            <w:shd w:val="clear" w:color="FFFFFF" w:fill="C0C0C0"/>
            <w:noWrap/>
            <w:vAlign w:val="center"/>
          </w:tcPr>
          <w:p>
            <w:pPr>
              <w:widowControl/>
              <w:ind w:firstLine="442" w:firstLineChars="200"/>
              <w:jc w:val="center"/>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869" w:type="dxa"/>
            <w:gridSpan w:val="5"/>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55</w:t>
            </w:r>
          </w:p>
        </w:tc>
        <w:tc>
          <w:tcPr>
            <w:tcW w:w="1659"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1087.97</w:t>
            </w:r>
          </w:p>
        </w:tc>
      </w:tr>
      <w:tr>
        <w:tblPrEx>
          <w:tblCellMar>
            <w:top w:w="0" w:type="dxa"/>
            <w:left w:w="108" w:type="dxa"/>
            <w:bottom w:w="0" w:type="dxa"/>
            <w:right w:w="108" w:type="dxa"/>
          </w:tblCellMar>
        </w:tblPrEx>
        <w:trPr>
          <w:trHeight w:val="255" w:hRule="atLeast"/>
        </w:trPr>
        <w:tc>
          <w:tcPr>
            <w:tcW w:w="3447" w:type="dxa"/>
            <w:gridSpan w:val="5"/>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用事业基金弥补收支差额</w:t>
            </w:r>
          </w:p>
        </w:tc>
        <w:tc>
          <w:tcPr>
            <w:tcW w:w="586"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1685"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153" w:type="dxa"/>
            <w:gridSpan w:val="6"/>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结余分配</w:t>
            </w:r>
          </w:p>
        </w:tc>
        <w:tc>
          <w:tcPr>
            <w:tcW w:w="869" w:type="dxa"/>
            <w:gridSpan w:val="5"/>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56</w:t>
            </w:r>
          </w:p>
        </w:tc>
        <w:tc>
          <w:tcPr>
            <w:tcW w:w="1659"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55" w:hRule="atLeast"/>
        </w:trPr>
        <w:tc>
          <w:tcPr>
            <w:tcW w:w="3447" w:type="dxa"/>
            <w:gridSpan w:val="5"/>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586"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1685"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143.30</w:t>
            </w:r>
          </w:p>
        </w:tc>
        <w:tc>
          <w:tcPr>
            <w:tcW w:w="3153" w:type="dxa"/>
            <w:gridSpan w:val="6"/>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xml:space="preserve">  其中：转入事业基金</w:t>
            </w:r>
          </w:p>
        </w:tc>
        <w:tc>
          <w:tcPr>
            <w:tcW w:w="869" w:type="dxa"/>
            <w:gridSpan w:val="5"/>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57</w:t>
            </w:r>
          </w:p>
        </w:tc>
        <w:tc>
          <w:tcPr>
            <w:tcW w:w="1659"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255" w:hRule="atLeast"/>
        </w:trPr>
        <w:tc>
          <w:tcPr>
            <w:tcW w:w="3447" w:type="dxa"/>
            <w:gridSpan w:val="5"/>
            <w:tcBorders>
              <w:top w:val="nil"/>
              <w:left w:val="single" w:color="000000" w:sz="4" w:space="0"/>
              <w:bottom w:val="single" w:color="000000" w:sz="4" w:space="0"/>
              <w:right w:val="single" w:color="000000" w:sz="4" w:space="0"/>
            </w:tcBorders>
            <w:shd w:val="clear" w:color="FFFFFF" w:fill="C0C0C0"/>
            <w:vAlign w:val="center"/>
          </w:tcPr>
          <w:p>
            <w:pPr>
              <w:widowControl/>
              <w:spacing w:after="240"/>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xml:space="preserve">    其中：经营结余</w:t>
            </w:r>
          </w:p>
        </w:tc>
        <w:tc>
          <w:tcPr>
            <w:tcW w:w="586"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1685"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153" w:type="dxa"/>
            <w:gridSpan w:val="6"/>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年末结转和结余</w:t>
            </w:r>
          </w:p>
        </w:tc>
        <w:tc>
          <w:tcPr>
            <w:tcW w:w="869" w:type="dxa"/>
            <w:gridSpan w:val="5"/>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58</w:t>
            </w:r>
          </w:p>
        </w:tc>
        <w:tc>
          <w:tcPr>
            <w:tcW w:w="1659"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26.64</w:t>
            </w:r>
          </w:p>
        </w:tc>
      </w:tr>
      <w:tr>
        <w:tblPrEx>
          <w:tblCellMar>
            <w:top w:w="0" w:type="dxa"/>
            <w:left w:w="108" w:type="dxa"/>
            <w:bottom w:w="0" w:type="dxa"/>
            <w:right w:w="108" w:type="dxa"/>
          </w:tblCellMar>
        </w:tblPrEx>
        <w:trPr>
          <w:trHeight w:val="255" w:hRule="atLeast"/>
        </w:trPr>
        <w:tc>
          <w:tcPr>
            <w:tcW w:w="3447" w:type="dxa"/>
            <w:gridSpan w:val="5"/>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6"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1685"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53" w:type="dxa"/>
            <w:gridSpan w:val="6"/>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69" w:type="dxa"/>
            <w:gridSpan w:val="5"/>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59</w:t>
            </w:r>
          </w:p>
        </w:tc>
        <w:tc>
          <w:tcPr>
            <w:tcW w:w="1659"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55" w:hRule="atLeast"/>
        </w:trPr>
        <w:tc>
          <w:tcPr>
            <w:tcW w:w="3447" w:type="dxa"/>
            <w:gridSpan w:val="5"/>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6"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1685"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53" w:type="dxa"/>
            <w:gridSpan w:val="6"/>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69" w:type="dxa"/>
            <w:gridSpan w:val="5"/>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60</w:t>
            </w:r>
          </w:p>
        </w:tc>
        <w:tc>
          <w:tcPr>
            <w:tcW w:w="1659"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55" w:hRule="atLeast"/>
        </w:trPr>
        <w:tc>
          <w:tcPr>
            <w:tcW w:w="3447" w:type="dxa"/>
            <w:gridSpan w:val="5"/>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6"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1685"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53" w:type="dxa"/>
            <w:gridSpan w:val="6"/>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69" w:type="dxa"/>
            <w:gridSpan w:val="5"/>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61</w:t>
            </w:r>
          </w:p>
        </w:tc>
        <w:tc>
          <w:tcPr>
            <w:tcW w:w="1659"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55" w:hRule="atLeast"/>
        </w:trPr>
        <w:tc>
          <w:tcPr>
            <w:tcW w:w="3447" w:type="dxa"/>
            <w:gridSpan w:val="5"/>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2" w:firstLineChars="200"/>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586"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1685"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1114.61</w:t>
            </w:r>
          </w:p>
        </w:tc>
        <w:tc>
          <w:tcPr>
            <w:tcW w:w="3153" w:type="dxa"/>
            <w:gridSpan w:val="6"/>
            <w:tcBorders>
              <w:top w:val="nil"/>
              <w:left w:val="nil"/>
              <w:bottom w:val="single" w:color="000000" w:sz="4" w:space="0"/>
              <w:right w:val="single" w:color="000000" w:sz="4" w:space="0"/>
            </w:tcBorders>
            <w:shd w:val="clear" w:color="FFFFFF" w:fill="C0C0C0"/>
            <w:noWrap/>
            <w:vAlign w:val="center"/>
          </w:tcPr>
          <w:p>
            <w:pPr>
              <w:widowControl/>
              <w:ind w:firstLine="442" w:firstLineChars="200"/>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869" w:type="dxa"/>
            <w:gridSpan w:val="5"/>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62</w:t>
            </w:r>
          </w:p>
        </w:tc>
        <w:tc>
          <w:tcPr>
            <w:tcW w:w="1659" w:type="dxa"/>
            <w:gridSpan w:val="4"/>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1114.61</w:t>
            </w:r>
          </w:p>
        </w:tc>
      </w:tr>
      <w:tr>
        <w:tblPrEx>
          <w:tblCellMar>
            <w:top w:w="0" w:type="dxa"/>
            <w:left w:w="108" w:type="dxa"/>
            <w:bottom w:w="0" w:type="dxa"/>
            <w:right w:w="108" w:type="dxa"/>
          </w:tblCellMar>
        </w:tblPrEx>
        <w:trPr>
          <w:trHeight w:val="255" w:hRule="atLeast"/>
        </w:trPr>
        <w:tc>
          <w:tcPr>
            <w:tcW w:w="11399" w:type="dxa"/>
            <w:gridSpan w:val="25"/>
            <w:tcBorders>
              <w:top w:val="nil"/>
              <w:left w:val="nil"/>
              <w:bottom w:val="nil"/>
              <w:right w:val="nil"/>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注：本表以“万元”为金额单位（保留两位小数），反映部门本年度总收支和年末结转结余情况。</w:t>
            </w:r>
          </w:p>
        </w:tc>
      </w:tr>
      <w:tr>
        <w:tblPrEx>
          <w:tblCellMar>
            <w:top w:w="0" w:type="dxa"/>
            <w:left w:w="108" w:type="dxa"/>
            <w:bottom w:w="0" w:type="dxa"/>
            <w:right w:w="108" w:type="dxa"/>
          </w:tblCellMar>
        </w:tblPrEx>
        <w:trPr>
          <w:gridAfter w:val="2"/>
          <w:wAfter w:w="271" w:type="dxa"/>
          <w:trHeight w:val="405" w:hRule="atLeast"/>
        </w:trPr>
        <w:tc>
          <w:tcPr>
            <w:tcW w:w="11128" w:type="dxa"/>
            <w:gridSpan w:val="23"/>
            <w:tcBorders>
              <w:top w:val="nil"/>
              <w:left w:val="nil"/>
              <w:bottom w:val="nil"/>
              <w:right w:val="nil"/>
            </w:tcBorders>
            <w:shd w:val="clear" w:color="auto" w:fill="auto"/>
            <w:noWrap/>
            <w:vAlign w:val="bottom"/>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tbl>
            <w:tblPr>
              <w:tblStyle w:val="12"/>
              <w:tblW w:w="10912" w:type="dxa"/>
              <w:tblInd w:w="0" w:type="dxa"/>
              <w:tblLayout w:type="autofit"/>
              <w:tblCellMar>
                <w:top w:w="0" w:type="dxa"/>
                <w:left w:w="108" w:type="dxa"/>
                <w:bottom w:w="0" w:type="dxa"/>
                <w:right w:w="108" w:type="dxa"/>
              </w:tblCellMar>
            </w:tblPr>
            <w:tblGrid>
              <w:gridCol w:w="856"/>
              <w:gridCol w:w="856"/>
              <w:gridCol w:w="856"/>
              <w:gridCol w:w="2696"/>
              <w:gridCol w:w="283"/>
              <w:gridCol w:w="1406"/>
              <w:gridCol w:w="1965"/>
              <w:gridCol w:w="856"/>
              <w:gridCol w:w="856"/>
              <w:gridCol w:w="856"/>
              <w:gridCol w:w="856"/>
              <w:gridCol w:w="856"/>
              <w:gridCol w:w="856"/>
              <w:gridCol w:w="1330"/>
            </w:tblGrid>
            <w:tr>
              <w:tblPrEx>
                <w:tblCellMar>
                  <w:top w:w="0" w:type="dxa"/>
                  <w:left w:w="108" w:type="dxa"/>
                  <w:bottom w:w="0" w:type="dxa"/>
                  <w:right w:w="108" w:type="dxa"/>
                </w:tblCellMar>
              </w:tblPrEx>
              <w:trPr>
                <w:trHeight w:val="405" w:hRule="atLeast"/>
              </w:trPr>
              <w:tc>
                <w:tcPr>
                  <w:tcW w:w="10912" w:type="dxa"/>
                  <w:gridSpan w:val="14"/>
                  <w:tcBorders>
                    <w:top w:val="nil"/>
                    <w:left w:val="nil"/>
                    <w:bottom w:val="nil"/>
                    <w:right w:val="nil"/>
                  </w:tcBorders>
                  <w:shd w:val="clear" w:color="auto" w:fill="auto"/>
                  <w:noWrap/>
                  <w:vAlign w:val="bottom"/>
                </w:tcPr>
                <w:p>
                  <w:pPr>
                    <w:widowControl/>
                    <w:ind w:firstLine="640" w:firstLineChars="200"/>
                    <w:jc w:val="center"/>
                    <w:rPr>
                      <w:rFonts w:ascii="宋体" w:hAnsi="宋体" w:cs="Arial"/>
                      <w:color w:val="000000"/>
                      <w:kern w:val="0"/>
                      <w:sz w:val="32"/>
                      <w:szCs w:val="32"/>
                    </w:rPr>
                  </w:pPr>
                  <w:r>
                    <w:rPr>
                      <w:rFonts w:hint="eastAsia" w:ascii="宋体" w:hAnsi="宋体" w:cs="Arial"/>
                      <w:color w:val="000000"/>
                      <w:kern w:val="0"/>
                      <w:sz w:val="32"/>
                      <w:szCs w:val="32"/>
                    </w:rPr>
                    <w:t>收入决算表</w:t>
                  </w:r>
                </w:p>
              </w:tc>
            </w:tr>
            <w:tr>
              <w:tblPrEx>
                <w:tblCellMar>
                  <w:top w:w="0" w:type="dxa"/>
                  <w:left w:w="108" w:type="dxa"/>
                  <w:bottom w:w="0" w:type="dxa"/>
                  <w:right w:w="108" w:type="dxa"/>
                </w:tblCellMar>
              </w:tblPrEx>
              <w:trPr>
                <w:trHeight w:val="255" w:hRule="atLeast"/>
              </w:trPr>
              <w:tc>
                <w:tcPr>
                  <w:tcW w:w="436"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2979" w:type="dxa"/>
                  <w:gridSpan w:val="2"/>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1134"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1545"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1330" w:type="dxa"/>
                  <w:tcBorders>
                    <w:top w:val="nil"/>
                    <w:left w:val="nil"/>
                    <w:bottom w:val="nil"/>
                    <w:right w:val="nil"/>
                  </w:tcBorders>
                  <w:shd w:val="clear" w:color="auto" w:fill="auto"/>
                  <w:noWrap/>
                  <w:vAlign w:val="bottom"/>
                </w:tcPr>
                <w:p>
                  <w:pPr>
                    <w:widowControl/>
                    <w:ind w:firstLine="400" w:firstLineChars="200"/>
                    <w:jc w:val="right"/>
                    <w:rPr>
                      <w:rFonts w:ascii="宋体" w:hAnsi="宋体" w:cs="Arial"/>
                      <w:color w:val="000000"/>
                      <w:kern w:val="0"/>
                      <w:sz w:val="20"/>
                      <w:szCs w:val="20"/>
                    </w:rPr>
                  </w:pPr>
                  <w:r>
                    <w:rPr>
                      <w:rFonts w:hint="eastAsia" w:ascii="宋体" w:hAnsi="宋体" w:cs="Arial"/>
                      <w:color w:val="000000"/>
                      <w:kern w:val="0"/>
                      <w:sz w:val="20"/>
                      <w:szCs w:val="20"/>
                    </w:rPr>
                    <w:t>财决公开02表</w:t>
                  </w:r>
                </w:p>
              </w:tc>
            </w:tr>
            <w:tr>
              <w:tblPrEx>
                <w:tblCellMar>
                  <w:top w:w="0" w:type="dxa"/>
                  <w:left w:w="108" w:type="dxa"/>
                  <w:bottom w:w="0" w:type="dxa"/>
                  <w:right w:w="108" w:type="dxa"/>
                </w:tblCellMar>
              </w:tblPrEx>
              <w:trPr>
                <w:trHeight w:val="255" w:hRule="atLeast"/>
              </w:trPr>
              <w:tc>
                <w:tcPr>
                  <w:tcW w:w="4287" w:type="dxa"/>
                  <w:gridSpan w:val="5"/>
                  <w:tcBorders>
                    <w:top w:val="nil"/>
                    <w:left w:val="nil"/>
                    <w:bottom w:val="single" w:color="000000" w:sz="4" w:space="0"/>
                    <w:right w:val="nil"/>
                  </w:tcBorders>
                  <w:shd w:val="clear" w:color="auto" w:fill="auto"/>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部门：四川省阿坝州汶川县纪委监察委（本级）</w:t>
                  </w:r>
                </w:p>
              </w:tc>
              <w:tc>
                <w:tcPr>
                  <w:tcW w:w="1134"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1545"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2638" w:type="dxa"/>
                  <w:gridSpan w:val="4"/>
                  <w:tcBorders>
                    <w:top w:val="nil"/>
                    <w:left w:val="nil"/>
                    <w:bottom w:val="single" w:color="000000" w:sz="4" w:space="0"/>
                    <w:right w:val="nil"/>
                  </w:tcBorders>
                  <w:shd w:val="clear" w:color="auto" w:fill="auto"/>
                  <w:noWrap/>
                  <w:vAlign w:val="bottom"/>
                </w:tcPr>
                <w:p>
                  <w:pPr>
                    <w:widowControl/>
                    <w:ind w:firstLine="400" w:firstLineChars="200"/>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12" w:hRule="atLeast"/>
              </w:trPr>
              <w:tc>
                <w:tcPr>
                  <w:tcW w:w="1308"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科目编码</w:t>
                  </w:r>
                </w:p>
              </w:tc>
              <w:tc>
                <w:tcPr>
                  <w:tcW w:w="2979" w:type="dxa"/>
                  <w:gridSpan w:val="2"/>
                  <w:vMerge w:val="restart"/>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134"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545"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一般公共预算财政拨款收入</w:t>
                  </w:r>
                </w:p>
              </w:tc>
              <w:tc>
                <w:tcPr>
                  <w:tcW w:w="436"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政府性基金预算财政拨款收入</w:t>
                  </w:r>
                </w:p>
              </w:tc>
              <w:tc>
                <w:tcPr>
                  <w:tcW w:w="436"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国有资本经营预算财政拨款收入</w:t>
                  </w:r>
                </w:p>
              </w:tc>
              <w:tc>
                <w:tcPr>
                  <w:tcW w:w="436"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436" w:type="dxa"/>
                  <w:vMerge w:val="restart"/>
                  <w:tcBorders>
                    <w:top w:val="nil"/>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436" w:type="dxa"/>
                  <w:vMerge w:val="restart"/>
                  <w:tcBorders>
                    <w:top w:val="nil"/>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436" w:type="dxa"/>
                  <w:vMerge w:val="restart"/>
                  <w:tcBorders>
                    <w:top w:val="nil"/>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1330" w:type="dxa"/>
                  <w:vMerge w:val="restart"/>
                  <w:tcBorders>
                    <w:top w:val="nil"/>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CellMar>
                  <w:top w:w="0" w:type="dxa"/>
                  <w:left w:w="108" w:type="dxa"/>
                  <w:bottom w:w="0" w:type="dxa"/>
                  <w:right w:w="108" w:type="dxa"/>
                </w:tblCellMar>
              </w:tblPrEx>
              <w:trPr>
                <w:trHeight w:val="312" w:hRule="atLeast"/>
              </w:trPr>
              <w:tc>
                <w:tcPr>
                  <w:tcW w:w="130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2979" w:type="dxa"/>
                  <w:gridSpan w:val="2"/>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1134" w:type="dxa"/>
                  <w:vMerge w:val="continue"/>
                  <w:tcBorders>
                    <w:top w:val="single" w:color="000000" w:sz="4" w:space="0"/>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1545" w:type="dxa"/>
                  <w:vMerge w:val="continue"/>
                  <w:tcBorders>
                    <w:top w:val="single" w:color="000000" w:sz="4" w:space="0"/>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436" w:type="dxa"/>
                  <w:vMerge w:val="continue"/>
                  <w:tcBorders>
                    <w:top w:val="single" w:color="000000" w:sz="4" w:space="0"/>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436" w:type="dxa"/>
                  <w:vMerge w:val="continue"/>
                  <w:tcBorders>
                    <w:top w:val="single" w:color="000000" w:sz="4" w:space="0"/>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436" w:type="dxa"/>
                  <w:vMerge w:val="continue"/>
                  <w:tcBorders>
                    <w:top w:val="single" w:color="000000" w:sz="4" w:space="0"/>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436" w:type="dxa"/>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436" w:type="dxa"/>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436" w:type="dxa"/>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1330" w:type="dxa"/>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0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2979" w:type="dxa"/>
                  <w:gridSpan w:val="2"/>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1134" w:type="dxa"/>
                  <w:vMerge w:val="continue"/>
                  <w:tcBorders>
                    <w:top w:val="single" w:color="000000" w:sz="4" w:space="0"/>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1545" w:type="dxa"/>
                  <w:vMerge w:val="continue"/>
                  <w:tcBorders>
                    <w:top w:val="single" w:color="000000" w:sz="4" w:space="0"/>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436" w:type="dxa"/>
                  <w:vMerge w:val="continue"/>
                  <w:tcBorders>
                    <w:top w:val="single" w:color="000000" w:sz="4" w:space="0"/>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436" w:type="dxa"/>
                  <w:vMerge w:val="continue"/>
                  <w:tcBorders>
                    <w:top w:val="single" w:color="000000" w:sz="4" w:space="0"/>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436" w:type="dxa"/>
                  <w:vMerge w:val="continue"/>
                  <w:tcBorders>
                    <w:top w:val="single" w:color="000000" w:sz="4" w:space="0"/>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436" w:type="dxa"/>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436" w:type="dxa"/>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436" w:type="dxa"/>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1330" w:type="dxa"/>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2975" w:hRule="atLeast"/>
              </w:trPr>
              <w:tc>
                <w:tcPr>
                  <w:tcW w:w="130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2979" w:type="dxa"/>
                  <w:gridSpan w:val="2"/>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1134" w:type="dxa"/>
                  <w:vMerge w:val="continue"/>
                  <w:tcBorders>
                    <w:top w:val="single" w:color="000000" w:sz="4" w:space="0"/>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1545" w:type="dxa"/>
                  <w:vMerge w:val="continue"/>
                  <w:tcBorders>
                    <w:top w:val="single" w:color="000000" w:sz="4" w:space="0"/>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436" w:type="dxa"/>
                  <w:vMerge w:val="continue"/>
                  <w:tcBorders>
                    <w:top w:val="single" w:color="000000" w:sz="4" w:space="0"/>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436" w:type="dxa"/>
                  <w:vMerge w:val="continue"/>
                  <w:tcBorders>
                    <w:top w:val="single" w:color="000000" w:sz="4" w:space="0"/>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436" w:type="dxa"/>
                  <w:vMerge w:val="continue"/>
                  <w:tcBorders>
                    <w:top w:val="single" w:color="000000" w:sz="4" w:space="0"/>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436" w:type="dxa"/>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436" w:type="dxa"/>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436" w:type="dxa"/>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1330" w:type="dxa"/>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36" w:type="dxa"/>
                  <w:vMerge w:val="restart"/>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36" w:type="dxa"/>
                  <w:vMerge w:val="restart"/>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36" w:type="dxa"/>
                  <w:vMerge w:val="restart"/>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979" w:type="dxa"/>
                  <w:gridSpan w:val="2"/>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134" w:type="dxa"/>
                  <w:tcBorders>
                    <w:top w:val="nil"/>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45" w:type="dxa"/>
                  <w:tcBorders>
                    <w:top w:val="nil"/>
                    <w:left w:val="nil"/>
                    <w:bottom w:val="single" w:color="000000" w:sz="4" w:space="0"/>
                    <w:right w:val="single" w:color="000000" w:sz="4" w:space="0"/>
                  </w:tcBorders>
                  <w:shd w:val="clear" w:color="FFFFFF" w:fill="C0C0C0"/>
                  <w:vAlign w:val="center"/>
                </w:tcPr>
                <w:p>
                  <w:pPr>
                    <w:widowControl/>
                    <w:ind w:firstLine="400" w:firstLineChars="200"/>
                    <w:jc w:val="center"/>
                    <w:rPr>
                      <w:rFonts w:ascii="宋体" w:hAnsi="宋体" w:cs="Arial"/>
                      <w:color w:val="000000"/>
                      <w:kern w:val="0"/>
                      <w:sz w:val="20"/>
                      <w:szCs w:val="20"/>
                    </w:rPr>
                  </w:pPr>
                  <w:r>
                    <w:rPr>
                      <w:rFonts w:hint="eastAsia" w:ascii="宋体" w:hAnsi="宋体" w:cs="Arial"/>
                      <w:color w:val="000000"/>
                      <w:kern w:val="0"/>
                      <w:sz w:val="20"/>
                      <w:szCs w:val="20"/>
                    </w:rPr>
                    <w:t>2</w:t>
                  </w:r>
                </w:p>
              </w:tc>
              <w:tc>
                <w:tcPr>
                  <w:tcW w:w="436" w:type="dxa"/>
                  <w:tcBorders>
                    <w:top w:val="nil"/>
                    <w:left w:val="nil"/>
                    <w:bottom w:val="single" w:color="000000" w:sz="4" w:space="0"/>
                    <w:right w:val="single" w:color="000000" w:sz="4" w:space="0"/>
                  </w:tcBorders>
                  <w:shd w:val="clear" w:color="FFFFFF" w:fill="C0C0C0"/>
                  <w:vAlign w:val="center"/>
                </w:tcPr>
                <w:p>
                  <w:pPr>
                    <w:widowControl/>
                    <w:ind w:firstLine="400" w:firstLineChars="200"/>
                    <w:jc w:val="center"/>
                    <w:rPr>
                      <w:rFonts w:ascii="宋体" w:hAnsi="宋体" w:cs="Arial"/>
                      <w:color w:val="000000"/>
                      <w:kern w:val="0"/>
                      <w:sz w:val="20"/>
                      <w:szCs w:val="20"/>
                    </w:rPr>
                  </w:pPr>
                  <w:r>
                    <w:rPr>
                      <w:rFonts w:hint="eastAsia" w:ascii="宋体" w:hAnsi="宋体" w:cs="Arial"/>
                      <w:color w:val="000000"/>
                      <w:kern w:val="0"/>
                      <w:sz w:val="20"/>
                      <w:szCs w:val="20"/>
                    </w:rPr>
                    <w:t>3</w:t>
                  </w:r>
                </w:p>
              </w:tc>
              <w:tc>
                <w:tcPr>
                  <w:tcW w:w="436" w:type="dxa"/>
                  <w:tcBorders>
                    <w:top w:val="nil"/>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436" w:type="dxa"/>
                  <w:tcBorders>
                    <w:top w:val="nil"/>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436" w:type="dxa"/>
                  <w:tcBorders>
                    <w:top w:val="nil"/>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436" w:type="dxa"/>
                  <w:tcBorders>
                    <w:top w:val="nil"/>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436" w:type="dxa"/>
                  <w:tcBorders>
                    <w:top w:val="nil"/>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330" w:type="dxa"/>
                  <w:tcBorders>
                    <w:top w:val="nil"/>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9</w:t>
                  </w:r>
                </w:p>
              </w:tc>
            </w:tr>
            <w:tr>
              <w:tblPrEx>
                <w:tblCellMar>
                  <w:top w:w="0" w:type="dxa"/>
                  <w:left w:w="108" w:type="dxa"/>
                  <w:bottom w:w="0" w:type="dxa"/>
                  <w:right w:w="108" w:type="dxa"/>
                </w:tblCellMar>
              </w:tblPrEx>
              <w:trPr>
                <w:trHeight w:val="388" w:hRule="atLeast"/>
              </w:trPr>
              <w:tc>
                <w:tcPr>
                  <w:tcW w:w="436" w:type="dxa"/>
                  <w:vMerge w:val="continue"/>
                  <w:tcBorders>
                    <w:top w:val="nil"/>
                    <w:left w:val="single" w:color="000000" w:sz="4" w:space="0"/>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436" w:type="dxa"/>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436" w:type="dxa"/>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2979" w:type="dxa"/>
                  <w:gridSpan w:val="2"/>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34" w:type="dxa"/>
                  <w:tcBorders>
                    <w:top w:val="nil"/>
                    <w:left w:val="nil"/>
                    <w:bottom w:val="single" w:color="000000" w:sz="4" w:space="0"/>
                    <w:right w:val="single" w:color="000000" w:sz="4" w:space="0"/>
                  </w:tcBorders>
                  <w:shd w:val="clear" w:color="auto" w:fill="auto"/>
                  <w:noWrap/>
                  <w:vAlign w:val="center"/>
                </w:tcPr>
                <w:p>
                  <w:pPr>
                    <w:widowControl/>
                    <w:ind w:firstLine="442" w:firstLineChars="200"/>
                    <w:jc w:val="right"/>
                    <w:rPr>
                      <w:rFonts w:ascii="宋体" w:hAnsi="宋体" w:cs="Arial"/>
                      <w:b/>
                      <w:bCs/>
                      <w:color w:val="000000"/>
                      <w:kern w:val="0"/>
                      <w:sz w:val="22"/>
                      <w:szCs w:val="22"/>
                    </w:rPr>
                  </w:pPr>
                  <w:r>
                    <w:rPr>
                      <w:rFonts w:hint="eastAsia" w:ascii="宋体" w:hAnsi="宋体" w:cs="Arial"/>
                      <w:b/>
                      <w:bCs/>
                      <w:color w:val="000000"/>
                      <w:kern w:val="0"/>
                      <w:sz w:val="22"/>
                      <w:szCs w:val="22"/>
                    </w:rPr>
                    <w:t>971.31</w:t>
                  </w:r>
                </w:p>
              </w:tc>
              <w:tc>
                <w:tcPr>
                  <w:tcW w:w="1545" w:type="dxa"/>
                  <w:tcBorders>
                    <w:top w:val="nil"/>
                    <w:left w:val="nil"/>
                    <w:bottom w:val="single" w:color="000000" w:sz="4" w:space="0"/>
                    <w:right w:val="single" w:color="000000" w:sz="4" w:space="0"/>
                  </w:tcBorders>
                  <w:shd w:val="clear" w:color="auto" w:fill="auto"/>
                  <w:noWrap/>
                  <w:vAlign w:val="center"/>
                </w:tcPr>
                <w:p>
                  <w:pPr>
                    <w:widowControl/>
                    <w:ind w:right="663" w:firstLine="442" w:firstLineChars="200"/>
                    <w:jc w:val="right"/>
                    <w:rPr>
                      <w:rFonts w:ascii="宋体" w:hAnsi="宋体" w:cs="Arial"/>
                      <w:b/>
                      <w:bCs/>
                      <w:color w:val="000000"/>
                      <w:kern w:val="0"/>
                      <w:sz w:val="22"/>
                      <w:szCs w:val="22"/>
                    </w:rPr>
                  </w:pPr>
                  <w:r>
                    <w:rPr>
                      <w:rFonts w:hint="eastAsia" w:ascii="宋体" w:hAnsi="宋体" w:cs="Arial"/>
                      <w:b/>
                      <w:bCs/>
                      <w:color w:val="000000"/>
                      <w:kern w:val="0"/>
                      <w:sz w:val="22"/>
                      <w:szCs w:val="22"/>
                    </w:rPr>
                    <w:t>971.31</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2" w:firstLineChars="200"/>
                    <w:jc w:val="right"/>
                    <w:rPr>
                      <w:rFonts w:ascii="宋体" w:hAnsi="宋体" w:cs="Arial"/>
                      <w:b/>
                      <w:bCs/>
                      <w:color w:val="000000"/>
                      <w:kern w:val="0"/>
                      <w:sz w:val="22"/>
                      <w:szCs w:val="22"/>
                    </w:rPr>
                  </w:pPr>
                  <w:r>
                    <w:rPr>
                      <w:rFonts w:hint="eastAsia" w:ascii="宋体" w:hAnsi="宋体" w:cs="Arial"/>
                      <w:b/>
                      <w:bCs/>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2" w:firstLineChars="200"/>
                    <w:jc w:val="right"/>
                    <w:rPr>
                      <w:rFonts w:ascii="宋体" w:hAnsi="宋体" w:cs="Arial"/>
                      <w:b/>
                      <w:bCs/>
                      <w:color w:val="000000"/>
                      <w:kern w:val="0"/>
                      <w:sz w:val="22"/>
                      <w:szCs w:val="22"/>
                    </w:rPr>
                  </w:pPr>
                  <w:r>
                    <w:rPr>
                      <w:rFonts w:hint="eastAsia" w:ascii="宋体" w:hAnsi="宋体" w:cs="Arial"/>
                      <w:b/>
                      <w:bCs/>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2" w:firstLineChars="200"/>
                    <w:jc w:val="right"/>
                    <w:rPr>
                      <w:rFonts w:ascii="宋体" w:hAnsi="宋体" w:cs="Arial"/>
                      <w:b/>
                      <w:bCs/>
                      <w:color w:val="000000"/>
                      <w:kern w:val="0"/>
                      <w:sz w:val="22"/>
                      <w:szCs w:val="22"/>
                    </w:rPr>
                  </w:pPr>
                  <w:r>
                    <w:rPr>
                      <w:rFonts w:hint="eastAsia" w:ascii="宋体" w:hAnsi="宋体" w:cs="Arial"/>
                      <w:b/>
                      <w:bCs/>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2" w:firstLineChars="200"/>
                    <w:jc w:val="right"/>
                    <w:rPr>
                      <w:rFonts w:ascii="宋体" w:hAnsi="宋体" w:cs="Arial"/>
                      <w:b/>
                      <w:bCs/>
                      <w:color w:val="000000"/>
                      <w:kern w:val="0"/>
                      <w:sz w:val="22"/>
                      <w:szCs w:val="22"/>
                    </w:rPr>
                  </w:pPr>
                  <w:r>
                    <w:rPr>
                      <w:rFonts w:hint="eastAsia" w:ascii="宋体" w:hAnsi="宋体" w:cs="Arial"/>
                      <w:b/>
                      <w:bCs/>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2" w:firstLineChars="200"/>
                    <w:jc w:val="right"/>
                    <w:rPr>
                      <w:rFonts w:ascii="宋体" w:hAnsi="宋体" w:cs="Arial"/>
                      <w:b/>
                      <w:bCs/>
                      <w:color w:val="000000"/>
                      <w:kern w:val="0"/>
                      <w:sz w:val="22"/>
                      <w:szCs w:val="22"/>
                    </w:rPr>
                  </w:pPr>
                  <w:r>
                    <w:rPr>
                      <w:rFonts w:hint="eastAsia" w:ascii="宋体" w:hAnsi="宋体" w:cs="Arial"/>
                      <w:b/>
                      <w:bCs/>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2" w:firstLineChars="200"/>
                    <w:jc w:val="right"/>
                    <w:rPr>
                      <w:rFonts w:ascii="宋体" w:hAnsi="宋体" w:cs="Arial"/>
                      <w:b/>
                      <w:bCs/>
                      <w:color w:val="000000"/>
                      <w:kern w:val="0"/>
                      <w:sz w:val="22"/>
                      <w:szCs w:val="22"/>
                    </w:rPr>
                  </w:pPr>
                  <w:r>
                    <w:rPr>
                      <w:rFonts w:hint="eastAsia" w:ascii="宋体" w:hAnsi="宋体" w:cs="Arial"/>
                      <w:b/>
                      <w:bCs/>
                      <w:color w:val="000000"/>
                      <w:kern w:val="0"/>
                      <w:sz w:val="22"/>
                      <w:szCs w:val="22"/>
                    </w:rPr>
                    <w:t>0</w:t>
                  </w:r>
                </w:p>
              </w:tc>
              <w:tc>
                <w:tcPr>
                  <w:tcW w:w="1330" w:type="dxa"/>
                  <w:tcBorders>
                    <w:top w:val="nil"/>
                    <w:left w:val="nil"/>
                    <w:bottom w:val="single" w:color="000000" w:sz="4" w:space="0"/>
                    <w:right w:val="single" w:color="000000" w:sz="4" w:space="0"/>
                  </w:tcBorders>
                  <w:shd w:val="clear" w:color="auto" w:fill="auto"/>
                  <w:noWrap/>
                  <w:vAlign w:val="center"/>
                </w:tcPr>
                <w:p>
                  <w:pPr>
                    <w:widowControl/>
                    <w:ind w:firstLine="442" w:firstLineChars="200"/>
                    <w:jc w:val="right"/>
                    <w:rPr>
                      <w:rFonts w:ascii="宋体" w:hAnsi="宋体" w:cs="Arial"/>
                      <w:b/>
                      <w:bCs/>
                      <w:color w:val="000000"/>
                      <w:kern w:val="0"/>
                      <w:sz w:val="22"/>
                      <w:szCs w:val="22"/>
                    </w:rPr>
                  </w:pPr>
                  <w:r>
                    <w:rPr>
                      <w:rFonts w:hint="eastAsia" w:ascii="宋体" w:hAnsi="宋体" w:cs="Arial"/>
                      <w:b/>
                      <w:bCs/>
                      <w:color w:val="000000"/>
                      <w:kern w:val="0"/>
                      <w:sz w:val="22"/>
                      <w:szCs w:val="22"/>
                    </w:rPr>
                    <w:t>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201</w:t>
                  </w:r>
                </w:p>
              </w:tc>
              <w:tc>
                <w:tcPr>
                  <w:tcW w:w="269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一般公共服务支出</w:t>
                  </w:r>
                </w:p>
              </w:tc>
              <w:tc>
                <w:tcPr>
                  <w:tcW w:w="1417"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790.26</w:t>
                  </w:r>
                </w:p>
              </w:tc>
              <w:tc>
                <w:tcPr>
                  <w:tcW w:w="1545"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790.26</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133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20111</w:t>
                  </w:r>
                </w:p>
              </w:tc>
              <w:tc>
                <w:tcPr>
                  <w:tcW w:w="269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纪检监察事务</w:t>
                  </w:r>
                </w:p>
              </w:tc>
              <w:tc>
                <w:tcPr>
                  <w:tcW w:w="1417"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790.26</w:t>
                  </w:r>
                </w:p>
              </w:tc>
              <w:tc>
                <w:tcPr>
                  <w:tcW w:w="1545"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790.26</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133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2011101</w:t>
                  </w:r>
                </w:p>
              </w:tc>
              <w:tc>
                <w:tcPr>
                  <w:tcW w:w="269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xml:space="preserve">  行政运行</w:t>
                  </w:r>
                </w:p>
              </w:tc>
              <w:tc>
                <w:tcPr>
                  <w:tcW w:w="1417"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672.26</w:t>
                  </w:r>
                </w:p>
              </w:tc>
              <w:tc>
                <w:tcPr>
                  <w:tcW w:w="1545"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672.26</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133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2011104</w:t>
                  </w:r>
                </w:p>
              </w:tc>
              <w:tc>
                <w:tcPr>
                  <w:tcW w:w="269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xml:space="preserve">  大案要案查处</w:t>
                  </w:r>
                </w:p>
              </w:tc>
              <w:tc>
                <w:tcPr>
                  <w:tcW w:w="1417"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60</w:t>
                  </w:r>
                </w:p>
              </w:tc>
              <w:tc>
                <w:tcPr>
                  <w:tcW w:w="1545"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60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133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2011105</w:t>
                  </w:r>
                </w:p>
              </w:tc>
              <w:tc>
                <w:tcPr>
                  <w:tcW w:w="2979"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xml:space="preserve">  派驻派出机构</w:t>
                  </w:r>
                </w:p>
              </w:tc>
              <w:tc>
                <w:tcPr>
                  <w:tcW w:w="1134"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5.00</w:t>
                  </w:r>
                </w:p>
              </w:tc>
              <w:tc>
                <w:tcPr>
                  <w:tcW w:w="1545"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5.00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133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hint="eastAsia" w:ascii="宋体" w:hAnsi="宋体" w:cs="Arial"/>
                      <w:color w:val="000000"/>
                      <w:kern w:val="0"/>
                      <w:sz w:val="22"/>
                      <w:szCs w:val="22"/>
                    </w:rPr>
                  </w:pPr>
                  <w:r>
                    <w:rPr>
                      <w:rFonts w:hint="eastAsia" w:ascii="宋体" w:hAnsi="宋体" w:cs="Arial"/>
                      <w:color w:val="000000"/>
                      <w:kern w:val="0"/>
                      <w:sz w:val="22"/>
                      <w:szCs w:val="22"/>
                    </w:rPr>
                    <w:t>2011199</w:t>
                  </w:r>
                </w:p>
              </w:tc>
              <w:tc>
                <w:tcPr>
                  <w:tcW w:w="2979"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hint="eastAsia" w:ascii="宋体" w:hAnsi="宋体" w:cs="Arial"/>
                      <w:color w:val="000000"/>
                      <w:kern w:val="0"/>
                      <w:sz w:val="22"/>
                      <w:szCs w:val="22"/>
                    </w:rPr>
                  </w:pPr>
                  <w:r>
                    <w:rPr>
                      <w:rFonts w:hint="eastAsia" w:ascii="宋体" w:hAnsi="宋体" w:cs="Arial"/>
                      <w:color w:val="000000"/>
                      <w:kern w:val="0"/>
                      <w:sz w:val="22"/>
                      <w:szCs w:val="22"/>
                    </w:rPr>
                    <w:t>其他纪检监察事务支出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hint="eastAsia" w:ascii="宋体" w:hAnsi="宋体" w:cs="Arial"/>
                      <w:color w:val="000000"/>
                      <w:kern w:val="0"/>
                      <w:sz w:val="22"/>
                      <w:szCs w:val="22"/>
                    </w:rPr>
                  </w:pPr>
                  <w:r>
                    <w:rPr>
                      <w:rFonts w:hint="eastAsia" w:ascii="宋体" w:hAnsi="宋体" w:cs="Arial"/>
                      <w:color w:val="000000"/>
                      <w:kern w:val="0"/>
                      <w:sz w:val="22"/>
                      <w:szCs w:val="22"/>
                    </w:rPr>
                    <w:t>53</w:t>
                  </w:r>
                </w:p>
              </w:tc>
              <w:tc>
                <w:tcPr>
                  <w:tcW w:w="1545"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hint="eastAsia" w:ascii="宋体" w:hAnsi="宋体" w:cs="Arial"/>
                      <w:color w:val="000000"/>
                      <w:kern w:val="0"/>
                      <w:sz w:val="22"/>
                      <w:szCs w:val="22"/>
                    </w:rPr>
                  </w:pPr>
                  <w:r>
                    <w:rPr>
                      <w:rFonts w:hint="eastAsia" w:ascii="宋体" w:hAnsi="宋体" w:cs="Arial"/>
                      <w:color w:val="000000"/>
                      <w:kern w:val="0"/>
                      <w:sz w:val="22"/>
                      <w:szCs w:val="22"/>
                    </w:rPr>
                    <w:t>53</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hint="eastAsia" w:ascii="宋体" w:hAnsi="宋体" w:cs="Arial"/>
                      <w:color w:val="000000"/>
                      <w:kern w:val="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hint="eastAsia" w:ascii="宋体" w:hAnsi="宋体" w:cs="Arial"/>
                      <w:color w:val="000000"/>
                      <w:kern w:val="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hint="eastAsia" w:ascii="宋体" w:hAnsi="宋体" w:cs="Arial"/>
                      <w:color w:val="000000"/>
                      <w:kern w:val="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hint="eastAsia" w:ascii="宋体" w:hAnsi="宋体" w:cs="Arial"/>
                      <w:color w:val="000000"/>
                      <w:kern w:val="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hint="eastAsia" w:ascii="宋体" w:hAnsi="宋体" w:cs="Arial"/>
                      <w:color w:val="000000"/>
                      <w:kern w:val="0"/>
                      <w:sz w:val="22"/>
                      <w:szCs w:val="22"/>
                    </w:rPr>
                  </w:pP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hint="eastAsia" w:ascii="宋体" w:hAnsi="宋体" w:cs="Arial"/>
                      <w:color w:val="000000"/>
                      <w:kern w:val="0"/>
                      <w:sz w:val="22"/>
                      <w:szCs w:val="22"/>
                    </w:rPr>
                  </w:pPr>
                </w:p>
              </w:tc>
              <w:tc>
                <w:tcPr>
                  <w:tcW w:w="133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208</w:t>
                  </w:r>
                </w:p>
              </w:tc>
              <w:tc>
                <w:tcPr>
                  <w:tcW w:w="2979"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社会保障和就业支出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81.89</w:t>
                  </w:r>
                </w:p>
              </w:tc>
              <w:tc>
                <w:tcPr>
                  <w:tcW w:w="1545"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81.89</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133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20805</w:t>
                  </w:r>
                </w:p>
              </w:tc>
              <w:tc>
                <w:tcPr>
                  <w:tcW w:w="2979"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行政事业单位离退休</w:t>
                  </w:r>
                </w:p>
              </w:tc>
              <w:tc>
                <w:tcPr>
                  <w:tcW w:w="1134"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81.89</w:t>
                  </w:r>
                </w:p>
              </w:tc>
              <w:tc>
                <w:tcPr>
                  <w:tcW w:w="1545"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81.89</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133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2080505</w:t>
                  </w:r>
                </w:p>
              </w:tc>
              <w:tc>
                <w:tcPr>
                  <w:tcW w:w="2979"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xml:space="preserve">  机关事业单位基本养老保险缴费支出★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55.70</w:t>
                  </w:r>
                </w:p>
              </w:tc>
              <w:tc>
                <w:tcPr>
                  <w:tcW w:w="1545"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55.70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133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2080506</w:t>
                  </w:r>
                </w:p>
              </w:tc>
              <w:tc>
                <w:tcPr>
                  <w:tcW w:w="2979"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xml:space="preserve">  机关事业单位职业年金缴费支出★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26.19</w:t>
                  </w:r>
                </w:p>
              </w:tc>
              <w:tc>
                <w:tcPr>
                  <w:tcW w:w="1545"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26.19</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133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210</w:t>
                  </w:r>
                </w:p>
              </w:tc>
              <w:tc>
                <w:tcPr>
                  <w:tcW w:w="2979"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医疗卫生与计划生育支出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38.66</w:t>
                  </w:r>
                </w:p>
              </w:tc>
              <w:tc>
                <w:tcPr>
                  <w:tcW w:w="1545"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38.66</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133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21011</w:t>
                  </w:r>
                </w:p>
              </w:tc>
              <w:tc>
                <w:tcPr>
                  <w:tcW w:w="2979"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行政事业单位医疗★</w:t>
                  </w:r>
                </w:p>
              </w:tc>
              <w:tc>
                <w:tcPr>
                  <w:tcW w:w="1134"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38.66</w:t>
                  </w:r>
                </w:p>
              </w:tc>
              <w:tc>
                <w:tcPr>
                  <w:tcW w:w="1545"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38.66</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133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2101101</w:t>
                  </w:r>
                </w:p>
              </w:tc>
              <w:tc>
                <w:tcPr>
                  <w:tcW w:w="2979"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xml:space="preserve">  行政单位医疗★</w:t>
                  </w:r>
                </w:p>
              </w:tc>
              <w:tc>
                <w:tcPr>
                  <w:tcW w:w="1134"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38.66</w:t>
                  </w:r>
                </w:p>
              </w:tc>
              <w:tc>
                <w:tcPr>
                  <w:tcW w:w="1545"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38.66</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133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221</w:t>
                  </w:r>
                </w:p>
              </w:tc>
              <w:tc>
                <w:tcPr>
                  <w:tcW w:w="2979"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住房保障支出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60.49</w:t>
                  </w:r>
                </w:p>
              </w:tc>
              <w:tc>
                <w:tcPr>
                  <w:tcW w:w="1545"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60.49</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133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22102</w:t>
                  </w:r>
                </w:p>
              </w:tc>
              <w:tc>
                <w:tcPr>
                  <w:tcW w:w="2979"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住房改革支出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60.49</w:t>
                  </w:r>
                </w:p>
              </w:tc>
              <w:tc>
                <w:tcPr>
                  <w:tcW w:w="1545"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60.49</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133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2210201</w:t>
                  </w:r>
                </w:p>
              </w:tc>
              <w:tc>
                <w:tcPr>
                  <w:tcW w:w="2979"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xml:space="preserve">  住房公积金</w:t>
                  </w:r>
                </w:p>
              </w:tc>
              <w:tc>
                <w:tcPr>
                  <w:tcW w:w="1134" w:type="dxa"/>
                  <w:tcBorders>
                    <w:top w:val="nil"/>
                    <w:left w:val="nil"/>
                    <w:bottom w:val="single" w:color="000000" w:sz="4" w:space="0"/>
                    <w:right w:val="single" w:color="000000" w:sz="4" w:space="0"/>
                  </w:tcBorders>
                  <w:shd w:val="clear" w:color="auto" w:fill="auto"/>
                  <w:noWrap/>
                  <w:vAlign w:val="center"/>
                </w:tcPr>
                <w:p>
                  <w:pPr>
                    <w:widowControl/>
                    <w:ind w:right="220"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60.49</w:t>
                  </w:r>
                </w:p>
              </w:tc>
              <w:tc>
                <w:tcPr>
                  <w:tcW w:w="1545" w:type="dxa"/>
                  <w:tcBorders>
                    <w:top w:val="nil"/>
                    <w:left w:val="nil"/>
                    <w:bottom w:val="single" w:color="000000" w:sz="4" w:space="0"/>
                    <w:right w:val="single" w:color="000000" w:sz="4" w:space="0"/>
                  </w:tcBorders>
                  <w:shd w:val="clear" w:color="auto" w:fill="auto"/>
                  <w:noWrap/>
                  <w:vAlign w:val="center"/>
                </w:tcPr>
                <w:p>
                  <w:pPr>
                    <w:widowControl/>
                    <w:ind w:right="220"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60.49</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4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133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w:t>
                  </w:r>
                </w:p>
              </w:tc>
            </w:tr>
            <w:tr>
              <w:tblPrEx>
                <w:tblCellMar>
                  <w:top w:w="0" w:type="dxa"/>
                  <w:left w:w="108" w:type="dxa"/>
                  <w:bottom w:w="0" w:type="dxa"/>
                  <w:right w:w="108" w:type="dxa"/>
                </w:tblCellMar>
              </w:tblPrEx>
              <w:trPr>
                <w:trHeight w:val="585" w:hRule="atLeast"/>
              </w:trPr>
              <w:tc>
                <w:tcPr>
                  <w:tcW w:w="10912" w:type="dxa"/>
                  <w:gridSpan w:val="14"/>
                  <w:tcBorders>
                    <w:top w:val="nil"/>
                    <w:left w:val="nil"/>
                    <w:bottom w:val="nil"/>
                    <w:right w:val="nil"/>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注：本表以“万元”为金额单位（保留两位小数），反映部门本年度取得的各项收入情况。</w:t>
                  </w:r>
                </w:p>
              </w:tc>
            </w:tr>
          </w:tbl>
          <w:p>
            <w:pPr>
              <w:widowControl/>
              <w:ind w:firstLine="640" w:firstLineChars="200"/>
              <w:jc w:val="left"/>
              <w:rPr>
                <w:rFonts w:ascii="宋体" w:hAnsi="宋体" w:cs="Arial"/>
                <w:color w:val="000000"/>
                <w:kern w:val="0"/>
                <w:sz w:val="32"/>
                <w:szCs w:val="32"/>
              </w:rPr>
            </w:pPr>
          </w:p>
          <w:p>
            <w:pPr>
              <w:widowControl/>
              <w:ind w:firstLine="640" w:firstLineChars="200"/>
              <w:jc w:val="center"/>
              <w:rPr>
                <w:rFonts w:ascii="宋体" w:hAnsi="宋体" w:cs="Arial"/>
                <w:color w:val="000000"/>
                <w:kern w:val="0"/>
                <w:sz w:val="32"/>
                <w:szCs w:val="32"/>
              </w:rPr>
            </w:pPr>
          </w:p>
          <w:p>
            <w:pPr>
              <w:widowControl/>
              <w:ind w:firstLine="640" w:firstLineChars="200"/>
              <w:jc w:val="center"/>
              <w:rPr>
                <w:rFonts w:ascii="宋体" w:hAnsi="宋体" w:cs="Arial"/>
                <w:color w:val="000000"/>
                <w:kern w:val="0"/>
                <w:sz w:val="32"/>
                <w:szCs w:val="32"/>
              </w:rPr>
            </w:pPr>
          </w:p>
          <w:p>
            <w:pPr>
              <w:widowControl/>
              <w:ind w:firstLine="640" w:firstLineChars="200"/>
              <w:jc w:val="center"/>
              <w:rPr>
                <w:rFonts w:ascii="宋体" w:hAnsi="宋体" w:cs="Arial"/>
                <w:color w:val="000000"/>
                <w:kern w:val="0"/>
                <w:sz w:val="32"/>
                <w:szCs w:val="32"/>
              </w:rPr>
            </w:pPr>
            <w:r>
              <w:rPr>
                <w:rFonts w:hint="eastAsia" w:ascii="宋体" w:hAnsi="宋体" w:cs="Arial"/>
                <w:color w:val="000000"/>
                <w:kern w:val="0"/>
                <w:sz w:val="32"/>
                <w:szCs w:val="32"/>
              </w:rPr>
              <w:t>支出决算表</w:t>
            </w:r>
          </w:p>
        </w:tc>
      </w:tr>
      <w:tr>
        <w:tblPrEx>
          <w:tblCellMar>
            <w:top w:w="0" w:type="dxa"/>
            <w:left w:w="108" w:type="dxa"/>
            <w:bottom w:w="0" w:type="dxa"/>
            <w:right w:w="108" w:type="dxa"/>
          </w:tblCellMar>
        </w:tblPrEx>
        <w:trPr>
          <w:gridAfter w:val="1"/>
          <w:wAfter w:w="186" w:type="dxa"/>
          <w:trHeight w:val="255" w:hRule="atLeast"/>
        </w:trPr>
        <w:tc>
          <w:tcPr>
            <w:tcW w:w="453"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523"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533" w:type="dxa"/>
            <w:gridSpan w:val="2"/>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4555" w:type="dxa"/>
            <w:gridSpan w:val="8"/>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1094"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1055" w:type="dxa"/>
            <w:gridSpan w:val="2"/>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923" w:type="dxa"/>
            <w:gridSpan w:val="3"/>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2077" w:type="dxa"/>
            <w:gridSpan w:val="6"/>
            <w:tcBorders>
              <w:top w:val="nil"/>
              <w:left w:val="nil"/>
              <w:bottom w:val="nil"/>
              <w:right w:val="nil"/>
            </w:tcBorders>
            <w:shd w:val="clear" w:color="auto" w:fill="auto"/>
            <w:noWrap/>
            <w:vAlign w:val="bottom"/>
          </w:tcPr>
          <w:p>
            <w:pPr>
              <w:widowControl/>
              <w:ind w:firstLine="400" w:firstLineChars="200"/>
              <w:jc w:val="right"/>
              <w:rPr>
                <w:rFonts w:ascii="宋体" w:hAnsi="宋体" w:cs="Arial"/>
                <w:color w:val="000000"/>
                <w:kern w:val="0"/>
                <w:sz w:val="20"/>
                <w:szCs w:val="20"/>
              </w:rPr>
            </w:pPr>
            <w:r>
              <w:rPr>
                <w:rFonts w:hint="eastAsia" w:ascii="宋体" w:hAnsi="宋体" w:cs="Arial"/>
                <w:color w:val="000000"/>
                <w:kern w:val="0"/>
                <w:sz w:val="20"/>
                <w:szCs w:val="20"/>
              </w:rPr>
              <w:t>财决公开03表</w:t>
            </w:r>
          </w:p>
        </w:tc>
      </w:tr>
      <w:tr>
        <w:tblPrEx>
          <w:tblCellMar>
            <w:top w:w="0" w:type="dxa"/>
            <w:left w:w="108" w:type="dxa"/>
            <w:bottom w:w="0" w:type="dxa"/>
            <w:right w:w="108" w:type="dxa"/>
          </w:tblCellMar>
        </w:tblPrEx>
        <w:trPr>
          <w:gridAfter w:val="2"/>
          <w:wAfter w:w="271" w:type="dxa"/>
          <w:trHeight w:val="255" w:hRule="atLeast"/>
        </w:trPr>
        <w:tc>
          <w:tcPr>
            <w:tcW w:w="4483" w:type="dxa"/>
            <w:gridSpan w:val="8"/>
            <w:tcBorders>
              <w:top w:val="nil"/>
              <w:left w:val="nil"/>
              <w:bottom w:val="single" w:color="000000" w:sz="4" w:space="0"/>
              <w:right w:val="nil"/>
            </w:tcBorders>
            <w:shd w:val="clear" w:color="auto" w:fill="auto"/>
            <w:noWrap/>
            <w:vAlign w:val="bottom"/>
          </w:tcPr>
          <w:p>
            <w:pPr>
              <w:widowControl/>
              <w:rPr>
                <w:rFonts w:ascii="宋体" w:hAnsi="宋体" w:cs="Arial"/>
                <w:color w:val="000000"/>
                <w:kern w:val="0"/>
                <w:sz w:val="20"/>
                <w:szCs w:val="20"/>
              </w:rPr>
            </w:pPr>
            <w:r>
              <w:rPr>
                <w:rFonts w:hint="eastAsia" w:ascii="宋体" w:hAnsi="宋体" w:cs="Arial"/>
                <w:color w:val="000000"/>
                <w:kern w:val="0"/>
                <w:sz w:val="20"/>
                <w:szCs w:val="20"/>
              </w:rPr>
              <w:t>部门：四川省阿坝州汶川县纪委监察委（本级）</w:t>
            </w:r>
          </w:p>
        </w:tc>
        <w:tc>
          <w:tcPr>
            <w:tcW w:w="1447" w:type="dxa"/>
            <w:gridSpan w:val="3"/>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1445" w:type="dxa"/>
            <w:gridSpan w:val="3"/>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1673" w:type="dxa"/>
            <w:gridSpan w:val="3"/>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523" w:type="dxa"/>
            <w:gridSpan w:val="3"/>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1557" w:type="dxa"/>
            <w:gridSpan w:val="3"/>
            <w:tcBorders>
              <w:top w:val="nil"/>
              <w:left w:val="nil"/>
              <w:bottom w:val="single" w:color="000000" w:sz="4" w:space="0"/>
              <w:right w:val="nil"/>
            </w:tcBorders>
            <w:shd w:val="clear" w:color="auto" w:fill="auto"/>
            <w:noWrap/>
            <w:vAlign w:val="bottom"/>
          </w:tcPr>
          <w:p>
            <w:pPr>
              <w:widowControl/>
              <w:ind w:right="200" w:firstLine="400" w:firstLineChars="200"/>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gridAfter w:val="2"/>
          <w:wAfter w:w="271" w:type="dxa"/>
          <w:trHeight w:val="312" w:hRule="atLeast"/>
        </w:trPr>
        <w:tc>
          <w:tcPr>
            <w:tcW w:w="1421"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科目编码</w:t>
            </w:r>
          </w:p>
        </w:tc>
        <w:tc>
          <w:tcPr>
            <w:tcW w:w="3062" w:type="dxa"/>
            <w:gridSpan w:val="5"/>
            <w:vMerge w:val="restart"/>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447" w:type="dxa"/>
            <w:gridSpan w:val="3"/>
            <w:vMerge w:val="restart"/>
            <w:tcBorders>
              <w:top w:val="single" w:color="000000" w:sz="4" w:space="0"/>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445" w:type="dxa"/>
            <w:gridSpan w:val="3"/>
            <w:vMerge w:val="restart"/>
            <w:tcBorders>
              <w:top w:val="single" w:color="000000" w:sz="4" w:space="0"/>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673" w:type="dxa"/>
            <w:gridSpan w:val="3"/>
            <w:vMerge w:val="restart"/>
            <w:tcBorders>
              <w:top w:val="single" w:color="000000" w:sz="4" w:space="0"/>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523" w:type="dxa"/>
            <w:gridSpan w:val="3"/>
            <w:vMerge w:val="restart"/>
            <w:tcBorders>
              <w:top w:val="single" w:color="000000" w:sz="4" w:space="0"/>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789" w:type="dxa"/>
            <w:gridSpan w:val="2"/>
            <w:vMerge w:val="restart"/>
            <w:tcBorders>
              <w:top w:val="nil"/>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768" w:type="dxa"/>
            <w:vMerge w:val="restart"/>
            <w:tcBorders>
              <w:top w:val="nil"/>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CellMar>
            <w:top w:w="0" w:type="dxa"/>
            <w:left w:w="108" w:type="dxa"/>
            <w:bottom w:w="0" w:type="dxa"/>
            <w:right w:w="108" w:type="dxa"/>
          </w:tblCellMar>
        </w:tblPrEx>
        <w:trPr>
          <w:gridAfter w:val="2"/>
          <w:wAfter w:w="271" w:type="dxa"/>
          <w:trHeight w:val="312" w:hRule="atLeast"/>
        </w:trPr>
        <w:tc>
          <w:tcPr>
            <w:tcW w:w="1421"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3062" w:type="dxa"/>
            <w:gridSpan w:val="5"/>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1447" w:type="dxa"/>
            <w:gridSpan w:val="3"/>
            <w:vMerge w:val="continue"/>
            <w:tcBorders>
              <w:top w:val="single" w:color="000000" w:sz="4" w:space="0"/>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1445" w:type="dxa"/>
            <w:gridSpan w:val="3"/>
            <w:vMerge w:val="continue"/>
            <w:tcBorders>
              <w:top w:val="single" w:color="000000" w:sz="4" w:space="0"/>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1673" w:type="dxa"/>
            <w:gridSpan w:val="3"/>
            <w:vMerge w:val="continue"/>
            <w:tcBorders>
              <w:top w:val="single" w:color="000000" w:sz="4" w:space="0"/>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523" w:type="dxa"/>
            <w:gridSpan w:val="3"/>
            <w:vMerge w:val="continue"/>
            <w:tcBorders>
              <w:top w:val="single" w:color="000000" w:sz="4" w:space="0"/>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789" w:type="dxa"/>
            <w:gridSpan w:val="2"/>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768" w:type="dxa"/>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r>
      <w:tr>
        <w:tblPrEx>
          <w:tblCellMar>
            <w:top w:w="0" w:type="dxa"/>
            <w:left w:w="108" w:type="dxa"/>
            <w:bottom w:w="0" w:type="dxa"/>
            <w:right w:w="108" w:type="dxa"/>
          </w:tblCellMar>
        </w:tblPrEx>
        <w:trPr>
          <w:gridAfter w:val="2"/>
          <w:wAfter w:w="271" w:type="dxa"/>
          <w:trHeight w:val="312" w:hRule="atLeast"/>
        </w:trPr>
        <w:tc>
          <w:tcPr>
            <w:tcW w:w="1421"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3062" w:type="dxa"/>
            <w:gridSpan w:val="5"/>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1447" w:type="dxa"/>
            <w:gridSpan w:val="3"/>
            <w:vMerge w:val="continue"/>
            <w:tcBorders>
              <w:top w:val="single" w:color="000000" w:sz="4" w:space="0"/>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1445" w:type="dxa"/>
            <w:gridSpan w:val="3"/>
            <w:vMerge w:val="continue"/>
            <w:tcBorders>
              <w:top w:val="single" w:color="000000" w:sz="4" w:space="0"/>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1673" w:type="dxa"/>
            <w:gridSpan w:val="3"/>
            <w:vMerge w:val="continue"/>
            <w:tcBorders>
              <w:top w:val="single" w:color="000000" w:sz="4" w:space="0"/>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523" w:type="dxa"/>
            <w:gridSpan w:val="3"/>
            <w:vMerge w:val="continue"/>
            <w:tcBorders>
              <w:top w:val="single" w:color="000000" w:sz="4" w:space="0"/>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789" w:type="dxa"/>
            <w:gridSpan w:val="2"/>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768" w:type="dxa"/>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r>
      <w:tr>
        <w:tblPrEx>
          <w:tblCellMar>
            <w:top w:w="0" w:type="dxa"/>
            <w:left w:w="108" w:type="dxa"/>
            <w:bottom w:w="0" w:type="dxa"/>
            <w:right w:w="108" w:type="dxa"/>
          </w:tblCellMar>
        </w:tblPrEx>
        <w:trPr>
          <w:gridAfter w:val="2"/>
          <w:wAfter w:w="271" w:type="dxa"/>
          <w:trHeight w:val="312" w:hRule="atLeast"/>
        </w:trPr>
        <w:tc>
          <w:tcPr>
            <w:tcW w:w="1421"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3062" w:type="dxa"/>
            <w:gridSpan w:val="5"/>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1447" w:type="dxa"/>
            <w:gridSpan w:val="3"/>
            <w:vMerge w:val="continue"/>
            <w:tcBorders>
              <w:top w:val="single" w:color="000000" w:sz="4" w:space="0"/>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1445" w:type="dxa"/>
            <w:gridSpan w:val="3"/>
            <w:vMerge w:val="continue"/>
            <w:tcBorders>
              <w:top w:val="single" w:color="000000" w:sz="4" w:space="0"/>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1673" w:type="dxa"/>
            <w:gridSpan w:val="3"/>
            <w:vMerge w:val="continue"/>
            <w:tcBorders>
              <w:top w:val="single" w:color="000000" w:sz="4" w:space="0"/>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523" w:type="dxa"/>
            <w:gridSpan w:val="3"/>
            <w:vMerge w:val="continue"/>
            <w:tcBorders>
              <w:top w:val="single" w:color="000000" w:sz="4" w:space="0"/>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789" w:type="dxa"/>
            <w:gridSpan w:val="2"/>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768" w:type="dxa"/>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r>
      <w:tr>
        <w:tblPrEx>
          <w:tblCellMar>
            <w:top w:w="0" w:type="dxa"/>
            <w:left w:w="108" w:type="dxa"/>
            <w:bottom w:w="0" w:type="dxa"/>
            <w:right w:w="108" w:type="dxa"/>
          </w:tblCellMar>
        </w:tblPrEx>
        <w:trPr>
          <w:gridAfter w:val="2"/>
          <w:wAfter w:w="271" w:type="dxa"/>
          <w:trHeight w:val="308" w:hRule="atLeast"/>
        </w:trPr>
        <w:tc>
          <w:tcPr>
            <w:tcW w:w="453" w:type="dxa"/>
            <w:vMerge w:val="restart"/>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523" w:type="dxa"/>
            <w:vMerge w:val="restart"/>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5" w:type="dxa"/>
            <w:vMerge w:val="restart"/>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062" w:type="dxa"/>
            <w:gridSpan w:val="5"/>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447" w:type="dxa"/>
            <w:gridSpan w:val="3"/>
            <w:tcBorders>
              <w:top w:val="nil"/>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445" w:type="dxa"/>
            <w:gridSpan w:val="3"/>
            <w:tcBorders>
              <w:top w:val="nil"/>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761" w:type="dxa"/>
            <w:gridSpan w:val="4"/>
            <w:tcBorders>
              <w:top w:val="nil"/>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435" w:type="dxa"/>
            <w:gridSpan w:val="2"/>
            <w:tcBorders>
              <w:top w:val="nil"/>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789" w:type="dxa"/>
            <w:gridSpan w:val="2"/>
            <w:tcBorders>
              <w:top w:val="nil"/>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768" w:type="dxa"/>
            <w:tcBorders>
              <w:top w:val="nil"/>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gridAfter w:val="2"/>
          <w:wAfter w:w="271" w:type="dxa"/>
          <w:trHeight w:val="308" w:hRule="atLeast"/>
        </w:trPr>
        <w:tc>
          <w:tcPr>
            <w:tcW w:w="453" w:type="dxa"/>
            <w:vMerge w:val="continue"/>
            <w:tcBorders>
              <w:top w:val="nil"/>
              <w:left w:val="single" w:color="000000" w:sz="4" w:space="0"/>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523" w:type="dxa"/>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445" w:type="dxa"/>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3062" w:type="dxa"/>
            <w:gridSpan w:val="5"/>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447" w:type="dxa"/>
            <w:gridSpan w:val="3"/>
            <w:tcBorders>
              <w:top w:val="nil"/>
              <w:left w:val="nil"/>
              <w:bottom w:val="single" w:color="000000" w:sz="4" w:space="0"/>
              <w:right w:val="single" w:color="000000" w:sz="4" w:space="0"/>
            </w:tcBorders>
            <w:shd w:val="clear" w:color="auto" w:fill="auto"/>
            <w:noWrap/>
            <w:vAlign w:val="center"/>
          </w:tcPr>
          <w:p>
            <w:pPr>
              <w:widowControl/>
              <w:ind w:firstLine="442" w:firstLineChars="200"/>
              <w:jc w:val="right"/>
              <w:rPr>
                <w:rFonts w:ascii="宋体" w:hAnsi="宋体" w:cs="Arial"/>
                <w:b/>
                <w:bCs/>
                <w:color w:val="000000"/>
                <w:kern w:val="0"/>
                <w:sz w:val="22"/>
                <w:szCs w:val="22"/>
              </w:rPr>
            </w:pPr>
            <w:r>
              <w:rPr>
                <w:rFonts w:hint="eastAsia" w:ascii="宋体" w:hAnsi="宋体" w:cs="Arial"/>
                <w:b/>
                <w:bCs/>
                <w:color w:val="000000"/>
                <w:kern w:val="0"/>
                <w:sz w:val="22"/>
                <w:szCs w:val="22"/>
              </w:rPr>
              <w:t>1087.98</w:t>
            </w:r>
          </w:p>
        </w:tc>
        <w:tc>
          <w:tcPr>
            <w:tcW w:w="1445" w:type="dxa"/>
            <w:gridSpan w:val="3"/>
            <w:tcBorders>
              <w:top w:val="nil"/>
              <w:left w:val="nil"/>
              <w:bottom w:val="single" w:color="000000" w:sz="4" w:space="0"/>
              <w:right w:val="single" w:color="000000" w:sz="4" w:space="0"/>
            </w:tcBorders>
            <w:shd w:val="clear" w:color="auto" w:fill="auto"/>
            <w:noWrap/>
            <w:vAlign w:val="center"/>
          </w:tcPr>
          <w:p>
            <w:pPr>
              <w:widowControl/>
              <w:ind w:firstLine="442" w:firstLineChars="200"/>
              <w:jc w:val="right"/>
              <w:rPr>
                <w:rFonts w:ascii="宋体" w:hAnsi="宋体" w:cs="Arial"/>
                <w:b/>
                <w:bCs/>
                <w:color w:val="000000"/>
                <w:kern w:val="0"/>
                <w:sz w:val="22"/>
                <w:szCs w:val="22"/>
              </w:rPr>
            </w:pPr>
            <w:r>
              <w:rPr>
                <w:rFonts w:hint="eastAsia" w:ascii="宋体" w:hAnsi="宋体" w:cs="Arial"/>
                <w:b/>
                <w:bCs/>
                <w:color w:val="000000"/>
                <w:kern w:val="0"/>
                <w:sz w:val="22"/>
                <w:szCs w:val="22"/>
              </w:rPr>
              <w:t>865.15</w:t>
            </w:r>
          </w:p>
        </w:tc>
        <w:tc>
          <w:tcPr>
            <w:tcW w:w="1761" w:type="dxa"/>
            <w:gridSpan w:val="4"/>
            <w:tcBorders>
              <w:top w:val="nil"/>
              <w:left w:val="nil"/>
              <w:bottom w:val="single" w:color="000000" w:sz="4" w:space="0"/>
              <w:right w:val="single" w:color="000000" w:sz="4" w:space="0"/>
            </w:tcBorders>
            <w:shd w:val="clear" w:color="auto" w:fill="auto"/>
            <w:noWrap/>
            <w:vAlign w:val="center"/>
          </w:tcPr>
          <w:p>
            <w:pPr>
              <w:widowControl/>
              <w:ind w:firstLine="442" w:firstLineChars="200"/>
              <w:jc w:val="right"/>
              <w:rPr>
                <w:rFonts w:ascii="宋体" w:hAnsi="宋体" w:cs="Arial"/>
                <w:b/>
                <w:bCs/>
                <w:color w:val="000000"/>
                <w:kern w:val="0"/>
                <w:sz w:val="22"/>
                <w:szCs w:val="22"/>
              </w:rPr>
            </w:pPr>
            <w:r>
              <w:rPr>
                <w:rFonts w:hint="eastAsia" w:ascii="宋体" w:hAnsi="宋体" w:cs="Arial"/>
                <w:b/>
                <w:bCs/>
                <w:color w:val="000000"/>
                <w:kern w:val="0"/>
                <w:sz w:val="22"/>
                <w:szCs w:val="22"/>
              </w:rPr>
              <w:t>222.82</w:t>
            </w:r>
          </w:p>
        </w:tc>
        <w:tc>
          <w:tcPr>
            <w:tcW w:w="435" w:type="dxa"/>
            <w:gridSpan w:val="2"/>
            <w:tcBorders>
              <w:top w:val="nil"/>
              <w:left w:val="nil"/>
              <w:bottom w:val="single" w:color="000000" w:sz="4" w:space="0"/>
              <w:right w:val="single" w:color="000000" w:sz="4" w:space="0"/>
            </w:tcBorders>
            <w:shd w:val="clear" w:color="auto" w:fill="auto"/>
            <w:noWrap/>
            <w:vAlign w:val="center"/>
          </w:tcPr>
          <w:p>
            <w:pPr>
              <w:widowControl/>
              <w:ind w:firstLine="442" w:firstLineChars="200"/>
              <w:jc w:val="right"/>
              <w:rPr>
                <w:rFonts w:ascii="宋体" w:hAnsi="宋体" w:cs="Arial"/>
                <w:b/>
                <w:bCs/>
                <w:color w:val="000000"/>
                <w:kern w:val="0"/>
                <w:sz w:val="22"/>
                <w:szCs w:val="22"/>
              </w:rPr>
            </w:pPr>
            <w:r>
              <w:rPr>
                <w:rFonts w:hint="eastAsia" w:ascii="宋体" w:hAnsi="宋体" w:cs="Arial"/>
                <w:b/>
                <w:bCs/>
                <w:color w:val="000000"/>
                <w:kern w:val="0"/>
                <w:sz w:val="22"/>
                <w:szCs w:val="22"/>
              </w:rPr>
              <w:t xml:space="preserve">0 </w:t>
            </w:r>
          </w:p>
        </w:tc>
        <w:tc>
          <w:tcPr>
            <w:tcW w:w="789" w:type="dxa"/>
            <w:gridSpan w:val="2"/>
            <w:tcBorders>
              <w:top w:val="nil"/>
              <w:left w:val="nil"/>
              <w:bottom w:val="single" w:color="000000" w:sz="4" w:space="0"/>
              <w:right w:val="single" w:color="000000" w:sz="4" w:space="0"/>
            </w:tcBorders>
            <w:shd w:val="clear" w:color="auto" w:fill="auto"/>
            <w:noWrap/>
            <w:vAlign w:val="center"/>
          </w:tcPr>
          <w:p>
            <w:pPr>
              <w:widowControl/>
              <w:ind w:firstLine="442" w:firstLineChars="200"/>
              <w:jc w:val="right"/>
              <w:rPr>
                <w:rFonts w:ascii="宋体" w:hAnsi="宋体" w:cs="Arial"/>
                <w:b/>
                <w:bCs/>
                <w:color w:val="000000"/>
                <w:kern w:val="0"/>
                <w:sz w:val="22"/>
                <w:szCs w:val="22"/>
              </w:rPr>
            </w:pPr>
            <w:r>
              <w:rPr>
                <w:rFonts w:hint="eastAsia" w:ascii="宋体" w:hAnsi="宋体" w:cs="Arial"/>
                <w:b/>
                <w:bCs/>
                <w:color w:val="000000"/>
                <w:kern w:val="0"/>
                <w:sz w:val="22"/>
                <w:szCs w:val="22"/>
              </w:rPr>
              <w:t xml:space="preserve">0 </w:t>
            </w:r>
          </w:p>
        </w:tc>
        <w:tc>
          <w:tcPr>
            <w:tcW w:w="768" w:type="dxa"/>
            <w:tcBorders>
              <w:top w:val="nil"/>
              <w:left w:val="nil"/>
              <w:bottom w:val="single" w:color="000000" w:sz="4" w:space="0"/>
              <w:right w:val="single" w:color="000000" w:sz="4" w:space="0"/>
            </w:tcBorders>
            <w:shd w:val="clear" w:color="auto" w:fill="auto"/>
            <w:noWrap/>
            <w:vAlign w:val="center"/>
          </w:tcPr>
          <w:p>
            <w:pPr>
              <w:widowControl/>
              <w:ind w:firstLine="442" w:firstLineChars="200"/>
              <w:jc w:val="right"/>
              <w:rPr>
                <w:rFonts w:ascii="宋体" w:hAnsi="宋体" w:cs="Arial"/>
                <w:b/>
                <w:bCs/>
                <w:color w:val="000000"/>
                <w:kern w:val="0"/>
                <w:sz w:val="22"/>
                <w:szCs w:val="22"/>
              </w:rPr>
            </w:pPr>
            <w:r>
              <w:rPr>
                <w:rFonts w:hint="eastAsia" w:ascii="宋体" w:hAnsi="宋体" w:cs="Arial"/>
                <w:b/>
                <w:bCs/>
                <w:color w:val="000000"/>
                <w:kern w:val="0"/>
                <w:sz w:val="22"/>
                <w:szCs w:val="22"/>
              </w:rPr>
              <w:t xml:space="preserve">0 </w:t>
            </w:r>
          </w:p>
        </w:tc>
      </w:tr>
      <w:tr>
        <w:tblPrEx>
          <w:tblCellMar>
            <w:top w:w="0" w:type="dxa"/>
            <w:left w:w="108" w:type="dxa"/>
            <w:bottom w:w="0" w:type="dxa"/>
            <w:right w:w="108" w:type="dxa"/>
          </w:tblCellMar>
        </w:tblPrEx>
        <w:trPr>
          <w:gridAfter w:val="2"/>
          <w:wAfter w:w="271" w:type="dxa"/>
          <w:trHeight w:val="308" w:hRule="atLeast"/>
        </w:trPr>
        <w:tc>
          <w:tcPr>
            <w:tcW w:w="142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201</w:t>
            </w:r>
          </w:p>
        </w:tc>
        <w:tc>
          <w:tcPr>
            <w:tcW w:w="3062" w:type="dxa"/>
            <w:gridSpan w:val="5"/>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一般公共服务支出</w:t>
            </w:r>
          </w:p>
        </w:tc>
        <w:tc>
          <w:tcPr>
            <w:tcW w:w="1447"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902.23</w:t>
            </w:r>
          </w:p>
        </w:tc>
        <w:tc>
          <w:tcPr>
            <w:tcW w:w="1445"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674.11</w:t>
            </w:r>
          </w:p>
        </w:tc>
        <w:tc>
          <w:tcPr>
            <w:tcW w:w="1673"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218.12</w:t>
            </w:r>
          </w:p>
        </w:tc>
        <w:tc>
          <w:tcPr>
            <w:tcW w:w="523"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789"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768"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r>
      <w:tr>
        <w:tblPrEx>
          <w:tblCellMar>
            <w:top w:w="0" w:type="dxa"/>
            <w:left w:w="108" w:type="dxa"/>
            <w:bottom w:w="0" w:type="dxa"/>
            <w:right w:w="108" w:type="dxa"/>
          </w:tblCellMar>
        </w:tblPrEx>
        <w:trPr>
          <w:gridAfter w:val="2"/>
          <w:wAfter w:w="271" w:type="dxa"/>
          <w:trHeight w:val="308" w:hRule="atLeast"/>
        </w:trPr>
        <w:tc>
          <w:tcPr>
            <w:tcW w:w="142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20111</w:t>
            </w:r>
          </w:p>
        </w:tc>
        <w:tc>
          <w:tcPr>
            <w:tcW w:w="3062" w:type="dxa"/>
            <w:gridSpan w:val="5"/>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纪检监察事务</w:t>
            </w:r>
          </w:p>
        </w:tc>
        <w:tc>
          <w:tcPr>
            <w:tcW w:w="1447"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900.23</w:t>
            </w:r>
          </w:p>
        </w:tc>
        <w:tc>
          <w:tcPr>
            <w:tcW w:w="1445" w:type="dxa"/>
            <w:gridSpan w:val="3"/>
            <w:tcBorders>
              <w:top w:val="nil"/>
              <w:left w:val="nil"/>
              <w:bottom w:val="single" w:color="000000" w:sz="4" w:space="0"/>
              <w:right w:val="single" w:color="000000" w:sz="4" w:space="0"/>
            </w:tcBorders>
            <w:shd w:val="clear" w:color="auto" w:fill="auto"/>
            <w:noWrap/>
            <w:vAlign w:val="center"/>
          </w:tcPr>
          <w:p>
            <w:pPr>
              <w:widowControl/>
              <w:ind w:right="220"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684.11</w:t>
            </w:r>
          </w:p>
        </w:tc>
        <w:tc>
          <w:tcPr>
            <w:tcW w:w="1673"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216.12</w:t>
            </w:r>
          </w:p>
        </w:tc>
        <w:tc>
          <w:tcPr>
            <w:tcW w:w="523"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789"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768"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r>
      <w:tr>
        <w:tblPrEx>
          <w:tblCellMar>
            <w:top w:w="0" w:type="dxa"/>
            <w:left w:w="108" w:type="dxa"/>
            <w:bottom w:w="0" w:type="dxa"/>
            <w:right w:w="108" w:type="dxa"/>
          </w:tblCellMar>
        </w:tblPrEx>
        <w:trPr>
          <w:gridAfter w:val="2"/>
          <w:wAfter w:w="271" w:type="dxa"/>
          <w:trHeight w:val="308" w:hRule="atLeast"/>
        </w:trPr>
        <w:tc>
          <w:tcPr>
            <w:tcW w:w="142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2011101</w:t>
            </w:r>
          </w:p>
        </w:tc>
        <w:tc>
          <w:tcPr>
            <w:tcW w:w="3062" w:type="dxa"/>
            <w:gridSpan w:val="5"/>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xml:space="preserve">  行政运行</w:t>
            </w:r>
          </w:p>
        </w:tc>
        <w:tc>
          <w:tcPr>
            <w:tcW w:w="1447"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684.11</w:t>
            </w:r>
          </w:p>
        </w:tc>
        <w:tc>
          <w:tcPr>
            <w:tcW w:w="1445" w:type="dxa"/>
            <w:gridSpan w:val="3"/>
            <w:tcBorders>
              <w:top w:val="nil"/>
              <w:left w:val="nil"/>
              <w:bottom w:val="single" w:color="000000" w:sz="4" w:space="0"/>
              <w:right w:val="single" w:color="000000" w:sz="4" w:space="0"/>
            </w:tcBorders>
            <w:shd w:val="clear" w:color="auto" w:fill="auto"/>
            <w:noWrap/>
            <w:vAlign w:val="center"/>
          </w:tcPr>
          <w:p>
            <w:pPr>
              <w:widowControl/>
              <w:ind w:right="220"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684.11</w:t>
            </w:r>
          </w:p>
        </w:tc>
        <w:tc>
          <w:tcPr>
            <w:tcW w:w="1673"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23"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789"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768"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r>
      <w:tr>
        <w:tblPrEx>
          <w:tblCellMar>
            <w:top w:w="0" w:type="dxa"/>
            <w:left w:w="108" w:type="dxa"/>
            <w:bottom w:w="0" w:type="dxa"/>
            <w:right w:w="108" w:type="dxa"/>
          </w:tblCellMar>
        </w:tblPrEx>
        <w:trPr>
          <w:gridAfter w:val="2"/>
          <w:wAfter w:w="271" w:type="dxa"/>
          <w:trHeight w:val="308" w:hRule="atLeast"/>
        </w:trPr>
        <w:tc>
          <w:tcPr>
            <w:tcW w:w="142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2011104</w:t>
            </w:r>
          </w:p>
        </w:tc>
        <w:tc>
          <w:tcPr>
            <w:tcW w:w="3062" w:type="dxa"/>
            <w:gridSpan w:val="5"/>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xml:space="preserve">  大案要案查处</w:t>
            </w:r>
          </w:p>
        </w:tc>
        <w:tc>
          <w:tcPr>
            <w:tcW w:w="1447"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57.49</w:t>
            </w:r>
          </w:p>
        </w:tc>
        <w:tc>
          <w:tcPr>
            <w:tcW w:w="1445"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73"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57.49</w:t>
            </w:r>
          </w:p>
        </w:tc>
        <w:tc>
          <w:tcPr>
            <w:tcW w:w="523"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789"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768"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r>
      <w:tr>
        <w:tblPrEx>
          <w:tblCellMar>
            <w:top w:w="0" w:type="dxa"/>
            <w:left w:w="108" w:type="dxa"/>
            <w:bottom w:w="0" w:type="dxa"/>
            <w:right w:w="108" w:type="dxa"/>
          </w:tblCellMar>
        </w:tblPrEx>
        <w:trPr>
          <w:gridAfter w:val="2"/>
          <w:wAfter w:w="271" w:type="dxa"/>
          <w:trHeight w:val="308" w:hRule="atLeast"/>
        </w:trPr>
        <w:tc>
          <w:tcPr>
            <w:tcW w:w="142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2011105</w:t>
            </w:r>
          </w:p>
        </w:tc>
        <w:tc>
          <w:tcPr>
            <w:tcW w:w="3062" w:type="dxa"/>
            <w:gridSpan w:val="5"/>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xml:space="preserve">  派驻派出机构</w:t>
            </w:r>
          </w:p>
        </w:tc>
        <w:tc>
          <w:tcPr>
            <w:tcW w:w="1447"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5</w:t>
            </w:r>
          </w:p>
        </w:tc>
        <w:tc>
          <w:tcPr>
            <w:tcW w:w="1445"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p>
        </w:tc>
        <w:tc>
          <w:tcPr>
            <w:tcW w:w="1673"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5</w:t>
            </w:r>
          </w:p>
        </w:tc>
        <w:tc>
          <w:tcPr>
            <w:tcW w:w="523"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789"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768"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r>
      <w:tr>
        <w:tblPrEx>
          <w:tblCellMar>
            <w:top w:w="0" w:type="dxa"/>
            <w:left w:w="108" w:type="dxa"/>
            <w:bottom w:w="0" w:type="dxa"/>
            <w:right w:w="108" w:type="dxa"/>
          </w:tblCellMar>
        </w:tblPrEx>
        <w:trPr>
          <w:gridAfter w:val="2"/>
          <w:wAfter w:w="271" w:type="dxa"/>
          <w:trHeight w:val="308" w:hRule="atLeast"/>
        </w:trPr>
        <w:tc>
          <w:tcPr>
            <w:tcW w:w="142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2011199</w:t>
            </w:r>
          </w:p>
        </w:tc>
        <w:tc>
          <w:tcPr>
            <w:tcW w:w="3062" w:type="dxa"/>
            <w:gridSpan w:val="5"/>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xml:space="preserve">  其他纪检监察事务支出</w:t>
            </w:r>
          </w:p>
        </w:tc>
        <w:tc>
          <w:tcPr>
            <w:tcW w:w="1447"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153.63</w:t>
            </w:r>
          </w:p>
        </w:tc>
        <w:tc>
          <w:tcPr>
            <w:tcW w:w="1445"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73"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153.63</w:t>
            </w:r>
          </w:p>
        </w:tc>
        <w:tc>
          <w:tcPr>
            <w:tcW w:w="523"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789"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768"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r>
      <w:tr>
        <w:tblPrEx>
          <w:tblCellMar>
            <w:top w:w="0" w:type="dxa"/>
            <w:left w:w="108" w:type="dxa"/>
            <w:bottom w:w="0" w:type="dxa"/>
            <w:right w:w="108" w:type="dxa"/>
          </w:tblCellMar>
        </w:tblPrEx>
        <w:trPr>
          <w:gridAfter w:val="2"/>
          <w:wAfter w:w="271" w:type="dxa"/>
          <w:trHeight w:val="308" w:hRule="atLeast"/>
        </w:trPr>
        <w:tc>
          <w:tcPr>
            <w:tcW w:w="142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hint="eastAsia" w:ascii="宋体" w:hAnsi="宋体" w:cs="Arial"/>
                <w:color w:val="000000"/>
                <w:kern w:val="0"/>
                <w:sz w:val="22"/>
                <w:szCs w:val="22"/>
              </w:rPr>
            </w:pPr>
            <w:r>
              <w:rPr>
                <w:rFonts w:hint="eastAsia" w:ascii="宋体" w:hAnsi="宋体" w:cs="Arial"/>
                <w:color w:val="000000"/>
                <w:kern w:val="0"/>
                <w:sz w:val="22"/>
                <w:szCs w:val="22"/>
              </w:rPr>
              <w:t>2013299</w:t>
            </w:r>
          </w:p>
        </w:tc>
        <w:tc>
          <w:tcPr>
            <w:tcW w:w="3062" w:type="dxa"/>
            <w:gridSpan w:val="5"/>
            <w:tcBorders>
              <w:top w:val="nil"/>
              <w:left w:val="nil"/>
              <w:bottom w:val="single" w:color="000000" w:sz="4" w:space="0"/>
              <w:right w:val="single" w:color="000000" w:sz="4" w:space="0"/>
            </w:tcBorders>
            <w:shd w:val="clear" w:color="auto" w:fill="auto"/>
            <w:noWrap/>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其他组织事务支出</w:t>
            </w:r>
          </w:p>
        </w:tc>
        <w:tc>
          <w:tcPr>
            <w:tcW w:w="1447"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hint="eastAsia" w:ascii="宋体" w:hAnsi="宋体" w:cs="Arial"/>
                <w:color w:val="000000"/>
                <w:kern w:val="0"/>
                <w:sz w:val="22"/>
                <w:szCs w:val="22"/>
              </w:rPr>
            </w:pPr>
            <w:r>
              <w:rPr>
                <w:rFonts w:hint="eastAsia" w:ascii="宋体" w:hAnsi="宋体" w:cs="Arial"/>
                <w:color w:val="000000"/>
                <w:kern w:val="0"/>
                <w:sz w:val="22"/>
                <w:szCs w:val="22"/>
              </w:rPr>
              <w:t>2</w:t>
            </w:r>
          </w:p>
        </w:tc>
        <w:tc>
          <w:tcPr>
            <w:tcW w:w="1445"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hint="eastAsia" w:ascii="宋体" w:hAnsi="宋体" w:cs="Arial"/>
                <w:color w:val="000000"/>
                <w:kern w:val="0"/>
                <w:sz w:val="22"/>
                <w:szCs w:val="22"/>
              </w:rPr>
            </w:pPr>
          </w:p>
        </w:tc>
        <w:tc>
          <w:tcPr>
            <w:tcW w:w="1673"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hint="eastAsia" w:ascii="宋体" w:hAnsi="宋体" w:cs="Arial"/>
                <w:color w:val="000000"/>
                <w:kern w:val="0"/>
                <w:sz w:val="22"/>
                <w:szCs w:val="22"/>
              </w:rPr>
            </w:pPr>
            <w:r>
              <w:rPr>
                <w:rFonts w:hint="eastAsia" w:ascii="宋体" w:hAnsi="宋体" w:cs="Arial"/>
                <w:color w:val="000000"/>
                <w:kern w:val="0"/>
                <w:sz w:val="22"/>
                <w:szCs w:val="22"/>
              </w:rPr>
              <w:t>2</w:t>
            </w:r>
          </w:p>
        </w:tc>
        <w:tc>
          <w:tcPr>
            <w:tcW w:w="523"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hint="eastAsia" w:ascii="宋体" w:hAnsi="宋体" w:cs="Arial"/>
                <w:color w:val="000000"/>
                <w:kern w:val="0"/>
                <w:sz w:val="22"/>
                <w:szCs w:val="22"/>
              </w:rPr>
            </w:pPr>
          </w:p>
        </w:tc>
        <w:tc>
          <w:tcPr>
            <w:tcW w:w="789"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hint="eastAsia" w:ascii="宋体" w:hAnsi="宋体" w:cs="Arial"/>
                <w:color w:val="000000"/>
                <w:kern w:val="0"/>
                <w:sz w:val="22"/>
                <w:szCs w:val="22"/>
              </w:rPr>
            </w:pPr>
          </w:p>
        </w:tc>
        <w:tc>
          <w:tcPr>
            <w:tcW w:w="768"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gridAfter w:val="2"/>
          <w:wAfter w:w="271" w:type="dxa"/>
          <w:trHeight w:val="308" w:hRule="atLeast"/>
        </w:trPr>
        <w:tc>
          <w:tcPr>
            <w:tcW w:w="142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hint="eastAsia" w:ascii="宋体" w:hAnsi="宋体" w:cs="Arial"/>
                <w:color w:val="000000"/>
                <w:kern w:val="0"/>
                <w:sz w:val="22"/>
                <w:szCs w:val="22"/>
              </w:rPr>
            </w:pPr>
            <w:r>
              <w:rPr>
                <w:rFonts w:hint="eastAsia" w:ascii="宋体" w:hAnsi="宋体" w:cs="Arial"/>
                <w:color w:val="000000"/>
                <w:kern w:val="0"/>
                <w:sz w:val="22"/>
                <w:szCs w:val="22"/>
              </w:rPr>
              <w:t>2050803</w:t>
            </w:r>
          </w:p>
        </w:tc>
        <w:tc>
          <w:tcPr>
            <w:tcW w:w="3062" w:type="dxa"/>
            <w:gridSpan w:val="5"/>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hint="eastAsia" w:ascii="宋体" w:hAnsi="宋体" w:cs="Arial"/>
                <w:color w:val="000000"/>
                <w:kern w:val="0"/>
                <w:sz w:val="22"/>
                <w:szCs w:val="22"/>
              </w:rPr>
            </w:pPr>
            <w:r>
              <w:rPr>
                <w:rFonts w:hint="eastAsia" w:ascii="宋体" w:hAnsi="宋体" w:cs="Arial"/>
                <w:color w:val="000000"/>
                <w:kern w:val="0"/>
                <w:sz w:val="22"/>
                <w:szCs w:val="22"/>
              </w:rPr>
              <w:t>培训支出</w:t>
            </w:r>
          </w:p>
        </w:tc>
        <w:tc>
          <w:tcPr>
            <w:tcW w:w="1447"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hint="eastAsia" w:ascii="宋体" w:hAnsi="宋体" w:cs="Arial"/>
                <w:color w:val="000000"/>
                <w:kern w:val="0"/>
                <w:sz w:val="22"/>
                <w:szCs w:val="22"/>
              </w:rPr>
            </w:pPr>
            <w:r>
              <w:rPr>
                <w:rFonts w:hint="eastAsia" w:ascii="宋体" w:hAnsi="宋体" w:cs="Arial"/>
                <w:color w:val="000000"/>
                <w:kern w:val="0"/>
                <w:sz w:val="22"/>
                <w:szCs w:val="22"/>
              </w:rPr>
              <w:t>4.7</w:t>
            </w:r>
          </w:p>
        </w:tc>
        <w:tc>
          <w:tcPr>
            <w:tcW w:w="1445"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hint="eastAsia" w:ascii="宋体" w:hAnsi="宋体" w:cs="Arial"/>
                <w:color w:val="000000"/>
                <w:kern w:val="0"/>
                <w:sz w:val="22"/>
                <w:szCs w:val="22"/>
              </w:rPr>
            </w:pPr>
          </w:p>
        </w:tc>
        <w:tc>
          <w:tcPr>
            <w:tcW w:w="1673"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hint="eastAsia" w:ascii="宋体" w:hAnsi="宋体" w:cs="Arial"/>
                <w:color w:val="000000"/>
                <w:kern w:val="0"/>
                <w:sz w:val="22"/>
                <w:szCs w:val="22"/>
              </w:rPr>
            </w:pPr>
            <w:r>
              <w:rPr>
                <w:rFonts w:hint="eastAsia" w:ascii="宋体" w:hAnsi="宋体" w:cs="Arial"/>
                <w:color w:val="000000"/>
                <w:kern w:val="0"/>
                <w:sz w:val="22"/>
                <w:szCs w:val="22"/>
              </w:rPr>
              <w:t>4.7</w:t>
            </w:r>
          </w:p>
        </w:tc>
        <w:tc>
          <w:tcPr>
            <w:tcW w:w="523"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hint="eastAsia" w:ascii="宋体" w:hAnsi="宋体" w:cs="Arial"/>
                <w:color w:val="000000"/>
                <w:kern w:val="0"/>
                <w:sz w:val="22"/>
                <w:szCs w:val="22"/>
              </w:rPr>
            </w:pPr>
          </w:p>
        </w:tc>
        <w:tc>
          <w:tcPr>
            <w:tcW w:w="789"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hint="eastAsia" w:ascii="宋体" w:hAnsi="宋体" w:cs="Arial"/>
                <w:color w:val="000000"/>
                <w:kern w:val="0"/>
                <w:sz w:val="22"/>
                <w:szCs w:val="22"/>
              </w:rPr>
            </w:pPr>
          </w:p>
        </w:tc>
        <w:tc>
          <w:tcPr>
            <w:tcW w:w="768"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gridAfter w:val="2"/>
          <w:wAfter w:w="271" w:type="dxa"/>
          <w:trHeight w:val="308" w:hRule="atLeast"/>
        </w:trPr>
        <w:tc>
          <w:tcPr>
            <w:tcW w:w="142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208</w:t>
            </w:r>
          </w:p>
        </w:tc>
        <w:tc>
          <w:tcPr>
            <w:tcW w:w="3062" w:type="dxa"/>
            <w:gridSpan w:val="5"/>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社会保障和就业支出</w:t>
            </w:r>
          </w:p>
        </w:tc>
        <w:tc>
          <w:tcPr>
            <w:tcW w:w="1447"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81.89</w:t>
            </w:r>
          </w:p>
        </w:tc>
        <w:tc>
          <w:tcPr>
            <w:tcW w:w="1445"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81.89</w:t>
            </w:r>
          </w:p>
        </w:tc>
        <w:tc>
          <w:tcPr>
            <w:tcW w:w="1673"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23"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789"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768"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r>
      <w:tr>
        <w:tblPrEx>
          <w:tblCellMar>
            <w:top w:w="0" w:type="dxa"/>
            <w:left w:w="108" w:type="dxa"/>
            <w:bottom w:w="0" w:type="dxa"/>
            <w:right w:w="108" w:type="dxa"/>
          </w:tblCellMar>
        </w:tblPrEx>
        <w:trPr>
          <w:gridAfter w:val="2"/>
          <w:wAfter w:w="271" w:type="dxa"/>
          <w:trHeight w:val="308" w:hRule="atLeast"/>
        </w:trPr>
        <w:tc>
          <w:tcPr>
            <w:tcW w:w="142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20805</w:t>
            </w:r>
          </w:p>
        </w:tc>
        <w:tc>
          <w:tcPr>
            <w:tcW w:w="3062" w:type="dxa"/>
            <w:gridSpan w:val="5"/>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行政事业单位离退休</w:t>
            </w:r>
          </w:p>
        </w:tc>
        <w:tc>
          <w:tcPr>
            <w:tcW w:w="1447"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81.89</w:t>
            </w:r>
          </w:p>
        </w:tc>
        <w:tc>
          <w:tcPr>
            <w:tcW w:w="1445"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81.89</w:t>
            </w:r>
          </w:p>
        </w:tc>
        <w:tc>
          <w:tcPr>
            <w:tcW w:w="1673"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23"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789"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768"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r>
      <w:tr>
        <w:tblPrEx>
          <w:tblCellMar>
            <w:top w:w="0" w:type="dxa"/>
            <w:left w:w="108" w:type="dxa"/>
            <w:bottom w:w="0" w:type="dxa"/>
            <w:right w:w="108" w:type="dxa"/>
          </w:tblCellMar>
        </w:tblPrEx>
        <w:trPr>
          <w:gridAfter w:val="2"/>
          <w:wAfter w:w="271" w:type="dxa"/>
          <w:trHeight w:val="308" w:hRule="atLeast"/>
        </w:trPr>
        <w:tc>
          <w:tcPr>
            <w:tcW w:w="142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2080505</w:t>
            </w:r>
          </w:p>
        </w:tc>
        <w:tc>
          <w:tcPr>
            <w:tcW w:w="3062" w:type="dxa"/>
            <w:gridSpan w:val="5"/>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xml:space="preserve">  机关事业单位基本养老保险缴费支出★</w:t>
            </w:r>
          </w:p>
        </w:tc>
        <w:tc>
          <w:tcPr>
            <w:tcW w:w="1447" w:type="dxa"/>
            <w:gridSpan w:val="3"/>
            <w:tcBorders>
              <w:top w:val="nil"/>
              <w:left w:val="nil"/>
              <w:bottom w:val="single" w:color="000000" w:sz="4" w:space="0"/>
              <w:right w:val="single" w:color="000000" w:sz="4" w:space="0"/>
            </w:tcBorders>
            <w:shd w:val="clear" w:color="auto" w:fill="auto"/>
            <w:noWrap/>
            <w:vAlign w:val="center"/>
          </w:tcPr>
          <w:p>
            <w:pPr>
              <w:widowControl/>
              <w:ind w:right="220"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55.70</w:t>
            </w:r>
          </w:p>
        </w:tc>
        <w:tc>
          <w:tcPr>
            <w:tcW w:w="1445" w:type="dxa"/>
            <w:gridSpan w:val="3"/>
            <w:tcBorders>
              <w:top w:val="nil"/>
              <w:left w:val="nil"/>
              <w:bottom w:val="single" w:color="000000" w:sz="4" w:space="0"/>
              <w:right w:val="single" w:color="000000" w:sz="4" w:space="0"/>
            </w:tcBorders>
            <w:shd w:val="clear" w:color="auto" w:fill="auto"/>
            <w:noWrap/>
            <w:vAlign w:val="center"/>
          </w:tcPr>
          <w:p>
            <w:pPr>
              <w:widowControl/>
              <w:ind w:right="220"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55.70</w:t>
            </w:r>
          </w:p>
        </w:tc>
        <w:tc>
          <w:tcPr>
            <w:tcW w:w="1673"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23"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789"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768"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r>
      <w:tr>
        <w:tblPrEx>
          <w:tblCellMar>
            <w:top w:w="0" w:type="dxa"/>
            <w:left w:w="108" w:type="dxa"/>
            <w:bottom w:w="0" w:type="dxa"/>
            <w:right w:w="108" w:type="dxa"/>
          </w:tblCellMar>
        </w:tblPrEx>
        <w:trPr>
          <w:gridAfter w:val="2"/>
          <w:wAfter w:w="271" w:type="dxa"/>
          <w:trHeight w:val="308" w:hRule="atLeast"/>
        </w:trPr>
        <w:tc>
          <w:tcPr>
            <w:tcW w:w="142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2080506</w:t>
            </w:r>
          </w:p>
        </w:tc>
        <w:tc>
          <w:tcPr>
            <w:tcW w:w="3062" w:type="dxa"/>
            <w:gridSpan w:val="5"/>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xml:space="preserve">  机关事业单位职业年金缴费支出★</w:t>
            </w:r>
          </w:p>
        </w:tc>
        <w:tc>
          <w:tcPr>
            <w:tcW w:w="1447"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26.19</w:t>
            </w:r>
          </w:p>
        </w:tc>
        <w:tc>
          <w:tcPr>
            <w:tcW w:w="1445"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26.19</w:t>
            </w:r>
          </w:p>
        </w:tc>
        <w:tc>
          <w:tcPr>
            <w:tcW w:w="1673"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23"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789"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768"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r>
      <w:tr>
        <w:tblPrEx>
          <w:tblCellMar>
            <w:top w:w="0" w:type="dxa"/>
            <w:left w:w="108" w:type="dxa"/>
            <w:bottom w:w="0" w:type="dxa"/>
            <w:right w:w="108" w:type="dxa"/>
          </w:tblCellMar>
        </w:tblPrEx>
        <w:trPr>
          <w:gridAfter w:val="2"/>
          <w:wAfter w:w="271" w:type="dxa"/>
          <w:trHeight w:val="308" w:hRule="atLeast"/>
        </w:trPr>
        <w:tc>
          <w:tcPr>
            <w:tcW w:w="142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210</w:t>
            </w:r>
          </w:p>
        </w:tc>
        <w:tc>
          <w:tcPr>
            <w:tcW w:w="3062" w:type="dxa"/>
            <w:gridSpan w:val="5"/>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医疗卫生与计划生育支出</w:t>
            </w:r>
          </w:p>
        </w:tc>
        <w:tc>
          <w:tcPr>
            <w:tcW w:w="1447"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38.66</w:t>
            </w:r>
          </w:p>
        </w:tc>
        <w:tc>
          <w:tcPr>
            <w:tcW w:w="1445"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38.66</w:t>
            </w:r>
          </w:p>
        </w:tc>
        <w:tc>
          <w:tcPr>
            <w:tcW w:w="1673"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23"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789"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768"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r>
      <w:tr>
        <w:tblPrEx>
          <w:tblCellMar>
            <w:top w:w="0" w:type="dxa"/>
            <w:left w:w="108" w:type="dxa"/>
            <w:bottom w:w="0" w:type="dxa"/>
            <w:right w:w="108" w:type="dxa"/>
          </w:tblCellMar>
        </w:tblPrEx>
        <w:trPr>
          <w:gridAfter w:val="2"/>
          <w:wAfter w:w="271" w:type="dxa"/>
          <w:trHeight w:val="308" w:hRule="atLeast"/>
        </w:trPr>
        <w:tc>
          <w:tcPr>
            <w:tcW w:w="142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21011</w:t>
            </w:r>
          </w:p>
        </w:tc>
        <w:tc>
          <w:tcPr>
            <w:tcW w:w="3062" w:type="dxa"/>
            <w:gridSpan w:val="5"/>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行政事业单位医疗★</w:t>
            </w:r>
          </w:p>
        </w:tc>
        <w:tc>
          <w:tcPr>
            <w:tcW w:w="1447"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38.66</w:t>
            </w:r>
          </w:p>
        </w:tc>
        <w:tc>
          <w:tcPr>
            <w:tcW w:w="1445"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38.66</w:t>
            </w:r>
          </w:p>
        </w:tc>
        <w:tc>
          <w:tcPr>
            <w:tcW w:w="1673"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23"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789"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768"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r>
      <w:tr>
        <w:tblPrEx>
          <w:tblCellMar>
            <w:top w:w="0" w:type="dxa"/>
            <w:left w:w="108" w:type="dxa"/>
            <w:bottom w:w="0" w:type="dxa"/>
            <w:right w:w="108" w:type="dxa"/>
          </w:tblCellMar>
        </w:tblPrEx>
        <w:trPr>
          <w:gridAfter w:val="2"/>
          <w:wAfter w:w="271" w:type="dxa"/>
          <w:trHeight w:val="308" w:hRule="atLeast"/>
        </w:trPr>
        <w:tc>
          <w:tcPr>
            <w:tcW w:w="142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2101101</w:t>
            </w:r>
          </w:p>
        </w:tc>
        <w:tc>
          <w:tcPr>
            <w:tcW w:w="3062" w:type="dxa"/>
            <w:gridSpan w:val="5"/>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xml:space="preserve">  行政单位医疗★</w:t>
            </w:r>
          </w:p>
        </w:tc>
        <w:tc>
          <w:tcPr>
            <w:tcW w:w="1447"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38.66</w:t>
            </w:r>
          </w:p>
        </w:tc>
        <w:tc>
          <w:tcPr>
            <w:tcW w:w="1445"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38.66</w:t>
            </w:r>
          </w:p>
        </w:tc>
        <w:tc>
          <w:tcPr>
            <w:tcW w:w="1673"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23"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789"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768"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r>
      <w:tr>
        <w:tblPrEx>
          <w:tblCellMar>
            <w:top w:w="0" w:type="dxa"/>
            <w:left w:w="108" w:type="dxa"/>
            <w:bottom w:w="0" w:type="dxa"/>
            <w:right w:w="108" w:type="dxa"/>
          </w:tblCellMar>
        </w:tblPrEx>
        <w:trPr>
          <w:gridAfter w:val="2"/>
          <w:wAfter w:w="271" w:type="dxa"/>
          <w:trHeight w:val="308" w:hRule="atLeast"/>
        </w:trPr>
        <w:tc>
          <w:tcPr>
            <w:tcW w:w="142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221</w:t>
            </w:r>
          </w:p>
        </w:tc>
        <w:tc>
          <w:tcPr>
            <w:tcW w:w="3062" w:type="dxa"/>
            <w:gridSpan w:val="5"/>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住房保障支出</w:t>
            </w:r>
          </w:p>
        </w:tc>
        <w:tc>
          <w:tcPr>
            <w:tcW w:w="1447"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60.49</w:t>
            </w:r>
          </w:p>
        </w:tc>
        <w:tc>
          <w:tcPr>
            <w:tcW w:w="1445"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60.49</w:t>
            </w:r>
          </w:p>
        </w:tc>
        <w:tc>
          <w:tcPr>
            <w:tcW w:w="1673"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23"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789"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768"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r>
      <w:tr>
        <w:tblPrEx>
          <w:tblCellMar>
            <w:top w:w="0" w:type="dxa"/>
            <w:left w:w="108" w:type="dxa"/>
            <w:bottom w:w="0" w:type="dxa"/>
            <w:right w:w="108" w:type="dxa"/>
          </w:tblCellMar>
        </w:tblPrEx>
        <w:trPr>
          <w:gridAfter w:val="2"/>
          <w:wAfter w:w="271" w:type="dxa"/>
          <w:trHeight w:val="308" w:hRule="atLeast"/>
        </w:trPr>
        <w:tc>
          <w:tcPr>
            <w:tcW w:w="142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22102</w:t>
            </w:r>
          </w:p>
        </w:tc>
        <w:tc>
          <w:tcPr>
            <w:tcW w:w="3062" w:type="dxa"/>
            <w:gridSpan w:val="5"/>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住房改革支出</w:t>
            </w:r>
          </w:p>
        </w:tc>
        <w:tc>
          <w:tcPr>
            <w:tcW w:w="1447" w:type="dxa"/>
            <w:gridSpan w:val="3"/>
            <w:tcBorders>
              <w:top w:val="nil"/>
              <w:left w:val="nil"/>
              <w:bottom w:val="single" w:color="000000" w:sz="4" w:space="0"/>
              <w:right w:val="single" w:color="000000" w:sz="4" w:space="0"/>
            </w:tcBorders>
            <w:shd w:val="clear" w:color="auto" w:fill="auto"/>
            <w:noWrap/>
            <w:vAlign w:val="center"/>
          </w:tcPr>
          <w:p>
            <w:pPr>
              <w:widowControl/>
              <w:ind w:right="220"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60.49</w:t>
            </w:r>
          </w:p>
        </w:tc>
        <w:tc>
          <w:tcPr>
            <w:tcW w:w="1445" w:type="dxa"/>
            <w:gridSpan w:val="3"/>
            <w:tcBorders>
              <w:top w:val="nil"/>
              <w:left w:val="nil"/>
              <w:bottom w:val="single" w:color="000000" w:sz="4" w:space="0"/>
              <w:right w:val="single" w:color="000000" w:sz="4" w:space="0"/>
            </w:tcBorders>
            <w:shd w:val="clear" w:color="auto" w:fill="auto"/>
            <w:noWrap/>
            <w:vAlign w:val="center"/>
          </w:tcPr>
          <w:p>
            <w:pPr>
              <w:widowControl/>
              <w:ind w:right="220"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60.49</w:t>
            </w:r>
          </w:p>
        </w:tc>
        <w:tc>
          <w:tcPr>
            <w:tcW w:w="1673"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23"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789"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768"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r>
      <w:tr>
        <w:tblPrEx>
          <w:tblCellMar>
            <w:top w:w="0" w:type="dxa"/>
            <w:left w:w="108" w:type="dxa"/>
            <w:bottom w:w="0" w:type="dxa"/>
            <w:right w:w="108" w:type="dxa"/>
          </w:tblCellMar>
        </w:tblPrEx>
        <w:trPr>
          <w:gridAfter w:val="2"/>
          <w:wAfter w:w="271" w:type="dxa"/>
          <w:trHeight w:val="308" w:hRule="atLeast"/>
        </w:trPr>
        <w:tc>
          <w:tcPr>
            <w:tcW w:w="1421"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2210201</w:t>
            </w:r>
          </w:p>
        </w:tc>
        <w:tc>
          <w:tcPr>
            <w:tcW w:w="3062" w:type="dxa"/>
            <w:gridSpan w:val="5"/>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xml:space="preserve">  住房公积金</w:t>
            </w:r>
          </w:p>
        </w:tc>
        <w:tc>
          <w:tcPr>
            <w:tcW w:w="1447" w:type="dxa"/>
            <w:gridSpan w:val="3"/>
            <w:tcBorders>
              <w:top w:val="nil"/>
              <w:left w:val="nil"/>
              <w:bottom w:val="single" w:color="000000" w:sz="4" w:space="0"/>
              <w:right w:val="single" w:color="000000" w:sz="4" w:space="0"/>
            </w:tcBorders>
            <w:shd w:val="clear" w:color="auto" w:fill="auto"/>
            <w:noWrap/>
            <w:vAlign w:val="center"/>
          </w:tcPr>
          <w:p>
            <w:pPr>
              <w:widowControl/>
              <w:ind w:right="220"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60.49</w:t>
            </w:r>
          </w:p>
        </w:tc>
        <w:tc>
          <w:tcPr>
            <w:tcW w:w="1445" w:type="dxa"/>
            <w:gridSpan w:val="3"/>
            <w:tcBorders>
              <w:top w:val="nil"/>
              <w:left w:val="nil"/>
              <w:bottom w:val="single" w:color="000000" w:sz="4" w:space="0"/>
              <w:right w:val="single" w:color="000000" w:sz="4" w:space="0"/>
            </w:tcBorders>
            <w:shd w:val="clear" w:color="auto" w:fill="auto"/>
            <w:noWrap/>
            <w:vAlign w:val="center"/>
          </w:tcPr>
          <w:p>
            <w:pPr>
              <w:widowControl/>
              <w:ind w:right="220"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60.49</w:t>
            </w:r>
          </w:p>
        </w:tc>
        <w:tc>
          <w:tcPr>
            <w:tcW w:w="1673"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523"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789"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768"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r>
      <w:tr>
        <w:tblPrEx>
          <w:tblCellMar>
            <w:top w:w="0" w:type="dxa"/>
            <w:left w:w="108" w:type="dxa"/>
            <w:bottom w:w="0" w:type="dxa"/>
            <w:right w:w="108" w:type="dxa"/>
          </w:tblCellMar>
        </w:tblPrEx>
        <w:trPr>
          <w:gridAfter w:val="2"/>
          <w:wAfter w:w="271" w:type="dxa"/>
          <w:trHeight w:val="308" w:hRule="atLeast"/>
        </w:trPr>
        <w:tc>
          <w:tcPr>
            <w:tcW w:w="11128" w:type="dxa"/>
            <w:gridSpan w:val="23"/>
            <w:tcBorders>
              <w:top w:val="nil"/>
              <w:left w:val="nil"/>
              <w:bottom w:val="nil"/>
              <w:right w:val="nil"/>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注：本表以“万元”为金额单位（保留两位小数），反映部门本年度各项支出情况。</w:t>
            </w:r>
          </w:p>
        </w:tc>
      </w:tr>
    </w:tbl>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tbl>
      <w:tblPr>
        <w:tblStyle w:val="12"/>
        <w:tblW w:w="11142" w:type="dxa"/>
        <w:tblInd w:w="-34" w:type="dxa"/>
        <w:tblLayout w:type="autofit"/>
        <w:tblCellMar>
          <w:top w:w="0" w:type="dxa"/>
          <w:left w:w="108" w:type="dxa"/>
          <w:bottom w:w="0" w:type="dxa"/>
          <w:right w:w="108" w:type="dxa"/>
        </w:tblCellMar>
      </w:tblPr>
      <w:tblGrid>
        <w:gridCol w:w="3098"/>
        <w:gridCol w:w="668"/>
        <w:gridCol w:w="1111"/>
        <w:gridCol w:w="3345"/>
        <w:gridCol w:w="2920"/>
      </w:tblGrid>
      <w:tr>
        <w:tblPrEx>
          <w:tblCellMar>
            <w:top w:w="0" w:type="dxa"/>
            <w:left w:w="108" w:type="dxa"/>
            <w:bottom w:w="0" w:type="dxa"/>
            <w:right w:w="108" w:type="dxa"/>
          </w:tblCellMar>
        </w:tblPrEx>
        <w:trPr>
          <w:trHeight w:val="281" w:hRule="atLeast"/>
        </w:trPr>
        <w:tc>
          <w:tcPr>
            <w:tcW w:w="3098"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668"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1111"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3345"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2920" w:type="dxa"/>
            <w:tcBorders>
              <w:top w:val="nil"/>
              <w:left w:val="nil"/>
              <w:bottom w:val="nil"/>
              <w:right w:val="nil"/>
            </w:tcBorders>
            <w:shd w:val="clear" w:color="auto" w:fill="auto"/>
            <w:noWrap/>
            <w:vAlign w:val="bottom"/>
          </w:tcPr>
          <w:p>
            <w:pPr>
              <w:widowControl/>
              <w:ind w:firstLine="400" w:firstLineChars="200"/>
              <w:jc w:val="right"/>
              <w:rPr>
                <w:rFonts w:ascii="宋体" w:hAnsi="宋体" w:cs="Arial"/>
                <w:color w:val="000000"/>
                <w:kern w:val="0"/>
                <w:sz w:val="20"/>
                <w:szCs w:val="20"/>
              </w:rPr>
            </w:pPr>
          </w:p>
        </w:tc>
      </w:tr>
      <w:tr>
        <w:tblPrEx>
          <w:tblCellMar>
            <w:top w:w="0" w:type="dxa"/>
            <w:left w:w="108" w:type="dxa"/>
            <w:bottom w:w="0" w:type="dxa"/>
            <w:right w:w="108" w:type="dxa"/>
          </w:tblCellMar>
        </w:tblPrEx>
        <w:trPr>
          <w:trHeight w:val="360" w:hRule="atLeast"/>
        </w:trPr>
        <w:tc>
          <w:tcPr>
            <w:tcW w:w="11142" w:type="dxa"/>
            <w:gridSpan w:val="5"/>
            <w:tcBorders>
              <w:top w:val="nil"/>
              <w:left w:val="nil"/>
              <w:bottom w:val="nil"/>
              <w:right w:val="nil"/>
            </w:tcBorders>
            <w:shd w:val="clear" w:color="auto" w:fill="auto"/>
            <w:noWrap/>
            <w:vAlign w:val="bottom"/>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tbl>
            <w:tblPr>
              <w:tblStyle w:val="12"/>
              <w:tblW w:w="9393" w:type="dxa"/>
              <w:tblInd w:w="0" w:type="dxa"/>
              <w:tblLayout w:type="autofit"/>
              <w:tblCellMar>
                <w:top w:w="0" w:type="dxa"/>
                <w:left w:w="108" w:type="dxa"/>
                <w:bottom w:w="0" w:type="dxa"/>
                <w:right w:w="108" w:type="dxa"/>
              </w:tblCellMar>
            </w:tblPr>
            <w:tblGrid>
              <w:gridCol w:w="1452"/>
              <w:gridCol w:w="1098"/>
              <w:gridCol w:w="178"/>
              <w:gridCol w:w="324"/>
              <w:gridCol w:w="1082"/>
              <w:gridCol w:w="1445"/>
              <w:gridCol w:w="992"/>
              <w:gridCol w:w="628"/>
              <w:gridCol w:w="128"/>
              <w:gridCol w:w="1741"/>
              <w:gridCol w:w="756"/>
              <w:gridCol w:w="756"/>
            </w:tblGrid>
            <w:tr>
              <w:tblPrEx>
                <w:tblCellMar>
                  <w:top w:w="0" w:type="dxa"/>
                  <w:left w:w="108" w:type="dxa"/>
                  <w:bottom w:w="0" w:type="dxa"/>
                  <w:right w:w="108" w:type="dxa"/>
                </w:tblCellMar>
              </w:tblPrEx>
              <w:trPr>
                <w:trHeight w:val="360" w:hRule="atLeast"/>
              </w:trPr>
              <w:tc>
                <w:tcPr>
                  <w:tcW w:w="9393" w:type="dxa"/>
                  <w:gridSpan w:val="12"/>
                  <w:tcBorders>
                    <w:top w:val="nil"/>
                    <w:left w:val="nil"/>
                    <w:bottom w:val="nil"/>
                    <w:right w:val="nil"/>
                  </w:tcBorders>
                  <w:shd w:val="clear" w:color="auto" w:fill="auto"/>
                  <w:noWrap/>
                  <w:vAlign w:val="bottom"/>
                </w:tcPr>
                <w:p>
                  <w:pPr>
                    <w:widowControl/>
                    <w:ind w:firstLine="640" w:firstLineChars="200"/>
                    <w:jc w:val="center"/>
                    <w:rPr>
                      <w:rFonts w:ascii="宋体" w:hAnsi="宋体" w:cs="Arial"/>
                      <w:color w:val="000000"/>
                      <w:kern w:val="0"/>
                      <w:sz w:val="32"/>
                      <w:szCs w:val="32"/>
                    </w:rPr>
                  </w:pPr>
                  <w:r>
                    <w:rPr>
                      <w:rFonts w:hint="eastAsia" w:ascii="宋体" w:hAnsi="宋体" w:cs="Arial"/>
                      <w:color w:val="000000"/>
                      <w:kern w:val="0"/>
                      <w:sz w:val="32"/>
                      <w:szCs w:val="32"/>
                    </w:rPr>
                    <w:t>财政拨款收入支出决算总表</w:t>
                  </w:r>
                </w:p>
              </w:tc>
            </w:tr>
            <w:tr>
              <w:tblPrEx>
                <w:tblCellMar>
                  <w:top w:w="0" w:type="dxa"/>
                  <w:left w:w="108" w:type="dxa"/>
                  <w:bottom w:w="0" w:type="dxa"/>
                  <w:right w:w="108" w:type="dxa"/>
                </w:tblCellMar>
              </w:tblPrEx>
              <w:trPr>
                <w:trHeight w:val="255" w:hRule="atLeast"/>
              </w:trPr>
              <w:tc>
                <w:tcPr>
                  <w:tcW w:w="2550" w:type="dxa"/>
                  <w:gridSpan w:val="2"/>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466" w:type="dxa"/>
                  <w:gridSpan w:val="2"/>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960"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2890" w:type="dxa"/>
                  <w:gridSpan w:val="3"/>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2527" w:type="dxa"/>
                  <w:gridSpan w:val="4"/>
                  <w:tcBorders>
                    <w:top w:val="nil"/>
                    <w:left w:val="nil"/>
                    <w:bottom w:val="nil"/>
                    <w:right w:val="nil"/>
                  </w:tcBorders>
                  <w:shd w:val="clear" w:color="auto" w:fill="auto"/>
                  <w:noWrap/>
                  <w:vAlign w:val="bottom"/>
                </w:tcPr>
                <w:p>
                  <w:pPr>
                    <w:widowControl/>
                    <w:ind w:firstLine="400" w:firstLineChars="200"/>
                    <w:jc w:val="right"/>
                    <w:rPr>
                      <w:rFonts w:ascii="宋体" w:hAnsi="宋体" w:cs="Arial"/>
                      <w:color w:val="000000"/>
                      <w:kern w:val="0"/>
                      <w:sz w:val="20"/>
                      <w:szCs w:val="20"/>
                    </w:rPr>
                  </w:pPr>
                  <w:r>
                    <w:rPr>
                      <w:rFonts w:hint="eastAsia" w:ascii="宋体" w:hAnsi="宋体" w:cs="Arial"/>
                      <w:color w:val="000000"/>
                      <w:kern w:val="0"/>
                      <w:sz w:val="20"/>
                      <w:szCs w:val="20"/>
                    </w:rPr>
                    <w:t>财决公开04表</w:t>
                  </w:r>
                </w:p>
              </w:tc>
            </w:tr>
            <w:tr>
              <w:tblPrEx>
                <w:tblCellMar>
                  <w:top w:w="0" w:type="dxa"/>
                  <w:left w:w="108" w:type="dxa"/>
                  <w:bottom w:w="0" w:type="dxa"/>
                  <w:right w:w="108" w:type="dxa"/>
                </w:tblCellMar>
              </w:tblPrEx>
              <w:trPr>
                <w:trHeight w:val="255" w:hRule="atLeast"/>
              </w:trPr>
              <w:tc>
                <w:tcPr>
                  <w:tcW w:w="6866" w:type="dxa"/>
                  <w:gridSpan w:val="8"/>
                  <w:tcBorders>
                    <w:top w:val="nil"/>
                    <w:left w:val="nil"/>
                    <w:bottom w:val="single" w:color="000000" w:sz="4" w:space="0"/>
                    <w:right w:val="nil"/>
                  </w:tcBorders>
                  <w:shd w:val="clear" w:color="auto" w:fill="auto"/>
                  <w:noWrap/>
                  <w:vAlign w:val="bottom"/>
                </w:tcPr>
                <w:p>
                  <w:pPr>
                    <w:widowControl/>
                    <w:ind w:firstLine="400" w:firstLineChars="200"/>
                    <w:jc w:val="left"/>
                    <w:rPr>
                      <w:rFonts w:ascii="宋体" w:hAnsi="宋体" w:cs="Arial"/>
                      <w:color w:val="000000"/>
                      <w:kern w:val="0"/>
                      <w:sz w:val="20"/>
                      <w:szCs w:val="20"/>
                    </w:rPr>
                  </w:pPr>
                  <w:r>
                    <w:rPr>
                      <w:rFonts w:hint="eastAsia" w:ascii="宋体" w:hAnsi="宋体" w:cs="Arial"/>
                      <w:color w:val="000000"/>
                      <w:kern w:val="0"/>
                      <w:sz w:val="20"/>
                      <w:szCs w:val="20"/>
                    </w:rPr>
                    <w:t>部门：四川省阿坝州汶川县纪委监察委（本级）</w:t>
                  </w:r>
                </w:p>
              </w:tc>
              <w:tc>
                <w:tcPr>
                  <w:tcW w:w="2527" w:type="dxa"/>
                  <w:gridSpan w:val="4"/>
                  <w:tcBorders>
                    <w:top w:val="nil"/>
                    <w:left w:val="nil"/>
                    <w:bottom w:val="single" w:color="000000" w:sz="4" w:space="0"/>
                    <w:right w:val="nil"/>
                  </w:tcBorders>
                  <w:shd w:val="clear" w:color="auto" w:fill="auto"/>
                  <w:noWrap/>
                  <w:vAlign w:val="bottom"/>
                </w:tcPr>
                <w:p>
                  <w:pPr>
                    <w:widowControl/>
                    <w:ind w:firstLine="400" w:firstLineChars="200"/>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3976" w:type="dxa"/>
                  <w:gridSpan w:val="5"/>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ind w:firstLine="240" w:firstLineChars="200"/>
                    <w:jc w:val="center"/>
                    <w:rPr>
                      <w:rFonts w:ascii="宋体" w:hAnsi="宋体" w:cs="Arial"/>
                      <w:color w:val="000000"/>
                      <w:kern w:val="0"/>
                      <w:sz w:val="12"/>
                      <w:szCs w:val="12"/>
                    </w:rPr>
                  </w:pPr>
                  <w:r>
                    <w:rPr>
                      <w:rFonts w:hint="eastAsia" w:ascii="宋体" w:hAnsi="宋体" w:cs="Arial"/>
                      <w:color w:val="000000"/>
                      <w:kern w:val="0"/>
                      <w:sz w:val="12"/>
                      <w:szCs w:val="12"/>
                    </w:rPr>
                    <w:t>收     入</w:t>
                  </w:r>
                </w:p>
              </w:tc>
              <w:tc>
                <w:tcPr>
                  <w:tcW w:w="5417" w:type="dxa"/>
                  <w:gridSpan w:val="7"/>
                  <w:tcBorders>
                    <w:top w:val="single" w:color="000000" w:sz="4" w:space="0"/>
                    <w:left w:val="nil"/>
                    <w:bottom w:val="single" w:color="000000" w:sz="4" w:space="0"/>
                    <w:right w:val="single" w:color="000000" w:sz="4" w:space="0"/>
                  </w:tcBorders>
                  <w:shd w:val="clear" w:color="FFFFFF" w:fill="C0C0C0"/>
                  <w:noWrap/>
                  <w:vAlign w:val="center"/>
                </w:tcPr>
                <w:p>
                  <w:pPr>
                    <w:widowControl/>
                    <w:ind w:firstLine="240" w:firstLineChars="200"/>
                    <w:jc w:val="center"/>
                    <w:rPr>
                      <w:rFonts w:ascii="宋体" w:hAnsi="宋体" w:cs="Arial"/>
                      <w:color w:val="000000"/>
                      <w:kern w:val="0"/>
                      <w:sz w:val="12"/>
                      <w:szCs w:val="12"/>
                    </w:rPr>
                  </w:pPr>
                  <w:r>
                    <w:rPr>
                      <w:rFonts w:hint="eastAsia" w:ascii="宋体" w:hAnsi="宋体" w:cs="Arial"/>
                      <w:color w:val="000000"/>
                      <w:kern w:val="0"/>
                      <w:sz w:val="12"/>
                      <w:szCs w:val="12"/>
                    </w:rPr>
                    <w:t>支     出</w:t>
                  </w:r>
                </w:p>
              </w:tc>
            </w:tr>
            <w:tr>
              <w:tblPrEx>
                <w:tblCellMar>
                  <w:top w:w="0" w:type="dxa"/>
                  <w:left w:w="108" w:type="dxa"/>
                  <w:bottom w:w="0" w:type="dxa"/>
                  <w:right w:w="108" w:type="dxa"/>
                </w:tblCellMar>
              </w:tblPrEx>
              <w:trPr>
                <w:trHeight w:val="465" w:hRule="atLeast"/>
              </w:trPr>
              <w:tc>
                <w:tcPr>
                  <w:tcW w:w="1452" w:type="dxa"/>
                  <w:vMerge w:val="restart"/>
                  <w:tcBorders>
                    <w:top w:val="nil"/>
                    <w:left w:val="single" w:color="000000" w:sz="4" w:space="0"/>
                    <w:bottom w:val="single" w:color="000000" w:sz="4" w:space="0"/>
                    <w:right w:val="single" w:color="000000" w:sz="4" w:space="0"/>
                  </w:tcBorders>
                  <w:shd w:val="clear" w:color="FFFFFF" w:fill="C0C0C0"/>
                  <w:vAlign w:val="center"/>
                </w:tcPr>
                <w:p>
                  <w:pPr>
                    <w:widowControl/>
                    <w:ind w:firstLine="240" w:firstLineChars="200"/>
                    <w:jc w:val="center"/>
                    <w:rPr>
                      <w:rFonts w:ascii="宋体" w:hAnsi="宋体" w:cs="Arial"/>
                      <w:color w:val="000000"/>
                      <w:kern w:val="0"/>
                      <w:sz w:val="12"/>
                      <w:szCs w:val="12"/>
                    </w:rPr>
                  </w:pPr>
                  <w:r>
                    <w:rPr>
                      <w:rFonts w:hint="eastAsia" w:ascii="宋体" w:hAnsi="宋体" w:cs="Arial"/>
                      <w:color w:val="000000"/>
                      <w:kern w:val="0"/>
                      <w:sz w:val="12"/>
                      <w:szCs w:val="12"/>
                    </w:rPr>
                    <w:t>项目</w:t>
                  </w:r>
                </w:p>
              </w:tc>
              <w:tc>
                <w:tcPr>
                  <w:tcW w:w="1276" w:type="dxa"/>
                  <w:gridSpan w:val="2"/>
                  <w:vMerge w:val="restart"/>
                  <w:tcBorders>
                    <w:top w:val="nil"/>
                    <w:left w:val="nil"/>
                    <w:bottom w:val="single" w:color="000000" w:sz="4" w:space="0"/>
                    <w:right w:val="single" w:color="000000" w:sz="4" w:space="0"/>
                  </w:tcBorders>
                  <w:shd w:val="clear" w:color="FFFFFF" w:fill="C0C0C0"/>
                  <w:vAlign w:val="center"/>
                </w:tcPr>
                <w:p>
                  <w:pPr>
                    <w:widowControl/>
                    <w:ind w:firstLine="240" w:firstLineChars="200"/>
                    <w:jc w:val="center"/>
                    <w:rPr>
                      <w:rFonts w:ascii="宋体" w:hAnsi="宋体" w:cs="Arial"/>
                      <w:color w:val="000000"/>
                      <w:kern w:val="0"/>
                      <w:sz w:val="12"/>
                      <w:szCs w:val="12"/>
                    </w:rPr>
                  </w:pPr>
                  <w:r>
                    <w:rPr>
                      <w:rFonts w:hint="eastAsia" w:ascii="宋体" w:hAnsi="宋体" w:cs="Arial"/>
                      <w:color w:val="000000"/>
                      <w:kern w:val="0"/>
                      <w:sz w:val="12"/>
                      <w:szCs w:val="12"/>
                    </w:rPr>
                    <w:t>行次</w:t>
                  </w:r>
                </w:p>
              </w:tc>
              <w:tc>
                <w:tcPr>
                  <w:tcW w:w="1248" w:type="dxa"/>
                  <w:gridSpan w:val="2"/>
                  <w:vMerge w:val="restart"/>
                  <w:tcBorders>
                    <w:top w:val="nil"/>
                    <w:left w:val="nil"/>
                    <w:bottom w:val="single" w:color="000000" w:sz="4" w:space="0"/>
                    <w:right w:val="single" w:color="000000" w:sz="4" w:space="0"/>
                  </w:tcBorders>
                  <w:shd w:val="clear" w:color="FFFFFF" w:fill="C0C0C0"/>
                  <w:vAlign w:val="center"/>
                </w:tcPr>
                <w:p>
                  <w:pPr>
                    <w:widowControl/>
                    <w:ind w:firstLine="240" w:firstLineChars="200"/>
                    <w:jc w:val="center"/>
                    <w:rPr>
                      <w:rFonts w:ascii="宋体" w:hAnsi="宋体" w:cs="Arial"/>
                      <w:color w:val="000000"/>
                      <w:kern w:val="0"/>
                      <w:sz w:val="12"/>
                      <w:szCs w:val="12"/>
                    </w:rPr>
                  </w:pPr>
                  <w:r>
                    <w:rPr>
                      <w:rFonts w:hint="eastAsia" w:ascii="宋体" w:hAnsi="宋体" w:cs="Arial"/>
                      <w:color w:val="000000"/>
                      <w:kern w:val="0"/>
                      <w:sz w:val="12"/>
                      <w:szCs w:val="12"/>
                    </w:rPr>
                    <w:t>金额</w:t>
                  </w:r>
                </w:p>
              </w:tc>
              <w:tc>
                <w:tcPr>
                  <w:tcW w:w="1445" w:type="dxa"/>
                  <w:vMerge w:val="restart"/>
                  <w:tcBorders>
                    <w:top w:val="nil"/>
                    <w:left w:val="nil"/>
                    <w:bottom w:val="single" w:color="000000" w:sz="4" w:space="0"/>
                    <w:right w:val="single" w:color="000000" w:sz="4" w:space="0"/>
                  </w:tcBorders>
                  <w:shd w:val="clear" w:color="FFFFFF" w:fill="C0C0C0"/>
                  <w:vAlign w:val="center"/>
                </w:tcPr>
                <w:p>
                  <w:pPr>
                    <w:widowControl/>
                    <w:ind w:firstLine="240" w:firstLineChars="200"/>
                    <w:jc w:val="center"/>
                    <w:rPr>
                      <w:rFonts w:ascii="宋体" w:hAnsi="宋体" w:cs="Arial"/>
                      <w:color w:val="000000"/>
                      <w:kern w:val="0"/>
                      <w:sz w:val="12"/>
                      <w:szCs w:val="12"/>
                    </w:rPr>
                  </w:pPr>
                  <w:r>
                    <w:rPr>
                      <w:rFonts w:hint="eastAsia" w:ascii="宋体" w:hAnsi="宋体" w:cs="Arial"/>
                      <w:color w:val="000000"/>
                      <w:kern w:val="0"/>
                      <w:sz w:val="12"/>
                      <w:szCs w:val="12"/>
                    </w:rPr>
                    <w:t>项目</w:t>
                  </w:r>
                </w:p>
              </w:tc>
              <w:tc>
                <w:tcPr>
                  <w:tcW w:w="992" w:type="dxa"/>
                  <w:vMerge w:val="restart"/>
                  <w:tcBorders>
                    <w:top w:val="nil"/>
                    <w:left w:val="nil"/>
                    <w:bottom w:val="single" w:color="000000" w:sz="4" w:space="0"/>
                    <w:right w:val="single" w:color="000000" w:sz="4" w:space="0"/>
                  </w:tcBorders>
                  <w:shd w:val="clear" w:color="FFFFFF" w:fill="C0C0C0"/>
                  <w:vAlign w:val="center"/>
                </w:tcPr>
                <w:p>
                  <w:pPr>
                    <w:widowControl/>
                    <w:ind w:firstLine="240" w:firstLineChars="200"/>
                    <w:jc w:val="center"/>
                    <w:rPr>
                      <w:rFonts w:ascii="宋体" w:hAnsi="宋体" w:cs="Arial"/>
                      <w:color w:val="000000"/>
                      <w:kern w:val="0"/>
                      <w:sz w:val="12"/>
                      <w:szCs w:val="12"/>
                    </w:rPr>
                  </w:pPr>
                  <w:r>
                    <w:rPr>
                      <w:rFonts w:hint="eastAsia" w:ascii="宋体" w:hAnsi="宋体" w:cs="Arial"/>
                      <w:color w:val="000000"/>
                      <w:kern w:val="0"/>
                      <w:sz w:val="12"/>
                      <w:szCs w:val="12"/>
                    </w:rPr>
                    <w:t>行次</w:t>
                  </w:r>
                </w:p>
              </w:tc>
              <w:tc>
                <w:tcPr>
                  <w:tcW w:w="567" w:type="dxa"/>
                  <w:gridSpan w:val="2"/>
                  <w:vMerge w:val="restart"/>
                  <w:tcBorders>
                    <w:top w:val="nil"/>
                    <w:left w:val="nil"/>
                    <w:bottom w:val="single" w:color="000000" w:sz="4" w:space="0"/>
                    <w:right w:val="single" w:color="000000" w:sz="4" w:space="0"/>
                  </w:tcBorders>
                  <w:shd w:val="clear" w:color="FFFFFF" w:fill="C0C0C0"/>
                  <w:noWrap/>
                  <w:vAlign w:val="center"/>
                </w:tcPr>
                <w:p>
                  <w:pPr>
                    <w:widowControl/>
                    <w:ind w:firstLine="240" w:firstLineChars="200"/>
                    <w:jc w:val="center"/>
                    <w:rPr>
                      <w:rFonts w:ascii="宋体" w:hAnsi="宋体" w:cs="Arial"/>
                      <w:color w:val="000000"/>
                      <w:kern w:val="0"/>
                      <w:sz w:val="12"/>
                      <w:szCs w:val="12"/>
                    </w:rPr>
                  </w:pPr>
                  <w:r>
                    <w:rPr>
                      <w:rFonts w:hint="eastAsia" w:ascii="宋体" w:hAnsi="宋体" w:cs="Arial"/>
                      <w:color w:val="000000"/>
                      <w:kern w:val="0"/>
                      <w:sz w:val="12"/>
                      <w:szCs w:val="12"/>
                    </w:rPr>
                    <w:t>合计</w:t>
                  </w:r>
                </w:p>
              </w:tc>
              <w:tc>
                <w:tcPr>
                  <w:tcW w:w="1741" w:type="dxa"/>
                  <w:vMerge w:val="restart"/>
                  <w:tcBorders>
                    <w:top w:val="nil"/>
                    <w:left w:val="nil"/>
                    <w:bottom w:val="single" w:color="000000" w:sz="4" w:space="0"/>
                    <w:right w:val="single" w:color="000000" w:sz="4" w:space="0"/>
                  </w:tcBorders>
                  <w:shd w:val="clear" w:color="FFFFFF" w:fill="C0C0C0"/>
                  <w:vAlign w:val="center"/>
                </w:tcPr>
                <w:p>
                  <w:pPr>
                    <w:widowControl/>
                    <w:ind w:firstLine="240" w:firstLineChars="200"/>
                    <w:jc w:val="center"/>
                    <w:rPr>
                      <w:rFonts w:ascii="宋体" w:hAnsi="宋体" w:cs="Arial"/>
                      <w:color w:val="000000"/>
                      <w:kern w:val="0"/>
                      <w:sz w:val="12"/>
                      <w:szCs w:val="12"/>
                    </w:rPr>
                  </w:pPr>
                  <w:r>
                    <w:rPr>
                      <w:rFonts w:hint="eastAsia" w:ascii="宋体" w:hAnsi="宋体" w:cs="Arial"/>
                      <w:color w:val="000000"/>
                      <w:kern w:val="0"/>
                      <w:sz w:val="12"/>
                      <w:szCs w:val="12"/>
                    </w:rPr>
                    <w:t>一般公共预算财政拨款</w:t>
                  </w:r>
                </w:p>
              </w:tc>
              <w:tc>
                <w:tcPr>
                  <w:tcW w:w="336" w:type="dxa"/>
                  <w:vMerge w:val="restart"/>
                  <w:tcBorders>
                    <w:top w:val="nil"/>
                    <w:left w:val="nil"/>
                    <w:bottom w:val="single" w:color="000000" w:sz="4" w:space="0"/>
                    <w:right w:val="single" w:color="000000" w:sz="4" w:space="0"/>
                  </w:tcBorders>
                  <w:shd w:val="clear" w:color="FFFFFF" w:fill="C0C0C0"/>
                  <w:vAlign w:val="center"/>
                </w:tcPr>
                <w:p>
                  <w:pPr>
                    <w:widowControl/>
                    <w:ind w:firstLine="240" w:firstLineChars="200"/>
                    <w:jc w:val="center"/>
                    <w:rPr>
                      <w:rFonts w:ascii="宋体" w:hAnsi="宋体" w:cs="Arial"/>
                      <w:color w:val="000000"/>
                      <w:kern w:val="0"/>
                      <w:sz w:val="12"/>
                      <w:szCs w:val="12"/>
                    </w:rPr>
                  </w:pPr>
                  <w:r>
                    <w:rPr>
                      <w:rFonts w:hint="eastAsia" w:ascii="宋体" w:hAnsi="宋体" w:cs="Arial"/>
                      <w:color w:val="000000"/>
                      <w:kern w:val="0"/>
                      <w:sz w:val="12"/>
                      <w:szCs w:val="12"/>
                    </w:rPr>
                    <w:t>政府性基金预算财政拨款</w:t>
                  </w:r>
                </w:p>
              </w:tc>
              <w:tc>
                <w:tcPr>
                  <w:tcW w:w="336" w:type="dxa"/>
                  <w:vMerge w:val="restart"/>
                  <w:tcBorders>
                    <w:top w:val="nil"/>
                    <w:left w:val="nil"/>
                    <w:bottom w:val="single" w:color="000000" w:sz="4" w:space="0"/>
                    <w:right w:val="single" w:color="000000" w:sz="4" w:space="0"/>
                  </w:tcBorders>
                  <w:shd w:val="clear" w:color="FFFFFF" w:fill="C0C0C0"/>
                  <w:vAlign w:val="center"/>
                </w:tcPr>
                <w:p>
                  <w:pPr>
                    <w:widowControl/>
                    <w:ind w:firstLine="240" w:firstLineChars="200"/>
                    <w:jc w:val="center"/>
                    <w:rPr>
                      <w:rFonts w:ascii="宋体" w:hAnsi="宋体" w:cs="Arial"/>
                      <w:color w:val="000000"/>
                      <w:kern w:val="0"/>
                      <w:sz w:val="12"/>
                      <w:szCs w:val="12"/>
                    </w:rPr>
                  </w:pPr>
                  <w:r>
                    <w:rPr>
                      <w:rFonts w:hint="eastAsia" w:ascii="宋体" w:hAnsi="宋体" w:cs="Arial"/>
                      <w:color w:val="000000"/>
                      <w:kern w:val="0"/>
                      <w:sz w:val="12"/>
                      <w:szCs w:val="12"/>
                    </w:rPr>
                    <w:t>国有资本经营预算财政拨款</w:t>
                  </w:r>
                </w:p>
              </w:tc>
            </w:tr>
            <w:tr>
              <w:tblPrEx>
                <w:tblCellMar>
                  <w:top w:w="0" w:type="dxa"/>
                  <w:left w:w="108" w:type="dxa"/>
                  <w:bottom w:w="0" w:type="dxa"/>
                  <w:right w:w="108" w:type="dxa"/>
                </w:tblCellMar>
              </w:tblPrEx>
              <w:trPr>
                <w:trHeight w:val="540" w:hRule="atLeast"/>
              </w:trPr>
              <w:tc>
                <w:tcPr>
                  <w:tcW w:w="1452" w:type="dxa"/>
                  <w:vMerge w:val="continue"/>
                  <w:tcBorders>
                    <w:top w:val="nil"/>
                    <w:left w:val="single" w:color="000000" w:sz="4" w:space="0"/>
                    <w:bottom w:val="single" w:color="000000" w:sz="4" w:space="0"/>
                    <w:right w:val="single" w:color="000000" w:sz="4" w:space="0"/>
                  </w:tcBorders>
                  <w:vAlign w:val="center"/>
                </w:tcPr>
                <w:p>
                  <w:pPr>
                    <w:widowControl/>
                    <w:ind w:firstLine="240" w:firstLineChars="200"/>
                    <w:jc w:val="left"/>
                    <w:rPr>
                      <w:rFonts w:ascii="宋体" w:hAnsi="宋体" w:cs="Arial"/>
                      <w:color w:val="000000"/>
                      <w:kern w:val="0"/>
                      <w:sz w:val="12"/>
                      <w:szCs w:val="12"/>
                    </w:rPr>
                  </w:pPr>
                </w:p>
              </w:tc>
              <w:tc>
                <w:tcPr>
                  <w:tcW w:w="1276" w:type="dxa"/>
                  <w:gridSpan w:val="2"/>
                  <w:vMerge w:val="continue"/>
                  <w:tcBorders>
                    <w:top w:val="nil"/>
                    <w:left w:val="nil"/>
                    <w:bottom w:val="single" w:color="000000" w:sz="4" w:space="0"/>
                    <w:right w:val="single" w:color="000000" w:sz="4" w:space="0"/>
                  </w:tcBorders>
                  <w:vAlign w:val="center"/>
                </w:tcPr>
                <w:p>
                  <w:pPr>
                    <w:widowControl/>
                    <w:ind w:firstLine="240" w:firstLineChars="200"/>
                    <w:jc w:val="left"/>
                    <w:rPr>
                      <w:rFonts w:ascii="宋体" w:hAnsi="宋体" w:cs="Arial"/>
                      <w:color w:val="000000"/>
                      <w:kern w:val="0"/>
                      <w:sz w:val="12"/>
                      <w:szCs w:val="12"/>
                    </w:rPr>
                  </w:pPr>
                </w:p>
              </w:tc>
              <w:tc>
                <w:tcPr>
                  <w:tcW w:w="1248" w:type="dxa"/>
                  <w:gridSpan w:val="2"/>
                  <w:vMerge w:val="continue"/>
                  <w:tcBorders>
                    <w:top w:val="nil"/>
                    <w:left w:val="nil"/>
                    <w:bottom w:val="single" w:color="000000" w:sz="4" w:space="0"/>
                    <w:right w:val="single" w:color="000000" w:sz="4" w:space="0"/>
                  </w:tcBorders>
                  <w:vAlign w:val="center"/>
                </w:tcPr>
                <w:p>
                  <w:pPr>
                    <w:widowControl/>
                    <w:ind w:firstLine="240" w:firstLineChars="200"/>
                    <w:jc w:val="left"/>
                    <w:rPr>
                      <w:rFonts w:ascii="宋体" w:hAnsi="宋体" w:cs="Arial"/>
                      <w:color w:val="000000"/>
                      <w:kern w:val="0"/>
                      <w:sz w:val="12"/>
                      <w:szCs w:val="12"/>
                    </w:rPr>
                  </w:pPr>
                </w:p>
              </w:tc>
              <w:tc>
                <w:tcPr>
                  <w:tcW w:w="1445" w:type="dxa"/>
                  <w:vMerge w:val="continue"/>
                  <w:tcBorders>
                    <w:top w:val="nil"/>
                    <w:left w:val="nil"/>
                    <w:bottom w:val="single" w:color="000000" w:sz="4" w:space="0"/>
                    <w:right w:val="single" w:color="000000" w:sz="4" w:space="0"/>
                  </w:tcBorders>
                  <w:vAlign w:val="center"/>
                </w:tcPr>
                <w:p>
                  <w:pPr>
                    <w:widowControl/>
                    <w:ind w:firstLine="240" w:firstLineChars="200"/>
                    <w:jc w:val="left"/>
                    <w:rPr>
                      <w:rFonts w:ascii="宋体" w:hAnsi="宋体" w:cs="Arial"/>
                      <w:color w:val="000000"/>
                      <w:kern w:val="0"/>
                      <w:sz w:val="12"/>
                      <w:szCs w:val="12"/>
                    </w:rPr>
                  </w:pPr>
                </w:p>
              </w:tc>
              <w:tc>
                <w:tcPr>
                  <w:tcW w:w="992" w:type="dxa"/>
                  <w:vMerge w:val="continue"/>
                  <w:tcBorders>
                    <w:top w:val="nil"/>
                    <w:left w:val="nil"/>
                    <w:bottom w:val="single" w:color="000000" w:sz="4" w:space="0"/>
                    <w:right w:val="single" w:color="000000" w:sz="4" w:space="0"/>
                  </w:tcBorders>
                  <w:vAlign w:val="center"/>
                </w:tcPr>
                <w:p>
                  <w:pPr>
                    <w:widowControl/>
                    <w:ind w:firstLine="240" w:firstLineChars="200"/>
                    <w:jc w:val="left"/>
                    <w:rPr>
                      <w:rFonts w:ascii="宋体" w:hAnsi="宋体" w:cs="Arial"/>
                      <w:color w:val="000000"/>
                      <w:kern w:val="0"/>
                      <w:sz w:val="12"/>
                      <w:szCs w:val="12"/>
                    </w:rPr>
                  </w:pPr>
                </w:p>
              </w:tc>
              <w:tc>
                <w:tcPr>
                  <w:tcW w:w="567" w:type="dxa"/>
                  <w:gridSpan w:val="2"/>
                  <w:vMerge w:val="continue"/>
                  <w:tcBorders>
                    <w:top w:val="nil"/>
                    <w:left w:val="nil"/>
                    <w:bottom w:val="single" w:color="000000" w:sz="4" w:space="0"/>
                    <w:right w:val="single" w:color="000000" w:sz="4" w:space="0"/>
                  </w:tcBorders>
                  <w:vAlign w:val="center"/>
                </w:tcPr>
                <w:p>
                  <w:pPr>
                    <w:widowControl/>
                    <w:ind w:firstLine="240" w:firstLineChars="200"/>
                    <w:jc w:val="left"/>
                    <w:rPr>
                      <w:rFonts w:ascii="宋体" w:hAnsi="宋体" w:cs="Arial"/>
                      <w:color w:val="000000"/>
                      <w:kern w:val="0"/>
                      <w:sz w:val="12"/>
                      <w:szCs w:val="12"/>
                    </w:rPr>
                  </w:pPr>
                </w:p>
              </w:tc>
              <w:tc>
                <w:tcPr>
                  <w:tcW w:w="1741" w:type="dxa"/>
                  <w:vMerge w:val="continue"/>
                  <w:tcBorders>
                    <w:top w:val="nil"/>
                    <w:left w:val="nil"/>
                    <w:bottom w:val="single" w:color="000000" w:sz="4" w:space="0"/>
                    <w:right w:val="single" w:color="000000" w:sz="4" w:space="0"/>
                  </w:tcBorders>
                  <w:vAlign w:val="center"/>
                </w:tcPr>
                <w:p>
                  <w:pPr>
                    <w:widowControl/>
                    <w:ind w:firstLine="240" w:firstLineChars="200"/>
                    <w:jc w:val="left"/>
                    <w:rPr>
                      <w:rFonts w:ascii="宋体" w:hAnsi="宋体" w:cs="Arial"/>
                      <w:color w:val="000000"/>
                      <w:kern w:val="0"/>
                      <w:sz w:val="12"/>
                      <w:szCs w:val="12"/>
                    </w:rPr>
                  </w:pPr>
                </w:p>
              </w:tc>
              <w:tc>
                <w:tcPr>
                  <w:tcW w:w="336" w:type="dxa"/>
                  <w:vMerge w:val="continue"/>
                  <w:tcBorders>
                    <w:top w:val="nil"/>
                    <w:left w:val="nil"/>
                    <w:bottom w:val="single" w:color="000000" w:sz="4" w:space="0"/>
                    <w:right w:val="single" w:color="000000" w:sz="4" w:space="0"/>
                  </w:tcBorders>
                  <w:vAlign w:val="center"/>
                </w:tcPr>
                <w:p>
                  <w:pPr>
                    <w:widowControl/>
                    <w:ind w:firstLine="240" w:firstLineChars="200"/>
                    <w:jc w:val="left"/>
                    <w:rPr>
                      <w:rFonts w:ascii="宋体" w:hAnsi="宋体" w:cs="Arial"/>
                      <w:color w:val="000000"/>
                      <w:kern w:val="0"/>
                      <w:sz w:val="12"/>
                      <w:szCs w:val="12"/>
                    </w:rPr>
                  </w:pPr>
                </w:p>
              </w:tc>
              <w:tc>
                <w:tcPr>
                  <w:tcW w:w="336" w:type="dxa"/>
                  <w:vMerge w:val="continue"/>
                  <w:tcBorders>
                    <w:top w:val="nil"/>
                    <w:left w:val="nil"/>
                    <w:bottom w:val="single" w:color="000000" w:sz="4" w:space="0"/>
                    <w:right w:val="single" w:color="000000" w:sz="4" w:space="0"/>
                  </w:tcBorders>
                  <w:vAlign w:val="center"/>
                </w:tcPr>
                <w:p>
                  <w:pPr>
                    <w:widowControl/>
                    <w:ind w:firstLine="240" w:firstLineChars="200"/>
                    <w:jc w:val="left"/>
                    <w:rPr>
                      <w:rFonts w:ascii="宋体" w:hAnsi="宋体" w:cs="Arial"/>
                      <w:color w:val="000000"/>
                      <w:kern w:val="0"/>
                      <w:sz w:val="12"/>
                      <w:szCs w:val="12"/>
                    </w:rPr>
                  </w:pPr>
                </w:p>
              </w:tc>
            </w:tr>
            <w:tr>
              <w:tblPrEx>
                <w:tblCellMar>
                  <w:top w:w="0" w:type="dxa"/>
                  <w:left w:w="108" w:type="dxa"/>
                  <w:bottom w:w="0" w:type="dxa"/>
                  <w:right w:w="108" w:type="dxa"/>
                </w:tblCellMar>
              </w:tblPrEx>
              <w:trPr>
                <w:trHeight w:val="285" w:hRule="atLeast"/>
              </w:trPr>
              <w:tc>
                <w:tcPr>
                  <w:tcW w:w="1452" w:type="dxa"/>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248" w:type="dxa"/>
                  <w:gridSpan w:val="2"/>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445"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992"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567" w:type="dxa"/>
                  <w:gridSpan w:val="2"/>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741"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336"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336" w:type="dxa"/>
                  <w:tcBorders>
                    <w:top w:val="nil"/>
                    <w:left w:val="nil"/>
                    <w:bottom w:val="single" w:color="000000" w:sz="4" w:space="0"/>
                    <w:right w:val="single" w:color="000000" w:sz="4" w:space="0"/>
                  </w:tcBorders>
                  <w:shd w:val="clear" w:color="FFFFFF" w:fill="C0C0C0"/>
                  <w:noWrap/>
                  <w:vAlign w:val="center"/>
                </w:tcPr>
                <w:p>
                  <w:pPr>
                    <w:widowControl/>
                    <w:ind w:firstLine="400" w:firstLineChars="200"/>
                    <w:jc w:val="center"/>
                    <w:rPr>
                      <w:rFonts w:ascii="宋体" w:hAnsi="宋体" w:cs="Arial"/>
                      <w:color w:val="000000"/>
                      <w:kern w:val="0"/>
                      <w:sz w:val="20"/>
                      <w:szCs w:val="20"/>
                    </w:rPr>
                  </w:pPr>
                  <w:r>
                    <w:rPr>
                      <w:rFonts w:hint="eastAsia" w:ascii="宋体" w:hAnsi="宋体" w:cs="Arial"/>
                      <w:color w:val="000000"/>
                      <w:kern w:val="0"/>
                      <w:sz w:val="20"/>
                      <w:szCs w:val="20"/>
                    </w:rPr>
                    <w:t>5</w:t>
                  </w:r>
                </w:p>
              </w:tc>
            </w:tr>
            <w:tr>
              <w:tblPrEx>
                <w:tblCellMar>
                  <w:top w:w="0" w:type="dxa"/>
                  <w:left w:w="108" w:type="dxa"/>
                  <w:bottom w:w="0" w:type="dxa"/>
                  <w:right w:w="108" w:type="dxa"/>
                </w:tblCellMar>
              </w:tblPrEx>
              <w:trPr>
                <w:trHeight w:val="240" w:hRule="atLeast"/>
              </w:trPr>
              <w:tc>
                <w:tcPr>
                  <w:tcW w:w="1452" w:type="dxa"/>
                  <w:tcBorders>
                    <w:top w:val="nil"/>
                    <w:left w:val="single" w:color="000000" w:sz="4" w:space="0"/>
                    <w:bottom w:val="single" w:color="000000" w:sz="4" w:space="0"/>
                    <w:right w:val="single" w:color="000000" w:sz="4" w:space="0"/>
                  </w:tcBorders>
                  <w:shd w:val="clear" w:color="FFFFFF" w:fill="C0C0C0"/>
                  <w:noWrap/>
                  <w:vAlign w:val="center"/>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248"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971.31</w:t>
                  </w:r>
                </w:p>
              </w:tc>
              <w:tc>
                <w:tcPr>
                  <w:tcW w:w="1445"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992"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567"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1741" w:type="dxa"/>
                  <w:tcBorders>
                    <w:top w:val="nil"/>
                    <w:left w:val="nil"/>
                    <w:bottom w:val="single" w:color="000000" w:sz="4" w:space="0"/>
                    <w:right w:val="single" w:color="000000" w:sz="4" w:space="0"/>
                  </w:tcBorders>
                  <w:shd w:val="clear" w:color="auto" w:fill="auto"/>
                  <w:noWrap/>
                  <w:vAlign w:val="center"/>
                </w:tcPr>
                <w:p>
                  <w:pPr>
                    <w:widowControl/>
                    <w:ind w:right="440"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902.23</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r>
            <w:tr>
              <w:tblPrEx>
                <w:tblCellMar>
                  <w:top w:w="0" w:type="dxa"/>
                  <w:left w:w="108" w:type="dxa"/>
                  <w:bottom w:w="0" w:type="dxa"/>
                  <w:right w:w="108" w:type="dxa"/>
                </w:tblCellMar>
              </w:tblPrEx>
              <w:trPr>
                <w:trHeight w:val="240" w:hRule="atLeast"/>
              </w:trPr>
              <w:tc>
                <w:tcPr>
                  <w:tcW w:w="1452" w:type="dxa"/>
                  <w:tcBorders>
                    <w:top w:val="nil"/>
                    <w:left w:val="single" w:color="000000" w:sz="4" w:space="0"/>
                    <w:bottom w:val="single" w:color="000000" w:sz="4" w:space="0"/>
                    <w:right w:val="single" w:color="000000" w:sz="4" w:space="0"/>
                  </w:tcBorders>
                  <w:shd w:val="clear" w:color="FFFFFF" w:fill="C0C0C0"/>
                  <w:noWrap/>
                  <w:vAlign w:val="center"/>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248"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45"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992"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567"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174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r>
            <w:tr>
              <w:tblPrEx>
                <w:tblCellMar>
                  <w:top w:w="0" w:type="dxa"/>
                  <w:left w:w="108" w:type="dxa"/>
                  <w:bottom w:w="0" w:type="dxa"/>
                  <w:right w:w="108" w:type="dxa"/>
                </w:tblCellMar>
              </w:tblPrEx>
              <w:trPr>
                <w:trHeight w:val="240" w:hRule="atLeast"/>
              </w:trPr>
              <w:tc>
                <w:tcPr>
                  <w:tcW w:w="1452" w:type="dxa"/>
                  <w:tcBorders>
                    <w:top w:val="nil"/>
                    <w:left w:val="single" w:color="000000" w:sz="4" w:space="0"/>
                    <w:bottom w:val="single" w:color="000000" w:sz="4" w:space="0"/>
                    <w:right w:val="single" w:color="000000" w:sz="4" w:space="0"/>
                  </w:tcBorders>
                  <w:shd w:val="clear" w:color="FFFFFF" w:fill="C0C0C0"/>
                  <w:noWrap/>
                  <w:vAlign w:val="center"/>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248"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45"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992"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567"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174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r>
            <w:tr>
              <w:tblPrEx>
                <w:tblCellMar>
                  <w:top w:w="0" w:type="dxa"/>
                  <w:left w:w="108" w:type="dxa"/>
                  <w:bottom w:w="0" w:type="dxa"/>
                  <w:right w:w="108" w:type="dxa"/>
                </w:tblCellMar>
              </w:tblPrEx>
              <w:trPr>
                <w:trHeight w:val="240" w:hRule="atLeast"/>
              </w:trPr>
              <w:tc>
                <w:tcPr>
                  <w:tcW w:w="1452" w:type="dxa"/>
                  <w:tcBorders>
                    <w:top w:val="nil"/>
                    <w:left w:val="single" w:color="000000" w:sz="4" w:space="0"/>
                    <w:bottom w:val="single" w:color="000000" w:sz="4" w:space="0"/>
                    <w:right w:val="single" w:color="000000" w:sz="4" w:space="0"/>
                  </w:tcBorders>
                  <w:shd w:val="clear" w:color="FFFFFF" w:fill="C0C0C0"/>
                  <w:noWrap/>
                  <w:vAlign w:val="center"/>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248"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5"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992"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567"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174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r>
            <w:tr>
              <w:tblPrEx>
                <w:tblCellMar>
                  <w:top w:w="0" w:type="dxa"/>
                  <w:left w:w="108" w:type="dxa"/>
                  <w:bottom w:w="0" w:type="dxa"/>
                  <w:right w:w="108" w:type="dxa"/>
                </w:tblCellMar>
              </w:tblPrEx>
              <w:trPr>
                <w:trHeight w:val="240" w:hRule="atLeast"/>
              </w:trPr>
              <w:tc>
                <w:tcPr>
                  <w:tcW w:w="1452" w:type="dxa"/>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248"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5"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992"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567"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174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4.7</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r>
            <w:tr>
              <w:tblPrEx>
                <w:tblCellMar>
                  <w:top w:w="0" w:type="dxa"/>
                  <w:left w:w="108" w:type="dxa"/>
                  <w:bottom w:w="0" w:type="dxa"/>
                  <w:right w:w="108" w:type="dxa"/>
                </w:tblCellMar>
              </w:tblPrEx>
              <w:trPr>
                <w:trHeight w:val="240" w:hRule="atLeast"/>
              </w:trPr>
              <w:tc>
                <w:tcPr>
                  <w:tcW w:w="1452" w:type="dxa"/>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248"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5"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992"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567"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174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r>
            <w:tr>
              <w:tblPrEx>
                <w:tblCellMar>
                  <w:top w:w="0" w:type="dxa"/>
                  <w:left w:w="108" w:type="dxa"/>
                  <w:bottom w:w="0" w:type="dxa"/>
                  <w:right w:w="108" w:type="dxa"/>
                </w:tblCellMar>
              </w:tblPrEx>
              <w:trPr>
                <w:trHeight w:val="240" w:hRule="atLeast"/>
              </w:trPr>
              <w:tc>
                <w:tcPr>
                  <w:tcW w:w="1452" w:type="dxa"/>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248"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5"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七、文化体育与传媒支出</w:t>
                  </w:r>
                </w:p>
              </w:tc>
              <w:tc>
                <w:tcPr>
                  <w:tcW w:w="992"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567"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174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r>
            <w:tr>
              <w:tblPrEx>
                <w:tblCellMar>
                  <w:top w:w="0" w:type="dxa"/>
                  <w:left w:w="108" w:type="dxa"/>
                  <w:bottom w:w="0" w:type="dxa"/>
                  <w:right w:w="108" w:type="dxa"/>
                </w:tblCellMar>
              </w:tblPrEx>
              <w:trPr>
                <w:trHeight w:val="240" w:hRule="atLeast"/>
              </w:trPr>
              <w:tc>
                <w:tcPr>
                  <w:tcW w:w="1452" w:type="dxa"/>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248"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5"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992"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567"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174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81.89</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r>
            <w:tr>
              <w:tblPrEx>
                <w:tblCellMar>
                  <w:top w:w="0" w:type="dxa"/>
                  <w:left w:w="108" w:type="dxa"/>
                  <w:bottom w:w="0" w:type="dxa"/>
                  <w:right w:w="108" w:type="dxa"/>
                </w:tblCellMar>
              </w:tblPrEx>
              <w:trPr>
                <w:trHeight w:val="240" w:hRule="atLeast"/>
              </w:trPr>
              <w:tc>
                <w:tcPr>
                  <w:tcW w:w="1452" w:type="dxa"/>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248"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5"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九、医疗卫生与计划生育支出</w:t>
                  </w:r>
                </w:p>
              </w:tc>
              <w:tc>
                <w:tcPr>
                  <w:tcW w:w="992"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567"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174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38.66</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r>
            <w:tr>
              <w:tblPrEx>
                <w:tblCellMar>
                  <w:top w:w="0" w:type="dxa"/>
                  <w:left w:w="108" w:type="dxa"/>
                  <w:bottom w:w="0" w:type="dxa"/>
                  <w:right w:w="108" w:type="dxa"/>
                </w:tblCellMar>
              </w:tblPrEx>
              <w:trPr>
                <w:trHeight w:val="240" w:hRule="atLeast"/>
              </w:trPr>
              <w:tc>
                <w:tcPr>
                  <w:tcW w:w="1452" w:type="dxa"/>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248"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5"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992"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567"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174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r>
            <w:tr>
              <w:tblPrEx>
                <w:tblCellMar>
                  <w:top w:w="0" w:type="dxa"/>
                  <w:left w:w="108" w:type="dxa"/>
                  <w:bottom w:w="0" w:type="dxa"/>
                  <w:right w:w="108" w:type="dxa"/>
                </w:tblCellMar>
              </w:tblPrEx>
              <w:trPr>
                <w:trHeight w:val="240" w:hRule="atLeast"/>
              </w:trPr>
              <w:tc>
                <w:tcPr>
                  <w:tcW w:w="1452" w:type="dxa"/>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248"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5"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992"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567"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174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r>
            <w:tr>
              <w:tblPrEx>
                <w:tblCellMar>
                  <w:top w:w="0" w:type="dxa"/>
                  <w:left w:w="108" w:type="dxa"/>
                  <w:bottom w:w="0" w:type="dxa"/>
                  <w:right w:w="108" w:type="dxa"/>
                </w:tblCellMar>
              </w:tblPrEx>
              <w:trPr>
                <w:trHeight w:val="240" w:hRule="atLeast"/>
              </w:trPr>
              <w:tc>
                <w:tcPr>
                  <w:tcW w:w="1452" w:type="dxa"/>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248"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5"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992"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567"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174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r>
            <w:tr>
              <w:tblPrEx>
                <w:tblCellMar>
                  <w:top w:w="0" w:type="dxa"/>
                  <w:left w:w="108" w:type="dxa"/>
                  <w:bottom w:w="0" w:type="dxa"/>
                  <w:right w:w="108" w:type="dxa"/>
                </w:tblCellMar>
              </w:tblPrEx>
              <w:trPr>
                <w:trHeight w:val="240" w:hRule="atLeast"/>
              </w:trPr>
              <w:tc>
                <w:tcPr>
                  <w:tcW w:w="1452" w:type="dxa"/>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248"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5"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992"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567"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174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r>
            <w:tr>
              <w:tblPrEx>
                <w:tblCellMar>
                  <w:top w:w="0" w:type="dxa"/>
                  <w:left w:w="108" w:type="dxa"/>
                  <w:bottom w:w="0" w:type="dxa"/>
                  <w:right w:w="108" w:type="dxa"/>
                </w:tblCellMar>
              </w:tblPrEx>
              <w:trPr>
                <w:trHeight w:val="240" w:hRule="atLeast"/>
              </w:trPr>
              <w:tc>
                <w:tcPr>
                  <w:tcW w:w="1452" w:type="dxa"/>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248"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5"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992"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567"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174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r>
            <w:tr>
              <w:tblPrEx>
                <w:tblCellMar>
                  <w:top w:w="0" w:type="dxa"/>
                  <w:left w:w="108" w:type="dxa"/>
                  <w:bottom w:w="0" w:type="dxa"/>
                  <w:right w:w="108" w:type="dxa"/>
                </w:tblCellMar>
              </w:tblPrEx>
              <w:trPr>
                <w:trHeight w:val="240" w:hRule="atLeast"/>
              </w:trPr>
              <w:tc>
                <w:tcPr>
                  <w:tcW w:w="1452" w:type="dxa"/>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248"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5"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992"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567"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174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r>
            <w:tr>
              <w:tblPrEx>
                <w:tblCellMar>
                  <w:top w:w="0" w:type="dxa"/>
                  <w:left w:w="108" w:type="dxa"/>
                  <w:bottom w:w="0" w:type="dxa"/>
                  <w:right w:w="108" w:type="dxa"/>
                </w:tblCellMar>
              </w:tblPrEx>
              <w:trPr>
                <w:trHeight w:val="240" w:hRule="atLeast"/>
              </w:trPr>
              <w:tc>
                <w:tcPr>
                  <w:tcW w:w="1452" w:type="dxa"/>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248"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5"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992"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567"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174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r>
            <w:tr>
              <w:tblPrEx>
                <w:tblCellMar>
                  <w:top w:w="0" w:type="dxa"/>
                  <w:left w:w="108" w:type="dxa"/>
                  <w:bottom w:w="0" w:type="dxa"/>
                  <w:right w:w="108" w:type="dxa"/>
                </w:tblCellMar>
              </w:tblPrEx>
              <w:trPr>
                <w:trHeight w:val="240" w:hRule="atLeast"/>
              </w:trPr>
              <w:tc>
                <w:tcPr>
                  <w:tcW w:w="1452" w:type="dxa"/>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248"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5"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992"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567"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174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r>
            <w:tr>
              <w:tblPrEx>
                <w:tblCellMar>
                  <w:top w:w="0" w:type="dxa"/>
                  <w:left w:w="108" w:type="dxa"/>
                  <w:bottom w:w="0" w:type="dxa"/>
                  <w:right w:w="108" w:type="dxa"/>
                </w:tblCellMar>
              </w:tblPrEx>
              <w:trPr>
                <w:trHeight w:val="240" w:hRule="atLeast"/>
              </w:trPr>
              <w:tc>
                <w:tcPr>
                  <w:tcW w:w="1452" w:type="dxa"/>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1248"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5"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十八、国土海洋气象等支出</w:t>
                  </w:r>
                </w:p>
              </w:tc>
              <w:tc>
                <w:tcPr>
                  <w:tcW w:w="992"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567"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174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r>
            <w:tr>
              <w:tblPrEx>
                <w:tblCellMar>
                  <w:top w:w="0" w:type="dxa"/>
                  <w:left w:w="108" w:type="dxa"/>
                  <w:bottom w:w="0" w:type="dxa"/>
                  <w:right w:w="108" w:type="dxa"/>
                </w:tblCellMar>
              </w:tblPrEx>
              <w:trPr>
                <w:trHeight w:val="240" w:hRule="atLeast"/>
              </w:trPr>
              <w:tc>
                <w:tcPr>
                  <w:tcW w:w="1452" w:type="dxa"/>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248"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5"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992"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567"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174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60.49</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r>
            <w:tr>
              <w:tblPrEx>
                <w:tblCellMar>
                  <w:top w:w="0" w:type="dxa"/>
                  <w:left w:w="108" w:type="dxa"/>
                  <w:bottom w:w="0" w:type="dxa"/>
                  <w:right w:w="108" w:type="dxa"/>
                </w:tblCellMar>
              </w:tblPrEx>
              <w:trPr>
                <w:trHeight w:val="240" w:hRule="atLeast"/>
              </w:trPr>
              <w:tc>
                <w:tcPr>
                  <w:tcW w:w="1452" w:type="dxa"/>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1248"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5"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992"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567"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174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r>
            <w:tr>
              <w:tblPrEx>
                <w:tblCellMar>
                  <w:top w:w="0" w:type="dxa"/>
                  <w:left w:w="108" w:type="dxa"/>
                  <w:bottom w:w="0" w:type="dxa"/>
                  <w:right w:w="108" w:type="dxa"/>
                </w:tblCellMar>
              </w:tblPrEx>
              <w:trPr>
                <w:trHeight w:val="240" w:hRule="atLeast"/>
              </w:trPr>
              <w:tc>
                <w:tcPr>
                  <w:tcW w:w="1452" w:type="dxa"/>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1248"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5"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992"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567"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174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5.00</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r>
            <w:tr>
              <w:tblPrEx>
                <w:tblCellMar>
                  <w:top w:w="0" w:type="dxa"/>
                  <w:left w:w="108" w:type="dxa"/>
                  <w:bottom w:w="0" w:type="dxa"/>
                  <w:right w:w="108" w:type="dxa"/>
                </w:tblCellMar>
              </w:tblPrEx>
              <w:trPr>
                <w:trHeight w:val="240" w:hRule="atLeast"/>
              </w:trPr>
              <w:tc>
                <w:tcPr>
                  <w:tcW w:w="1452" w:type="dxa"/>
                  <w:tcBorders>
                    <w:top w:val="nil"/>
                    <w:left w:val="single" w:color="000000" w:sz="4" w:space="0"/>
                    <w:bottom w:val="single" w:color="000000" w:sz="4" w:space="0"/>
                    <w:right w:val="single" w:color="000000" w:sz="4" w:space="0"/>
                  </w:tcBorders>
                  <w:shd w:val="clear" w:color="FFFFFF" w:fill="C0C0C0"/>
                  <w:noWrap/>
                  <w:vAlign w:val="center"/>
                </w:tcPr>
                <w:p>
                  <w:pPr>
                    <w:widowControl/>
                    <w:ind w:firstLine="400" w:firstLineChars="200"/>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widowControl/>
                    <w:ind w:firstLine="400" w:firstLineChars="200"/>
                    <w:jc w:val="center"/>
                    <w:rPr>
                      <w:rFonts w:ascii="宋体" w:hAnsi="宋体" w:cs="Arial"/>
                      <w:color w:val="000000"/>
                      <w:kern w:val="0"/>
                      <w:sz w:val="20"/>
                      <w:szCs w:val="20"/>
                    </w:rPr>
                  </w:pPr>
                  <w:r>
                    <w:rPr>
                      <w:rFonts w:hint="eastAsia" w:ascii="宋体" w:hAnsi="宋体" w:cs="Arial"/>
                      <w:color w:val="000000"/>
                      <w:kern w:val="0"/>
                      <w:sz w:val="20"/>
                      <w:szCs w:val="20"/>
                    </w:rPr>
                    <w:t>22</w:t>
                  </w:r>
                </w:p>
              </w:tc>
              <w:tc>
                <w:tcPr>
                  <w:tcW w:w="1248" w:type="dxa"/>
                  <w:gridSpan w:val="2"/>
                  <w:tcBorders>
                    <w:top w:val="nil"/>
                    <w:left w:val="nil"/>
                    <w:bottom w:val="single" w:color="000000" w:sz="4" w:space="0"/>
                    <w:right w:val="single" w:color="000000" w:sz="4" w:space="0"/>
                  </w:tcBorders>
                  <w:shd w:val="clear" w:color="auto" w:fill="auto"/>
                  <w:noWrap/>
                  <w:vAlign w:val="center"/>
                </w:tcPr>
                <w:p>
                  <w:pPr>
                    <w:widowControl/>
                    <w:ind w:firstLine="400" w:firstLineChars="200"/>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445"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二十二、债务还本支出</w:t>
                  </w:r>
                </w:p>
              </w:tc>
              <w:tc>
                <w:tcPr>
                  <w:tcW w:w="992"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567"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174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r>
            <w:tr>
              <w:tblPrEx>
                <w:tblCellMar>
                  <w:top w:w="0" w:type="dxa"/>
                  <w:left w:w="108" w:type="dxa"/>
                  <w:bottom w:w="0" w:type="dxa"/>
                  <w:right w:w="108" w:type="dxa"/>
                </w:tblCellMar>
              </w:tblPrEx>
              <w:trPr>
                <w:trHeight w:val="240" w:hRule="atLeast"/>
              </w:trPr>
              <w:tc>
                <w:tcPr>
                  <w:tcW w:w="1452" w:type="dxa"/>
                  <w:tcBorders>
                    <w:top w:val="nil"/>
                    <w:left w:val="single" w:color="000000" w:sz="4" w:space="0"/>
                    <w:bottom w:val="single" w:color="000000" w:sz="4" w:space="0"/>
                    <w:right w:val="single" w:color="000000" w:sz="4" w:space="0"/>
                  </w:tcBorders>
                  <w:shd w:val="clear" w:color="FFFFFF" w:fill="C0C0C0"/>
                  <w:noWrap/>
                  <w:vAlign w:val="center"/>
                </w:tcPr>
                <w:p>
                  <w:pPr>
                    <w:widowControl/>
                    <w:ind w:firstLine="400" w:firstLineChars="200"/>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widowControl/>
                    <w:ind w:firstLine="400" w:firstLineChars="200"/>
                    <w:jc w:val="center"/>
                    <w:rPr>
                      <w:rFonts w:ascii="宋体" w:hAnsi="宋体" w:cs="Arial"/>
                      <w:color w:val="000000"/>
                      <w:kern w:val="0"/>
                      <w:sz w:val="20"/>
                      <w:szCs w:val="20"/>
                    </w:rPr>
                  </w:pPr>
                  <w:r>
                    <w:rPr>
                      <w:rFonts w:hint="eastAsia" w:ascii="宋体" w:hAnsi="宋体" w:cs="Arial"/>
                      <w:color w:val="000000"/>
                      <w:kern w:val="0"/>
                      <w:sz w:val="20"/>
                      <w:szCs w:val="20"/>
                    </w:rPr>
                    <w:t>23</w:t>
                  </w:r>
                </w:p>
              </w:tc>
              <w:tc>
                <w:tcPr>
                  <w:tcW w:w="1248" w:type="dxa"/>
                  <w:gridSpan w:val="2"/>
                  <w:tcBorders>
                    <w:top w:val="nil"/>
                    <w:left w:val="nil"/>
                    <w:bottom w:val="single" w:color="000000" w:sz="4" w:space="0"/>
                    <w:right w:val="single" w:color="000000" w:sz="4" w:space="0"/>
                  </w:tcBorders>
                  <w:shd w:val="clear" w:color="auto" w:fill="auto"/>
                  <w:noWrap/>
                  <w:vAlign w:val="center"/>
                </w:tcPr>
                <w:p>
                  <w:pPr>
                    <w:widowControl/>
                    <w:ind w:firstLine="400" w:firstLineChars="200"/>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445"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二十三、债务付息支出</w:t>
                  </w:r>
                </w:p>
              </w:tc>
              <w:tc>
                <w:tcPr>
                  <w:tcW w:w="992"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567"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174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r>
            <w:tr>
              <w:tblPrEx>
                <w:tblCellMar>
                  <w:top w:w="0" w:type="dxa"/>
                  <w:left w:w="108" w:type="dxa"/>
                  <w:bottom w:w="0" w:type="dxa"/>
                  <w:right w:w="108" w:type="dxa"/>
                </w:tblCellMar>
              </w:tblPrEx>
              <w:trPr>
                <w:trHeight w:val="240" w:hRule="atLeast"/>
              </w:trPr>
              <w:tc>
                <w:tcPr>
                  <w:tcW w:w="1452" w:type="dxa"/>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2" w:firstLineChars="200"/>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1248"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971.31</w:t>
                  </w:r>
                </w:p>
              </w:tc>
              <w:tc>
                <w:tcPr>
                  <w:tcW w:w="1445" w:type="dxa"/>
                  <w:tcBorders>
                    <w:top w:val="nil"/>
                    <w:left w:val="nil"/>
                    <w:bottom w:val="single" w:color="000000" w:sz="4" w:space="0"/>
                    <w:right w:val="single" w:color="000000" w:sz="4" w:space="0"/>
                  </w:tcBorders>
                  <w:shd w:val="clear" w:color="FFFFFF" w:fill="C0C0C0"/>
                  <w:noWrap/>
                  <w:vAlign w:val="center"/>
                </w:tcPr>
                <w:p>
                  <w:pPr>
                    <w:widowControl/>
                    <w:ind w:firstLine="442" w:firstLineChars="200"/>
                    <w:jc w:val="center"/>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992"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567"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174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1087.97</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r>
            <w:tr>
              <w:tblPrEx>
                <w:tblCellMar>
                  <w:top w:w="0" w:type="dxa"/>
                  <w:left w:w="108" w:type="dxa"/>
                  <w:bottom w:w="0" w:type="dxa"/>
                  <w:right w:w="108" w:type="dxa"/>
                </w:tblCellMar>
              </w:tblPrEx>
              <w:trPr>
                <w:trHeight w:val="240" w:hRule="atLeast"/>
              </w:trPr>
              <w:tc>
                <w:tcPr>
                  <w:tcW w:w="1452" w:type="dxa"/>
                  <w:tcBorders>
                    <w:top w:val="nil"/>
                    <w:left w:val="single" w:color="000000" w:sz="4" w:space="0"/>
                    <w:bottom w:val="single" w:color="000000" w:sz="4" w:space="0"/>
                    <w:right w:val="single" w:color="000000" w:sz="4" w:space="0"/>
                  </w:tcBorders>
                  <w:shd w:val="clear" w:color="FFFFFF" w:fill="C0C0C0"/>
                  <w:noWrap/>
                  <w:vAlign w:val="center"/>
                </w:tcPr>
                <w:p>
                  <w:pPr>
                    <w:widowControl/>
                    <w:ind w:firstLine="400" w:firstLineChars="200"/>
                    <w:jc w:val="left"/>
                    <w:rPr>
                      <w:rFonts w:ascii="宋体" w:hAnsi="宋体" w:cs="Arial"/>
                      <w:color w:val="000000"/>
                      <w:kern w:val="0"/>
                      <w:sz w:val="20"/>
                      <w:szCs w:val="20"/>
                    </w:rPr>
                  </w:pPr>
                  <w:r>
                    <w:rPr>
                      <w:rFonts w:hint="eastAsia" w:ascii="宋体" w:hAnsi="宋体" w:cs="Arial"/>
                      <w:color w:val="000000"/>
                      <w:kern w:val="0"/>
                      <w:sz w:val="20"/>
                      <w:szCs w:val="20"/>
                    </w:rPr>
                    <w:t>年初财政拨款结转和结余</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1248"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143.30</w:t>
                  </w:r>
                </w:p>
              </w:tc>
              <w:tc>
                <w:tcPr>
                  <w:tcW w:w="1445" w:type="dxa"/>
                  <w:tcBorders>
                    <w:top w:val="nil"/>
                    <w:left w:val="nil"/>
                    <w:bottom w:val="single" w:color="000000" w:sz="4" w:space="0"/>
                    <w:right w:val="single" w:color="000000" w:sz="4" w:space="0"/>
                  </w:tcBorders>
                  <w:shd w:val="clear" w:color="FFFFFF" w:fill="C0C0C0"/>
                  <w:noWrap/>
                  <w:vAlign w:val="center"/>
                </w:tcPr>
                <w:p>
                  <w:pPr>
                    <w:widowControl/>
                    <w:ind w:firstLine="400" w:firstLineChars="200"/>
                    <w:jc w:val="left"/>
                    <w:rPr>
                      <w:rFonts w:ascii="宋体" w:hAnsi="宋体" w:cs="Arial"/>
                      <w:color w:val="000000"/>
                      <w:kern w:val="0"/>
                      <w:sz w:val="20"/>
                      <w:szCs w:val="20"/>
                    </w:rPr>
                  </w:pPr>
                  <w:r>
                    <w:rPr>
                      <w:rFonts w:hint="eastAsia" w:ascii="宋体" w:hAnsi="宋体" w:cs="Arial"/>
                      <w:color w:val="000000"/>
                      <w:kern w:val="0"/>
                      <w:sz w:val="20"/>
                      <w:szCs w:val="20"/>
                    </w:rPr>
                    <w:t>年末财政拨款结转和结余</w:t>
                  </w:r>
                </w:p>
              </w:tc>
              <w:tc>
                <w:tcPr>
                  <w:tcW w:w="992"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567"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174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26.64</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r>
            <w:tr>
              <w:tblPrEx>
                <w:tblCellMar>
                  <w:top w:w="0" w:type="dxa"/>
                  <w:left w:w="108" w:type="dxa"/>
                  <w:bottom w:w="0" w:type="dxa"/>
                  <w:right w:w="108" w:type="dxa"/>
                </w:tblCellMar>
              </w:tblPrEx>
              <w:trPr>
                <w:trHeight w:val="240" w:hRule="atLeast"/>
              </w:trPr>
              <w:tc>
                <w:tcPr>
                  <w:tcW w:w="1452" w:type="dxa"/>
                  <w:tcBorders>
                    <w:top w:val="nil"/>
                    <w:left w:val="single" w:color="000000" w:sz="4" w:space="0"/>
                    <w:bottom w:val="single" w:color="000000" w:sz="4" w:space="0"/>
                    <w:right w:val="single" w:color="000000" w:sz="4" w:space="0"/>
                  </w:tcBorders>
                  <w:shd w:val="clear" w:color="FFFFFF" w:fill="C0C0C0"/>
                  <w:noWrap/>
                  <w:vAlign w:val="center"/>
                </w:tcPr>
                <w:p>
                  <w:pPr>
                    <w:widowControl/>
                    <w:ind w:firstLine="400" w:firstLineChars="200"/>
                    <w:jc w:val="left"/>
                    <w:rPr>
                      <w:rFonts w:ascii="宋体" w:hAnsi="宋体" w:cs="Arial"/>
                      <w:color w:val="000000"/>
                      <w:kern w:val="0"/>
                      <w:sz w:val="20"/>
                      <w:szCs w:val="20"/>
                    </w:rPr>
                  </w:pPr>
                  <w:r>
                    <w:rPr>
                      <w:rFonts w:hint="eastAsia" w:ascii="宋体" w:hAnsi="宋体" w:cs="Arial"/>
                      <w:color w:val="000000"/>
                      <w:kern w:val="0"/>
                      <w:sz w:val="20"/>
                      <w:szCs w:val="20"/>
                    </w:rPr>
                    <w:t xml:space="preserve">  一般公共预算财政拨款</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1248"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143.30</w:t>
                  </w:r>
                </w:p>
              </w:tc>
              <w:tc>
                <w:tcPr>
                  <w:tcW w:w="1445"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92"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55</w:t>
                  </w:r>
                </w:p>
              </w:tc>
              <w:tc>
                <w:tcPr>
                  <w:tcW w:w="567"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40" w:hRule="atLeast"/>
              </w:trPr>
              <w:tc>
                <w:tcPr>
                  <w:tcW w:w="1452" w:type="dxa"/>
                  <w:tcBorders>
                    <w:top w:val="nil"/>
                    <w:left w:val="single" w:color="000000" w:sz="4" w:space="0"/>
                    <w:bottom w:val="single" w:color="000000" w:sz="4" w:space="0"/>
                    <w:right w:val="single" w:color="000000" w:sz="4" w:space="0"/>
                  </w:tcBorders>
                  <w:shd w:val="clear" w:color="FFFFFF" w:fill="C0C0C0"/>
                  <w:noWrap/>
                  <w:vAlign w:val="center"/>
                </w:tcPr>
                <w:p>
                  <w:pPr>
                    <w:widowControl/>
                    <w:ind w:firstLine="400" w:firstLineChars="200"/>
                    <w:jc w:val="left"/>
                    <w:rPr>
                      <w:rFonts w:ascii="宋体" w:hAnsi="宋体" w:cs="Arial"/>
                      <w:color w:val="000000"/>
                      <w:kern w:val="0"/>
                      <w:sz w:val="20"/>
                      <w:szCs w:val="20"/>
                    </w:rPr>
                  </w:pPr>
                  <w:r>
                    <w:rPr>
                      <w:rFonts w:hint="eastAsia" w:ascii="宋体" w:hAnsi="宋体" w:cs="Arial"/>
                      <w:color w:val="000000"/>
                      <w:kern w:val="0"/>
                      <w:sz w:val="20"/>
                      <w:szCs w:val="20"/>
                    </w:rPr>
                    <w:t xml:space="preserve">  政府性基金预算财政拨款</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1248"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445"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92"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56</w:t>
                  </w:r>
                </w:p>
              </w:tc>
              <w:tc>
                <w:tcPr>
                  <w:tcW w:w="567"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40" w:hRule="atLeast"/>
              </w:trPr>
              <w:tc>
                <w:tcPr>
                  <w:tcW w:w="1452" w:type="dxa"/>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1248"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5"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92"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57</w:t>
                  </w:r>
                </w:p>
              </w:tc>
              <w:tc>
                <w:tcPr>
                  <w:tcW w:w="567"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40" w:hRule="atLeast"/>
              </w:trPr>
              <w:tc>
                <w:tcPr>
                  <w:tcW w:w="1452" w:type="dxa"/>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2" w:firstLineChars="200"/>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1276" w:type="dxa"/>
                  <w:gridSpan w:val="2"/>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1248"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1114.60</w:t>
                  </w:r>
                </w:p>
              </w:tc>
              <w:tc>
                <w:tcPr>
                  <w:tcW w:w="1445" w:type="dxa"/>
                  <w:tcBorders>
                    <w:top w:val="nil"/>
                    <w:left w:val="nil"/>
                    <w:bottom w:val="single" w:color="000000" w:sz="4" w:space="0"/>
                    <w:right w:val="single" w:color="000000" w:sz="4" w:space="0"/>
                  </w:tcBorders>
                  <w:shd w:val="clear" w:color="FFFFFF" w:fill="C0C0C0"/>
                  <w:noWrap/>
                  <w:vAlign w:val="center"/>
                </w:tcPr>
                <w:p>
                  <w:pPr>
                    <w:widowControl/>
                    <w:ind w:firstLine="442" w:firstLineChars="200"/>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992"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58</w:t>
                  </w:r>
                </w:p>
              </w:tc>
              <w:tc>
                <w:tcPr>
                  <w:tcW w:w="567"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174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1114.60</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c>
                <w:tcPr>
                  <w:tcW w:w="33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xml:space="preserve">0 </w:t>
                  </w:r>
                </w:p>
              </w:tc>
            </w:tr>
            <w:tr>
              <w:tblPrEx>
                <w:tblCellMar>
                  <w:top w:w="0" w:type="dxa"/>
                  <w:left w:w="108" w:type="dxa"/>
                  <w:bottom w:w="0" w:type="dxa"/>
                  <w:right w:w="108" w:type="dxa"/>
                </w:tblCellMar>
              </w:tblPrEx>
              <w:trPr>
                <w:trHeight w:val="630" w:hRule="atLeast"/>
              </w:trPr>
              <w:tc>
                <w:tcPr>
                  <w:tcW w:w="9393" w:type="dxa"/>
                  <w:gridSpan w:val="12"/>
                  <w:tcBorders>
                    <w:top w:val="nil"/>
                    <w:left w:val="nil"/>
                    <w:bottom w:val="nil"/>
                    <w:right w:val="nil"/>
                  </w:tcBorders>
                  <w:shd w:val="clear" w:color="auto" w:fill="auto"/>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注：本表以“万元”为金额单位（保留两位小数），反映部门本年度一般公共预算财政拨款、政府性基金预算财政拨款和国有资本经营预算财政拨款的总收支和年末结转结余情况。</w:t>
                  </w:r>
                </w:p>
              </w:tc>
            </w:tr>
          </w:tbl>
          <w:p>
            <w:pPr>
              <w:widowControl/>
              <w:ind w:firstLine="640" w:firstLineChars="200"/>
              <w:jc w:val="left"/>
              <w:rPr>
                <w:rFonts w:ascii="宋体" w:hAnsi="宋体" w:cs="Arial"/>
                <w:color w:val="000000"/>
                <w:kern w:val="0"/>
                <w:sz w:val="32"/>
                <w:szCs w:val="32"/>
              </w:rPr>
            </w:pPr>
          </w:p>
          <w:p>
            <w:pPr>
              <w:widowControl/>
              <w:ind w:firstLine="640" w:firstLineChars="200"/>
              <w:jc w:val="left"/>
              <w:rPr>
                <w:rFonts w:ascii="宋体" w:hAnsi="宋体" w:cs="Arial"/>
                <w:color w:val="000000"/>
                <w:kern w:val="0"/>
                <w:sz w:val="32"/>
                <w:szCs w:val="32"/>
              </w:rPr>
            </w:pPr>
          </w:p>
          <w:p>
            <w:pPr>
              <w:widowControl/>
              <w:ind w:firstLine="640" w:firstLineChars="200"/>
              <w:jc w:val="left"/>
              <w:rPr>
                <w:rFonts w:ascii="宋体" w:hAnsi="宋体" w:cs="Arial"/>
                <w:color w:val="000000"/>
                <w:kern w:val="0"/>
                <w:sz w:val="32"/>
                <w:szCs w:val="32"/>
              </w:rPr>
            </w:pPr>
          </w:p>
          <w:p>
            <w:pPr>
              <w:widowControl/>
              <w:ind w:firstLine="640" w:firstLineChars="200"/>
              <w:jc w:val="left"/>
              <w:rPr>
                <w:rFonts w:ascii="宋体" w:hAnsi="宋体" w:cs="Arial"/>
                <w:color w:val="000000"/>
                <w:kern w:val="0"/>
                <w:sz w:val="32"/>
                <w:szCs w:val="32"/>
              </w:rPr>
            </w:pPr>
          </w:p>
          <w:p>
            <w:pPr>
              <w:widowControl/>
              <w:ind w:firstLine="640" w:firstLineChars="200"/>
              <w:jc w:val="left"/>
              <w:rPr>
                <w:rFonts w:ascii="宋体" w:hAnsi="宋体" w:cs="Arial"/>
                <w:color w:val="000000"/>
                <w:kern w:val="0"/>
                <w:sz w:val="32"/>
                <w:szCs w:val="32"/>
              </w:rPr>
            </w:pPr>
          </w:p>
          <w:p>
            <w:pPr>
              <w:widowControl/>
              <w:ind w:firstLine="640" w:firstLineChars="200"/>
              <w:jc w:val="left"/>
              <w:rPr>
                <w:rFonts w:ascii="宋体" w:hAnsi="宋体" w:cs="Arial"/>
                <w:color w:val="000000"/>
                <w:kern w:val="0"/>
                <w:sz w:val="32"/>
                <w:szCs w:val="32"/>
              </w:rPr>
            </w:pPr>
          </w:p>
          <w:p>
            <w:pPr>
              <w:widowControl/>
              <w:ind w:firstLine="640" w:firstLineChars="200"/>
              <w:jc w:val="left"/>
              <w:rPr>
                <w:rFonts w:ascii="宋体" w:hAnsi="宋体" w:cs="Arial"/>
                <w:color w:val="000000"/>
                <w:kern w:val="0"/>
                <w:sz w:val="32"/>
                <w:szCs w:val="32"/>
              </w:rPr>
            </w:pPr>
          </w:p>
          <w:p>
            <w:pPr>
              <w:widowControl/>
              <w:ind w:firstLine="640" w:firstLineChars="200"/>
              <w:jc w:val="left"/>
              <w:rPr>
                <w:rFonts w:ascii="宋体" w:hAnsi="宋体" w:cs="Arial"/>
                <w:color w:val="000000"/>
                <w:kern w:val="0"/>
                <w:sz w:val="32"/>
                <w:szCs w:val="32"/>
              </w:rPr>
            </w:pPr>
          </w:p>
          <w:p>
            <w:pPr>
              <w:widowControl/>
              <w:ind w:firstLine="640" w:firstLineChars="200"/>
              <w:jc w:val="left"/>
              <w:rPr>
                <w:rFonts w:ascii="宋体" w:hAnsi="宋体" w:cs="Arial"/>
                <w:color w:val="000000"/>
                <w:kern w:val="0"/>
                <w:sz w:val="32"/>
                <w:szCs w:val="32"/>
              </w:rPr>
            </w:pPr>
          </w:p>
          <w:p>
            <w:pPr>
              <w:widowControl/>
              <w:ind w:firstLine="640" w:firstLineChars="200"/>
              <w:jc w:val="left"/>
              <w:rPr>
                <w:rFonts w:ascii="宋体" w:hAnsi="宋体" w:cs="Arial"/>
                <w:color w:val="000000"/>
                <w:kern w:val="0"/>
                <w:sz w:val="32"/>
                <w:szCs w:val="32"/>
              </w:rPr>
            </w:pPr>
          </w:p>
          <w:p>
            <w:pPr>
              <w:widowControl/>
              <w:ind w:firstLine="640" w:firstLineChars="200"/>
              <w:jc w:val="left"/>
              <w:rPr>
                <w:rFonts w:ascii="宋体" w:hAnsi="宋体" w:cs="Arial"/>
                <w:color w:val="000000"/>
                <w:kern w:val="0"/>
                <w:sz w:val="32"/>
                <w:szCs w:val="32"/>
              </w:rPr>
            </w:pPr>
          </w:p>
          <w:p>
            <w:pPr>
              <w:widowControl/>
              <w:ind w:firstLine="640" w:firstLineChars="200"/>
              <w:jc w:val="left"/>
              <w:rPr>
                <w:rFonts w:ascii="宋体" w:hAnsi="宋体" w:cs="Arial"/>
                <w:color w:val="000000"/>
                <w:kern w:val="0"/>
                <w:sz w:val="32"/>
                <w:szCs w:val="32"/>
              </w:rPr>
            </w:pPr>
          </w:p>
          <w:p>
            <w:pPr>
              <w:widowControl/>
              <w:ind w:firstLine="640" w:firstLineChars="200"/>
              <w:jc w:val="left"/>
              <w:rPr>
                <w:rFonts w:ascii="宋体" w:hAnsi="宋体" w:cs="Arial"/>
                <w:color w:val="000000"/>
                <w:kern w:val="0"/>
                <w:sz w:val="32"/>
                <w:szCs w:val="32"/>
              </w:rPr>
            </w:pPr>
          </w:p>
          <w:p>
            <w:pPr>
              <w:widowControl/>
              <w:ind w:firstLine="640" w:firstLineChars="200"/>
              <w:jc w:val="left"/>
              <w:rPr>
                <w:rFonts w:ascii="宋体" w:hAnsi="宋体" w:cs="Arial"/>
                <w:color w:val="000000"/>
                <w:kern w:val="0"/>
                <w:sz w:val="32"/>
                <w:szCs w:val="32"/>
              </w:rPr>
            </w:pPr>
          </w:p>
          <w:p>
            <w:pPr>
              <w:widowControl/>
              <w:ind w:firstLine="640" w:firstLineChars="200"/>
              <w:jc w:val="left"/>
              <w:rPr>
                <w:rFonts w:ascii="宋体" w:hAnsi="宋体" w:cs="Arial"/>
                <w:color w:val="000000"/>
                <w:kern w:val="0"/>
                <w:sz w:val="32"/>
                <w:szCs w:val="32"/>
              </w:rPr>
            </w:pPr>
          </w:p>
          <w:p>
            <w:pPr>
              <w:widowControl/>
              <w:ind w:firstLine="640" w:firstLineChars="200"/>
              <w:jc w:val="left"/>
              <w:rPr>
                <w:rFonts w:ascii="宋体" w:hAnsi="宋体" w:cs="Arial"/>
                <w:color w:val="000000"/>
                <w:kern w:val="0"/>
                <w:sz w:val="32"/>
                <w:szCs w:val="32"/>
              </w:rPr>
            </w:pPr>
          </w:p>
          <w:p>
            <w:pPr>
              <w:widowControl/>
              <w:ind w:firstLine="640" w:firstLineChars="200"/>
              <w:jc w:val="left"/>
              <w:rPr>
                <w:rFonts w:ascii="宋体" w:hAnsi="宋体" w:cs="Arial"/>
                <w:color w:val="000000"/>
                <w:kern w:val="0"/>
                <w:sz w:val="32"/>
                <w:szCs w:val="32"/>
              </w:rPr>
            </w:pPr>
          </w:p>
          <w:p>
            <w:pPr>
              <w:widowControl/>
              <w:ind w:firstLine="640" w:firstLineChars="200"/>
              <w:jc w:val="left"/>
              <w:rPr>
                <w:rFonts w:ascii="宋体" w:hAnsi="宋体" w:cs="Arial"/>
                <w:color w:val="000000"/>
                <w:kern w:val="0"/>
                <w:sz w:val="32"/>
                <w:szCs w:val="32"/>
              </w:rPr>
            </w:pPr>
          </w:p>
          <w:p>
            <w:pPr>
              <w:widowControl/>
              <w:ind w:firstLine="640" w:firstLineChars="200"/>
              <w:jc w:val="left"/>
              <w:rPr>
                <w:rFonts w:ascii="宋体" w:hAnsi="宋体" w:cs="Arial"/>
                <w:color w:val="000000"/>
                <w:kern w:val="0"/>
                <w:sz w:val="32"/>
                <w:szCs w:val="32"/>
              </w:rPr>
            </w:pPr>
          </w:p>
          <w:p>
            <w:pPr>
              <w:widowControl/>
              <w:ind w:firstLine="640" w:firstLineChars="200"/>
              <w:jc w:val="left"/>
              <w:rPr>
                <w:rFonts w:ascii="宋体" w:hAnsi="宋体" w:cs="Arial"/>
                <w:color w:val="000000"/>
                <w:kern w:val="0"/>
                <w:sz w:val="32"/>
                <w:szCs w:val="32"/>
              </w:rPr>
            </w:pPr>
          </w:p>
        </w:tc>
      </w:tr>
    </w:tbl>
    <w:tbl>
      <w:tblPr>
        <w:tblStyle w:val="12"/>
        <w:tblpPr w:leftFromText="180" w:rightFromText="180" w:vertAnchor="text" w:horzAnchor="page" w:tblpX="996" w:tblpY="1"/>
        <w:tblOverlap w:val="never"/>
        <w:tblW w:w="11331" w:type="dxa"/>
        <w:tblInd w:w="0" w:type="dxa"/>
        <w:tblLayout w:type="autofit"/>
        <w:tblCellMar>
          <w:top w:w="0" w:type="dxa"/>
          <w:left w:w="108" w:type="dxa"/>
          <w:bottom w:w="0" w:type="dxa"/>
          <w:right w:w="108" w:type="dxa"/>
        </w:tblCellMar>
      </w:tblPr>
      <w:tblGrid>
        <w:gridCol w:w="368"/>
        <w:gridCol w:w="418"/>
        <w:gridCol w:w="786"/>
        <w:gridCol w:w="786"/>
        <w:gridCol w:w="777"/>
        <w:gridCol w:w="861"/>
        <w:gridCol w:w="1161"/>
        <w:gridCol w:w="64"/>
        <w:gridCol w:w="466"/>
        <w:gridCol w:w="398"/>
        <w:gridCol w:w="236"/>
        <w:gridCol w:w="369"/>
        <w:gridCol w:w="109"/>
        <w:gridCol w:w="1047"/>
        <w:gridCol w:w="605"/>
        <w:gridCol w:w="638"/>
        <w:gridCol w:w="1236"/>
        <w:gridCol w:w="1236"/>
        <w:gridCol w:w="1236"/>
        <w:gridCol w:w="786"/>
        <w:gridCol w:w="786"/>
        <w:gridCol w:w="786"/>
      </w:tblGrid>
      <w:tr>
        <w:tblPrEx>
          <w:tblCellMar>
            <w:top w:w="0" w:type="dxa"/>
            <w:left w:w="108" w:type="dxa"/>
            <w:bottom w:w="0" w:type="dxa"/>
            <w:right w:w="108" w:type="dxa"/>
          </w:tblCellMar>
        </w:tblPrEx>
        <w:trPr>
          <w:trHeight w:val="405" w:hRule="atLeast"/>
        </w:trPr>
        <w:tc>
          <w:tcPr>
            <w:tcW w:w="11331" w:type="dxa"/>
            <w:gridSpan w:val="22"/>
            <w:tcBorders>
              <w:top w:val="nil"/>
              <w:left w:val="nil"/>
              <w:bottom w:val="nil"/>
              <w:right w:val="nil"/>
            </w:tcBorders>
            <w:shd w:val="clear" w:color="auto" w:fill="auto"/>
            <w:noWrap/>
            <w:vAlign w:val="bottom"/>
          </w:tcPr>
          <w:p>
            <w:pPr>
              <w:widowControl/>
              <w:ind w:firstLine="300" w:firstLineChars="200"/>
              <w:jc w:val="center"/>
              <w:rPr>
                <w:rFonts w:hint="eastAsia" w:ascii="宋体" w:hAnsi="宋体" w:cs="Arial"/>
                <w:color w:val="000000"/>
                <w:kern w:val="0"/>
                <w:sz w:val="15"/>
                <w:szCs w:val="32"/>
              </w:rPr>
            </w:pPr>
          </w:p>
          <w:p>
            <w:pPr>
              <w:widowControl/>
              <w:ind w:firstLine="300" w:firstLineChars="200"/>
              <w:jc w:val="center"/>
              <w:rPr>
                <w:rFonts w:hint="eastAsia" w:ascii="宋体" w:hAnsi="宋体" w:cs="Arial"/>
                <w:color w:val="000000"/>
                <w:kern w:val="0"/>
                <w:sz w:val="15"/>
                <w:szCs w:val="32"/>
              </w:rPr>
            </w:pPr>
          </w:p>
          <w:p>
            <w:pPr>
              <w:widowControl/>
              <w:ind w:firstLine="300" w:firstLineChars="200"/>
              <w:jc w:val="center"/>
              <w:rPr>
                <w:rFonts w:ascii="宋体" w:hAnsi="宋体" w:cs="Arial"/>
                <w:color w:val="000000"/>
                <w:kern w:val="0"/>
                <w:sz w:val="15"/>
                <w:szCs w:val="32"/>
              </w:rPr>
            </w:pPr>
            <w:r>
              <w:rPr>
                <w:rFonts w:hint="eastAsia" w:ascii="宋体" w:hAnsi="宋体" w:cs="Arial"/>
                <w:color w:val="000000"/>
                <w:kern w:val="0"/>
                <w:sz w:val="15"/>
                <w:szCs w:val="32"/>
              </w:rPr>
              <w:t>财政拨款支出决算明细表</w:t>
            </w:r>
          </w:p>
        </w:tc>
      </w:tr>
      <w:tr>
        <w:tblPrEx>
          <w:tblCellMar>
            <w:top w:w="0" w:type="dxa"/>
            <w:left w:w="108" w:type="dxa"/>
            <w:bottom w:w="0" w:type="dxa"/>
            <w:right w:w="108" w:type="dxa"/>
          </w:tblCellMar>
        </w:tblPrEx>
        <w:trPr>
          <w:trHeight w:val="255" w:hRule="atLeast"/>
        </w:trPr>
        <w:tc>
          <w:tcPr>
            <w:tcW w:w="222" w:type="dxa"/>
            <w:tcBorders>
              <w:top w:val="nil"/>
              <w:left w:val="nil"/>
              <w:bottom w:val="nil"/>
              <w:right w:val="nil"/>
            </w:tcBorders>
            <w:shd w:val="clear" w:color="auto" w:fill="auto"/>
            <w:noWrap/>
            <w:vAlign w:val="bottom"/>
          </w:tcPr>
          <w:p>
            <w:pPr>
              <w:widowControl/>
              <w:ind w:firstLine="300" w:firstLineChars="200"/>
              <w:jc w:val="left"/>
              <w:rPr>
                <w:rFonts w:ascii="Arial" w:hAnsi="Arial" w:cs="Arial"/>
                <w:color w:val="000000"/>
                <w:kern w:val="0"/>
                <w:sz w:val="15"/>
                <w:szCs w:val="20"/>
              </w:rPr>
            </w:pPr>
          </w:p>
        </w:tc>
        <w:tc>
          <w:tcPr>
            <w:tcW w:w="252" w:type="dxa"/>
            <w:tcBorders>
              <w:top w:val="nil"/>
              <w:left w:val="nil"/>
              <w:bottom w:val="nil"/>
              <w:right w:val="nil"/>
            </w:tcBorders>
            <w:shd w:val="clear" w:color="auto" w:fill="auto"/>
            <w:noWrap/>
            <w:vAlign w:val="bottom"/>
          </w:tcPr>
          <w:p>
            <w:pPr>
              <w:widowControl/>
              <w:ind w:firstLine="300" w:firstLineChars="200"/>
              <w:jc w:val="left"/>
              <w:rPr>
                <w:rFonts w:ascii="Arial" w:hAnsi="Arial" w:cs="Arial"/>
                <w:color w:val="000000"/>
                <w:kern w:val="0"/>
                <w:sz w:val="15"/>
                <w:szCs w:val="20"/>
              </w:rPr>
            </w:pPr>
          </w:p>
        </w:tc>
        <w:tc>
          <w:tcPr>
            <w:tcW w:w="408" w:type="dxa"/>
            <w:tcBorders>
              <w:top w:val="nil"/>
              <w:left w:val="nil"/>
              <w:bottom w:val="nil"/>
              <w:right w:val="nil"/>
            </w:tcBorders>
            <w:shd w:val="clear" w:color="auto" w:fill="auto"/>
            <w:noWrap/>
            <w:vAlign w:val="bottom"/>
          </w:tcPr>
          <w:p>
            <w:pPr>
              <w:widowControl/>
              <w:ind w:firstLine="300" w:firstLineChars="200"/>
              <w:jc w:val="left"/>
              <w:rPr>
                <w:rFonts w:ascii="Arial" w:hAnsi="Arial" w:cs="Arial"/>
                <w:color w:val="000000"/>
                <w:kern w:val="0"/>
                <w:sz w:val="15"/>
                <w:szCs w:val="20"/>
              </w:rPr>
            </w:pPr>
          </w:p>
        </w:tc>
        <w:tc>
          <w:tcPr>
            <w:tcW w:w="3288" w:type="dxa"/>
            <w:gridSpan w:val="5"/>
            <w:tcBorders>
              <w:top w:val="nil"/>
              <w:left w:val="nil"/>
              <w:bottom w:val="nil"/>
              <w:right w:val="nil"/>
            </w:tcBorders>
            <w:shd w:val="clear" w:color="auto" w:fill="auto"/>
            <w:noWrap/>
            <w:vAlign w:val="bottom"/>
          </w:tcPr>
          <w:p>
            <w:pPr>
              <w:widowControl/>
              <w:ind w:firstLine="300" w:firstLineChars="200"/>
              <w:jc w:val="left"/>
              <w:rPr>
                <w:rFonts w:ascii="Arial" w:hAnsi="Arial" w:cs="Arial"/>
                <w:color w:val="000000"/>
                <w:kern w:val="0"/>
                <w:sz w:val="15"/>
                <w:szCs w:val="20"/>
              </w:rPr>
            </w:pPr>
          </w:p>
        </w:tc>
        <w:tc>
          <w:tcPr>
            <w:tcW w:w="441" w:type="dxa"/>
            <w:tcBorders>
              <w:top w:val="nil"/>
              <w:left w:val="nil"/>
              <w:bottom w:val="nil"/>
              <w:right w:val="nil"/>
            </w:tcBorders>
            <w:shd w:val="clear" w:color="auto" w:fill="auto"/>
            <w:noWrap/>
            <w:vAlign w:val="bottom"/>
          </w:tcPr>
          <w:p>
            <w:pPr>
              <w:widowControl/>
              <w:ind w:firstLine="300" w:firstLineChars="200"/>
              <w:jc w:val="left"/>
              <w:rPr>
                <w:rFonts w:ascii="Arial" w:hAnsi="Arial" w:cs="Arial"/>
                <w:color w:val="000000"/>
                <w:kern w:val="0"/>
                <w:sz w:val="15"/>
                <w:szCs w:val="20"/>
              </w:rPr>
            </w:pPr>
          </w:p>
        </w:tc>
        <w:tc>
          <w:tcPr>
            <w:tcW w:w="377" w:type="dxa"/>
            <w:tcBorders>
              <w:top w:val="nil"/>
              <w:left w:val="nil"/>
              <w:bottom w:val="nil"/>
              <w:right w:val="nil"/>
            </w:tcBorders>
            <w:shd w:val="clear" w:color="auto" w:fill="auto"/>
            <w:noWrap/>
            <w:vAlign w:val="bottom"/>
          </w:tcPr>
          <w:p>
            <w:pPr>
              <w:widowControl/>
              <w:ind w:firstLine="300" w:firstLineChars="200"/>
              <w:jc w:val="left"/>
              <w:rPr>
                <w:rFonts w:ascii="Arial" w:hAnsi="Arial" w:cs="Arial"/>
                <w:color w:val="000000"/>
                <w:kern w:val="0"/>
                <w:sz w:val="15"/>
                <w:szCs w:val="20"/>
              </w:rPr>
            </w:pPr>
          </w:p>
        </w:tc>
        <w:tc>
          <w:tcPr>
            <w:tcW w:w="675" w:type="dxa"/>
            <w:gridSpan w:val="3"/>
            <w:tcBorders>
              <w:top w:val="nil"/>
              <w:left w:val="nil"/>
              <w:bottom w:val="nil"/>
              <w:right w:val="nil"/>
            </w:tcBorders>
            <w:shd w:val="clear" w:color="auto" w:fill="auto"/>
            <w:noWrap/>
            <w:vAlign w:val="bottom"/>
          </w:tcPr>
          <w:p>
            <w:pPr>
              <w:widowControl/>
              <w:ind w:firstLine="300" w:firstLineChars="200"/>
              <w:jc w:val="left"/>
              <w:rPr>
                <w:rFonts w:ascii="Arial" w:hAnsi="Arial" w:cs="Arial"/>
                <w:color w:val="000000"/>
                <w:kern w:val="0"/>
                <w:sz w:val="15"/>
                <w:szCs w:val="20"/>
              </w:rPr>
            </w:pPr>
          </w:p>
        </w:tc>
        <w:tc>
          <w:tcPr>
            <w:tcW w:w="1258" w:type="dxa"/>
            <w:gridSpan w:val="2"/>
            <w:tcBorders>
              <w:top w:val="nil"/>
              <w:left w:val="nil"/>
              <w:bottom w:val="nil"/>
              <w:right w:val="nil"/>
            </w:tcBorders>
            <w:shd w:val="clear" w:color="auto" w:fill="auto"/>
            <w:noWrap/>
            <w:vAlign w:val="bottom"/>
          </w:tcPr>
          <w:p>
            <w:pPr>
              <w:widowControl/>
              <w:ind w:firstLine="300" w:firstLineChars="200"/>
              <w:jc w:val="left"/>
              <w:rPr>
                <w:rFonts w:ascii="Arial" w:hAnsi="Arial" w:cs="Arial"/>
                <w:color w:val="000000"/>
                <w:kern w:val="0"/>
                <w:sz w:val="15"/>
                <w:szCs w:val="20"/>
              </w:rPr>
            </w:pPr>
          </w:p>
        </w:tc>
        <w:tc>
          <w:tcPr>
            <w:tcW w:w="638" w:type="dxa"/>
            <w:tcBorders>
              <w:top w:val="nil"/>
              <w:left w:val="nil"/>
              <w:bottom w:val="nil"/>
              <w:right w:val="nil"/>
            </w:tcBorders>
            <w:shd w:val="clear" w:color="auto" w:fill="auto"/>
            <w:noWrap/>
            <w:vAlign w:val="bottom"/>
          </w:tcPr>
          <w:p>
            <w:pPr>
              <w:widowControl/>
              <w:ind w:firstLine="300" w:firstLineChars="200"/>
              <w:jc w:val="left"/>
              <w:rPr>
                <w:rFonts w:ascii="Arial" w:hAnsi="Arial" w:cs="Arial"/>
                <w:color w:val="000000"/>
                <w:kern w:val="0"/>
                <w:sz w:val="15"/>
                <w:szCs w:val="20"/>
              </w:rPr>
            </w:pPr>
          </w:p>
        </w:tc>
        <w:tc>
          <w:tcPr>
            <w:tcW w:w="3772" w:type="dxa"/>
            <w:gridSpan w:val="6"/>
            <w:tcBorders>
              <w:top w:val="nil"/>
              <w:left w:val="nil"/>
              <w:bottom w:val="nil"/>
              <w:right w:val="nil"/>
            </w:tcBorders>
            <w:shd w:val="clear" w:color="auto" w:fill="auto"/>
            <w:noWrap/>
            <w:vAlign w:val="bottom"/>
          </w:tcPr>
          <w:p>
            <w:pPr>
              <w:widowControl/>
              <w:ind w:firstLine="300" w:firstLineChars="200"/>
              <w:jc w:val="right"/>
              <w:rPr>
                <w:rFonts w:ascii="宋体" w:hAnsi="宋体" w:cs="Arial"/>
                <w:color w:val="000000"/>
                <w:kern w:val="0"/>
                <w:sz w:val="15"/>
                <w:szCs w:val="20"/>
              </w:rPr>
            </w:pPr>
            <w:r>
              <w:rPr>
                <w:rFonts w:hint="eastAsia" w:ascii="宋体" w:hAnsi="宋体" w:cs="Arial"/>
                <w:color w:val="000000"/>
                <w:kern w:val="0"/>
                <w:sz w:val="15"/>
                <w:szCs w:val="20"/>
              </w:rPr>
              <w:t>财决公开05表</w:t>
            </w:r>
          </w:p>
        </w:tc>
      </w:tr>
      <w:tr>
        <w:tblPrEx>
          <w:tblCellMar>
            <w:top w:w="0" w:type="dxa"/>
            <w:left w:w="108" w:type="dxa"/>
            <w:bottom w:w="0" w:type="dxa"/>
            <w:right w:w="108" w:type="dxa"/>
          </w:tblCellMar>
        </w:tblPrEx>
        <w:trPr>
          <w:trHeight w:val="351" w:hRule="atLeast"/>
        </w:trPr>
        <w:tc>
          <w:tcPr>
            <w:tcW w:w="5663" w:type="dxa"/>
            <w:gridSpan w:val="13"/>
            <w:tcBorders>
              <w:top w:val="nil"/>
              <w:left w:val="nil"/>
              <w:bottom w:val="single" w:color="000000" w:sz="4" w:space="0"/>
              <w:right w:val="nil"/>
            </w:tcBorders>
            <w:shd w:val="clear" w:color="auto" w:fill="auto"/>
            <w:noWrap/>
            <w:vAlign w:val="bottom"/>
          </w:tcPr>
          <w:p>
            <w:pPr>
              <w:widowControl/>
              <w:ind w:firstLine="300" w:firstLineChars="200"/>
              <w:jc w:val="left"/>
              <w:rPr>
                <w:rFonts w:ascii="宋体" w:hAnsi="宋体" w:cs="Arial"/>
                <w:color w:val="000000"/>
                <w:kern w:val="0"/>
                <w:sz w:val="15"/>
                <w:szCs w:val="20"/>
              </w:rPr>
            </w:pPr>
            <w:r>
              <w:rPr>
                <w:rFonts w:hint="eastAsia" w:ascii="宋体" w:hAnsi="宋体" w:cs="Arial"/>
                <w:color w:val="000000"/>
                <w:kern w:val="0"/>
                <w:sz w:val="15"/>
                <w:szCs w:val="20"/>
              </w:rPr>
              <w:t>部门：四川省阿坝州汶川县纪委监察委（本级）</w:t>
            </w:r>
          </w:p>
        </w:tc>
        <w:tc>
          <w:tcPr>
            <w:tcW w:w="1258" w:type="dxa"/>
            <w:gridSpan w:val="2"/>
            <w:tcBorders>
              <w:top w:val="nil"/>
              <w:left w:val="nil"/>
              <w:bottom w:val="nil"/>
              <w:right w:val="nil"/>
            </w:tcBorders>
            <w:shd w:val="clear" w:color="auto" w:fill="auto"/>
            <w:noWrap/>
            <w:vAlign w:val="bottom"/>
          </w:tcPr>
          <w:p>
            <w:pPr>
              <w:widowControl/>
              <w:ind w:firstLine="300" w:firstLineChars="200"/>
              <w:jc w:val="left"/>
              <w:rPr>
                <w:rFonts w:ascii="Arial" w:hAnsi="Arial" w:cs="Arial"/>
                <w:color w:val="000000"/>
                <w:kern w:val="0"/>
                <w:sz w:val="15"/>
                <w:szCs w:val="20"/>
              </w:rPr>
            </w:pPr>
          </w:p>
        </w:tc>
        <w:tc>
          <w:tcPr>
            <w:tcW w:w="638" w:type="dxa"/>
            <w:tcBorders>
              <w:top w:val="nil"/>
              <w:left w:val="nil"/>
              <w:bottom w:val="nil"/>
              <w:right w:val="nil"/>
            </w:tcBorders>
            <w:shd w:val="clear" w:color="auto" w:fill="auto"/>
            <w:noWrap/>
            <w:vAlign w:val="bottom"/>
          </w:tcPr>
          <w:p>
            <w:pPr>
              <w:widowControl/>
              <w:ind w:firstLine="300" w:firstLineChars="200"/>
              <w:jc w:val="left"/>
              <w:rPr>
                <w:rFonts w:ascii="Arial" w:hAnsi="Arial" w:cs="Arial"/>
                <w:color w:val="000000"/>
                <w:kern w:val="0"/>
                <w:sz w:val="15"/>
                <w:szCs w:val="20"/>
              </w:rPr>
            </w:pPr>
          </w:p>
        </w:tc>
        <w:tc>
          <w:tcPr>
            <w:tcW w:w="3772" w:type="dxa"/>
            <w:gridSpan w:val="6"/>
            <w:tcBorders>
              <w:top w:val="nil"/>
              <w:left w:val="nil"/>
              <w:bottom w:val="single" w:color="000000" w:sz="4" w:space="0"/>
              <w:right w:val="nil"/>
            </w:tcBorders>
            <w:shd w:val="clear" w:color="auto" w:fill="auto"/>
            <w:noWrap/>
            <w:vAlign w:val="bottom"/>
          </w:tcPr>
          <w:p>
            <w:pPr>
              <w:widowControl/>
              <w:ind w:firstLine="300" w:firstLineChars="200"/>
              <w:jc w:val="right"/>
              <w:rPr>
                <w:rFonts w:ascii="宋体" w:hAnsi="宋体" w:cs="Arial"/>
                <w:color w:val="000000"/>
                <w:kern w:val="0"/>
                <w:sz w:val="15"/>
                <w:szCs w:val="20"/>
              </w:rPr>
            </w:pPr>
            <w:r>
              <w:rPr>
                <w:rFonts w:hint="eastAsia" w:ascii="宋体" w:hAnsi="宋体" w:cs="Arial"/>
                <w:color w:val="000000"/>
                <w:kern w:val="0"/>
                <w:sz w:val="15"/>
                <w:szCs w:val="20"/>
              </w:rPr>
              <w:t>金额单位：万元</w:t>
            </w:r>
          </w:p>
        </w:tc>
      </w:tr>
      <w:tr>
        <w:tblPrEx>
          <w:tblCellMar>
            <w:top w:w="0" w:type="dxa"/>
            <w:left w:w="108" w:type="dxa"/>
            <w:bottom w:w="0" w:type="dxa"/>
            <w:right w:w="108" w:type="dxa"/>
          </w:tblCellMar>
        </w:tblPrEx>
        <w:trPr>
          <w:trHeight w:val="492" w:hRule="atLeast"/>
        </w:trPr>
        <w:tc>
          <w:tcPr>
            <w:tcW w:w="2376" w:type="dxa"/>
            <w:gridSpan w:val="5"/>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项    目</w:t>
            </w:r>
          </w:p>
        </w:tc>
        <w:tc>
          <w:tcPr>
            <w:tcW w:w="709" w:type="dxa"/>
            <w:vMerge w:val="restart"/>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行次</w:t>
            </w:r>
          </w:p>
        </w:tc>
        <w:tc>
          <w:tcPr>
            <w:tcW w:w="992" w:type="dxa"/>
            <w:vMerge w:val="restart"/>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合计</w:t>
            </w:r>
          </w:p>
        </w:tc>
        <w:tc>
          <w:tcPr>
            <w:tcW w:w="3482" w:type="dxa"/>
            <w:gridSpan w:val="9"/>
            <w:tcBorders>
              <w:top w:val="single" w:color="000000" w:sz="4" w:space="0"/>
              <w:left w:val="nil"/>
              <w:bottom w:val="single" w:color="000000" w:sz="4" w:space="0"/>
              <w:right w:val="single" w:color="000000" w:sz="4" w:space="0"/>
            </w:tcBorders>
            <w:shd w:val="clear" w:color="FFFFFF" w:fill="C0C0C0"/>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一般公共预算财政拨款</w:t>
            </w:r>
          </w:p>
        </w:tc>
        <w:tc>
          <w:tcPr>
            <w:tcW w:w="2413" w:type="dxa"/>
            <w:gridSpan w:val="3"/>
            <w:tcBorders>
              <w:top w:val="single" w:color="000000" w:sz="4" w:space="0"/>
              <w:left w:val="nil"/>
              <w:bottom w:val="single" w:color="000000" w:sz="4" w:space="0"/>
              <w:right w:val="single" w:color="000000" w:sz="4" w:space="0"/>
            </w:tcBorders>
            <w:shd w:val="clear" w:color="FFFFFF" w:fill="C0C0C0"/>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政府性基金预算财政拨款</w:t>
            </w:r>
          </w:p>
        </w:tc>
        <w:tc>
          <w:tcPr>
            <w:tcW w:w="1359" w:type="dxa"/>
            <w:gridSpan w:val="3"/>
            <w:tcBorders>
              <w:top w:val="single" w:color="000000" w:sz="4" w:space="0"/>
              <w:left w:val="nil"/>
              <w:bottom w:val="single" w:color="000000" w:sz="4" w:space="0"/>
              <w:right w:val="single" w:color="000000" w:sz="4" w:space="0"/>
            </w:tcBorders>
            <w:shd w:val="clear" w:color="FFFFFF" w:fill="C0C0C0"/>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国有资本经营预算财政拨款</w:t>
            </w:r>
          </w:p>
        </w:tc>
      </w:tr>
      <w:tr>
        <w:tblPrEx>
          <w:tblCellMar>
            <w:top w:w="0" w:type="dxa"/>
            <w:left w:w="108" w:type="dxa"/>
            <w:bottom w:w="0" w:type="dxa"/>
            <w:right w:w="108" w:type="dxa"/>
          </w:tblCellMar>
        </w:tblPrEx>
        <w:trPr>
          <w:trHeight w:val="462" w:hRule="atLeast"/>
        </w:trPr>
        <w:tc>
          <w:tcPr>
            <w:tcW w:w="882"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经济分类科目编码</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科目名称</w:t>
            </w:r>
          </w:p>
        </w:tc>
        <w:tc>
          <w:tcPr>
            <w:tcW w:w="709" w:type="dxa"/>
            <w:vMerge w:val="continue"/>
            <w:tcBorders>
              <w:top w:val="nil"/>
              <w:left w:val="nil"/>
              <w:bottom w:val="single" w:color="000000" w:sz="4" w:space="0"/>
              <w:right w:val="single" w:color="000000" w:sz="4" w:space="0"/>
            </w:tcBorders>
            <w:vAlign w:val="center"/>
          </w:tcPr>
          <w:p>
            <w:pPr>
              <w:widowControl/>
              <w:ind w:firstLine="300" w:firstLineChars="200"/>
              <w:jc w:val="left"/>
              <w:rPr>
                <w:rFonts w:ascii="宋体" w:hAnsi="宋体" w:cs="Arial"/>
                <w:color w:val="000000"/>
                <w:kern w:val="0"/>
                <w:sz w:val="15"/>
                <w:szCs w:val="20"/>
              </w:rPr>
            </w:pPr>
          </w:p>
        </w:tc>
        <w:tc>
          <w:tcPr>
            <w:tcW w:w="992" w:type="dxa"/>
            <w:vMerge w:val="continue"/>
            <w:tcBorders>
              <w:top w:val="nil"/>
              <w:left w:val="nil"/>
              <w:bottom w:val="single" w:color="000000" w:sz="4" w:space="0"/>
              <w:right w:val="single" w:color="000000" w:sz="4" w:space="0"/>
            </w:tcBorders>
            <w:vAlign w:val="center"/>
          </w:tcPr>
          <w:p>
            <w:pPr>
              <w:widowControl/>
              <w:ind w:firstLine="300" w:firstLineChars="200"/>
              <w:jc w:val="left"/>
              <w:rPr>
                <w:rFonts w:ascii="宋体" w:hAnsi="宋体" w:cs="Arial"/>
                <w:color w:val="000000"/>
                <w:kern w:val="0"/>
                <w:sz w:val="15"/>
                <w:szCs w:val="22"/>
              </w:rPr>
            </w:pPr>
          </w:p>
        </w:tc>
        <w:tc>
          <w:tcPr>
            <w:tcW w:w="1134" w:type="dxa"/>
            <w:gridSpan w:val="4"/>
            <w:tcBorders>
              <w:top w:val="nil"/>
              <w:left w:val="nil"/>
              <w:bottom w:val="single" w:color="000000" w:sz="4" w:space="0"/>
              <w:right w:val="single" w:color="000000" w:sz="4" w:space="0"/>
            </w:tcBorders>
            <w:shd w:val="clear" w:color="FFFFFF" w:fill="C0C0C0"/>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小计</w:t>
            </w:r>
          </w:p>
        </w:tc>
        <w:tc>
          <w:tcPr>
            <w:tcW w:w="1249" w:type="dxa"/>
            <w:gridSpan w:val="3"/>
            <w:tcBorders>
              <w:top w:val="nil"/>
              <w:left w:val="nil"/>
              <w:bottom w:val="single" w:color="000000" w:sz="4" w:space="0"/>
              <w:right w:val="single" w:color="000000" w:sz="4" w:space="0"/>
            </w:tcBorders>
            <w:shd w:val="clear" w:color="FFFFFF" w:fill="C0C0C0"/>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基本支出</w:t>
            </w:r>
          </w:p>
        </w:tc>
        <w:tc>
          <w:tcPr>
            <w:tcW w:w="1099" w:type="dxa"/>
            <w:gridSpan w:val="2"/>
            <w:tcBorders>
              <w:top w:val="nil"/>
              <w:left w:val="nil"/>
              <w:bottom w:val="single" w:color="000000" w:sz="4" w:space="0"/>
              <w:right w:val="single" w:color="000000" w:sz="4" w:space="0"/>
            </w:tcBorders>
            <w:shd w:val="clear" w:color="FFFFFF" w:fill="C0C0C0"/>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项目支出</w:t>
            </w:r>
          </w:p>
        </w:tc>
        <w:tc>
          <w:tcPr>
            <w:tcW w:w="703" w:type="dxa"/>
            <w:tcBorders>
              <w:top w:val="nil"/>
              <w:left w:val="nil"/>
              <w:bottom w:val="single" w:color="000000" w:sz="4" w:space="0"/>
              <w:right w:val="single" w:color="000000" w:sz="4" w:space="0"/>
            </w:tcBorders>
            <w:shd w:val="clear" w:color="FFFFFF" w:fill="C0C0C0"/>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小计</w:t>
            </w:r>
          </w:p>
        </w:tc>
        <w:tc>
          <w:tcPr>
            <w:tcW w:w="1081" w:type="dxa"/>
            <w:tcBorders>
              <w:top w:val="nil"/>
              <w:left w:val="nil"/>
              <w:bottom w:val="single" w:color="000000" w:sz="4" w:space="0"/>
              <w:right w:val="single" w:color="000000" w:sz="4" w:space="0"/>
            </w:tcBorders>
            <w:shd w:val="clear" w:color="FFFFFF" w:fill="C0C0C0"/>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基本支出</w:t>
            </w:r>
          </w:p>
        </w:tc>
        <w:tc>
          <w:tcPr>
            <w:tcW w:w="629" w:type="dxa"/>
            <w:tcBorders>
              <w:top w:val="nil"/>
              <w:left w:val="nil"/>
              <w:bottom w:val="single" w:color="000000" w:sz="4" w:space="0"/>
              <w:right w:val="single" w:color="000000" w:sz="4" w:space="0"/>
            </w:tcBorders>
            <w:shd w:val="clear" w:color="FFFFFF" w:fill="C0C0C0"/>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项目支出</w:t>
            </w:r>
          </w:p>
        </w:tc>
        <w:tc>
          <w:tcPr>
            <w:tcW w:w="366" w:type="dxa"/>
            <w:tcBorders>
              <w:top w:val="nil"/>
              <w:left w:val="nil"/>
              <w:bottom w:val="single" w:color="000000" w:sz="4" w:space="0"/>
              <w:right w:val="single" w:color="000000" w:sz="4" w:space="0"/>
            </w:tcBorders>
            <w:shd w:val="clear" w:color="FFFFFF" w:fill="C0C0C0"/>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小计</w:t>
            </w:r>
          </w:p>
        </w:tc>
        <w:tc>
          <w:tcPr>
            <w:tcW w:w="366" w:type="dxa"/>
            <w:tcBorders>
              <w:top w:val="nil"/>
              <w:left w:val="nil"/>
              <w:bottom w:val="single" w:color="000000" w:sz="4" w:space="0"/>
              <w:right w:val="single" w:color="000000" w:sz="4" w:space="0"/>
            </w:tcBorders>
            <w:shd w:val="clear" w:color="FFFFFF" w:fill="C0C0C0"/>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基本支出</w:t>
            </w:r>
          </w:p>
        </w:tc>
        <w:tc>
          <w:tcPr>
            <w:tcW w:w="627" w:type="dxa"/>
            <w:tcBorders>
              <w:top w:val="nil"/>
              <w:left w:val="nil"/>
              <w:bottom w:val="single" w:color="000000" w:sz="4" w:space="0"/>
              <w:right w:val="single" w:color="000000" w:sz="4" w:space="0"/>
            </w:tcBorders>
            <w:shd w:val="clear" w:color="FFFFFF" w:fill="C0C0C0"/>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项目支出</w:t>
            </w:r>
          </w:p>
        </w:tc>
      </w:tr>
      <w:tr>
        <w:tblPrEx>
          <w:tblCellMar>
            <w:top w:w="0" w:type="dxa"/>
            <w:left w:w="108" w:type="dxa"/>
            <w:bottom w:w="0" w:type="dxa"/>
            <w:right w:w="108" w:type="dxa"/>
          </w:tblCellMar>
        </w:tblPrEx>
        <w:trPr>
          <w:trHeight w:val="308" w:hRule="atLeast"/>
        </w:trPr>
        <w:tc>
          <w:tcPr>
            <w:tcW w:w="882" w:type="dxa"/>
            <w:gridSpan w:val="3"/>
            <w:vMerge w:val="continue"/>
            <w:tcBorders>
              <w:top w:val="nil"/>
              <w:left w:val="single" w:color="000000" w:sz="4" w:space="0"/>
              <w:bottom w:val="single" w:color="000000" w:sz="4" w:space="0"/>
              <w:right w:val="single" w:color="000000" w:sz="4" w:space="0"/>
            </w:tcBorders>
            <w:vAlign w:val="center"/>
          </w:tcPr>
          <w:p>
            <w:pPr>
              <w:widowControl/>
              <w:ind w:firstLine="300" w:firstLineChars="200"/>
              <w:jc w:val="left"/>
              <w:rPr>
                <w:rFonts w:ascii="宋体" w:hAnsi="宋体" w:cs="Arial"/>
                <w:color w:val="000000"/>
                <w:kern w:val="0"/>
                <w:sz w:val="15"/>
                <w:szCs w:val="22"/>
              </w:rPr>
            </w:pP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合计</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1</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1087.98</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865.15</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172.58</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1" w:firstLineChars="200"/>
              <w:jc w:val="left"/>
              <w:rPr>
                <w:rFonts w:ascii="宋体" w:hAnsi="宋体" w:cs="Arial"/>
                <w:b/>
                <w:bCs/>
                <w:color w:val="000000"/>
                <w:kern w:val="0"/>
                <w:sz w:val="15"/>
                <w:szCs w:val="22"/>
              </w:rPr>
            </w:pPr>
            <w:r>
              <w:rPr>
                <w:rFonts w:hint="eastAsia" w:ascii="宋体" w:hAnsi="宋体" w:cs="Arial"/>
                <w:b/>
                <w:bCs/>
                <w:color w:val="000000"/>
                <w:kern w:val="0"/>
                <w:sz w:val="15"/>
                <w:szCs w:val="22"/>
              </w:rPr>
              <w:t>301</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1" w:firstLineChars="200"/>
              <w:jc w:val="left"/>
              <w:rPr>
                <w:rFonts w:ascii="宋体" w:hAnsi="宋体" w:cs="Arial"/>
                <w:b/>
                <w:bCs/>
                <w:color w:val="000000"/>
                <w:kern w:val="0"/>
                <w:sz w:val="15"/>
                <w:szCs w:val="22"/>
              </w:rPr>
            </w:pPr>
            <w:r>
              <w:rPr>
                <w:rFonts w:hint="eastAsia" w:ascii="宋体" w:hAnsi="宋体" w:cs="Arial"/>
                <w:b/>
                <w:bCs/>
                <w:color w:val="000000"/>
                <w:kern w:val="0"/>
                <w:sz w:val="15"/>
                <w:szCs w:val="22"/>
              </w:rPr>
              <w:t>工资福利支出</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1" w:firstLineChars="200"/>
              <w:jc w:val="center"/>
              <w:rPr>
                <w:rFonts w:ascii="宋体" w:hAnsi="宋体" w:cs="Arial"/>
                <w:b/>
                <w:bCs/>
                <w:color w:val="000000"/>
                <w:kern w:val="0"/>
                <w:sz w:val="15"/>
                <w:szCs w:val="20"/>
              </w:rPr>
            </w:pPr>
            <w:r>
              <w:rPr>
                <w:rFonts w:hint="eastAsia" w:ascii="宋体" w:hAnsi="宋体" w:cs="Arial"/>
                <w:b/>
                <w:bCs/>
                <w:color w:val="000000"/>
                <w:kern w:val="0"/>
                <w:sz w:val="15"/>
                <w:szCs w:val="20"/>
              </w:rPr>
              <w:t>2</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568.81</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568.81</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568.81</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30101</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基本工资</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3</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172.92</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172.92</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172.92</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30102</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津贴补贴</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4</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170.78</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170.78</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170.78</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30103</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奖金</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5</w:t>
            </w:r>
          </w:p>
        </w:tc>
        <w:tc>
          <w:tcPr>
            <w:tcW w:w="992" w:type="dxa"/>
            <w:tcBorders>
              <w:top w:val="nil"/>
              <w:left w:val="nil"/>
              <w:bottom w:val="single" w:color="000000" w:sz="4" w:space="0"/>
              <w:right w:val="single" w:color="000000" w:sz="4" w:space="0"/>
            </w:tcBorders>
            <w:shd w:val="clear" w:color="auto" w:fill="auto"/>
            <w:noWrap/>
            <w:vAlign w:val="center"/>
          </w:tcPr>
          <w:p>
            <w:pPr>
              <w:widowControl/>
              <w:ind w:right="150"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17.66</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right="150"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17.66</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right="150"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17.66</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30106</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伙食补助费</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6</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30107</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绩效工资</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7</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30108</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机关事业单位基本养老保险费</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8</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55.70</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55.70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55.70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30109</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职业年金缴费</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9</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26.19</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26.19</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26.19</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30110</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职工基本医疗保险缴费</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10</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42.86</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42.86</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42.86</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30111</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公务员医疗补助缴费</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11</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30112</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其他社会保障缴费</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12</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5.38</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5.38</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5.38</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30113</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住房公积金</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13</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60.49</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60.49</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60.49</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30114</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医疗费</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14</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30199</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其他工资福利支出</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15</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16.82</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16.82</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16.82</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1" w:firstLineChars="200"/>
              <w:jc w:val="left"/>
              <w:rPr>
                <w:rFonts w:ascii="宋体" w:hAnsi="宋体" w:cs="Arial"/>
                <w:b/>
                <w:bCs/>
                <w:color w:val="000000"/>
                <w:kern w:val="0"/>
                <w:sz w:val="15"/>
                <w:szCs w:val="22"/>
              </w:rPr>
            </w:pPr>
            <w:r>
              <w:rPr>
                <w:rFonts w:hint="eastAsia" w:ascii="宋体" w:hAnsi="宋体" w:cs="Arial"/>
                <w:b/>
                <w:bCs/>
                <w:color w:val="000000"/>
                <w:kern w:val="0"/>
                <w:sz w:val="15"/>
                <w:szCs w:val="22"/>
              </w:rPr>
              <w:t>302</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1" w:firstLineChars="200"/>
              <w:jc w:val="left"/>
              <w:rPr>
                <w:rFonts w:ascii="宋体" w:hAnsi="宋体" w:cs="Arial"/>
                <w:b/>
                <w:bCs/>
                <w:color w:val="000000"/>
                <w:kern w:val="0"/>
                <w:sz w:val="15"/>
                <w:szCs w:val="22"/>
              </w:rPr>
            </w:pPr>
            <w:r>
              <w:rPr>
                <w:rFonts w:hint="eastAsia" w:ascii="宋体" w:hAnsi="宋体" w:cs="Arial"/>
                <w:b/>
                <w:bCs/>
                <w:color w:val="000000"/>
                <w:kern w:val="0"/>
                <w:sz w:val="15"/>
                <w:szCs w:val="22"/>
              </w:rPr>
              <w:t>商品和服务支出</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16</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136.06</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94.70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172.58</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30201</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办公费</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17</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31.96</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20.27</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99.02</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30202</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印刷费</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18</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7.37</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4.02</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4.04</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30203</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咨询费</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19</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0.20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30204</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手续费</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20</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30205</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水费</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21</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0.01</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0.63</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30206</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电费</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22</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1.3</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0.63</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30207</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邮电费</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23</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24.38</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2.06</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7.11</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30208</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取暖费</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24</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30209</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物业管理费</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25</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30211</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差旅费</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26</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37.74</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44.47</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45.61</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30212</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因公出国（境）费用</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27</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30213</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维修（护）费</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28</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0.15</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0.5</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30214</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租赁费</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29</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30215</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会议费</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30</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0.99</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30216</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培训费</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31</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0.38</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0.36</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4.70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30217</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公务接待费</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32</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1.28</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30218</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专用材料费</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33</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30224</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被装购置费</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34</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30225</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专用燃料费</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35</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30226</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劳务费</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36</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0.53</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0.78</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0.62</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30227</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委托业务费</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37</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30228</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工会经费</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38</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30229</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福利费</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39</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30231</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公务用车运行维护费</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40</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28.41</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21.91</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8.43</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30239</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其他交通费用</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41</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1.4</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1.92</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30240</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税金及附加费用</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42</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30299</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其他商品和服务支出</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43</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0.15</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2.97</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1" w:firstLineChars="200"/>
              <w:jc w:val="left"/>
              <w:rPr>
                <w:rFonts w:ascii="宋体" w:hAnsi="宋体" w:cs="Arial"/>
                <w:b/>
                <w:bCs/>
                <w:color w:val="000000"/>
                <w:kern w:val="0"/>
                <w:sz w:val="15"/>
                <w:szCs w:val="22"/>
              </w:rPr>
            </w:pPr>
            <w:r>
              <w:rPr>
                <w:rFonts w:hint="eastAsia" w:ascii="宋体" w:hAnsi="宋体" w:cs="Arial"/>
                <w:b/>
                <w:bCs/>
                <w:color w:val="000000"/>
                <w:kern w:val="0"/>
                <w:sz w:val="15"/>
                <w:szCs w:val="22"/>
              </w:rPr>
              <w:t>303</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1" w:firstLineChars="200"/>
              <w:jc w:val="left"/>
              <w:rPr>
                <w:rFonts w:ascii="宋体" w:hAnsi="宋体" w:cs="Arial"/>
                <w:b/>
                <w:bCs/>
                <w:color w:val="000000"/>
                <w:kern w:val="0"/>
                <w:sz w:val="15"/>
                <w:szCs w:val="22"/>
              </w:rPr>
            </w:pPr>
            <w:r>
              <w:rPr>
                <w:rFonts w:hint="eastAsia" w:ascii="宋体" w:hAnsi="宋体" w:cs="Arial"/>
                <w:b/>
                <w:bCs/>
                <w:color w:val="000000"/>
                <w:kern w:val="0"/>
                <w:sz w:val="15"/>
                <w:szCs w:val="22"/>
              </w:rPr>
              <w:t>对个人和家庭的补助</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44</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144.82</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192.10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2.81</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30301</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离休费</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45</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30302</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退休费</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46</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30303</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退职（役）费</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47</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30304</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抚恤金</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48</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30305</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生活补助</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49</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7.19</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3.43</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2.13</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30306</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救济费</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50</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30307</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医疗费补助</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51</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30308</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助学金</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52</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30309</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奖励金</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53</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134.30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187.19</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30310</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个人农业生产补贴</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54</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30399</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其他个人和家庭的补助支出</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55</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3.33</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1.49</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0.69</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1" w:firstLineChars="200"/>
              <w:jc w:val="left"/>
              <w:rPr>
                <w:rFonts w:ascii="宋体" w:hAnsi="宋体" w:cs="Arial"/>
                <w:b/>
                <w:bCs/>
                <w:color w:val="000000"/>
                <w:kern w:val="0"/>
                <w:sz w:val="15"/>
                <w:szCs w:val="22"/>
              </w:rPr>
            </w:pPr>
            <w:r>
              <w:rPr>
                <w:rFonts w:hint="eastAsia" w:ascii="宋体" w:hAnsi="宋体" w:cs="Arial"/>
                <w:b/>
                <w:bCs/>
                <w:color w:val="000000"/>
                <w:kern w:val="0"/>
                <w:sz w:val="15"/>
                <w:szCs w:val="22"/>
              </w:rPr>
              <w:t>307</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1" w:firstLineChars="200"/>
              <w:jc w:val="left"/>
              <w:rPr>
                <w:rFonts w:ascii="宋体" w:hAnsi="宋体" w:cs="Arial"/>
                <w:b/>
                <w:bCs/>
                <w:color w:val="000000"/>
                <w:kern w:val="0"/>
                <w:sz w:val="15"/>
                <w:szCs w:val="22"/>
              </w:rPr>
            </w:pPr>
            <w:r>
              <w:rPr>
                <w:rFonts w:hint="eastAsia" w:ascii="宋体" w:hAnsi="宋体" w:cs="Arial"/>
                <w:b/>
                <w:bCs/>
                <w:color w:val="000000"/>
                <w:kern w:val="0"/>
                <w:sz w:val="15"/>
                <w:szCs w:val="22"/>
              </w:rPr>
              <w:t>债务利息及费用支出</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56</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30701</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国内债务付息</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57</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30702</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国外债务付息</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58</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30703</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国内债务发行费用</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59</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30704</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国外债务发行费用</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60</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1" w:firstLineChars="200"/>
              <w:jc w:val="left"/>
              <w:rPr>
                <w:rFonts w:ascii="宋体" w:hAnsi="宋体" w:cs="Arial"/>
                <w:b/>
                <w:bCs/>
                <w:color w:val="000000"/>
                <w:kern w:val="0"/>
                <w:sz w:val="15"/>
                <w:szCs w:val="22"/>
              </w:rPr>
            </w:pPr>
            <w:r>
              <w:rPr>
                <w:rFonts w:hint="eastAsia" w:ascii="宋体" w:hAnsi="宋体" w:cs="Arial"/>
                <w:b/>
                <w:bCs/>
                <w:color w:val="000000"/>
                <w:kern w:val="0"/>
                <w:sz w:val="15"/>
                <w:szCs w:val="22"/>
              </w:rPr>
              <w:t>309</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1" w:firstLineChars="200"/>
              <w:jc w:val="left"/>
              <w:rPr>
                <w:rFonts w:ascii="宋体" w:hAnsi="宋体" w:cs="Arial"/>
                <w:b/>
                <w:bCs/>
                <w:color w:val="000000"/>
                <w:kern w:val="0"/>
                <w:sz w:val="15"/>
                <w:szCs w:val="22"/>
              </w:rPr>
            </w:pPr>
            <w:r>
              <w:rPr>
                <w:rFonts w:hint="eastAsia" w:ascii="宋体" w:hAnsi="宋体" w:cs="Arial"/>
                <w:b/>
                <w:bCs/>
                <w:color w:val="000000"/>
                <w:kern w:val="0"/>
                <w:sz w:val="15"/>
                <w:szCs w:val="22"/>
              </w:rPr>
              <w:t>资本性支出（基本建设）</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61</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30901</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房屋建筑物购建</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62</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30902</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办公设备购置</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63</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30903</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专用设备购置</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64</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30905</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基础设施建设</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65</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30906</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大型修缮</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66</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30907</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信息网络及软件购置更新</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67</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30908</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物资储备</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68</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30913</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公务用车购置</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69</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30919</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其他交通工具购置</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70</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30921</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文物和陈列品购置</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71</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30922</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无形资产购置</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72</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30999</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其他基本建设支出</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73</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1" w:firstLineChars="200"/>
              <w:jc w:val="left"/>
              <w:rPr>
                <w:rFonts w:ascii="宋体" w:hAnsi="宋体" w:cs="Arial"/>
                <w:b/>
                <w:bCs/>
                <w:color w:val="000000"/>
                <w:kern w:val="0"/>
                <w:sz w:val="15"/>
                <w:szCs w:val="22"/>
              </w:rPr>
            </w:pPr>
            <w:r>
              <w:rPr>
                <w:rFonts w:hint="eastAsia" w:ascii="宋体" w:hAnsi="宋体" w:cs="Arial"/>
                <w:b/>
                <w:bCs/>
                <w:color w:val="000000"/>
                <w:kern w:val="0"/>
                <w:sz w:val="15"/>
                <w:szCs w:val="22"/>
              </w:rPr>
              <w:t>310</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1" w:firstLineChars="200"/>
              <w:jc w:val="left"/>
              <w:rPr>
                <w:rFonts w:ascii="宋体" w:hAnsi="宋体" w:cs="Arial"/>
                <w:b/>
                <w:bCs/>
                <w:color w:val="000000"/>
                <w:kern w:val="0"/>
                <w:sz w:val="15"/>
                <w:szCs w:val="22"/>
              </w:rPr>
            </w:pPr>
            <w:r>
              <w:rPr>
                <w:rFonts w:hint="eastAsia" w:ascii="宋体" w:hAnsi="宋体" w:cs="Arial"/>
                <w:b/>
                <w:bCs/>
                <w:color w:val="000000"/>
                <w:kern w:val="0"/>
                <w:sz w:val="15"/>
                <w:szCs w:val="22"/>
              </w:rPr>
              <w:t>资本性支出</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74</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15.46</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0.50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47.42</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31001</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房屋建筑物购建</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75</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31002</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办公设备购置</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76</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15.46</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0.50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32.82</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31003</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专用设备购置</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77</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31005</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基础设施建设</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78</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31006</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大型修缮</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79</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14.60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31007</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信息网络及软件购置更新</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80</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31008</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物资储备</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81</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31009</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土地补偿</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82</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31010</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安置补助</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83</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31011</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地上附着物和青苗补偿</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84</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31012</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拆迁补偿</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85</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31013</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公务用车购置</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86</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31018</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其他交通工具购置</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87</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31021</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文物和陈列品购置</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88</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31022</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无形资产购置</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89</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31099</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其他资本性支出</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90</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1" w:firstLineChars="200"/>
              <w:jc w:val="left"/>
              <w:rPr>
                <w:rFonts w:ascii="宋体" w:hAnsi="宋体" w:cs="Arial"/>
                <w:b/>
                <w:bCs/>
                <w:color w:val="000000"/>
                <w:kern w:val="0"/>
                <w:sz w:val="15"/>
                <w:szCs w:val="22"/>
              </w:rPr>
            </w:pPr>
            <w:r>
              <w:rPr>
                <w:rFonts w:hint="eastAsia" w:ascii="宋体" w:hAnsi="宋体" w:cs="Arial"/>
                <w:b/>
                <w:bCs/>
                <w:color w:val="000000"/>
                <w:kern w:val="0"/>
                <w:sz w:val="15"/>
                <w:szCs w:val="22"/>
              </w:rPr>
              <w:t>311</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1" w:firstLineChars="200"/>
              <w:jc w:val="left"/>
              <w:rPr>
                <w:rFonts w:ascii="宋体" w:hAnsi="宋体" w:cs="Arial"/>
                <w:b/>
                <w:bCs/>
                <w:color w:val="000000"/>
                <w:kern w:val="0"/>
                <w:sz w:val="15"/>
                <w:szCs w:val="22"/>
              </w:rPr>
            </w:pPr>
            <w:r>
              <w:rPr>
                <w:rFonts w:hint="eastAsia" w:ascii="宋体" w:hAnsi="宋体" w:cs="Arial"/>
                <w:b/>
                <w:bCs/>
                <w:color w:val="000000"/>
                <w:kern w:val="0"/>
                <w:sz w:val="15"/>
                <w:szCs w:val="22"/>
              </w:rPr>
              <w:t>对企业补助（基本建设）</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91</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31101</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资本金注入</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92</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31199</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其他对企业补助</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93</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1" w:firstLineChars="200"/>
              <w:jc w:val="left"/>
              <w:rPr>
                <w:rFonts w:ascii="宋体" w:hAnsi="宋体" w:cs="Arial"/>
                <w:b/>
                <w:bCs/>
                <w:color w:val="000000"/>
                <w:kern w:val="0"/>
                <w:sz w:val="15"/>
                <w:szCs w:val="22"/>
              </w:rPr>
            </w:pPr>
            <w:r>
              <w:rPr>
                <w:rFonts w:hint="eastAsia" w:ascii="宋体" w:hAnsi="宋体" w:cs="Arial"/>
                <w:b/>
                <w:bCs/>
                <w:color w:val="000000"/>
                <w:kern w:val="0"/>
                <w:sz w:val="15"/>
                <w:szCs w:val="22"/>
              </w:rPr>
              <w:t>312</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1" w:firstLineChars="200"/>
              <w:jc w:val="left"/>
              <w:rPr>
                <w:rFonts w:ascii="宋体" w:hAnsi="宋体" w:cs="Arial"/>
                <w:b/>
                <w:bCs/>
                <w:color w:val="000000"/>
                <w:kern w:val="0"/>
                <w:sz w:val="15"/>
                <w:szCs w:val="22"/>
              </w:rPr>
            </w:pPr>
            <w:r>
              <w:rPr>
                <w:rFonts w:hint="eastAsia" w:ascii="宋体" w:hAnsi="宋体" w:cs="Arial"/>
                <w:b/>
                <w:bCs/>
                <w:color w:val="000000"/>
                <w:kern w:val="0"/>
                <w:sz w:val="15"/>
                <w:szCs w:val="22"/>
              </w:rPr>
              <w:t>对企业补助</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0"/>
              </w:rPr>
            </w:pPr>
            <w:r>
              <w:rPr>
                <w:rFonts w:hint="eastAsia" w:ascii="宋体" w:hAnsi="宋体" w:cs="Arial"/>
                <w:color w:val="000000"/>
                <w:kern w:val="0"/>
                <w:sz w:val="15"/>
                <w:szCs w:val="20"/>
              </w:rPr>
              <w:t>94</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31201</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资本金注入</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95</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31203</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政府投资基金股权投资</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96</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31204</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费用补贴</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97</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31205</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利息补贴</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98</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312099</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其他对企业补助</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99</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1" w:firstLineChars="200"/>
              <w:jc w:val="left"/>
              <w:rPr>
                <w:rFonts w:ascii="宋体" w:hAnsi="宋体" w:cs="Arial"/>
                <w:b/>
                <w:bCs/>
                <w:color w:val="000000"/>
                <w:kern w:val="0"/>
                <w:sz w:val="15"/>
                <w:szCs w:val="22"/>
              </w:rPr>
            </w:pPr>
            <w:r>
              <w:rPr>
                <w:rFonts w:hint="eastAsia" w:ascii="宋体" w:hAnsi="宋体" w:cs="Arial"/>
                <w:b/>
                <w:bCs/>
                <w:color w:val="000000"/>
                <w:kern w:val="0"/>
                <w:sz w:val="15"/>
                <w:szCs w:val="22"/>
              </w:rPr>
              <w:t>313</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1" w:firstLineChars="200"/>
              <w:jc w:val="left"/>
              <w:rPr>
                <w:rFonts w:ascii="宋体" w:hAnsi="宋体" w:cs="Arial"/>
                <w:b/>
                <w:bCs/>
                <w:color w:val="000000"/>
                <w:kern w:val="0"/>
                <w:sz w:val="15"/>
                <w:szCs w:val="22"/>
              </w:rPr>
            </w:pPr>
            <w:r>
              <w:rPr>
                <w:rFonts w:hint="eastAsia" w:ascii="宋体" w:hAnsi="宋体" w:cs="Arial"/>
                <w:b/>
                <w:bCs/>
                <w:color w:val="000000"/>
                <w:kern w:val="0"/>
                <w:sz w:val="15"/>
                <w:szCs w:val="22"/>
              </w:rPr>
              <w:t>对社会保障基金补助</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100</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31302</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对社会保险基金补助</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101</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31303</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补充全国社会保障基金</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102</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1" w:firstLineChars="200"/>
              <w:jc w:val="left"/>
              <w:rPr>
                <w:rFonts w:ascii="宋体" w:hAnsi="宋体" w:cs="Arial"/>
                <w:b/>
                <w:bCs/>
                <w:color w:val="000000"/>
                <w:kern w:val="0"/>
                <w:sz w:val="15"/>
                <w:szCs w:val="22"/>
              </w:rPr>
            </w:pPr>
            <w:r>
              <w:rPr>
                <w:rFonts w:hint="eastAsia" w:ascii="宋体" w:hAnsi="宋体" w:cs="Arial"/>
                <w:b/>
                <w:bCs/>
                <w:color w:val="000000"/>
                <w:kern w:val="0"/>
                <w:sz w:val="15"/>
                <w:szCs w:val="22"/>
              </w:rPr>
              <w:t>399</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1" w:firstLineChars="200"/>
              <w:jc w:val="left"/>
              <w:rPr>
                <w:rFonts w:ascii="宋体" w:hAnsi="宋体" w:cs="Arial"/>
                <w:b/>
                <w:bCs/>
                <w:color w:val="000000"/>
                <w:kern w:val="0"/>
                <w:sz w:val="15"/>
                <w:szCs w:val="22"/>
              </w:rPr>
            </w:pPr>
            <w:r>
              <w:rPr>
                <w:rFonts w:hint="eastAsia" w:ascii="宋体" w:hAnsi="宋体" w:cs="Arial"/>
                <w:b/>
                <w:bCs/>
                <w:color w:val="000000"/>
                <w:kern w:val="0"/>
                <w:sz w:val="15"/>
                <w:szCs w:val="22"/>
              </w:rPr>
              <w:t>其他支出</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103</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39906</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赠与</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104</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39907</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国家赔偿费用支出</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105</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39908</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对民间非营利组织和群众性自治组织补贴</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106</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882"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39999</w:t>
            </w:r>
          </w:p>
        </w:tc>
        <w:tc>
          <w:tcPr>
            <w:tcW w:w="1494" w:type="dxa"/>
            <w:gridSpan w:val="2"/>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其他支出</w:t>
            </w:r>
          </w:p>
        </w:tc>
        <w:tc>
          <w:tcPr>
            <w:tcW w:w="709" w:type="dxa"/>
            <w:tcBorders>
              <w:top w:val="nil"/>
              <w:left w:val="nil"/>
              <w:bottom w:val="single" w:color="000000" w:sz="4" w:space="0"/>
              <w:right w:val="single" w:color="000000" w:sz="4" w:space="0"/>
            </w:tcBorders>
            <w:shd w:val="clear" w:color="FFFFFF" w:fill="C0C0C0"/>
            <w:noWrap/>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107</w:t>
            </w:r>
          </w:p>
        </w:tc>
        <w:tc>
          <w:tcPr>
            <w:tcW w:w="992"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134" w:type="dxa"/>
            <w:gridSpan w:val="4"/>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249"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99"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703"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9"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366"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c>
          <w:tcPr>
            <w:tcW w:w="627"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 xml:space="preserve">0 </w:t>
            </w:r>
          </w:p>
        </w:tc>
      </w:tr>
      <w:tr>
        <w:tblPrEx>
          <w:tblCellMar>
            <w:top w:w="0" w:type="dxa"/>
            <w:left w:w="108" w:type="dxa"/>
            <w:bottom w:w="0" w:type="dxa"/>
            <w:right w:w="108" w:type="dxa"/>
          </w:tblCellMar>
        </w:tblPrEx>
        <w:trPr>
          <w:trHeight w:val="308" w:hRule="atLeast"/>
        </w:trPr>
        <w:tc>
          <w:tcPr>
            <w:tcW w:w="7559" w:type="dxa"/>
            <w:gridSpan w:val="16"/>
            <w:tcBorders>
              <w:top w:val="nil"/>
              <w:left w:val="nil"/>
              <w:bottom w:val="nil"/>
              <w:right w:val="nil"/>
            </w:tcBorders>
            <w:shd w:val="clear" w:color="auto" w:fill="auto"/>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注：本表以“万元”为金额单位（保留两位小数），反映部门本年度财政拨款实际支出情况。</w:t>
            </w:r>
          </w:p>
        </w:tc>
        <w:tc>
          <w:tcPr>
            <w:tcW w:w="703" w:type="dxa"/>
            <w:tcBorders>
              <w:top w:val="nil"/>
              <w:left w:val="nil"/>
              <w:bottom w:val="nil"/>
              <w:right w:val="nil"/>
            </w:tcBorders>
            <w:shd w:val="clear" w:color="auto" w:fill="auto"/>
            <w:noWrap/>
            <w:vAlign w:val="center"/>
          </w:tcPr>
          <w:p>
            <w:pPr>
              <w:widowControl/>
              <w:ind w:firstLine="300" w:firstLineChars="200"/>
              <w:jc w:val="right"/>
              <w:rPr>
                <w:rFonts w:ascii="宋体" w:hAnsi="宋体" w:cs="Arial"/>
                <w:color w:val="000000"/>
                <w:kern w:val="0"/>
                <w:sz w:val="15"/>
                <w:szCs w:val="22"/>
              </w:rPr>
            </w:pPr>
          </w:p>
        </w:tc>
        <w:tc>
          <w:tcPr>
            <w:tcW w:w="1081" w:type="dxa"/>
            <w:tcBorders>
              <w:top w:val="nil"/>
              <w:left w:val="nil"/>
              <w:bottom w:val="nil"/>
              <w:right w:val="nil"/>
            </w:tcBorders>
            <w:shd w:val="clear" w:color="auto" w:fill="auto"/>
            <w:noWrap/>
            <w:vAlign w:val="center"/>
          </w:tcPr>
          <w:p>
            <w:pPr>
              <w:widowControl/>
              <w:ind w:firstLine="300" w:firstLineChars="200"/>
              <w:jc w:val="right"/>
              <w:rPr>
                <w:rFonts w:ascii="宋体" w:hAnsi="宋体" w:cs="Arial"/>
                <w:color w:val="000000"/>
                <w:kern w:val="0"/>
                <w:sz w:val="15"/>
                <w:szCs w:val="22"/>
              </w:rPr>
            </w:pPr>
          </w:p>
        </w:tc>
        <w:tc>
          <w:tcPr>
            <w:tcW w:w="629" w:type="dxa"/>
            <w:tcBorders>
              <w:top w:val="nil"/>
              <w:left w:val="nil"/>
              <w:bottom w:val="nil"/>
              <w:right w:val="nil"/>
            </w:tcBorders>
            <w:shd w:val="clear" w:color="auto" w:fill="auto"/>
            <w:noWrap/>
            <w:vAlign w:val="center"/>
          </w:tcPr>
          <w:p>
            <w:pPr>
              <w:widowControl/>
              <w:ind w:firstLine="300" w:firstLineChars="200"/>
              <w:jc w:val="right"/>
              <w:rPr>
                <w:rFonts w:ascii="宋体" w:hAnsi="宋体" w:cs="Arial"/>
                <w:color w:val="000000"/>
                <w:kern w:val="0"/>
                <w:sz w:val="15"/>
                <w:szCs w:val="22"/>
              </w:rPr>
            </w:pPr>
          </w:p>
        </w:tc>
        <w:tc>
          <w:tcPr>
            <w:tcW w:w="366" w:type="dxa"/>
            <w:tcBorders>
              <w:top w:val="nil"/>
              <w:left w:val="nil"/>
              <w:bottom w:val="nil"/>
              <w:right w:val="nil"/>
            </w:tcBorders>
            <w:shd w:val="clear" w:color="auto" w:fill="auto"/>
            <w:noWrap/>
            <w:vAlign w:val="center"/>
          </w:tcPr>
          <w:p>
            <w:pPr>
              <w:widowControl/>
              <w:ind w:firstLine="300" w:firstLineChars="200"/>
              <w:jc w:val="right"/>
              <w:rPr>
                <w:rFonts w:ascii="宋体" w:hAnsi="宋体" w:cs="Arial"/>
                <w:color w:val="000000"/>
                <w:kern w:val="0"/>
                <w:sz w:val="15"/>
                <w:szCs w:val="22"/>
              </w:rPr>
            </w:pPr>
          </w:p>
        </w:tc>
        <w:tc>
          <w:tcPr>
            <w:tcW w:w="366" w:type="dxa"/>
            <w:tcBorders>
              <w:top w:val="nil"/>
              <w:left w:val="nil"/>
              <w:bottom w:val="nil"/>
              <w:right w:val="nil"/>
            </w:tcBorders>
            <w:shd w:val="clear" w:color="auto" w:fill="auto"/>
            <w:noWrap/>
            <w:vAlign w:val="center"/>
          </w:tcPr>
          <w:p>
            <w:pPr>
              <w:widowControl/>
              <w:ind w:firstLine="300" w:firstLineChars="200"/>
              <w:jc w:val="right"/>
              <w:rPr>
                <w:rFonts w:ascii="宋体" w:hAnsi="宋体" w:cs="Arial"/>
                <w:color w:val="000000"/>
                <w:kern w:val="0"/>
                <w:sz w:val="15"/>
                <w:szCs w:val="22"/>
              </w:rPr>
            </w:pPr>
          </w:p>
        </w:tc>
        <w:tc>
          <w:tcPr>
            <w:tcW w:w="627" w:type="dxa"/>
            <w:tcBorders>
              <w:top w:val="nil"/>
              <w:left w:val="nil"/>
              <w:bottom w:val="nil"/>
              <w:right w:val="nil"/>
            </w:tcBorders>
            <w:shd w:val="clear" w:color="auto" w:fill="auto"/>
            <w:noWrap/>
            <w:vAlign w:val="center"/>
          </w:tcPr>
          <w:p>
            <w:pPr>
              <w:widowControl/>
              <w:ind w:firstLine="300" w:firstLineChars="200"/>
              <w:jc w:val="right"/>
              <w:rPr>
                <w:rFonts w:ascii="宋体" w:hAnsi="宋体" w:cs="Arial"/>
                <w:color w:val="000000"/>
                <w:kern w:val="0"/>
                <w:sz w:val="15"/>
                <w:szCs w:val="22"/>
              </w:rPr>
            </w:pPr>
          </w:p>
        </w:tc>
      </w:tr>
      <w:tr>
        <w:tblPrEx>
          <w:tblCellMar>
            <w:top w:w="0" w:type="dxa"/>
            <w:left w:w="108" w:type="dxa"/>
            <w:bottom w:w="0" w:type="dxa"/>
            <w:right w:w="108" w:type="dxa"/>
          </w:tblCellMar>
        </w:tblPrEx>
        <w:trPr>
          <w:gridAfter w:val="4"/>
          <w:wAfter w:w="1988" w:type="dxa"/>
          <w:trHeight w:val="405" w:hRule="atLeast"/>
        </w:trPr>
        <w:tc>
          <w:tcPr>
            <w:tcW w:w="9343" w:type="dxa"/>
            <w:gridSpan w:val="18"/>
            <w:tcBorders>
              <w:top w:val="nil"/>
              <w:left w:val="nil"/>
              <w:bottom w:val="nil"/>
              <w:right w:val="nil"/>
            </w:tcBorders>
            <w:shd w:val="clear" w:color="auto" w:fill="auto"/>
            <w:noWrap/>
            <w:vAlign w:val="bottom"/>
          </w:tcPr>
          <w:p>
            <w:pPr>
              <w:widowControl/>
              <w:ind w:firstLine="300" w:firstLineChars="200"/>
              <w:jc w:val="center"/>
              <w:rPr>
                <w:rFonts w:ascii="宋体" w:hAnsi="宋体" w:cs="Arial"/>
                <w:color w:val="000000"/>
                <w:kern w:val="0"/>
                <w:sz w:val="15"/>
                <w:szCs w:val="32"/>
              </w:rPr>
            </w:pPr>
          </w:p>
          <w:p>
            <w:pPr>
              <w:widowControl/>
              <w:ind w:firstLine="300" w:firstLineChars="200"/>
              <w:jc w:val="center"/>
              <w:rPr>
                <w:rFonts w:ascii="宋体" w:hAnsi="宋体" w:cs="Arial"/>
                <w:color w:val="000000"/>
                <w:kern w:val="0"/>
                <w:sz w:val="15"/>
                <w:szCs w:val="32"/>
              </w:rPr>
            </w:pPr>
          </w:p>
          <w:p>
            <w:pPr>
              <w:widowControl/>
              <w:ind w:firstLine="300" w:firstLineChars="200"/>
              <w:jc w:val="center"/>
              <w:rPr>
                <w:rFonts w:hint="eastAsia" w:ascii="宋体" w:hAnsi="宋体" w:cs="Arial"/>
                <w:color w:val="000000"/>
                <w:kern w:val="0"/>
                <w:sz w:val="15"/>
                <w:szCs w:val="32"/>
              </w:rPr>
            </w:pPr>
          </w:p>
          <w:p>
            <w:pPr>
              <w:widowControl/>
              <w:ind w:firstLine="300" w:firstLineChars="200"/>
              <w:jc w:val="center"/>
              <w:rPr>
                <w:rFonts w:hint="eastAsia" w:ascii="宋体" w:hAnsi="宋体" w:cs="Arial"/>
                <w:color w:val="000000"/>
                <w:kern w:val="0"/>
                <w:sz w:val="15"/>
                <w:szCs w:val="32"/>
              </w:rPr>
            </w:pPr>
          </w:p>
          <w:p>
            <w:pPr>
              <w:widowControl/>
              <w:ind w:firstLine="300" w:firstLineChars="200"/>
              <w:jc w:val="center"/>
              <w:rPr>
                <w:rFonts w:hint="eastAsia" w:ascii="宋体" w:hAnsi="宋体" w:cs="Arial"/>
                <w:color w:val="000000"/>
                <w:kern w:val="0"/>
                <w:sz w:val="15"/>
                <w:szCs w:val="32"/>
              </w:rPr>
            </w:pPr>
          </w:p>
          <w:p>
            <w:pPr>
              <w:widowControl/>
              <w:ind w:firstLine="300" w:firstLineChars="200"/>
              <w:jc w:val="center"/>
              <w:rPr>
                <w:rFonts w:hint="eastAsia" w:ascii="宋体" w:hAnsi="宋体" w:cs="Arial"/>
                <w:color w:val="000000"/>
                <w:kern w:val="0"/>
                <w:sz w:val="15"/>
                <w:szCs w:val="32"/>
              </w:rPr>
            </w:pPr>
          </w:p>
          <w:p>
            <w:pPr>
              <w:widowControl/>
              <w:ind w:firstLine="300" w:firstLineChars="200"/>
              <w:jc w:val="center"/>
              <w:rPr>
                <w:rFonts w:hint="eastAsia" w:ascii="宋体" w:hAnsi="宋体" w:cs="Arial"/>
                <w:color w:val="000000"/>
                <w:kern w:val="0"/>
                <w:sz w:val="15"/>
                <w:szCs w:val="32"/>
              </w:rPr>
            </w:pPr>
          </w:p>
          <w:p>
            <w:pPr>
              <w:widowControl/>
              <w:ind w:firstLine="300" w:firstLineChars="200"/>
              <w:jc w:val="center"/>
              <w:rPr>
                <w:rFonts w:hint="eastAsia" w:ascii="宋体" w:hAnsi="宋体" w:cs="Arial"/>
                <w:color w:val="000000"/>
                <w:kern w:val="0"/>
                <w:sz w:val="15"/>
                <w:szCs w:val="32"/>
              </w:rPr>
            </w:pPr>
          </w:p>
          <w:p>
            <w:pPr>
              <w:widowControl/>
              <w:ind w:firstLine="300" w:firstLineChars="200"/>
              <w:jc w:val="center"/>
              <w:rPr>
                <w:rFonts w:hint="eastAsia" w:ascii="宋体" w:hAnsi="宋体" w:cs="Arial"/>
                <w:color w:val="000000"/>
                <w:kern w:val="0"/>
                <w:sz w:val="15"/>
                <w:szCs w:val="32"/>
              </w:rPr>
            </w:pPr>
          </w:p>
          <w:p>
            <w:pPr>
              <w:widowControl/>
              <w:ind w:firstLine="300" w:firstLineChars="200"/>
              <w:jc w:val="center"/>
              <w:rPr>
                <w:rFonts w:hint="eastAsia" w:ascii="宋体" w:hAnsi="宋体" w:cs="Arial"/>
                <w:color w:val="000000"/>
                <w:kern w:val="0"/>
                <w:sz w:val="15"/>
                <w:szCs w:val="32"/>
              </w:rPr>
            </w:pPr>
          </w:p>
          <w:p>
            <w:pPr>
              <w:widowControl/>
              <w:ind w:firstLine="300" w:firstLineChars="200"/>
              <w:jc w:val="center"/>
              <w:rPr>
                <w:rFonts w:hint="eastAsia" w:ascii="宋体" w:hAnsi="宋体" w:cs="Arial"/>
                <w:color w:val="000000"/>
                <w:kern w:val="0"/>
                <w:sz w:val="15"/>
                <w:szCs w:val="32"/>
              </w:rPr>
            </w:pPr>
          </w:p>
          <w:p>
            <w:pPr>
              <w:widowControl/>
              <w:ind w:firstLine="300" w:firstLineChars="200"/>
              <w:jc w:val="center"/>
              <w:rPr>
                <w:rFonts w:hint="eastAsia" w:ascii="宋体" w:hAnsi="宋体" w:cs="Arial"/>
                <w:color w:val="000000"/>
                <w:kern w:val="0"/>
                <w:sz w:val="15"/>
                <w:szCs w:val="32"/>
              </w:rPr>
            </w:pPr>
          </w:p>
          <w:p>
            <w:pPr>
              <w:widowControl/>
              <w:ind w:firstLine="300" w:firstLineChars="200"/>
              <w:jc w:val="center"/>
              <w:rPr>
                <w:rFonts w:hint="eastAsia" w:ascii="宋体" w:hAnsi="宋体" w:cs="Arial"/>
                <w:color w:val="000000"/>
                <w:kern w:val="0"/>
                <w:sz w:val="15"/>
                <w:szCs w:val="32"/>
              </w:rPr>
            </w:pPr>
          </w:p>
          <w:p>
            <w:pPr>
              <w:widowControl/>
              <w:ind w:firstLine="300" w:firstLineChars="200"/>
              <w:jc w:val="center"/>
              <w:rPr>
                <w:rFonts w:hint="eastAsia" w:ascii="宋体" w:hAnsi="宋体" w:cs="Arial"/>
                <w:color w:val="000000"/>
                <w:kern w:val="0"/>
                <w:sz w:val="15"/>
                <w:szCs w:val="32"/>
              </w:rPr>
            </w:pPr>
          </w:p>
          <w:p>
            <w:pPr>
              <w:widowControl/>
              <w:ind w:firstLine="300" w:firstLineChars="200"/>
              <w:jc w:val="center"/>
              <w:rPr>
                <w:rFonts w:hint="eastAsia" w:ascii="宋体" w:hAnsi="宋体" w:cs="Arial"/>
                <w:color w:val="000000"/>
                <w:kern w:val="0"/>
                <w:sz w:val="15"/>
                <w:szCs w:val="32"/>
              </w:rPr>
            </w:pPr>
          </w:p>
          <w:p>
            <w:pPr>
              <w:widowControl/>
              <w:ind w:firstLine="300" w:firstLineChars="200"/>
              <w:jc w:val="center"/>
              <w:rPr>
                <w:rFonts w:hint="eastAsia" w:ascii="宋体" w:hAnsi="宋体" w:cs="Arial"/>
                <w:color w:val="000000"/>
                <w:kern w:val="0"/>
                <w:sz w:val="15"/>
                <w:szCs w:val="32"/>
              </w:rPr>
            </w:pPr>
          </w:p>
          <w:p>
            <w:pPr>
              <w:widowControl/>
              <w:ind w:firstLine="300" w:firstLineChars="200"/>
              <w:jc w:val="center"/>
              <w:rPr>
                <w:rFonts w:hint="eastAsia" w:ascii="宋体" w:hAnsi="宋体" w:cs="Arial"/>
                <w:color w:val="000000"/>
                <w:kern w:val="0"/>
                <w:sz w:val="15"/>
                <w:szCs w:val="32"/>
              </w:rPr>
            </w:pPr>
          </w:p>
          <w:p>
            <w:pPr>
              <w:widowControl/>
              <w:ind w:firstLine="300" w:firstLineChars="200"/>
              <w:jc w:val="center"/>
              <w:rPr>
                <w:rFonts w:hint="eastAsia" w:ascii="宋体" w:hAnsi="宋体" w:cs="Arial"/>
                <w:color w:val="000000"/>
                <w:kern w:val="0"/>
                <w:sz w:val="15"/>
                <w:szCs w:val="32"/>
              </w:rPr>
            </w:pPr>
          </w:p>
          <w:p>
            <w:pPr>
              <w:widowControl/>
              <w:ind w:firstLine="300" w:firstLineChars="200"/>
              <w:jc w:val="center"/>
              <w:rPr>
                <w:rFonts w:hint="eastAsia" w:ascii="宋体" w:hAnsi="宋体" w:cs="Arial"/>
                <w:color w:val="000000"/>
                <w:kern w:val="0"/>
                <w:sz w:val="15"/>
                <w:szCs w:val="32"/>
              </w:rPr>
            </w:pPr>
          </w:p>
          <w:p>
            <w:pPr>
              <w:widowControl/>
              <w:ind w:firstLine="300" w:firstLineChars="200"/>
              <w:jc w:val="center"/>
              <w:rPr>
                <w:rFonts w:hint="eastAsia" w:ascii="宋体" w:hAnsi="宋体" w:cs="Arial"/>
                <w:color w:val="000000"/>
                <w:kern w:val="0"/>
                <w:sz w:val="15"/>
                <w:szCs w:val="32"/>
              </w:rPr>
            </w:pPr>
          </w:p>
          <w:p>
            <w:pPr>
              <w:widowControl/>
              <w:ind w:firstLine="300" w:firstLineChars="200"/>
              <w:jc w:val="center"/>
              <w:rPr>
                <w:rFonts w:hint="eastAsia" w:ascii="宋体" w:hAnsi="宋体" w:cs="Arial"/>
                <w:color w:val="000000"/>
                <w:kern w:val="0"/>
                <w:sz w:val="15"/>
                <w:szCs w:val="32"/>
              </w:rPr>
            </w:pPr>
          </w:p>
          <w:p>
            <w:pPr>
              <w:widowControl/>
              <w:ind w:firstLine="300" w:firstLineChars="200"/>
              <w:jc w:val="center"/>
              <w:rPr>
                <w:rFonts w:hint="eastAsia" w:ascii="宋体" w:hAnsi="宋体" w:cs="Arial"/>
                <w:color w:val="000000"/>
                <w:kern w:val="0"/>
                <w:sz w:val="15"/>
                <w:szCs w:val="32"/>
              </w:rPr>
            </w:pPr>
          </w:p>
          <w:p>
            <w:pPr>
              <w:widowControl/>
              <w:ind w:firstLine="300" w:firstLineChars="200"/>
              <w:jc w:val="center"/>
              <w:rPr>
                <w:rFonts w:hint="eastAsia" w:ascii="宋体" w:hAnsi="宋体" w:cs="Arial"/>
                <w:color w:val="000000"/>
                <w:kern w:val="0"/>
                <w:sz w:val="15"/>
                <w:szCs w:val="32"/>
              </w:rPr>
            </w:pPr>
          </w:p>
          <w:p>
            <w:pPr>
              <w:widowControl/>
              <w:ind w:firstLine="300" w:firstLineChars="200"/>
              <w:jc w:val="center"/>
              <w:rPr>
                <w:rFonts w:hint="eastAsia" w:ascii="宋体" w:hAnsi="宋体" w:cs="Arial"/>
                <w:color w:val="000000"/>
                <w:kern w:val="0"/>
                <w:sz w:val="15"/>
                <w:szCs w:val="32"/>
              </w:rPr>
            </w:pPr>
          </w:p>
          <w:p>
            <w:pPr>
              <w:widowControl/>
              <w:ind w:firstLine="300" w:firstLineChars="200"/>
              <w:jc w:val="center"/>
              <w:rPr>
                <w:rFonts w:ascii="宋体" w:hAnsi="宋体" w:cs="Arial"/>
                <w:color w:val="000000"/>
                <w:kern w:val="0"/>
                <w:sz w:val="15"/>
                <w:szCs w:val="32"/>
              </w:rPr>
            </w:pPr>
            <w:r>
              <w:rPr>
                <w:rFonts w:hint="eastAsia" w:ascii="宋体" w:hAnsi="宋体" w:cs="Arial"/>
                <w:color w:val="000000"/>
                <w:kern w:val="0"/>
                <w:sz w:val="15"/>
                <w:szCs w:val="32"/>
              </w:rPr>
              <w:t>一般公共预算财政拨款支出决算表</w:t>
            </w:r>
          </w:p>
        </w:tc>
      </w:tr>
      <w:tr>
        <w:tblPrEx>
          <w:tblCellMar>
            <w:top w:w="0" w:type="dxa"/>
            <w:left w:w="108" w:type="dxa"/>
            <w:bottom w:w="0" w:type="dxa"/>
            <w:right w:w="108" w:type="dxa"/>
          </w:tblCellMar>
        </w:tblPrEx>
        <w:trPr>
          <w:gridAfter w:val="4"/>
          <w:wAfter w:w="1988" w:type="dxa"/>
          <w:trHeight w:val="255" w:hRule="atLeast"/>
        </w:trPr>
        <w:tc>
          <w:tcPr>
            <w:tcW w:w="474" w:type="dxa"/>
            <w:gridSpan w:val="2"/>
            <w:tcBorders>
              <w:top w:val="nil"/>
              <w:left w:val="nil"/>
              <w:bottom w:val="nil"/>
              <w:right w:val="nil"/>
            </w:tcBorders>
            <w:shd w:val="clear" w:color="auto" w:fill="auto"/>
            <w:noWrap/>
            <w:vAlign w:val="bottom"/>
          </w:tcPr>
          <w:p>
            <w:pPr>
              <w:widowControl/>
              <w:ind w:firstLine="300" w:firstLineChars="200"/>
              <w:jc w:val="left"/>
              <w:rPr>
                <w:rFonts w:ascii="Arial" w:hAnsi="Arial" w:cs="Arial"/>
                <w:color w:val="000000"/>
                <w:kern w:val="0"/>
                <w:sz w:val="15"/>
                <w:szCs w:val="20"/>
              </w:rPr>
            </w:pPr>
          </w:p>
        </w:tc>
        <w:tc>
          <w:tcPr>
            <w:tcW w:w="408" w:type="dxa"/>
            <w:tcBorders>
              <w:top w:val="nil"/>
              <w:left w:val="nil"/>
              <w:bottom w:val="nil"/>
              <w:right w:val="nil"/>
            </w:tcBorders>
            <w:shd w:val="clear" w:color="auto" w:fill="auto"/>
            <w:noWrap/>
            <w:vAlign w:val="bottom"/>
          </w:tcPr>
          <w:p>
            <w:pPr>
              <w:widowControl/>
              <w:ind w:firstLine="300" w:firstLineChars="200"/>
              <w:jc w:val="left"/>
              <w:rPr>
                <w:rFonts w:ascii="Arial" w:hAnsi="Arial" w:cs="Arial"/>
                <w:color w:val="000000"/>
                <w:kern w:val="0"/>
                <w:sz w:val="15"/>
                <w:szCs w:val="20"/>
              </w:rPr>
            </w:pPr>
          </w:p>
        </w:tc>
        <w:tc>
          <w:tcPr>
            <w:tcW w:w="366" w:type="dxa"/>
            <w:tcBorders>
              <w:top w:val="nil"/>
              <w:left w:val="nil"/>
              <w:bottom w:val="nil"/>
              <w:right w:val="nil"/>
            </w:tcBorders>
            <w:shd w:val="clear" w:color="auto" w:fill="auto"/>
            <w:noWrap/>
            <w:vAlign w:val="bottom"/>
          </w:tcPr>
          <w:p>
            <w:pPr>
              <w:widowControl/>
              <w:ind w:firstLine="300" w:firstLineChars="200"/>
              <w:jc w:val="left"/>
              <w:rPr>
                <w:rFonts w:ascii="Arial" w:hAnsi="Arial" w:cs="Arial"/>
                <w:color w:val="000000"/>
                <w:kern w:val="0"/>
                <w:sz w:val="15"/>
                <w:szCs w:val="20"/>
              </w:rPr>
            </w:pPr>
          </w:p>
        </w:tc>
        <w:tc>
          <w:tcPr>
            <w:tcW w:w="4332" w:type="dxa"/>
            <w:gridSpan w:val="8"/>
            <w:tcBorders>
              <w:top w:val="nil"/>
              <w:left w:val="nil"/>
              <w:bottom w:val="nil"/>
              <w:right w:val="nil"/>
            </w:tcBorders>
            <w:shd w:val="clear" w:color="auto" w:fill="auto"/>
            <w:noWrap/>
            <w:vAlign w:val="bottom"/>
          </w:tcPr>
          <w:p>
            <w:pPr>
              <w:widowControl/>
              <w:ind w:firstLine="300" w:firstLineChars="200"/>
              <w:jc w:val="left"/>
              <w:rPr>
                <w:rFonts w:ascii="Arial" w:hAnsi="Arial" w:cs="Arial"/>
                <w:color w:val="000000"/>
                <w:kern w:val="0"/>
                <w:sz w:val="15"/>
                <w:szCs w:val="20"/>
              </w:rPr>
            </w:pPr>
          </w:p>
        </w:tc>
        <w:tc>
          <w:tcPr>
            <w:tcW w:w="1341" w:type="dxa"/>
            <w:gridSpan w:val="3"/>
            <w:tcBorders>
              <w:top w:val="nil"/>
              <w:left w:val="nil"/>
              <w:bottom w:val="nil"/>
              <w:right w:val="nil"/>
            </w:tcBorders>
            <w:shd w:val="clear" w:color="auto" w:fill="auto"/>
            <w:noWrap/>
            <w:vAlign w:val="bottom"/>
          </w:tcPr>
          <w:p>
            <w:pPr>
              <w:widowControl/>
              <w:ind w:firstLine="300" w:firstLineChars="200"/>
              <w:jc w:val="left"/>
              <w:rPr>
                <w:rFonts w:ascii="Arial" w:hAnsi="Arial" w:cs="Arial"/>
                <w:color w:val="000000"/>
                <w:kern w:val="0"/>
                <w:sz w:val="15"/>
                <w:szCs w:val="20"/>
              </w:rPr>
            </w:pPr>
          </w:p>
        </w:tc>
        <w:tc>
          <w:tcPr>
            <w:tcW w:w="2422" w:type="dxa"/>
            <w:gridSpan w:val="3"/>
            <w:tcBorders>
              <w:top w:val="nil"/>
              <w:left w:val="nil"/>
              <w:bottom w:val="nil"/>
              <w:right w:val="nil"/>
            </w:tcBorders>
            <w:shd w:val="clear" w:color="auto" w:fill="auto"/>
            <w:noWrap/>
            <w:vAlign w:val="bottom"/>
          </w:tcPr>
          <w:p>
            <w:pPr>
              <w:widowControl/>
              <w:ind w:firstLine="300" w:firstLineChars="200"/>
              <w:jc w:val="right"/>
              <w:rPr>
                <w:rFonts w:ascii="宋体" w:hAnsi="宋体" w:cs="Arial"/>
                <w:color w:val="000000"/>
                <w:kern w:val="0"/>
                <w:sz w:val="15"/>
                <w:szCs w:val="20"/>
              </w:rPr>
            </w:pPr>
            <w:r>
              <w:rPr>
                <w:rFonts w:hint="eastAsia" w:ascii="宋体" w:hAnsi="宋体" w:cs="Arial"/>
                <w:color w:val="000000"/>
                <w:kern w:val="0"/>
                <w:sz w:val="15"/>
                <w:szCs w:val="20"/>
              </w:rPr>
              <w:t>财决公开06表</w:t>
            </w:r>
          </w:p>
        </w:tc>
      </w:tr>
      <w:tr>
        <w:tblPrEx>
          <w:tblCellMar>
            <w:top w:w="0" w:type="dxa"/>
            <w:left w:w="108" w:type="dxa"/>
            <w:bottom w:w="0" w:type="dxa"/>
            <w:right w:w="108" w:type="dxa"/>
          </w:tblCellMar>
        </w:tblPrEx>
        <w:trPr>
          <w:gridAfter w:val="4"/>
          <w:wAfter w:w="1988" w:type="dxa"/>
          <w:trHeight w:val="255" w:hRule="atLeast"/>
        </w:trPr>
        <w:tc>
          <w:tcPr>
            <w:tcW w:w="6921" w:type="dxa"/>
            <w:gridSpan w:val="15"/>
            <w:tcBorders>
              <w:top w:val="nil"/>
              <w:left w:val="nil"/>
              <w:bottom w:val="single" w:color="000000" w:sz="4" w:space="0"/>
              <w:right w:val="nil"/>
            </w:tcBorders>
            <w:shd w:val="clear" w:color="auto" w:fill="auto"/>
            <w:noWrap/>
            <w:vAlign w:val="bottom"/>
          </w:tcPr>
          <w:p>
            <w:pPr>
              <w:widowControl/>
              <w:ind w:firstLine="300" w:firstLineChars="200"/>
              <w:jc w:val="left"/>
              <w:rPr>
                <w:rFonts w:ascii="宋体" w:hAnsi="宋体" w:cs="Arial"/>
                <w:color w:val="000000"/>
                <w:kern w:val="0"/>
                <w:sz w:val="15"/>
                <w:szCs w:val="20"/>
              </w:rPr>
            </w:pPr>
            <w:r>
              <w:rPr>
                <w:rFonts w:hint="eastAsia" w:ascii="宋体" w:hAnsi="宋体" w:cs="Arial"/>
                <w:color w:val="000000"/>
                <w:kern w:val="0"/>
                <w:sz w:val="15"/>
                <w:szCs w:val="20"/>
              </w:rPr>
              <w:t>部门：四川省阿坝州汶川县纪委监察委（本级）</w:t>
            </w:r>
          </w:p>
        </w:tc>
        <w:tc>
          <w:tcPr>
            <w:tcW w:w="2422" w:type="dxa"/>
            <w:gridSpan w:val="3"/>
            <w:tcBorders>
              <w:top w:val="nil"/>
              <w:left w:val="nil"/>
              <w:bottom w:val="single" w:color="000000" w:sz="4" w:space="0"/>
              <w:right w:val="nil"/>
            </w:tcBorders>
            <w:shd w:val="clear" w:color="auto" w:fill="auto"/>
            <w:noWrap/>
            <w:vAlign w:val="bottom"/>
          </w:tcPr>
          <w:p>
            <w:pPr>
              <w:widowControl/>
              <w:ind w:firstLine="300" w:firstLineChars="200"/>
              <w:jc w:val="right"/>
              <w:rPr>
                <w:rFonts w:ascii="宋体" w:hAnsi="宋体" w:cs="Arial"/>
                <w:color w:val="000000"/>
                <w:kern w:val="0"/>
                <w:sz w:val="15"/>
                <w:szCs w:val="20"/>
              </w:rPr>
            </w:pPr>
            <w:r>
              <w:rPr>
                <w:rFonts w:hint="eastAsia" w:ascii="宋体" w:hAnsi="宋体" w:cs="Arial"/>
                <w:color w:val="000000"/>
                <w:kern w:val="0"/>
                <w:sz w:val="15"/>
                <w:szCs w:val="20"/>
              </w:rPr>
              <w:t>金额单位：万元</w:t>
            </w:r>
          </w:p>
        </w:tc>
      </w:tr>
      <w:tr>
        <w:tblPrEx>
          <w:tblCellMar>
            <w:top w:w="0" w:type="dxa"/>
            <w:left w:w="108" w:type="dxa"/>
            <w:bottom w:w="0" w:type="dxa"/>
            <w:right w:w="108" w:type="dxa"/>
          </w:tblCellMar>
        </w:tblPrEx>
        <w:trPr>
          <w:gridAfter w:val="4"/>
          <w:wAfter w:w="1988" w:type="dxa"/>
          <w:trHeight w:val="624" w:hRule="atLeast"/>
        </w:trPr>
        <w:tc>
          <w:tcPr>
            <w:tcW w:w="1248" w:type="dxa"/>
            <w:gridSpan w:val="4"/>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支出功能分类</w:t>
            </w:r>
          </w:p>
        </w:tc>
        <w:tc>
          <w:tcPr>
            <w:tcW w:w="4332" w:type="dxa"/>
            <w:gridSpan w:val="8"/>
            <w:vMerge w:val="restart"/>
            <w:tcBorders>
              <w:top w:val="nil"/>
              <w:left w:val="nil"/>
              <w:bottom w:val="single" w:color="000000" w:sz="4" w:space="0"/>
              <w:right w:val="single" w:color="000000" w:sz="4" w:space="0"/>
            </w:tcBorders>
            <w:shd w:val="clear" w:color="FFFFFF" w:fill="C0C0C0"/>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科目名称</w:t>
            </w:r>
          </w:p>
        </w:tc>
        <w:tc>
          <w:tcPr>
            <w:tcW w:w="1341" w:type="dxa"/>
            <w:gridSpan w:val="3"/>
            <w:vMerge w:val="restart"/>
            <w:tcBorders>
              <w:top w:val="nil"/>
              <w:left w:val="nil"/>
              <w:bottom w:val="single" w:color="000000" w:sz="4" w:space="0"/>
              <w:right w:val="single" w:color="000000" w:sz="4" w:space="0"/>
            </w:tcBorders>
            <w:shd w:val="clear" w:color="FFFFFF" w:fill="C0C0C0"/>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本年支出合计</w:t>
            </w:r>
          </w:p>
        </w:tc>
        <w:tc>
          <w:tcPr>
            <w:tcW w:w="1341" w:type="dxa"/>
            <w:gridSpan w:val="2"/>
            <w:vMerge w:val="restart"/>
            <w:tcBorders>
              <w:top w:val="nil"/>
              <w:left w:val="nil"/>
              <w:bottom w:val="single" w:color="000000" w:sz="4" w:space="0"/>
              <w:right w:val="single" w:color="000000" w:sz="4" w:space="0"/>
            </w:tcBorders>
            <w:shd w:val="clear" w:color="FFFFFF" w:fill="C0C0C0"/>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基本支出</w:t>
            </w:r>
          </w:p>
        </w:tc>
        <w:tc>
          <w:tcPr>
            <w:tcW w:w="1081" w:type="dxa"/>
            <w:vMerge w:val="restart"/>
            <w:tcBorders>
              <w:top w:val="nil"/>
              <w:left w:val="nil"/>
              <w:bottom w:val="single" w:color="000000" w:sz="4" w:space="0"/>
              <w:right w:val="single" w:color="000000" w:sz="4" w:space="0"/>
            </w:tcBorders>
            <w:shd w:val="clear" w:color="FFFFFF" w:fill="C0C0C0"/>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项目支出</w:t>
            </w:r>
          </w:p>
        </w:tc>
      </w:tr>
      <w:tr>
        <w:tblPrEx>
          <w:tblCellMar>
            <w:top w:w="0" w:type="dxa"/>
            <w:left w:w="108" w:type="dxa"/>
            <w:bottom w:w="0" w:type="dxa"/>
            <w:right w:w="108" w:type="dxa"/>
          </w:tblCellMar>
        </w:tblPrEx>
        <w:trPr>
          <w:gridAfter w:val="4"/>
          <w:wAfter w:w="1988" w:type="dxa"/>
          <w:trHeight w:val="624" w:hRule="atLeast"/>
        </w:trPr>
        <w:tc>
          <w:tcPr>
            <w:tcW w:w="1248"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300" w:firstLineChars="200"/>
              <w:jc w:val="left"/>
              <w:rPr>
                <w:rFonts w:ascii="宋体" w:hAnsi="宋体" w:cs="Arial"/>
                <w:color w:val="000000"/>
                <w:kern w:val="0"/>
                <w:sz w:val="15"/>
                <w:szCs w:val="22"/>
              </w:rPr>
            </w:pPr>
          </w:p>
        </w:tc>
        <w:tc>
          <w:tcPr>
            <w:tcW w:w="4332" w:type="dxa"/>
            <w:gridSpan w:val="8"/>
            <w:vMerge w:val="continue"/>
            <w:tcBorders>
              <w:top w:val="nil"/>
              <w:left w:val="nil"/>
              <w:bottom w:val="single" w:color="000000" w:sz="4" w:space="0"/>
              <w:right w:val="single" w:color="000000" w:sz="4" w:space="0"/>
            </w:tcBorders>
            <w:vAlign w:val="center"/>
          </w:tcPr>
          <w:p>
            <w:pPr>
              <w:widowControl/>
              <w:ind w:firstLine="300" w:firstLineChars="200"/>
              <w:jc w:val="left"/>
              <w:rPr>
                <w:rFonts w:ascii="宋体" w:hAnsi="宋体" w:cs="Arial"/>
                <w:color w:val="000000"/>
                <w:kern w:val="0"/>
                <w:sz w:val="15"/>
                <w:szCs w:val="22"/>
              </w:rPr>
            </w:pPr>
          </w:p>
        </w:tc>
        <w:tc>
          <w:tcPr>
            <w:tcW w:w="1341" w:type="dxa"/>
            <w:gridSpan w:val="3"/>
            <w:vMerge w:val="continue"/>
            <w:tcBorders>
              <w:top w:val="nil"/>
              <w:left w:val="nil"/>
              <w:bottom w:val="single" w:color="000000" w:sz="4" w:space="0"/>
              <w:right w:val="single" w:color="000000" w:sz="4" w:space="0"/>
            </w:tcBorders>
            <w:vAlign w:val="center"/>
          </w:tcPr>
          <w:p>
            <w:pPr>
              <w:widowControl/>
              <w:ind w:firstLine="300" w:firstLineChars="200"/>
              <w:jc w:val="left"/>
              <w:rPr>
                <w:rFonts w:ascii="宋体" w:hAnsi="宋体" w:cs="Arial"/>
                <w:color w:val="000000"/>
                <w:kern w:val="0"/>
                <w:sz w:val="15"/>
                <w:szCs w:val="22"/>
              </w:rPr>
            </w:pPr>
          </w:p>
        </w:tc>
        <w:tc>
          <w:tcPr>
            <w:tcW w:w="1341" w:type="dxa"/>
            <w:gridSpan w:val="2"/>
            <w:vMerge w:val="continue"/>
            <w:tcBorders>
              <w:top w:val="nil"/>
              <w:left w:val="nil"/>
              <w:bottom w:val="single" w:color="000000" w:sz="4" w:space="0"/>
              <w:right w:val="single" w:color="000000" w:sz="4" w:space="0"/>
            </w:tcBorders>
            <w:vAlign w:val="center"/>
          </w:tcPr>
          <w:p>
            <w:pPr>
              <w:widowControl/>
              <w:ind w:firstLine="300" w:firstLineChars="200"/>
              <w:jc w:val="left"/>
              <w:rPr>
                <w:rFonts w:ascii="宋体" w:hAnsi="宋体" w:cs="Arial"/>
                <w:color w:val="000000"/>
                <w:kern w:val="0"/>
                <w:sz w:val="15"/>
                <w:szCs w:val="22"/>
              </w:rPr>
            </w:pPr>
          </w:p>
        </w:tc>
        <w:tc>
          <w:tcPr>
            <w:tcW w:w="1081" w:type="dxa"/>
            <w:vMerge w:val="continue"/>
            <w:tcBorders>
              <w:top w:val="nil"/>
              <w:left w:val="nil"/>
              <w:bottom w:val="single" w:color="000000" w:sz="4" w:space="0"/>
              <w:right w:val="single" w:color="000000" w:sz="4" w:space="0"/>
            </w:tcBorders>
            <w:vAlign w:val="center"/>
          </w:tcPr>
          <w:p>
            <w:pPr>
              <w:widowControl/>
              <w:ind w:firstLine="300" w:firstLineChars="200"/>
              <w:jc w:val="left"/>
              <w:rPr>
                <w:rFonts w:ascii="宋体" w:hAnsi="宋体" w:cs="Arial"/>
                <w:color w:val="000000"/>
                <w:kern w:val="0"/>
                <w:sz w:val="15"/>
                <w:szCs w:val="22"/>
              </w:rPr>
            </w:pPr>
          </w:p>
        </w:tc>
      </w:tr>
      <w:tr>
        <w:tblPrEx>
          <w:tblCellMar>
            <w:top w:w="0" w:type="dxa"/>
            <w:left w:w="108" w:type="dxa"/>
            <w:bottom w:w="0" w:type="dxa"/>
            <w:right w:w="108" w:type="dxa"/>
          </w:tblCellMar>
        </w:tblPrEx>
        <w:trPr>
          <w:gridAfter w:val="4"/>
          <w:wAfter w:w="1988" w:type="dxa"/>
          <w:trHeight w:val="624" w:hRule="atLeast"/>
        </w:trPr>
        <w:tc>
          <w:tcPr>
            <w:tcW w:w="474" w:type="dxa"/>
            <w:gridSpan w:val="2"/>
            <w:vMerge w:val="restart"/>
            <w:tcBorders>
              <w:top w:val="nil"/>
              <w:left w:val="single" w:color="000000" w:sz="4" w:space="0"/>
              <w:bottom w:val="single" w:color="000000" w:sz="4" w:space="0"/>
              <w:right w:val="single" w:color="000000" w:sz="4" w:space="0"/>
            </w:tcBorders>
            <w:shd w:val="clear" w:color="FFFFFF" w:fill="C0C0C0"/>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类</w:t>
            </w:r>
          </w:p>
        </w:tc>
        <w:tc>
          <w:tcPr>
            <w:tcW w:w="408" w:type="dxa"/>
            <w:vMerge w:val="restart"/>
            <w:tcBorders>
              <w:top w:val="nil"/>
              <w:left w:val="nil"/>
              <w:bottom w:val="single" w:color="000000" w:sz="4" w:space="0"/>
              <w:right w:val="single" w:color="000000" w:sz="4" w:space="0"/>
            </w:tcBorders>
            <w:shd w:val="clear" w:color="FFFFFF" w:fill="C0C0C0"/>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款</w:t>
            </w:r>
          </w:p>
        </w:tc>
        <w:tc>
          <w:tcPr>
            <w:tcW w:w="366" w:type="dxa"/>
            <w:vMerge w:val="restart"/>
            <w:tcBorders>
              <w:top w:val="nil"/>
              <w:left w:val="nil"/>
              <w:bottom w:val="single" w:color="000000" w:sz="4" w:space="0"/>
              <w:right w:val="single" w:color="000000" w:sz="4" w:space="0"/>
            </w:tcBorders>
            <w:shd w:val="clear" w:color="FFFFFF" w:fill="C0C0C0"/>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项</w:t>
            </w:r>
          </w:p>
        </w:tc>
        <w:tc>
          <w:tcPr>
            <w:tcW w:w="4332" w:type="dxa"/>
            <w:gridSpan w:val="8"/>
            <w:vMerge w:val="continue"/>
            <w:tcBorders>
              <w:top w:val="nil"/>
              <w:left w:val="nil"/>
              <w:bottom w:val="single" w:color="000000" w:sz="4" w:space="0"/>
              <w:right w:val="single" w:color="000000" w:sz="4" w:space="0"/>
            </w:tcBorders>
            <w:vAlign w:val="center"/>
          </w:tcPr>
          <w:p>
            <w:pPr>
              <w:widowControl/>
              <w:ind w:firstLine="300" w:firstLineChars="200"/>
              <w:jc w:val="left"/>
              <w:rPr>
                <w:rFonts w:ascii="宋体" w:hAnsi="宋体" w:cs="Arial"/>
                <w:color w:val="000000"/>
                <w:kern w:val="0"/>
                <w:sz w:val="15"/>
                <w:szCs w:val="22"/>
              </w:rPr>
            </w:pPr>
          </w:p>
        </w:tc>
        <w:tc>
          <w:tcPr>
            <w:tcW w:w="1341" w:type="dxa"/>
            <w:gridSpan w:val="3"/>
            <w:vMerge w:val="continue"/>
            <w:tcBorders>
              <w:top w:val="nil"/>
              <w:left w:val="nil"/>
              <w:bottom w:val="single" w:color="000000" w:sz="4" w:space="0"/>
              <w:right w:val="single" w:color="000000" w:sz="4" w:space="0"/>
            </w:tcBorders>
            <w:vAlign w:val="center"/>
          </w:tcPr>
          <w:p>
            <w:pPr>
              <w:widowControl/>
              <w:ind w:firstLine="300" w:firstLineChars="200"/>
              <w:jc w:val="left"/>
              <w:rPr>
                <w:rFonts w:ascii="宋体" w:hAnsi="宋体" w:cs="Arial"/>
                <w:color w:val="000000"/>
                <w:kern w:val="0"/>
                <w:sz w:val="15"/>
                <w:szCs w:val="22"/>
              </w:rPr>
            </w:pPr>
          </w:p>
        </w:tc>
        <w:tc>
          <w:tcPr>
            <w:tcW w:w="1341" w:type="dxa"/>
            <w:gridSpan w:val="2"/>
            <w:vMerge w:val="continue"/>
            <w:tcBorders>
              <w:top w:val="nil"/>
              <w:left w:val="nil"/>
              <w:bottom w:val="single" w:color="000000" w:sz="4" w:space="0"/>
              <w:right w:val="single" w:color="000000" w:sz="4" w:space="0"/>
            </w:tcBorders>
            <w:vAlign w:val="center"/>
          </w:tcPr>
          <w:p>
            <w:pPr>
              <w:widowControl/>
              <w:ind w:firstLine="300" w:firstLineChars="200"/>
              <w:jc w:val="left"/>
              <w:rPr>
                <w:rFonts w:ascii="宋体" w:hAnsi="宋体" w:cs="Arial"/>
                <w:color w:val="000000"/>
                <w:kern w:val="0"/>
                <w:sz w:val="15"/>
                <w:szCs w:val="22"/>
              </w:rPr>
            </w:pPr>
          </w:p>
        </w:tc>
        <w:tc>
          <w:tcPr>
            <w:tcW w:w="1081" w:type="dxa"/>
            <w:vMerge w:val="continue"/>
            <w:tcBorders>
              <w:top w:val="nil"/>
              <w:left w:val="nil"/>
              <w:bottom w:val="single" w:color="000000" w:sz="4" w:space="0"/>
              <w:right w:val="single" w:color="000000" w:sz="4" w:space="0"/>
            </w:tcBorders>
            <w:vAlign w:val="center"/>
          </w:tcPr>
          <w:p>
            <w:pPr>
              <w:widowControl/>
              <w:ind w:firstLine="300" w:firstLineChars="200"/>
              <w:jc w:val="left"/>
              <w:rPr>
                <w:rFonts w:ascii="宋体" w:hAnsi="宋体" w:cs="Arial"/>
                <w:color w:val="000000"/>
                <w:kern w:val="0"/>
                <w:sz w:val="15"/>
                <w:szCs w:val="22"/>
              </w:rPr>
            </w:pPr>
          </w:p>
        </w:tc>
      </w:tr>
      <w:tr>
        <w:tblPrEx>
          <w:tblCellMar>
            <w:top w:w="0" w:type="dxa"/>
            <w:left w:w="108" w:type="dxa"/>
            <w:bottom w:w="0" w:type="dxa"/>
            <w:right w:w="108" w:type="dxa"/>
          </w:tblCellMar>
        </w:tblPrEx>
        <w:trPr>
          <w:gridAfter w:val="4"/>
          <w:wAfter w:w="1988" w:type="dxa"/>
          <w:trHeight w:val="308" w:hRule="atLeast"/>
        </w:trPr>
        <w:tc>
          <w:tcPr>
            <w:tcW w:w="474" w:type="dxa"/>
            <w:gridSpan w:val="2"/>
            <w:vMerge w:val="continue"/>
            <w:tcBorders>
              <w:top w:val="nil"/>
              <w:left w:val="single" w:color="000000" w:sz="4" w:space="0"/>
              <w:bottom w:val="single" w:color="000000" w:sz="4" w:space="0"/>
              <w:right w:val="single" w:color="000000" w:sz="4" w:space="0"/>
            </w:tcBorders>
            <w:vAlign w:val="center"/>
          </w:tcPr>
          <w:p>
            <w:pPr>
              <w:widowControl/>
              <w:ind w:firstLine="300" w:firstLineChars="200"/>
              <w:jc w:val="left"/>
              <w:rPr>
                <w:rFonts w:ascii="宋体" w:hAnsi="宋体" w:cs="Arial"/>
                <w:color w:val="000000"/>
                <w:kern w:val="0"/>
                <w:sz w:val="15"/>
                <w:szCs w:val="22"/>
              </w:rPr>
            </w:pPr>
          </w:p>
        </w:tc>
        <w:tc>
          <w:tcPr>
            <w:tcW w:w="408" w:type="dxa"/>
            <w:vMerge w:val="continue"/>
            <w:tcBorders>
              <w:top w:val="nil"/>
              <w:left w:val="nil"/>
              <w:bottom w:val="single" w:color="000000" w:sz="4" w:space="0"/>
              <w:right w:val="single" w:color="000000" w:sz="4" w:space="0"/>
            </w:tcBorders>
            <w:vAlign w:val="center"/>
          </w:tcPr>
          <w:p>
            <w:pPr>
              <w:widowControl/>
              <w:ind w:firstLine="300" w:firstLineChars="200"/>
              <w:jc w:val="left"/>
              <w:rPr>
                <w:rFonts w:ascii="宋体" w:hAnsi="宋体" w:cs="Arial"/>
                <w:color w:val="000000"/>
                <w:kern w:val="0"/>
                <w:sz w:val="15"/>
                <w:szCs w:val="22"/>
              </w:rPr>
            </w:pPr>
          </w:p>
        </w:tc>
        <w:tc>
          <w:tcPr>
            <w:tcW w:w="366" w:type="dxa"/>
            <w:vMerge w:val="continue"/>
            <w:tcBorders>
              <w:top w:val="nil"/>
              <w:left w:val="nil"/>
              <w:bottom w:val="single" w:color="000000" w:sz="4" w:space="0"/>
              <w:right w:val="single" w:color="000000" w:sz="4" w:space="0"/>
            </w:tcBorders>
            <w:vAlign w:val="center"/>
          </w:tcPr>
          <w:p>
            <w:pPr>
              <w:widowControl/>
              <w:ind w:firstLine="300" w:firstLineChars="200"/>
              <w:jc w:val="left"/>
              <w:rPr>
                <w:rFonts w:ascii="宋体" w:hAnsi="宋体" w:cs="Arial"/>
                <w:color w:val="000000"/>
                <w:kern w:val="0"/>
                <w:sz w:val="15"/>
                <w:szCs w:val="22"/>
              </w:rPr>
            </w:pPr>
          </w:p>
        </w:tc>
        <w:tc>
          <w:tcPr>
            <w:tcW w:w="4332" w:type="dxa"/>
            <w:gridSpan w:val="8"/>
            <w:tcBorders>
              <w:top w:val="nil"/>
              <w:left w:val="nil"/>
              <w:bottom w:val="single" w:color="000000" w:sz="4" w:space="0"/>
              <w:right w:val="single" w:color="000000" w:sz="4" w:space="0"/>
            </w:tcBorders>
            <w:shd w:val="clear" w:color="FFFFFF" w:fill="C0C0C0"/>
            <w:vAlign w:val="center"/>
          </w:tcPr>
          <w:p>
            <w:pPr>
              <w:widowControl/>
              <w:ind w:firstLine="300" w:firstLineChars="200"/>
              <w:jc w:val="center"/>
              <w:rPr>
                <w:rFonts w:ascii="宋体" w:hAnsi="宋体" w:cs="Arial"/>
                <w:color w:val="000000"/>
                <w:kern w:val="0"/>
                <w:sz w:val="15"/>
                <w:szCs w:val="22"/>
              </w:rPr>
            </w:pPr>
            <w:r>
              <w:rPr>
                <w:rFonts w:hint="eastAsia" w:ascii="宋体" w:hAnsi="宋体" w:cs="Arial"/>
                <w:color w:val="000000"/>
                <w:kern w:val="0"/>
                <w:sz w:val="15"/>
                <w:szCs w:val="22"/>
              </w:rPr>
              <w:t>合计</w:t>
            </w:r>
          </w:p>
        </w:tc>
        <w:tc>
          <w:tcPr>
            <w:tcW w:w="1341" w:type="dxa"/>
            <w:gridSpan w:val="3"/>
            <w:tcBorders>
              <w:top w:val="nil"/>
              <w:left w:val="nil"/>
              <w:bottom w:val="single" w:color="000000" w:sz="4" w:space="0"/>
              <w:right w:val="single" w:color="000000" w:sz="4" w:space="0"/>
            </w:tcBorders>
            <w:shd w:val="clear" w:color="auto" w:fill="auto"/>
            <w:noWrap/>
            <w:vAlign w:val="center"/>
          </w:tcPr>
          <w:p>
            <w:pPr>
              <w:widowControl/>
              <w:ind w:firstLine="301" w:firstLineChars="200"/>
              <w:jc w:val="right"/>
              <w:rPr>
                <w:rFonts w:ascii="宋体" w:hAnsi="宋体" w:cs="Arial"/>
                <w:b/>
                <w:bCs/>
                <w:color w:val="000000"/>
                <w:kern w:val="0"/>
                <w:sz w:val="15"/>
                <w:szCs w:val="22"/>
              </w:rPr>
            </w:pPr>
            <w:r>
              <w:rPr>
                <w:rFonts w:hint="eastAsia" w:ascii="宋体" w:hAnsi="宋体" w:cs="Arial"/>
                <w:b/>
                <w:bCs/>
                <w:color w:val="000000"/>
                <w:kern w:val="0"/>
                <w:sz w:val="15"/>
                <w:szCs w:val="22"/>
              </w:rPr>
              <w:t>1087.98</w:t>
            </w:r>
          </w:p>
        </w:tc>
        <w:tc>
          <w:tcPr>
            <w:tcW w:w="1341" w:type="dxa"/>
            <w:gridSpan w:val="2"/>
            <w:tcBorders>
              <w:top w:val="nil"/>
              <w:left w:val="nil"/>
              <w:bottom w:val="single" w:color="000000" w:sz="4" w:space="0"/>
              <w:right w:val="single" w:color="000000" w:sz="4" w:space="0"/>
            </w:tcBorders>
            <w:shd w:val="clear" w:color="auto" w:fill="auto"/>
            <w:noWrap/>
            <w:vAlign w:val="center"/>
          </w:tcPr>
          <w:p>
            <w:pPr>
              <w:widowControl/>
              <w:ind w:firstLine="301" w:firstLineChars="200"/>
              <w:jc w:val="right"/>
              <w:rPr>
                <w:rFonts w:ascii="宋体" w:hAnsi="宋体" w:cs="Arial"/>
                <w:b/>
                <w:bCs/>
                <w:color w:val="000000"/>
                <w:kern w:val="0"/>
                <w:sz w:val="15"/>
                <w:szCs w:val="22"/>
              </w:rPr>
            </w:pPr>
            <w:r>
              <w:rPr>
                <w:rFonts w:hint="eastAsia" w:ascii="宋体" w:hAnsi="宋体" w:cs="Arial"/>
                <w:b/>
                <w:bCs/>
                <w:color w:val="000000"/>
                <w:kern w:val="0"/>
                <w:sz w:val="15"/>
                <w:szCs w:val="22"/>
              </w:rPr>
              <w:t>865.15</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1" w:firstLineChars="200"/>
              <w:jc w:val="right"/>
              <w:rPr>
                <w:rFonts w:ascii="宋体" w:hAnsi="宋体" w:cs="Arial"/>
                <w:b/>
                <w:bCs/>
                <w:color w:val="000000"/>
                <w:kern w:val="0"/>
                <w:sz w:val="15"/>
                <w:szCs w:val="22"/>
              </w:rPr>
            </w:pPr>
            <w:r>
              <w:rPr>
                <w:rFonts w:hint="eastAsia" w:ascii="宋体" w:hAnsi="宋体" w:cs="Arial"/>
                <w:b/>
                <w:bCs/>
                <w:color w:val="000000"/>
                <w:kern w:val="0"/>
                <w:sz w:val="15"/>
                <w:szCs w:val="22"/>
              </w:rPr>
              <w:t>222.82</w:t>
            </w:r>
          </w:p>
        </w:tc>
      </w:tr>
      <w:tr>
        <w:tblPrEx>
          <w:tblCellMar>
            <w:top w:w="0" w:type="dxa"/>
            <w:left w:w="108" w:type="dxa"/>
            <w:bottom w:w="0" w:type="dxa"/>
            <w:right w:w="108" w:type="dxa"/>
          </w:tblCellMar>
        </w:tblPrEx>
        <w:trPr>
          <w:gridAfter w:val="4"/>
          <w:wAfter w:w="1988" w:type="dxa"/>
          <w:trHeight w:val="308" w:hRule="atLeast"/>
        </w:trPr>
        <w:tc>
          <w:tcPr>
            <w:tcW w:w="1248"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201</w:t>
            </w:r>
          </w:p>
        </w:tc>
        <w:tc>
          <w:tcPr>
            <w:tcW w:w="4332" w:type="dxa"/>
            <w:gridSpan w:val="8"/>
            <w:tcBorders>
              <w:top w:val="nil"/>
              <w:left w:val="nil"/>
              <w:bottom w:val="single" w:color="000000" w:sz="4" w:space="0"/>
              <w:right w:val="single" w:color="000000" w:sz="4" w:space="0"/>
            </w:tcBorders>
            <w:shd w:val="clear" w:color="auto" w:fill="auto"/>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一般公共服务支出</w:t>
            </w:r>
          </w:p>
        </w:tc>
        <w:tc>
          <w:tcPr>
            <w:tcW w:w="1341"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902.23</w:t>
            </w:r>
          </w:p>
        </w:tc>
        <w:tc>
          <w:tcPr>
            <w:tcW w:w="1341"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524.73</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218.12</w:t>
            </w:r>
          </w:p>
        </w:tc>
      </w:tr>
      <w:tr>
        <w:tblPrEx>
          <w:tblCellMar>
            <w:top w:w="0" w:type="dxa"/>
            <w:left w:w="108" w:type="dxa"/>
            <w:bottom w:w="0" w:type="dxa"/>
            <w:right w:w="108" w:type="dxa"/>
          </w:tblCellMar>
        </w:tblPrEx>
        <w:trPr>
          <w:gridAfter w:val="4"/>
          <w:wAfter w:w="1988" w:type="dxa"/>
          <w:trHeight w:val="308" w:hRule="atLeast"/>
        </w:trPr>
        <w:tc>
          <w:tcPr>
            <w:tcW w:w="1248"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20111</w:t>
            </w:r>
          </w:p>
        </w:tc>
        <w:tc>
          <w:tcPr>
            <w:tcW w:w="4332" w:type="dxa"/>
            <w:gridSpan w:val="8"/>
            <w:tcBorders>
              <w:top w:val="nil"/>
              <w:left w:val="nil"/>
              <w:bottom w:val="single" w:color="000000" w:sz="4" w:space="0"/>
              <w:right w:val="single" w:color="000000" w:sz="4" w:space="0"/>
            </w:tcBorders>
            <w:shd w:val="clear" w:color="auto" w:fill="auto"/>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纪检监察事务</w:t>
            </w:r>
          </w:p>
        </w:tc>
        <w:tc>
          <w:tcPr>
            <w:tcW w:w="1341"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900.23</w:t>
            </w:r>
          </w:p>
        </w:tc>
        <w:tc>
          <w:tcPr>
            <w:tcW w:w="1341"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524.73</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216.12</w:t>
            </w:r>
          </w:p>
        </w:tc>
      </w:tr>
      <w:tr>
        <w:tblPrEx>
          <w:tblCellMar>
            <w:top w:w="0" w:type="dxa"/>
            <w:left w:w="108" w:type="dxa"/>
            <w:bottom w:w="0" w:type="dxa"/>
            <w:right w:w="108" w:type="dxa"/>
          </w:tblCellMar>
        </w:tblPrEx>
        <w:trPr>
          <w:gridAfter w:val="4"/>
          <w:wAfter w:w="1988" w:type="dxa"/>
          <w:trHeight w:val="308" w:hRule="atLeast"/>
        </w:trPr>
        <w:tc>
          <w:tcPr>
            <w:tcW w:w="1248"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2011101</w:t>
            </w:r>
          </w:p>
        </w:tc>
        <w:tc>
          <w:tcPr>
            <w:tcW w:w="4332" w:type="dxa"/>
            <w:gridSpan w:val="8"/>
            <w:tcBorders>
              <w:top w:val="nil"/>
              <w:left w:val="nil"/>
              <w:bottom w:val="single" w:color="000000" w:sz="4" w:space="0"/>
              <w:right w:val="single" w:color="000000" w:sz="4" w:space="0"/>
            </w:tcBorders>
            <w:shd w:val="clear" w:color="auto" w:fill="auto"/>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 xml:space="preserve">  行政运行</w:t>
            </w:r>
          </w:p>
        </w:tc>
        <w:tc>
          <w:tcPr>
            <w:tcW w:w="1341" w:type="dxa"/>
            <w:gridSpan w:val="3"/>
            <w:tcBorders>
              <w:top w:val="nil"/>
              <w:left w:val="nil"/>
              <w:bottom w:val="single" w:color="000000" w:sz="4" w:space="0"/>
              <w:right w:val="single" w:color="000000" w:sz="4" w:space="0"/>
            </w:tcBorders>
            <w:shd w:val="clear" w:color="auto" w:fill="auto"/>
            <w:noWrap/>
            <w:vAlign w:val="center"/>
          </w:tcPr>
          <w:p>
            <w:pPr>
              <w:widowControl/>
              <w:ind w:right="150"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684.11</w:t>
            </w:r>
          </w:p>
        </w:tc>
        <w:tc>
          <w:tcPr>
            <w:tcW w:w="1341"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519.73</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r>
      <w:tr>
        <w:tblPrEx>
          <w:tblCellMar>
            <w:top w:w="0" w:type="dxa"/>
            <w:left w:w="108" w:type="dxa"/>
            <w:bottom w:w="0" w:type="dxa"/>
            <w:right w:w="108" w:type="dxa"/>
          </w:tblCellMar>
        </w:tblPrEx>
        <w:trPr>
          <w:gridAfter w:val="4"/>
          <w:wAfter w:w="1988" w:type="dxa"/>
          <w:trHeight w:val="308" w:hRule="atLeast"/>
        </w:trPr>
        <w:tc>
          <w:tcPr>
            <w:tcW w:w="1248"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2011104</w:t>
            </w:r>
          </w:p>
        </w:tc>
        <w:tc>
          <w:tcPr>
            <w:tcW w:w="4332" w:type="dxa"/>
            <w:gridSpan w:val="8"/>
            <w:tcBorders>
              <w:top w:val="nil"/>
              <w:left w:val="nil"/>
              <w:bottom w:val="single" w:color="000000" w:sz="4" w:space="0"/>
              <w:right w:val="single" w:color="000000" w:sz="4" w:space="0"/>
            </w:tcBorders>
            <w:shd w:val="clear" w:color="auto" w:fill="auto"/>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 xml:space="preserve">  大案要案查处</w:t>
            </w:r>
          </w:p>
        </w:tc>
        <w:tc>
          <w:tcPr>
            <w:tcW w:w="1341" w:type="dxa"/>
            <w:gridSpan w:val="3"/>
            <w:tcBorders>
              <w:top w:val="nil"/>
              <w:left w:val="nil"/>
              <w:bottom w:val="single" w:color="000000" w:sz="4" w:space="0"/>
              <w:right w:val="single" w:color="000000" w:sz="4" w:space="0"/>
            </w:tcBorders>
            <w:shd w:val="clear" w:color="auto" w:fill="auto"/>
            <w:noWrap/>
            <w:vAlign w:val="center"/>
          </w:tcPr>
          <w:p>
            <w:pPr>
              <w:widowControl/>
              <w:ind w:right="150"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57.49</w:t>
            </w:r>
          </w:p>
        </w:tc>
        <w:tc>
          <w:tcPr>
            <w:tcW w:w="1341"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81" w:type="dxa"/>
            <w:tcBorders>
              <w:top w:val="nil"/>
              <w:left w:val="nil"/>
              <w:bottom w:val="single" w:color="000000" w:sz="4" w:space="0"/>
              <w:right w:val="single" w:color="000000" w:sz="4" w:space="0"/>
            </w:tcBorders>
            <w:shd w:val="clear" w:color="auto" w:fill="auto"/>
            <w:noWrap/>
            <w:vAlign w:val="center"/>
          </w:tcPr>
          <w:p>
            <w:pPr>
              <w:widowControl/>
              <w:ind w:right="150"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57.49</w:t>
            </w:r>
          </w:p>
        </w:tc>
      </w:tr>
      <w:tr>
        <w:tblPrEx>
          <w:tblCellMar>
            <w:top w:w="0" w:type="dxa"/>
            <w:left w:w="108" w:type="dxa"/>
            <w:bottom w:w="0" w:type="dxa"/>
            <w:right w:w="108" w:type="dxa"/>
          </w:tblCellMar>
        </w:tblPrEx>
        <w:trPr>
          <w:gridAfter w:val="4"/>
          <w:wAfter w:w="1988" w:type="dxa"/>
          <w:trHeight w:val="308" w:hRule="atLeast"/>
        </w:trPr>
        <w:tc>
          <w:tcPr>
            <w:tcW w:w="1248"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2011105</w:t>
            </w:r>
          </w:p>
        </w:tc>
        <w:tc>
          <w:tcPr>
            <w:tcW w:w="4332" w:type="dxa"/>
            <w:gridSpan w:val="8"/>
            <w:tcBorders>
              <w:top w:val="nil"/>
              <w:left w:val="nil"/>
              <w:bottom w:val="single" w:color="000000" w:sz="4" w:space="0"/>
              <w:right w:val="single" w:color="000000" w:sz="4" w:space="0"/>
            </w:tcBorders>
            <w:shd w:val="clear" w:color="auto" w:fill="auto"/>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 xml:space="preserve">  派驻派出机构</w:t>
            </w:r>
          </w:p>
        </w:tc>
        <w:tc>
          <w:tcPr>
            <w:tcW w:w="1341" w:type="dxa"/>
            <w:gridSpan w:val="3"/>
            <w:tcBorders>
              <w:top w:val="nil"/>
              <w:left w:val="nil"/>
              <w:bottom w:val="single" w:color="000000" w:sz="4" w:space="0"/>
              <w:right w:val="single" w:color="000000" w:sz="4" w:space="0"/>
            </w:tcBorders>
            <w:shd w:val="clear" w:color="auto" w:fill="auto"/>
            <w:noWrap/>
            <w:vAlign w:val="center"/>
          </w:tcPr>
          <w:p>
            <w:pPr>
              <w:widowControl/>
              <w:ind w:right="150"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5</w:t>
            </w:r>
          </w:p>
        </w:tc>
        <w:tc>
          <w:tcPr>
            <w:tcW w:w="1341"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5.00</w:t>
            </w:r>
          </w:p>
        </w:tc>
        <w:tc>
          <w:tcPr>
            <w:tcW w:w="1081" w:type="dxa"/>
            <w:tcBorders>
              <w:top w:val="nil"/>
              <w:left w:val="nil"/>
              <w:bottom w:val="single" w:color="000000" w:sz="4" w:space="0"/>
              <w:right w:val="single" w:color="000000" w:sz="4" w:space="0"/>
            </w:tcBorders>
            <w:shd w:val="clear" w:color="auto" w:fill="auto"/>
            <w:noWrap/>
            <w:vAlign w:val="center"/>
          </w:tcPr>
          <w:p>
            <w:pPr>
              <w:widowControl/>
              <w:ind w:right="150"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5</w:t>
            </w:r>
          </w:p>
        </w:tc>
      </w:tr>
      <w:tr>
        <w:tblPrEx>
          <w:tblCellMar>
            <w:top w:w="0" w:type="dxa"/>
            <w:left w:w="108" w:type="dxa"/>
            <w:bottom w:w="0" w:type="dxa"/>
            <w:right w:w="108" w:type="dxa"/>
          </w:tblCellMar>
        </w:tblPrEx>
        <w:trPr>
          <w:gridAfter w:val="4"/>
          <w:wAfter w:w="1988" w:type="dxa"/>
          <w:trHeight w:val="308" w:hRule="atLeast"/>
        </w:trPr>
        <w:tc>
          <w:tcPr>
            <w:tcW w:w="1248"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2011199</w:t>
            </w:r>
          </w:p>
        </w:tc>
        <w:tc>
          <w:tcPr>
            <w:tcW w:w="4332" w:type="dxa"/>
            <w:gridSpan w:val="8"/>
            <w:tcBorders>
              <w:top w:val="nil"/>
              <w:left w:val="nil"/>
              <w:bottom w:val="single" w:color="000000" w:sz="4" w:space="0"/>
              <w:right w:val="single" w:color="000000" w:sz="4" w:space="0"/>
            </w:tcBorders>
            <w:shd w:val="clear" w:color="auto" w:fill="auto"/>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 xml:space="preserve">  其他纪检监察事务支出</w:t>
            </w:r>
          </w:p>
        </w:tc>
        <w:tc>
          <w:tcPr>
            <w:tcW w:w="1341" w:type="dxa"/>
            <w:gridSpan w:val="3"/>
            <w:tcBorders>
              <w:top w:val="nil"/>
              <w:left w:val="nil"/>
              <w:bottom w:val="single" w:color="000000" w:sz="4" w:space="0"/>
              <w:right w:val="single" w:color="000000" w:sz="4" w:space="0"/>
            </w:tcBorders>
            <w:shd w:val="clear" w:color="auto" w:fill="auto"/>
            <w:noWrap/>
            <w:vAlign w:val="center"/>
          </w:tcPr>
          <w:p>
            <w:pPr>
              <w:widowControl/>
              <w:ind w:right="150"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153.63</w:t>
            </w:r>
          </w:p>
        </w:tc>
        <w:tc>
          <w:tcPr>
            <w:tcW w:w="1341"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c>
          <w:tcPr>
            <w:tcW w:w="1081" w:type="dxa"/>
            <w:tcBorders>
              <w:top w:val="nil"/>
              <w:left w:val="nil"/>
              <w:bottom w:val="single" w:color="000000" w:sz="4" w:space="0"/>
              <w:right w:val="single" w:color="000000" w:sz="4" w:space="0"/>
            </w:tcBorders>
            <w:shd w:val="clear" w:color="auto" w:fill="auto"/>
            <w:noWrap/>
            <w:vAlign w:val="center"/>
          </w:tcPr>
          <w:p>
            <w:pPr>
              <w:widowControl/>
              <w:ind w:right="150"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153.63</w:t>
            </w:r>
          </w:p>
        </w:tc>
      </w:tr>
      <w:tr>
        <w:tblPrEx>
          <w:tblCellMar>
            <w:top w:w="0" w:type="dxa"/>
            <w:left w:w="108" w:type="dxa"/>
            <w:bottom w:w="0" w:type="dxa"/>
            <w:right w:w="108" w:type="dxa"/>
          </w:tblCellMar>
        </w:tblPrEx>
        <w:trPr>
          <w:gridAfter w:val="4"/>
          <w:wAfter w:w="1988" w:type="dxa"/>
          <w:trHeight w:val="308" w:hRule="atLeast"/>
        </w:trPr>
        <w:tc>
          <w:tcPr>
            <w:tcW w:w="1248"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ind w:firstLine="300" w:firstLineChars="200"/>
              <w:jc w:val="left"/>
              <w:rPr>
                <w:rFonts w:hint="eastAsia" w:ascii="宋体" w:hAnsi="宋体" w:cs="Arial"/>
                <w:color w:val="000000"/>
                <w:kern w:val="0"/>
                <w:sz w:val="15"/>
                <w:szCs w:val="22"/>
              </w:rPr>
            </w:pPr>
            <w:r>
              <w:rPr>
                <w:rFonts w:hint="eastAsia" w:ascii="宋体" w:hAnsi="宋体" w:cs="Arial"/>
                <w:color w:val="000000"/>
                <w:kern w:val="0"/>
                <w:sz w:val="15"/>
                <w:szCs w:val="22"/>
              </w:rPr>
              <w:t>2013299</w:t>
            </w:r>
          </w:p>
        </w:tc>
        <w:tc>
          <w:tcPr>
            <w:tcW w:w="4332" w:type="dxa"/>
            <w:gridSpan w:val="8"/>
            <w:tcBorders>
              <w:top w:val="nil"/>
              <w:left w:val="nil"/>
              <w:bottom w:val="single" w:color="000000" w:sz="4" w:space="0"/>
              <w:right w:val="single" w:color="000000" w:sz="4" w:space="0"/>
            </w:tcBorders>
            <w:shd w:val="clear" w:color="auto" w:fill="auto"/>
            <w:noWrap/>
            <w:vAlign w:val="center"/>
          </w:tcPr>
          <w:p>
            <w:pPr>
              <w:widowControl/>
              <w:ind w:firstLine="300" w:firstLineChars="200"/>
              <w:jc w:val="left"/>
              <w:rPr>
                <w:rFonts w:hint="eastAsia" w:ascii="宋体" w:hAnsi="宋体" w:cs="Arial"/>
                <w:color w:val="000000"/>
                <w:kern w:val="0"/>
                <w:sz w:val="15"/>
                <w:szCs w:val="22"/>
              </w:rPr>
            </w:pPr>
            <w:r>
              <w:rPr>
                <w:rFonts w:hint="eastAsia" w:ascii="宋体" w:hAnsi="宋体" w:cs="Arial"/>
                <w:color w:val="000000"/>
                <w:kern w:val="0"/>
                <w:sz w:val="15"/>
                <w:szCs w:val="22"/>
              </w:rPr>
              <w:t>其他组织事务支出</w:t>
            </w:r>
          </w:p>
        </w:tc>
        <w:tc>
          <w:tcPr>
            <w:tcW w:w="1341" w:type="dxa"/>
            <w:gridSpan w:val="3"/>
            <w:tcBorders>
              <w:top w:val="nil"/>
              <w:left w:val="nil"/>
              <w:bottom w:val="single" w:color="000000" w:sz="4" w:space="0"/>
              <w:right w:val="single" w:color="000000" w:sz="4" w:space="0"/>
            </w:tcBorders>
            <w:shd w:val="clear" w:color="auto" w:fill="auto"/>
            <w:noWrap/>
            <w:vAlign w:val="center"/>
          </w:tcPr>
          <w:p>
            <w:pPr>
              <w:widowControl/>
              <w:ind w:right="150"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2</w:t>
            </w:r>
          </w:p>
        </w:tc>
        <w:tc>
          <w:tcPr>
            <w:tcW w:w="1341"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hint="eastAsia" w:ascii="宋体" w:hAnsi="宋体" w:cs="Arial"/>
                <w:color w:val="000000"/>
                <w:kern w:val="0"/>
                <w:sz w:val="15"/>
                <w:szCs w:val="22"/>
              </w:rPr>
            </w:pPr>
          </w:p>
        </w:tc>
        <w:tc>
          <w:tcPr>
            <w:tcW w:w="1081" w:type="dxa"/>
            <w:tcBorders>
              <w:top w:val="nil"/>
              <w:left w:val="nil"/>
              <w:bottom w:val="single" w:color="000000" w:sz="4" w:space="0"/>
              <w:right w:val="single" w:color="000000" w:sz="4" w:space="0"/>
            </w:tcBorders>
            <w:shd w:val="clear" w:color="auto" w:fill="auto"/>
            <w:noWrap/>
            <w:vAlign w:val="center"/>
          </w:tcPr>
          <w:p>
            <w:pPr>
              <w:widowControl/>
              <w:ind w:right="150"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2</w:t>
            </w:r>
          </w:p>
        </w:tc>
      </w:tr>
      <w:tr>
        <w:tblPrEx>
          <w:tblCellMar>
            <w:top w:w="0" w:type="dxa"/>
            <w:left w:w="108" w:type="dxa"/>
            <w:bottom w:w="0" w:type="dxa"/>
            <w:right w:w="108" w:type="dxa"/>
          </w:tblCellMar>
        </w:tblPrEx>
        <w:trPr>
          <w:gridAfter w:val="4"/>
          <w:wAfter w:w="1988" w:type="dxa"/>
          <w:trHeight w:val="308" w:hRule="atLeast"/>
        </w:trPr>
        <w:tc>
          <w:tcPr>
            <w:tcW w:w="1248"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ind w:firstLine="300" w:firstLineChars="200"/>
              <w:jc w:val="left"/>
              <w:rPr>
                <w:rFonts w:hint="eastAsia" w:ascii="宋体" w:hAnsi="宋体" w:cs="Arial"/>
                <w:color w:val="000000"/>
                <w:kern w:val="0"/>
                <w:sz w:val="15"/>
                <w:szCs w:val="22"/>
              </w:rPr>
            </w:pPr>
            <w:r>
              <w:rPr>
                <w:rFonts w:hint="eastAsia" w:ascii="宋体" w:hAnsi="宋体" w:cs="Arial"/>
                <w:color w:val="000000"/>
                <w:kern w:val="0"/>
                <w:sz w:val="15"/>
                <w:szCs w:val="22"/>
              </w:rPr>
              <w:t>2050803</w:t>
            </w:r>
          </w:p>
        </w:tc>
        <w:tc>
          <w:tcPr>
            <w:tcW w:w="4332" w:type="dxa"/>
            <w:gridSpan w:val="8"/>
            <w:tcBorders>
              <w:top w:val="nil"/>
              <w:left w:val="nil"/>
              <w:bottom w:val="single" w:color="000000" w:sz="4" w:space="0"/>
              <w:right w:val="single" w:color="000000" w:sz="4" w:space="0"/>
            </w:tcBorders>
            <w:shd w:val="clear" w:color="auto" w:fill="auto"/>
            <w:noWrap/>
            <w:vAlign w:val="center"/>
          </w:tcPr>
          <w:p>
            <w:pPr>
              <w:widowControl/>
              <w:ind w:firstLine="300" w:firstLineChars="200"/>
              <w:jc w:val="left"/>
              <w:rPr>
                <w:rFonts w:hint="eastAsia" w:ascii="宋体" w:hAnsi="宋体" w:cs="Arial"/>
                <w:color w:val="000000"/>
                <w:kern w:val="0"/>
                <w:sz w:val="15"/>
                <w:szCs w:val="22"/>
              </w:rPr>
            </w:pPr>
            <w:r>
              <w:rPr>
                <w:rFonts w:hint="eastAsia" w:ascii="宋体" w:hAnsi="宋体" w:cs="Arial"/>
                <w:color w:val="000000"/>
                <w:kern w:val="0"/>
                <w:sz w:val="15"/>
                <w:szCs w:val="22"/>
              </w:rPr>
              <w:t>培训支出</w:t>
            </w:r>
          </w:p>
        </w:tc>
        <w:tc>
          <w:tcPr>
            <w:tcW w:w="1341" w:type="dxa"/>
            <w:gridSpan w:val="3"/>
            <w:tcBorders>
              <w:top w:val="nil"/>
              <w:left w:val="nil"/>
              <w:bottom w:val="single" w:color="000000" w:sz="4" w:space="0"/>
              <w:right w:val="single" w:color="000000" w:sz="4" w:space="0"/>
            </w:tcBorders>
            <w:shd w:val="clear" w:color="auto" w:fill="auto"/>
            <w:noWrap/>
            <w:vAlign w:val="center"/>
          </w:tcPr>
          <w:p>
            <w:pPr>
              <w:widowControl/>
              <w:ind w:right="150"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4.70</w:t>
            </w:r>
          </w:p>
        </w:tc>
        <w:tc>
          <w:tcPr>
            <w:tcW w:w="1341"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hint="eastAsia" w:ascii="宋体" w:hAnsi="宋体" w:cs="Arial"/>
                <w:color w:val="000000"/>
                <w:kern w:val="0"/>
                <w:sz w:val="15"/>
                <w:szCs w:val="22"/>
              </w:rPr>
            </w:pPr>
          </w:p>
        </w:tc>
        <w:tc>
          <w:tcPr>
            <w:tcW w:w="1081" w:type="dxa"/>
            <w:tcBorders>
              <w:top w:val="nil"/>
              <w:left w:val="nil"/>
              <w:bottom w:val="single" w:color="000000" w:sz="4" w:space="0"/>
              <w:right w:val="single" w:color="000000" w:sz="4" w:space="0"/>
            </w:tcBorders>
            <w:shd w:val="clear" w:color="auto" w:fill="auto"/>
            <w:noWrap/>
            <w:vAlign w:val="center"/>
          </w:tcPr>
          <w:p>
            <w:pPr>
              <w:widowControl/>
              <w:ind w:right="150"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4.70</w:t>
            </w:r>
          </w:p>
        </w:tc>
      </w:tr>
      <w:tr>
        <w:tblPrEx>
          <w:tblCellMar>
            <w:top w:w="0" w:type="dxa"/>
            <w:left w:w="108" w:type="dxa"/>
            <w:bottom w:w="0" w:type="dxa"/>
            <w:right w:w="108" w:type="dxa"/>
          </w:tblCellMar>
        </w:tblPrEx>
        <w:trPr>
          <w:gridAfter w:val="4"/>
          <w:wAfter w:w="1988" w:type="dxa"/>
          <w:trHeight w:val="308" w:hRule="atLeast"/>
        </w:trPr>
        <w:tc>
          <w:tcPr>
            <w:tcW w:w="1248"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208</w:t>
            </w:r>
          </w:p>
        </w:tc>
        <w:tc>
          <w:tcPr>
            <w:tcW w:w="4332" w:type="dxa"/>
            <w:gridSpan w:val="8"/>
            <w:tcBorders>
              <w:top w:val="nil"/>
              <w:left w:val="nil"/>
              <w:bottom w:val="single" w:color="000000" w:sz="4" w:space="0"/>
              <w:right w:val="single" w:color="000000" w:sz="4" w:space="0"/>
            </w:tcBorders>
            <w:shd w:val="clear" w:color="auto" w:fill="auto"/>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社会保障和就业支出</w:t>
            </w:r>
          </w:p>
        </w:tc>
        <w:tc>
          <w:tcPr>
            <w:tcW w:w="1341" w:type="dxa"/>
            <w:gridSpan w:val="3"/>
            <w:tcBorders>
              <w:top w:val="nil"/>
              <w:left w:val="nil"/>
              <w:bottom w:val="single" w:color="000000" w:sz="4" w:space="0"/>
              <w:right w:val="single" w:color="000000" w:sz="4" w:space="0"/>
            </w:tcBorders>
            <w:shd w:val="clear" w:color="auto" w:fill="auto"/>
            <w:noWrap/>
            <w:vAlign w:val="center"/>
          </w:tcPr>
          <w:p>
            <w:pPr>
              <w:widowControl/>
              <w:ind w:right="150"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81.89</w:t>
            </w:r>
          </w:p>
        </w:tc>
        <w:tc>
          <w:tcPr>
            <w:tcW w:w="1341" w:type="dxa"/>
            <w:gridSpan w:val="2"/>
            <w:tcBorders>
              <w:top w:val="nil"/>
              <w:left w:val="nil"/>
              <w:bottom w:val="single" w:color="000000" w:sz="4" w:space="0"/>
              <w:right w:val="single" w:color="000000" w:sz="4" w:space="0"/>
            </w:tcBorders>
            <w:shd w:val="clear" w:color="auto" w:fill="auto"/>
            <w:noWrap/>
            <w:vAlign w:val="center"/>
          </w:tcPr>
          <w:p>
            <w:pPr>
              <w:widowControl/>
              <w:ind w:right="150"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81.89</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r>
      <w:tr>
        <w:tblPrEx>
          <w:tblCellMar>
            <w:top w:w="0" w:type="dxa"/>
            <w:left w:w="108" w:type="dxa"/>
            <w:bottom w:w="0" w:type="dxa"/>
            <w:right w:w="108" w:type="dxa"/>
          </w:tblCellMar>
        </w:tblPrEx>
        <w:trPr>
          <w:gridAfter w:val="4"/>
          <w:wAfter w:w="1988" w:type="dxa"/>
          <w:trHeight w:val="308" w:hRule="atLeast"/>
        </w:trPr>
        <w:tc>
          <w:tcPr>
            <w:tcW w:w="1248"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20805</w:t>
            </w:r>
          </w:p>
        </w:tc>
        <w:tc>
          <w:tcPr>
            <w:tcW w:w="4332" w:type="dxa"/>
            <w:gridSpan w:val="8"/>
            <w:tcBorders>
              <w:top w:val="nil"/>
              <w:left w:val="nil"/>
              <w:bottom w:val="single" w:color="000000" w:sz="4" w:space="0"/>
              <w:right w:val="single" w:color="000000" w:sz="4" w:space="0"/>
            </w:tcBorders>
            <w:shd w:val="clear" w:color="auto" w:fill="auto"/>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行政事业单位离退休</w:t>
            </w:r>
          </w:p>
        </w:tc>
        <w:tc>
          <w:tcPr>
            <w:tcW w:w="1341"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81.89</w:t>
            </w:r>
          </w:p>
        </w:tc>
        <w:tc>
          <w:tcPr>
            <w:tcW w:w="1341"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81.89</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r>
      <w:tr>
        <w:tblPrEx>
          <w:tblCellMar>
            <w:top w:w="0" w:type="dxa"/>
            <w:left w:w="108" w:type="dxa"/>
            <w:bottom w:w="0" w:type="dxa"/>
            <w:right w:w="108" w:type="dxa"/>
          </w:tblCellMar>
        </w:tblPrEx>
        <w:trPr>
          <w:gridAfter w:val="4"/>
          <w:wAfter w:w="1988" w:type="dxa"/>
          <w:trHeight w:val="308" w:hRule="atLeast"/>
        </w:trPr>
        <w:tc>
          <w:tcPr>
            <w:tcW w:w="1248"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2080505</w:t>
            </w:r>
          </w:p>
        </w:tc>
        <w:tc>
          <w:tcPr>
            <w:tcW w:w="4332" w:type="dxa"/>
            <w:gridSpan w:val="8"/>
            <w:tcBorders>
              <w:top w:val="nil"/>
              <w:left w:val="nil"/>
              <w:bottom w:val="single" w:color="000000" w:sz="4" w:space="0"/>
              <w:right w:val="single" w:color="000000" w:sz="4" w:space="0"/>
            </w:tcBorders>
            <w:shd w:val="clear" w:color="auto" w:fill="auto"/>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 xml:space="preserve">  机关事业单位基本养老保险缴费支出★</w:t>
            </w:r>
          </w:p>
        </w:tc>
        <w:tc>
          <w:tcPr>
            <w:tcW w:w="1341" w:type="dxa"/>
            <w:gridSpan w:val="3"/>
            <w:tcBorders>
              <w:top w:val="nil"/>
              <w:left w:val="nil"/>
              <w:bottom w:val="single" w:color="000000" w:sz="4" w:space="0"/>
              <w:right w:val="single" w:color="000000" w:sz="4" w:space="0"/>
            </w:tcBorders>
            <w:shd w:val="clear" w:color="auto" w:fill="auto"/>
            <w:noWrap/>
            <w:vAlign w:val="center"/>
          </w:tcPr>
          <w:p>
            <w:pPr>
              <w:widowControl/>
              <w:ind w:right="750"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55.70</w:t>
            </w:r>
          </w:p>
        </w:tc>
        <w:tc>
          <w:tcPr>
            <w:tcW w:w="1341" w:type="dxa"/>
            <w:gridSpan w:val="2"/>
            <w:tcBorders>
              <w:top w:val="nil"/>
              <w:left w:val="nil"/>
              <w:bottom w:val="single" w:color="000000" w:sz="4" w:space="0"/>
              <w:right w:val="single" w:color="000000" w:sz="4" w:space="0"/>
            </w:tcBorders>
            <w:shd w:val="clear" w:color="auto" w:fill="auto"/>
            <w:noWrap/>
            <w:vAlign w:val="center"/>
          </w:tcPr>
          <w:p>
            <w:pPr>
              <w:widowControl/>
              <w:ind w:right="750"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55.70</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r>
      <w:tr>
        <w:tblPrEx>
          <w:tblCellMar>
            <w:top w:w="0" w:type="dxa"/>
            <w:left w:w="108" w:type="dxa"/>
            <w:bottom w:w="0" w:type="dxa"/>
            <w:right w:w="108" w:type="dxa"/>
          </w:tblCellMar>
        </w:tblPrEx>
        <w:trPr>
          <w:gridAfter w:val="4"/>
          <w:wAfter w:w="1988" w:type="dxa"/>
          <w:trHeight w:val="308" w:hRule="atLeast"/>
        </w:trPr>
        <w:tc>
          <w:tcPr>
            <w:tcW w:w="1248"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2080506</w:t>
            </w:r>
          </w:p>
        </w:tc>
        <w:tc>
          <w:tcPr>
            <w:tcW w:w="4332" w:type="dxa"/>
            <w:gridSpan w:val="8"/>
            <w:tcBorders>
              <w:top w:val="nil"/>
              <w:left w:val="nil"/>
              <w:bottom w:val="single" w:color="000000" w:sz="4" w:space="0"/>
              <w:right w:val="single" w:color="000000" w:sz="4" w:space="0"/>
            </w:tcBorders>
            <w:shd w:val="clear" w:color="auto" w:fill="auto"/>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 xml:space="preserve">  机关事业单位职业年金缴费支出★</w:t>
            </w:r>
          </w:p>
        </w:tc>
        <w:tc>
          <w:tcPr>
            <w:tcW w:w="1341" w:type="dxa"/>
            <w:gridSpan w:val="3"/>
            <w:tcBorders>
              <w:top w:val="nil"/>
              <w:left w:val="nil"/>
              <w:bottom w:val="single" w:color="000000" w:sz="4" w:space="0"/>
              <w:right w:val="single" w:color="000000" w:sz="4" w:space="0"/>
            </w:tcBorders>
            <w:shd w:val="clear" w:color="auto" w:fill="auto"/>
            <w:noWrap/>
            <w:vAlign w:val="center"/>
          </w:tcPr>
          <w:p>
            <w:pPr>
              <w:widowControl/>
              <w:ind w:right="300"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26.19</w:t>
            </w:r>
          </w:p>
        </w:tc>
        <w:tc>
          <w:tcPr>
            <w:tcW w:w="1341" w:type="dxa"/>
            <w:gridSpan w:val="2"/>
            <w:tcBorders>
              <w:top w:val="nil"/>
              <w:left w:val="nil"/>
              <w:bottom w:val="single" w:color="000000" w:sz="4" w:space="0"/>
              <w:right w:val="single" w:color="000000" w:sz="4" w:space="0"/>
            </w:tcBorders>
            <w:shd w:val="clear" w:color="auto" w:fill="auto"/>
            <w:noWrap/>
            <w:vAlign w:val="center"/>
          </w:tcPr>
          <w:p>
            <w:pPr>
              <w:widowControl/>
              <w:ind w:right="300"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26.19</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r>
      <w:tr>
        <w:tblPrEx>
          <w:tblCellMar>
            <w:top w:w="0" w:type="dxa"/>
            <w:left w:w="108" w:type="dxa"/>
            <w:bottom w:w="0" w:type="dxa"/>
            <w:right w:w="108" w:type="dxa"/>
          </w:tblCellMar>
        </w:tblPrEx>
        <w:trPr>
          <w:gridAfter w:val="4"/>
          <w:wAfter w:w="1988" w:type="dxa"/>
          <w:trHeight w:val="308" w:hRule="atLeast"/>
        </w:trPr>
        <w:tc>
          <w:tcPr>
            <w:tcW w:w="1248"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210</w:t>
            </w:r>
          </w:p>
        </w:tc>
        <w:tc>
          <w:tcPr>
            <w:tcW w:w="4332" w:type="dxa"/>
            <w:gridSpan w:val="8"/>
            <w:tcBorders>
              <w:top w:val="nil"/>
              <w:left w:val="nil"/>
              <w:bottom w:val="single" w:color="000000" w:sz="4" w:space="0"/>
              <w:right w:val="single" w:color="000000" w:sz="4" w:space="0"/>
            </w:tcBorders>
            <w:shd w:val="clear" w:color="auto" w:fill="auto"/>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医疗卫生与计划生育支出</w:t>
            </w:r>
          </w:p>
        </w:tc>
        <w:tc>
          <w:tcPr>
            <w:tcW w:w="1341"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38.66</w:t>
            </w:r>
          </w:p>
        </w:tc>
        <w:tc>
          <w:tcPr>
            <w:tcW w:w="1341"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38.66</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r>
      <w:tr>
        <w:tblPrEx>
          <w:tblCellMar>
            <w:top w:w="0" w:type="dxa"/>
            <w:left w:w="108" w:type="dxa"/>
            <w:bottom w:w="0" w:type="dxa"/>
            <w:right w:w="108" w:type="dxa"/>
          </w:tblCellMar>
        </w:tblPrEx>
        <w:trPr>
          <w:gridAfter w:val="4"/>
          <w:wAfter w:w="1988" w:type="dxa"/>
          <w:trHeight w:val="308" w:hRule="atLeast"/>
        </w:trPr>
        <w:tc>
          <w:tcPr>
            <w:tcW w:w="1248"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21011</w:t>
            </w:r>
          </w:p>
        </w:tc>
        <w:tc>
          <w:tcPr>
            <w:tcW w:w="4332" w:type="dxa"/>
            <w:gridSpan w:val="8"/>
            <w:tcBorders>
              <w:top w:val="nil"/>
              <w:left w:val="nil"/>
              <w:bottom w:val="single" w:color="000000" w:sz="4" w:space="0"/>
              <w:right w:val="single" w:color="000000" w:sz="4" w:space="0"/>
            </w:tcBorders>
            <w:shd w:val="clear" w:color="auto" w:fill="auto"/>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行政事业单位医疗★</w:t>
            </w:r>
          </w:p>
        </w:tc>
        <w:tc>
          <w:tcPr>
            <w:tcW w:w="1341"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38.66</w:t>
            </w:r>
          </w:p>
        </w:tc>
        <w:tc>
          <w:tcPr>
            <w:tcW w:w="1341"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38.66</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r>
      <w:tr>
        <w:tblPrEx>
          <w:tblCellMar>
            <w:top w:w="0" w:type="dxa"/>
            <w:left w:w="108" w:type="dxa"/>
            <w:bottom w:w="0" w:type="dxa"/>
            <w:right w:w="108" w:type="dxa"/>
          </w:tblCellMar>
        </w:tblPrEx>
        <w:trPr>
          <w:gridAfter w:val="4"/>
          <w:wAfter w:w="1988" w:type="dxa"/>
          <w:trHeight w:val="308" w:hRule="atLeast"/>
        </w:trPr>
        <w:tc>
          <w:tcPr>
            <w:tcW w:w="1248"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2101101</w:t>
            </w:r>
          </w:p>
        </w:tc>
        <w:tc>
          <w:tcPr>
            <w:tcW w:w="4332" w:type="dxa"/>
            <w:gridSpan w:val="8"/>
            <w:tcBorders>
              <w:top w:val="nil"/>
              <w:left w:val="nil"/>
              <w:bottom w:val="single" w:color="000000" w:sz="4" w:space="0"/>
              <w:right w:val="single" w:color="000000" w:sz="4" w:space="0"/>
            </w:tcBorders>
            <w:shd w:val="clear" w:color="auto" w:fill="auto"/>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 xml:space="preserve">  行政单位医疗★</w:t>
            </w:r>
          </w:p>
        </w:tc>
        <w:tc>
          <w:tcPr>
            <w:tcW w:w="1341" w:type="dxa"/>
            <w:gridSpan w:val="3"/>
            <w:tcBorders>
              <w:top w:val="nil"/>
              <w:left w:val="nil"/>
              <w:bottom w:val="single" w:color="000000" w:sz="4" w:space="0"/>
              <w:right w:val="single" w:color="000000" w:sz="4" w:space="0"/>
            </w:tcBorders>
            <w:shd w:val="clear" w:color="auto" w:fill="auto"/>
            <w:noWrap/>
            <w:vAlign w:val="center"/>
          </w:tcPr>
          <w:p>
            <w:pPr>
              <w:widowControl/>
              <w:ind w:right="150"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38.66</w:t>
            </w:r>
          </w:p>
        </w:tc>
        <w:tc>
          <w:tcPr>
            <w:tcW w:w="1341" w:type="dxa"/>
            <w:gridSpan w:val="2"/>
            <w:tcBorders>
              <w:top w:val="nil"/>
              <w:left w:val="nil"/>
              <w:bottom w:val="single" w:color="000000" w:sz="4" w:space="0"/>
              <w:right w:val="single" w:color="000000" w:sz="4" w:space="0"/>
            </w:tcBorders>
            <w:shd w:val="clear" w:color="auto" w:fill="auto"/>
            <w:noWrap/>
            <w:vAlign w:val="center"/>
          </w:tcPr>
          <w:p>
            <w:pPr>
              <w:widowControl/>
              <w:ind w:right="150"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38.66</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r>
      <w:tr>
        <w:tblPrEx>
          <w:tblCellMar>
            <w:top w:w="0" w:type="dxa"/>
            <w:left w:w="108" w:type="dxa"/>
            <w:bottom w:w="0" w:type="dxa"/>
            <w:right w:w="108" w:type="dxa"/>
          </w:tblCellMar>
        </w:tblPrEx>
        <w:trPr>
          <w:gridAfter w:val="4"/>
          <w:wAfter w:w="1988" w:type="dxa"/>
          <w:trHeight w:val="308" w:hRule="atLeast"/>
        </w:trPr>
        <w:tc>
          <w:tcPr>
            <w:tcW w:w="1248"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221</w:t>
            </w:r>
          </w:p>
        </w:tc>
        <w:tc>
          <w:tcPr>
            <w:tcW w:w="4332" w:type="dxa"/>
            <w:gridSpan w:val="8"/>
            <w:tcBorders>
              <w:top w:val="nil"/>
              <w:left w:val="nil"/>
              <w:bottom w:val="single" w:color="000000" w:sz="4" w:space="0"/>
              <w:right w:val="single" w:color="000000" w:sz="4" w:space="0"/>
            </w:tcBorders>
            <w:shd w:val="clear" w:color="auto" w:fill="auto"/>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住房保障支出</w:t>
            </w:r>
          </w:p>
        </w:tc>
        <w:tc>
          <w:tcPr>
            <w:tcW w:w="1341"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60.49</w:t>
            </w:r>
          </w:p>
        </w:tc>
        <w:tc>
          <w:tcPr>
            <w:tcW w:w="1341"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60.49</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r>
      <w:tr>
        <w:tblPrEx>
          <w:tblCellMar>
            <w:top w:w="0" w:type="dxa"/>
            <w:left w:w="108" w:type="dxa"/>
            <w:bottom w:w="0" w:type="dxa"/>
            <w:right w:w="108" w:type="dxa"/>
          </w:tblCellMar>
        </w:tblPrEx>
        <w:trPr>
          <w:gridAfter w:val="4"/>
          <w:wAfter w:w="1988" w:type="dxa"/>
          <w:trHeight w:val="308" w:hRule="atLeast"/>
        </w:trPr>
        <w:tc>
          <w:tcPr>
            <w:tcW w:w="1248"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22102</w:t>
            </w:r>
          </w:p>
        </w:tc>
        <w:tc>
          <w:tcPr>
            <w:tcW w:w="4332" w:type="dxa"/>
            <w:gridSpan w:val="8"/>
            <w:tcBorders>
              <w:top w:val="nil"/>
              <w:left w:val="nil"/>
              <w:bottom w:val="single" w:color="000000" w:sz="4" w:space="0"/>
              <w:right w:val="single" w:color="000000" w:sz="4" w:space="0"/>
            </w:tcBorders>
            <w:shd w:val="clear" w:color="auto" w:fill="auto"/>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住房改革支出</w:t>
            </w:r>
          </w:p>
        </w:tc>
        <w:tc>
          <w:tcPr>
            <w:tcW w:w="1341"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60.49</w:t>
            </w:r>
          </w:p>
        </w:tc>
        <w:tc>
          <w:tcPr>
            <w:tcW w:w="1341"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60.49</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r>
      <w:tr>
        <w:tblPrEx>
          <w:tblCellMar>
            <w:top w:w="0" w:type="dxa"/>
            <w:left w:w="108" w:type="dxa"/>
            <w:bottom w:w="0" w:type="dxa"/>
            <w:right w:w="108" w:type="dxa"/>
          </w:tblCellMar>
        </w:tblPrEx>
        <w:trPr>
          <w:gridAfter w:val="4"/>
          <w:wAfter w:w="1988" w:type="dxa"/>
          <w:trHeight w:val="308" w:hRule="atLeast"/>
        </w:trPr>
        <w:tc>
          <w:tcPr>
            <w:tcW w:w="1248"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2210201</w:t>
            </w:r>
          </w:p>
        </w:tc>
        <w:tc>
          <w:tcPr>
            <w:tcW w:w="4332" w:type="dxa"/>
            <w:gridSpan w:val="8"/>
            <w:tcBorders>
              <w:top w:val="nil"/>
              <w:left w:val="nil"/>
              <w:bottom w:val="single" w:color="000000" w:sz="4" w:space="0"/>
              <w:right w:val="single" w:color="000000" w:sz="4" w:space="0"/>
            </w:tcBorders>
            <w:shd w:val="clear" w:color="auto" w:fill="auto"/>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 xml:space="preserve">  住房公积金</w:t>
            </w:r>
          </w:p>
        </w:tc>
        <w:tc>
          <w:tcPr>
            <w:tcW w:w="1341" w:type="dxa"/>
            <w:gridSpan w:val="3"/>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60.49</w:t>
            </w:r>
          </w:p>
        </w:tc>
        <w:tc>
          <w:tcPr>
            <w:tcW w:w="1341" w:type="dxa"/>
            <w:gridSpan w:val="2"/>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60.49</w:t>
            </w:r>
          </w:p>
        </w:tc>
        <w:tc>
          <w:tcPr>
            <w:tcW w:w="1081" w:type="dxa"/>
            <w:tcBorders>
              <w:top w:val="nil"/>
              <w:left w:val="nil"/>
              <w:bottom w:val="single" w:color="000000" w:sz="4" w:space="0"/>
              <w:right w:val="single" w:color="000000" w:sz="4" w:space="0"/>
            </w:tcBorders>
            <w:shd w:val="clear" w:color="auto" w:fill="auto"/>
            <w:noWrap/>
            <w:vAlign w:val="center"/>
          </w:tcPr>
          <w:p>
            <w:pPr>
              <w:widowControl/>
              <w:ind w:firstLine="300" w:firstLineChars="200"/>
              <w:jc w:val="right"/>
              <w:rPr>
                <w:rFonts w:ascii="宋体" w:hAnsi="宋体" w:cs="Arial"/>
                <w:color w:val="000000"/>
                <w:kern w:val="0"/>
                <w:sz w:val="15"/>
                <w:szCs w:val="22"/>
              </w:rPr>
            </w:pPr>
            <w:r>
              <w:rPr>
                <w:rFonts w:hint="eastAsia" w:ascii="宋体" w:hAnsi="宋体" w:cs="Arial"/>
                <w:color w:val="000000"/>
                <w:kern w:val="0"/>
                <w:sz w:val="15"/>
                <w:szCs w:val="22"/>
              </w:rPr>
              <w:t>0.00</w:t>
            </w:r>
          </w:p>
        </w:tc>
      </w:tr>
      <w:tr>
        <w:tblPrEx>
          <w:tblCellMar>
            <w:top w:w="0" w:type="dxa"/>
            <w:left w:w="108" w:type="dxa"/>
            <w:bottom w:w="0" w:type="dxa"/>
            <w:right w:w="108" w:type="dxa"/>
          </w:tblCellMar>
        </w:tblPrEx>
        <w:trPr>
          <w:gridAfter w:val="4"/>
          <w:wAfter w:w="1988" w:type="dxa"/>
          <w:trHeight w:val="308" w:hRule="atLeast"/>
        </w:trPr>
        <w:tc>
          <w:tcPr>
            <w:tcW w:w="9343" w:type="dxa"/>
            <w:gridSpan w:val="18"/>
            <w:tcBorders>
              <w:top w:val="nil"/>
              <w:left w:val="nil"/>
              <w:bottom w:val="nil"/>
              <w:right w:val="nil"/>
            </w:tcBorders>
            <w:shd w:val="clear" w:color="auto" w:fill="auto"/>
            <w:noWrap/>
            <w:vAlign w:val="center"/>
          </w:tcPr>
          <w:p>
            <w:pPr>
              <w:widowControl/>
              <w:ind w:firstLine="300" w:firstLineChars="200"/>
              <w:jc w:val="left"/>
              <w:rPr>
                <w:rFonts w:ascii="宋体" w:hAnsi="宋体" w:cs="Arial"/>
                <w:color w:val="000000"/>
                <w:kern w:val="0"/>
                <w:sz w:val="15"/>
                <w:szCs w:val="22"/>
              </w:rPr>
            </w:pPr>
            <w:r>
              <w:rPr>
                <w:rFonts w:hint="eastAsia" w:ascii="宋体" w:hAnsi="宋体" w:cs="Arial"/>
                <w:color w:val="000000"/>
                <w:kern w:val="0"/>
                <w:sz w:val="15"/>
                <w:szCs w:val="22"/>
              </w:rPr>
              <w:t>注：本表以“万元”为金额单位（保留两位小数），反映部门本年度一般公共预算财政拨款实际支出情况。</w:t>
            </w:r>
          </w:p>
        </w:tc>
      </w:tr>
    </w:tbl>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tbl>
      <w:tblPr>
        <w:tblStyle w:val="12"/>
        <w:tblW w:w="8670" w:type="dxa"/>
        <w:tblInd w:w="93" w:type="dxa"/>
        <w:tblLayout w:type="autofit"/>
        <w:tblCellMar>
          <w:top w:w="0" w:type="dxa"/>
          <w:left w:w="108" w:type="dxa"/>
          <w:bottom w:w="0" w:type="dxa"/>
          <w:right w:w="108" w:type="dxa"/>
        </w:tblCellMar>
      </w:tblPr>
      <w:tblGrid>
        <w:gridCol w:w="805"/>
        <w:gridCol w:w="369"/>
        <w:gridCol w:w="435"/>
        <w:gridCol w:w="805"/>
        <w:gridCol w:w="1587"/>
        <w:gridCol w:w="1007"/>
        <w:gridCol w:w="350"/>
        <w:gridCol w:w="1228"/>
        <w:gridCol w:w="21"/>
        <w:gridCol w:w="1250"/>
        <w:gridCol w:w="308"/>
        <w:gridCol w:w="1143"/>
      </w:tblGrid>
      <w:tr>
        <w:tblPrEx>
          <w:tblCellMar>
            <w:top w:w="0" w:type="dxa"/>
            <w:left w:w="108" w:type="dxa"/>
            <w:bottom w:w="0" w:type="dxa"/>
            <w:right w:w="108" w:type="dxa"/>
          </w:tblCellMar>
        </w:tblPrEx>
        <w:trPr>
          <w:gridAfter w:val="2"/>
          <w:wAfter w:w="1558" w:type="dxa"/>
          <w:trHeight w:val="405" w:hRule="atLeast"/>
        </w:trPr>
        <w:tc>
          <w:tcPr>
            <w:tcW w:w="7112" w:type="dxa"/>
            <w:gridSpan w:val="10"/>
            <w:tcBorders>
              <w:top w:val="nil"/>
              <w:left w:val="nil"/>
              <w:bottom w:val="nil"/>
              <w:right w:val="nil"/>
            </w:tcBorders>
            <w:shd w:val="clear" w:color="auto" w:fill="auto"/>
            <w:noWrap/>
            <w:vAlign w:val="bottom"/>
          </w:tcPr>
          <w:p>
            <w:pPr>
              <w:widowControl/>
              <w:ind w:firstLine="640" w:firstLineChars="200"/>
              <w:jc w:val="center"/>
              <w:rPr>
                <w:rFonts w:hint="eastAsia" w:ascii="宋体" w:hAnsi="宋体" w:cs="Arial"/>
                <w:color w:val="000000"/>
                <w:kern w:val="0"/>
                <w:sz w:val="32"/>
                <w:szCs w:val="32"/>
              </w:rPr>
            </w:pPr>
          </w:p>
          <w:p>
            <w:pPr>
              <w:widowControl/>
              <w:ind w:firstLine="640" w:firstLineChars="200"/>
              <w:jc w:val="center"/>
              <w:rPr>
                <w:rFonts w:hint="eastAsia" w:ascii="宋体" w:hAnsi="宋体" w:cs="Arial"/>
                <w:color w:val="000000"/>
                <w:kern w:val="0"/>
                <w:sz w:val="32"/>
                <w:szCs w:val="32"/>
              </w:rPr>
            </w:pPr>
          </w:p>
          <w:p>
            <w:pPr>
              <w:widowControl/>
              <w:ind w:firstLine="640" w:firstLineChars="200"/>
              <w:jc w:val="center"/>
              <w:rPr>
                <w:rFonts w:hint="eastAsia" w:ascii="宋体" w:hAnsi="宋体" w:cs="Arial"/>
                <w:color w:val="000000"/>
                <w:kern w:val="0"/>
                <w:sz w:val="32"/>
                <w:szCs w:val="32"/>
              </w:rPr>
            </w:pPr>
          </w:p>
          <w:p>
            <w:pPr>
              <w:widowControl/>
              <w:ind w:firstLine="640" w:firstLineChars="200"/>
              <w:jc w:val="center"/>
              <w:rPr>
                <w:rFonts w:hint="eastAsia" w:ascii="宋体" w:hAnsi="宋体" w:cs="Arial"/>
                <w:color w:val="000000"/>
                <w:kern w:val="0"/>
                <w:sz w:val="32"/>
                <w:szCs w:val="32"/>
              </w:rPr>
            </w:pPr>
          </w:p>
          <w:p>
            <w:pPr>
              <w:widowControl/>
              <w:ind w:firstLine="640" w:firstLineChars="200"/>
              <w:jc w:val="center"/>
              <w:rPr>
                <w:rFonts w:hint="eastAsia" w:ascii="宋体" w:hAnsi="宋体" w:cs="Arial"/>
                <w:color w:val="000000"/>
                <w:kern w:val="0"/>
                <w:sz w:val="32"/>
                <w:szCs w:val="32"/>
              </w:rPr>
            </w:pPr>
          </w:p>
          <w:p>
            <w:pPr>
              <w:widowControl/>
              <w:rPr>
                <w:rFonts w:hint="eastAsia" w:ascii="宋体" w:hAnsi="宋体" w:cs="Arial"/>
                <w:color w:val="000000"/>
                <w:kern w:val="0"/>
                <w:sz w:val="32"/>
                <w:szCs w:val="32"/>
              </w:rPr>
            </w:pPr>
          </w:p>
          <w:p>
            <w:pPr>
              <w:widowControl/>
              <w:ind w:firstLine="640" w:firstLineChars="200"/>
              <w:jc w:val="center"/>
              <w:rPr>
                <w:rFonts w:ascii="宋体" w:hAnsi="宋体" w:cs="Arial"/>
                <w:color w:val="000000"/>
                <w:kern w:val="0"/>
                <w:sz w:val="32"/>
                <w:szCs w:val="32"/>
              </w:rPr>
            </w:pPr>
            <w:r>
              <w:rPr>
                <w:rFonts w:hint="eastAsia" w:ascii="宋体" w:hAnsi="宋体" w:cs="Arial"/>
                <w:color w:val="000000"/>
                <w:kern w:val="0"/>
                <w:sz w:val="32"/>
                <w:szCs w:val="32"/>
              </w:rPr>
              <w:t>一般公共预算财政拨款项目支出决算表</w:t>
            </w:r>
          </w:p>
        </w:tc>
      </w:tr>
      <w:tr>
        <w:tblPrEx>
          <w:tblCellMar>
            <w:top w:w="0" w:type="dxa"/>
            <w:left w:w="108" w:type="dxa"/>
            <w:bottom w:w="0" w:type="dxa"/>
            <w:right w:w="108" w:type="dxa"/>
          </w:tblCellMar>
        </w:tblPrEx>
        <w:trPr>
          <w:gridAfter w:val="2"/>
          <w:wAfter w:w="1558" w:type="dxa"/>
          <w:trHeight w:val="255" w:hRule="atLeast"/>
        </w:trPr>
        <w:tc>
          <w:tcPr>
            <w:tcW w:w="436"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460" w:type="dxa"/>
            <w:gridSpan w:val="2"/>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3100" w:type="dxa"/>
            <w:gridSpan w:val="3"/>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2680" w:type="dxa"/>
            <w:gridSpan w:val="3"/>
            <w:tcBorders>
              <w:top w:val="nil"/>
              <w:left w:val="nil"/>
              <w:bottom w:val="nil"/>
              <w:right w:val="nil"/>
            </w:tcBorders>
            <w:shd w:val="clear" w:color="auto" w:fill="auto"/>
            <w:noWrap/>
            <w:vAlign w:val="bottom"/>
          </w:tcPr>
          <w:p>
            <w:pPr>
              <w:widowControl/>
              <w:ind w:firstLine="400" w:firstLineChars="200"/>
              <w:jc w:val="right"/>
              <w:rPr>
                <w:rFonts w:ascii="宋体" w:hAnsi="宋体" w:cs="Arial"/>
                <w:color w:val="000000"/>
                <w:kern w:val="0"/>
                <w:sz w:val="20"/>
                <w:szCs w:val="20"/>
              </w:rPr>
            </w:pPr>
            <w:r>
              <w:rPr>
                <w:rFonts w:hint="eastAsia" w:ascii="宋体" w:hAnsi="宋体" w:cs="Arial"/>
                <w:color w:val="000000"/>
                <w:kern w:val="0"/>
                <w:sz w:val="20"/>
                <w:szCs w:val="20"/>
              </w:rPr>
              <w:t>财决公开09表</w:t>
            </w:r>
          </w:p>
        </w:tc>
      </w:tr>
      <w:tr>
        <w:tblPrEx>
          <w:tblCellMar>
            <w:top w:w="0" w:type="dxa"/>
            <w:left w:w="108" w:type="dxa"/>
            <w:bottom w:w="0" w:type="dxa"/>
            <w:right w:w="108" w:type="dxa"/>
          </w:tblCellMar>
        </w:tblPrEx>
        <w:trPr>
          <w:gridAfter w:val="2"/>
          <w:wAfter w:w="1558" w:type="dxa"/>
          <w:trHeight w:val="255" w:hRule="atLeast"/>
        </w:trPr>
        <w:tc>
          <w:tcPr>
            <w:tcW w:w="4432" w:type="dxa"/>
            <w:gridSpan w:val="7"/>
            <w:tcBorders>
              <w:top w:val="nil"/>
              <w:left w:val="nil"/>
              <w:bottom w:val="single" w:color="000000" w:sz="4" w:space="0"/>
              <w:right w:val="nil"/>
            </w:tcBorders>
            <w:shd w:val="clear" w:color="auto" w:fill="auto"/>
            <w:noWrap/>
            <w:vAlign w:val="bottom"/>
          </w:tcPr>
          <w:p>
            <w:pPr>
              <w:widowControl/>
              <w:ind w:firstLine="400" w:firstLineChars="200"/>
              <w:jc w:val="center"/>
              <w:rPr>
                <w:rFonts w:ascii="宋体" w:hAnsi="宋体" w:cs="Arial"/>
                <w:color w:val="000000"/>
                <w:kern w:val="0"/>
                <w:sz w:val="20"/>
                <w:szCs w:val="20"/>
              </w:rPr>
            </w:pPr>
            <w:r>
              <w:rPr>
                <w:rFonts w:hint="eastAsia" w:ascii="宋体" w:hAnsi="宋体" w:cs="Arial"/>
                <w:color w:val="000000"/>
                <w:kern w:val="0"/>
                <w:sz w:val="20"/>
                <w:szCs w:val="20"/>
              </w:rPr>
              <w:t>部门：四川省阿坝州汶川县纪委监察委（本级）</w:t>
            </w:r>
          </w:p>
        </w:tc>
        <w:tc>
          <w:tcPr>
            <w:tcW w:w="2680" w:type="dxa"/>
            <w:gridSpan w:val="3"/>
            <w:tcBorders>
              <w:top w:val="nil"/>
              <w:left w:val="nil"/>
              <w:bottom w:val="single" w:color="000000" w:sz="4" w:space="0"/>
              <w:right w:val="nil"/>
            </w:tcBorders>
            <w:shd w:val="clear" w:color="auto" w:fill="auto"/>
            <w:noWrap/>
            <w:vAlign w:val="bottom"/>
          </w:tcPr>
          <w:p>
            <w:pPr>
              <w:widowControl/>
              <w:ind w:firstLine="400" w:firstLineChars="200"/>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gridAfter w:val="2"/>
          <w:wAfter w:w="1558" w:type="dxa"/>
          <w:trHeight w:val="312" w:hRule="atLeast"/>
        </w:trPr>
        <w:tc>
          <w:tcPr>
            <w:tcW w:w="1332" w:type="dxa"/>
            <w:gridSpan w:val="4"/>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科目编码</w:t>
            </w:r>
          </w:p>
        </w:tc>
        <w:tc>
          <w:tcPr>
            <w:tcW w:w="3100" w:type="dxa"/>
            <w:gridSpan w:val="3"/>
            <w:vMerge w:val="restart"/>
            <w:tcBorders>
              <w:top w:val="nil"/>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340" w:type="dxa"/>
            <w:gridSpan w:val="2"/>
            <w:vMerge w:val="restart"/>
            <w:tcBorders>
              <w:top w:val="nil"/>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1340" w:type="dxa"/>
            <w:vMerge w:val="restart"/>
            <w:tcBorders>
              <w:top w:val="nil"/>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r>
      <w:tr>
        <w:tblPrEx>
          <w:tblCellMar>
            <w:top w:w="0" w:type="dxa"/>
            <w:left w:w="108" w:type="dxa"/>
            <w:bottom w:w="0" w:type="dxa"/>
            <w:right w:w="108" w:type="dxa"/>
          </w:tblCellMar>
        </w:tblPrEx>
        <w:trPr>
          <w:gridAfter w:val="2"/>
          <w:wAfter w:w="1558" w:type="dxa"/>
          <w:trHeight w:val="312" w:hRule="atLeast"/>
        </w:trPr>
        <w:tc>
          <w:tcPr>
            <w:tcW w:w="1332"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3100" w:type="dxa"/>
            <w:gridSpan w:val="3"/>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1340" w:type="dxa"/>
            <w:gridSpan w:val="2"/>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1340" w:type="dxa"/>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r>
      <w:tr>
        <w:tblPrEx>
          <w:tblCellMar>
            <w:top w:w="0" w:type="dxa"/>
            <w:left w:w="108" w:type="dxa"/>
            <w:bottom w:w="0" w:type="dxa"/>
            <w:right w:w="108" w:type="dxa"/>
          </w:tblCellMar>
        </w:tblPrEx>
        <w:trPr>
          <w:gridAfter w:val="2"/>
          <w:wAfter w:w="1558" w:type="dxa"/>
          <w:trHeight w:val="312" w:hRule="atLeast"/>
        </w:trPr>
        <w:tc>
          <w:tcPr>
            <w:tcW w:w="436" w:type="dxa"/>
            <w:vMerge w:val="restart"/>
            <w:tcBorders>
              <w:top w:val="nil"/>
              <w:left w:val="single" w:color="000000" w:sz="4" w:space="0"/>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60" w:type="dxa"/>
            <w:gridSpan w:val="2"/>
            <w:vMerge w:val="restart"/>
            <w:tcBorders>
              <w:top w:val="nil"/>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36" w:type="dxa"/>
            <w:vMerge w:val="restart"/>
            <w:tcBorders>
              <w:top w:val="nil"/>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100" w:type="dxa"/>
            <w:gridSpan w:val="3"/>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1340" w:type="dxa"/>
            <w:gridSpan w:val="2"/>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1340" w:type="dxa"/>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r>
      <w:tr>
        <w:tblPrEx>
          <w:tblCellMar>
            <w:top w:w="0" w:type="dxa"/>
            <w:left w:w="108" w:type="dxa"/>
            <w:bottom w:w="0" w:type="dxa"/>
            <w:right w:w="108" w:type="dxa"/>
          </w:tblCellMar>
        </w:tblPrEx>
        <w:trPr>
          <w:gridAfter w:val="2"/>
          <w:wAfter w:w="1558" w:type="dxa"/>
          <w:trHeight w:val="308" w:hRule="atLeast"/>
        </w:trPr>
        <w:tc>
          <w:tcPr>
            <w:tcW w:w="436" w:type="dxa"/>
            <w:vMerge w:val="continue"/>
            <w:tcBorders>
              <w:top w:val="nil"/>
              <w:left w:val="single" w:color="000000" w:sz="4" w:space="0"/>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460" w:type="dxa"/>
            <w:gridSpan w:val="2"/>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436" w:type="dxa"/>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3100" w:type="dxa"/>
            <w:gridSpan w:val="3"/>
            <w:tcBorders>
              <w:top w:val="nil"/>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340" w:type="dxa"/>
            <w:gridSpan w:val="2"/>
            <w:tcBorders>
              <w:top w:val="nil"/>
              <w:left w:val="nil"/>
              <w:bottom w:val="single" w:color="000000" w:sz="4" w:space="0"/>
              <w:right w:val="single" w:color="000000" w:sz="4" w:space="0"/>
            </w:tcBorders>
            <w:shd w:val="clear" w:color="auto" w:fill="auto"/>
            <w:noWrap/>
            <w:vAlign w:val="center"/>
          </w:tcPr>
          <w:p>
            <w:pPr>
              <w:widowControl/>
              <w:ind w:firstLine="442" w:firstLineChars="200"/>
              <w:jc w:val="right"/>
              <w:rPr>
                <w:rFonts w:ascii="宋体" w:hAnsi="宋体" w:cs="Arial"/>
                <w:b/>
                <w:bCs/>
                <w:color w:val="000000"/>
                <w:kern w:val="0"/>
                <w:sz w:val="22"/>
                <w:szCs w:val="22"/>
              </w:rPr>
            </w:pPr>
            <w:r>
              <w:rPr>
                <w:rFonts w:hint="eastAsia" w:ascii="宋体" w:hAnsi="宋体" w:cs="Arial"/>
                <w:b/>
                <w:bCs/>
                <w:color w:val="000000"/>
                <w:kern w:val="0"/>
                <w:sz w:val="22"/>
                <w:szCs w:val="22"/>
              </w:rPr>
              <w:t>118</w:t>
            </w:r>
          </w:p>
        </w:tc>
        <w:tc>
          <w:tcPr>
            <w:tcW w:w="1340" w:type="dxa"/>
            <w:tcBorders>
              <w:top w:val="nil"/>
              <w:left w:val="nil"/>
              <w:bottom w:val="single" w:color="000000" w:sz="4" w:space="0"/>
              <w:right w:val="single" w:color="000000" w:sz="4" w:space="0"/>
            </w:tcBorders>
            <w:shd w:val="clear" w:color="auto" w:fill="auto"/>
            <w:noWrap/>
            <w:vAlign w:val="center"/>
          </w:tcPr>
          <w:p>
            <w:pPr>
              <w:widowControl/>
              <w:ind w:firstLine="442" w:firstLineChars="200"/>
              <w:jc w:val="right"/>
              <w:rPr>
                <w:rFonts w:ascii="宋体" w:hAnsi="宋体" w:cs="Arial"/>
                <w:b/>
                <w:bCs/>
                <w:color w:val="000000"/>
                <w:kern w:val="0"/>
                <w:sz w:val="22"/>
                <w:szCs w:val="22"/>
              </w:rPr>
            </w:pPr>
            <w:r>
              <w:rPr>
                <w:rFonts w:hint="eastAsia" w:ascii="宋体" w:hAnsi="宋体" w:cs="Arial"/>
                <w:b/>
                <w:bCs/>
                <w:color w:val="000000"/>
                <w:kern w:val="0"/>
                <w:sz w:val="22"/>
                <w:szCs w:val="22"/>
              </w:rPr>
              <w:t>218.12</w:t>
            </w:r>
          </w:p>
        </w:tc>
      </w:tr>
      <w:tr>
        <w:tblPrEx>
          <w:tblCellMar>
            <w:top w:w="0" w:type="dxa"/>
            <w:left w:w="108" w:type="dxa"/>
            <w:bottom w:w="0" w:type="dxa"/>
            <w:right w:w="108" w:type="dxa"/>
          </w:tblCellMar>
        </w:tblPrEx>
        <w:trPr>
          <w:gridAfter w:val="2"/>
          <w:wAfter w:w="1558" w:type="dxa"/>
          <w:trHeight w:val="308" w:hRule="atLeast"/>
        </w:trPr>
        <w:tc>
          <w:tcPr>
            <w:tcW w:w="1332"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201</w:t>
            </w:r>
          </w:p>
        </w:tc>
        <w:tc>
          <w:tcPr>
            <w:tcW w:w="3100"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一般公共服务支出</w:t>
            </w:r>
          </w:p>
        </w:tc>
        <w:tc>
          <w:tcPr>
            <w:tcW w:w="1340" w:type="dxa"/>
            <w:gridSpan w:val="2"/>
            <w:tcBorders>
              <w:top w:val="nil"/>
              <w:left w:val="nil"/>
              <w:bottom w:val="single" w:color="000000" w:sz="4" w:space="0"/>
              <w:right w:val="single" w:color="000000" w:sz="4" w:space="0"/>
            </w:tcBorders>
            <w:shd w:val="clear" w:color="auto" w:fill="auto"/>
            <w:noWrap/>
            <w:vAlign w:val="center"/>
          </w:tcPr>
          <w:p>
            <w:pPr>
              <w:widowControl/>
              <w:ind w:right="220"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118</w:t>
            </w:r>
          </w:p>
        </w:tc>
        <w:tc>
          <w:tcPr>
            <w:tcW w:w="134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218.12</w:t>
            </w:r>
          </w:p>
        </w:tc>
      </w:tr>
      <w:tr>
        <w:tblPrEx>
          <w:tblCellMar>
            <w:top w:w="0" w:type="dxa"/>
            <w:left w:w="108" w:type="dxa"/>
            <w:bottom w:w="0" w:type="dxa"/>
            <w:right w:w="108" w:type="dxa"/>
          </w:tblCellMar>
        </w:tblPrEx>
        <w:trPr>
          <w:gridAfter w:val="2"/>
          <w:wAfter w:w="1558" w:type="dxa"/>
          <w:trHeight w:val="308" w:hRule="atLeast"/>
        </w:trPr>
        <w:tc>
          <w:tcPr>
            <w:tcW w:w="1332"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20111</w:t>
            </w:r>
          </w:p>
        </w:tc>
        <w:tc>
          <w:tcPr>
            <w:tcW w:w="3100"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纪检监察事务</w:t>
            </w:r>
          </w:p>
        </w:tc>
        <w:tc>
          <w:tcPr>
            <w:tcW w:w="1340"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118</w:t>
            </w:r>
          </w:p>
        </w:tc>
        <w:tc>
          <w:tcPr>
            <w:tcW w:w="134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216.12</w:t>
            </w:r>
          </w:p>
        </w:tc>
      </w:tr>
      <w:tr>
        <w:tblPrEx>
          <w:tblCellMar>
            <w:top w:w="0" w:type="dxa"/>
            <w:left w:w="108" w:type="dxa"/>
            <w:bottom w:w="0" w:type="dxa"/>
            <w:right w:w="108" w:type="dxa"/>
          </w:tblCellMar>
        </w:tblPrEx>
        <w:trPr>
          <w:gridAfter w:val="2"/>
          <w:wAfter w:w="1558" w:type="dxa"/>
          <w:trHeight w:val="308" w:hRule="atLeast"/>
        </w:trPr>
        <w:tc>
          <w:tcPr>
            <w:tcW w:w="1332"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2011104</w:t>
            </w:r>
          </w:p>
        </w:tc>
        <w:tc>
          <w:tcPr>
            <w:tcW w:w="3100"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xml:space="preserve">  大案要案查处</w:t>
            </w:r>
          </w:p>
        </w:tc>
        <w:tc>
          <w:tcPr>
            <w:tcW w:w="1340"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60.00</w:t>
            </w:r>
          </w:p>
        </w:tc>
        <w:tc>
          <w:tcPr>
            <w:tcW w:w="134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57.49</w:t>
            </w:r>
          </w:p>
        </w:tc>
      </w:tr>
      <w:tr>
        <w:tblPrEx>
          <w:tblCellMar>
            <w:top w:w="0" w:type="dxa"/>
            <w:left w:w="108" w:type="dxa"/>
            <w:bottom w:w="0" w:type="dxa"/>
            <w:right w:w="108" w:type="dxa"/>
          </w:tblCellMar>
        </w:tblPrEx>
        <w:trPr>
          <w:gridAfter w:val="2"/>
          <w:wAfter w:w="1558" w:type="dxa"/>
          <w:trHeight w:val="308" w:hRule="atLeast"/>
        </w:trPr>
        <w:tc>
          <w:tcPr>
            <w:tcW w:w="1332"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hint="eastAsia" w:ascii="宋体" w:hAnsi="宋体" w:cs="Arial"/>
                <w:color w:val="000000"/>
                <w:kern w:val="0"/>
                <w:sz w:val="22"/>
                <w:szCs w:val="22"/>
              </w:rPr>
            </w:pPr>
            <w:r>
              <w:rPr>
                <w:rFonts w:hint="eastAsia" w:ascii="宋体" w:hAnsi="宋体" w:cs="Arial"/>
                <w:color w:val="000000"/>
                <w:kern w:val="0"/>
                <w:sz w:val="22"/>
                <w:szCs w:val="22"/>
              </w:rPr>
              <w:t>2011105</w:t>
            </w:r>
          </w:p>
        </w:tc>
        <w:tc>
          <w:tcPr>
            <w:tcW w:w="3100"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hint="eastAsia" w:ascii="宋体" w:hAnsi="宋体" w:cs="Arial"/>
                <w:color w:val="000000"/>
                <w:kern w:val="0"/>
                <w:sz w:val="22"/>
                <w:szCs w:val="22"/>
              </w:rPr>
            </w:pPr>
            <w:r>
              <w:rPr>
                <w:rFonts w:hint="eastAsia" w:ascii="宋体" w:hAnsi="宋体" w:cs="Arial"/>
                <w:color w:val="000000"/>
                <w:kern w:val="0"/>
                <w:sz w:val="22"/>
                <w:szCs w:val="22"/>
              </w:rPr>
              <w:t>派驻派出机构</w:t>
            </w:r>
          </w:p>
        </w:tc>
        <w:tc>
          <w:tcPr>
            <w:tcW w:w="1340"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hint="eastAsia" w:ascii="宋体" w:hAnsi="宋体" w:cs="Arial"/>
                <w:color w:val="000000"/>
                <w:kern w:val="0"/>
                <w:sz w:val="22"/>
                <w:szCs w:val="22"/>
              </w:rPr>
            </w:pPr>
            <w:r>
              <w:rPr>
                <w:rFonts w:hint="eastAsia" w:ascii="宋体" w:hAnsi="宋体" w:cs="Arial"/>
                <w:color w:val="000000"/>
                <w:kern w:val="0"/>
                <w:sz w:val="22"/>
                <w:szCs w:val="22"/>
              </w:rPr>
              <w:t>5.00</w:t>
            </w:r>
          </w:p>
        </w:tc>
        <w:tc>
          <w:tcPr>
            <w:tcW w:w="134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hint="eastAsia" w:ascii="宋体" w:hAnsi="宋体" w:cs="Arial"/>
                <w:color w:val="000000"/>
                <w:kern w:val="0"/>
                <w:sz w:val="22"/>
                <w:szCs w:val="22"/>
              </w:rPr>
            </w:pPr>
            <w:r>
              <w:rPr>
                <w:rFonts w:hint="eastAsia" w:ascii="宋体" w:hAnsi="宋体" w:cs="Arial"/>
                <w:color w:val="000000"/>
                <w:kern w:val="0"/>
                <w:sz w:val="22"/>
                <w:szCs w:val="22"/>
              </w:rPr>
              <w:t>5.00</w:t>
            </w:r>
          </w:p>
        </w:tc>
      </w:tr>
      <w:tr>
        <w:tblPrEx>
          <w:tblCellMar>
            <w:top w:w="0" w:type="dxa"/>
            <w:left w:w="108" w:type="dxa"/>
            <w:bottom w:w="0" w:type="dxa"/>
            <w:right w:w="108" w:type="dxa"/>
          </w:tblCellMar>
        </w:tblPrEx>
        <w:trPr>
          <w:gridAfter w:val="2"/>
          <w:wAfter w:w="1558" w:type="dxa"/>
          <w:trHeight w:val="308" w:hRule="atLeast"/>
        </w:trPr>
        <w:tc>
          <w:tcPr>
            <w:tcW w:w="1332"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2011199</w:t>
            </w:r>
          </w:p>
        </w:tc>
        <w:tc>
          <w:tcPr>
            <w:tcW w:w="3100"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xml:space="preserve">  其他纪检监察事务支出</w:t>
            </w:r>
          </w:p>
        </w:tc>
        <w:tc>
          <w:tcPr>
            <w:tcW w:w="1340"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53.00</w:t>
            </w:r>
          </w:p>
        </w:tc>
        <w:tc>
          <w:tcPr>
            <w:tcW w:w="134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153.63</w:t>
            </w:r>
          </w:p>
        </w:tc>
      </w:tr>
      <w:tr>
        <w:tblPrEx>
          <w:tblCellMar>
            <w:top w:w="0" w:type="dxa"/>
            <w:left w:w="108" w:type="dxa"/>
            <w:bottom w:w="0" w:type="dxa"/>
            <w:right w:w="108" w:type="dxa"/>
          </w:tblCellMar>
        </w:tblPrEx>
        <w:trPr>
          <w:gridAfter w:val="2"/>
          <w:wAfter w:w="1558" w:type="dxa"/>
          <w:trHeight w:val="308" w:hRule="atLeast"/>
        </w:trPr>
        <w:tc>
          <w:tcPr>
            <w:tcW w:w="1332"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hint="eastAsia" w:ascii="宋体" w:hAnsi="宋体" w:cs="Arial"/>
                <w:color w:val="000000"/>
                <w:kern w:val="0"/>
                <w:sz w:val="22"/>
                <w:szCs w:val="22"/>
              </w:rPr>
            </w:pPr>
            <w:r>
              <w:rPr>
                <w:rFonts w:hint="eastAsia" w:ascii="宋体" w:hAnsi="宋体" w:cs="Arial"/>
                <w:color w:val="000000"/>
                <w:kern w:val="0"/>
                <w:sz w:val="22"/>
                <w:szCs w:val="22"/>
              </w:rPr>
              <w:t>2013299</w:t>
            </w:r>
          </w:p>
        </w:tc>
        <w:tc>
          <w:tcPr>
            <w:tcW w:w="3100"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hint="eastAsia" w:ascii="宋体" w:hAnsi="宋体" w:cs="Arial"/>
                <w:color w:val="000000"/>
                <w:kern w:val="0"/>
                <w:sz w:val="22"/>
                <w:szCs w:val="22"/>
              </w:rPr>
            </w:pPr>
            <w:r>
              <w:rPr>
                <w:rFonts w:hint="eastAsia" w:ascii="宋体" w:hAnsi="宋体" w:cs="Arial"/>
                <w:color w:val="000000"/>
                <w:kern w:val="0"/>
                <w:sz w:val="22"/>
                <w:szCs w:val="22"/>
              </w:rPr>
              <w:t>其他组织事务支出</w:t>
            </w:r>
          </w:p>
        </w:tc>
        <w:tc>
          <w:tcPr>
            <w:tcW w:w="1340"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hint="eastAsia" w:ascii="宋体" w:hAnsi="宋体" w:cs="Arial"/>
                <w:color w:val="000000"/>
                <w:kern w:val="0"/>
                <w:sz w:val="22"/>
                <w:szCs w:val="22"/>
              </w:rPr>
            </w:pPr>
          </w:p>
        </w:tc>
        <w:tc>
          <w:tcPr>
            <w:tcW w:w="134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hint="eastAsia" w:ascii="宋体" w:hAnsi="宋体" w:cs="Arial"/>
                <w:color w:val="000000"/>
                <w:kern w:val="0"/>
                <w:sz w:val="22"/>
                <w:szCs w:val="22"/>
              </w:rPr>
            </w:pPr>
            <w:r>
              <w:rPr>
                <w:rFonts w:hint="eastAsia" w:ascii="宋体" w:hAnsi="宋体" w:cs="Arial"/>
                <w:color w:val="000000"/>
                <w:kern w:val="0"/>
                <w:sz w:val="22"/>
                <w:szCs w:val="22"/>
              </w:rPr>
              <w:t>2</w:t>
            </w:r>
          </w:p>
        </w:tc>
      </w:tr>
      <w:tr>
        <w:tblPrEx>
          <w:tblCellMar>
            <w:top w:w="0" w:type="dxa"/>
            <w:left w:w="108" w:type="dxa"/>
            <w:bottom w:w="0" w:type="dxa"/>
            <w:right w:w="108" w:type="dxa"/>
          </w:tblCellMar>
        </w:tblPrEx>
        <w:trPr>
          <w:gridAfter w:val="2"/>
          <w:wAfter w:w="1558" w:type="dxa"/>
          <w:trHeight w:val="308" w:hRule="atLeast"/>
        </w:trPr>
        <w:tc>
          <w:tcPr>
            <w:tcW w:w="1332"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100"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40"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4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2"/>
          <w:wAfter w:w="1558" w:type="dxa"/>
          <w:trHeight w:val="308" w:hRule="atLeast"/>
        </w:trPr>
        <w:tc>
          <w:tcPr>
            <w:tcW w:w="1332"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100"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40"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4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2"/>
          <w:wAfter w:w="1558" w:type="dxa"/>
          <w:trHeight w:val="308" w:hRule="atLeast"/>
        </w:trPr>
        <w:tc>
          <w:tcPr>
            <w:tcW w:w="1332"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100"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40"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4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2"/>
          <w:wAfter w:w="1558" w:type="dxa"/>
          <w:trHeight w:val="308" w:hRule="atLeast"/>
        </w:trPr>
        <w:tc>
          <w:tcPr>
            <w:tcW w:w="1332"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100"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40"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4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2"/>
          <w:wAfter w:w="1558" w:type="dxa"/>
          <w:trHeight w:val="585" w:hRule="atLeast"/>
        </w:trPr>
        <w:tc>
          <w:tcPr>
            <w:tcW w:w="7112" w:type="dxa"/>
            <w:gridSpan w:val="10"/>
            <w:tcBorders>
              <w:top w:val="nil"/>
              <w:left w:val="nil"/>
              <w:bottom w:val="nil"/>
              <w:right w:val="nil"/>
            </w:tcBorders>
            <w:shd w:val="clear" w:color="auto" w:fill="auto"/>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注：本表以“万元”为金额单位（保留两位小数），反映部门本年度一般公共预算财政拨款项目支出收支明细情况。</w:t>
            </w:r>
          </w:p>
        </w:tc>
      </w:tr>
      <w:tr>
        <w:tblPrEx>
          <w:tblCellMar>
            <w:top w:w="0" w:type="dxa"/>
            <w:left w:w="108" w:type="dxa"/>
            <w:bottom w:w="0" w:type="dxa"/>
            <w:right w:w="108" w:type="dxa"/>
          </w:tblCellMar>
        </w:tblPrEx>
        <w:trPr>
          <w:gridAfter w:val="2"/>
          <w:wAfter w:w="1558" w:type="dxa"/>
          <w:trHeight w:val="585" w:hRule="atLeast"/>
        </w:trPr>
        <w:tc>
          <w:tcPr>
            <w:tcW w:w="7112" w:type="dxa"/>
            <w:gridSpan w:val="10"/>
            <w:tcBorders>
              <w:top w:val="nil"/>
              <w:left w:val="nil"/>
              <w:bottom w:val="nil"/>
              <w:right w:val="nil"/>
            </w:tcBorders>
            <w:shd w:val="clear" w:color="auto" w:fill="auto"/>
            <w:vAlign w:val="center"/>
          </w:tcPr>
          <w:p>
            <w:pPr>
              <w:widowControl/>
              <w:ind w:firstLine="440" w:firstLineChars="200"/>
              <w:jc w:val="left"/>
              <w:rPr>
                <w:rFonts w:ascii="宋体" w:hAnsi="宋体" w:cs="Arial"/>
                <w:color w:val="000000"/>
                <w:kern w:val="0"/>
                <w:sz w:val="22"/>
                <w:szCs w:val="22"/>
              </w:rPr>
            </w:pPr>
          </w:p>
          <w:p>
            <w:pPr>
              <w:widowControl/>
              <w:ind w:firstLine="440" w:firstLineChars="200"/>
              <w:jc w:val="left"/>
              <w:rPr>
                <w:rFonts w:ascii="宋体" w:hAnsi="宋体" w:cs="Arial"/>
                <w:color w:val="000000"/>
                <w:kern w:val="0"/>
                <w:sz w:val="22"/>
                <w:szCs w:val="22"/>
              </w:rPr>
            </w:pPr>
          </w:p>
          <w:p>
            <w:pPr>
              <w:widowControl/>
              <w:ind w:firstLine="440" w:firstLineChars="200"/>
              <w:jc w:val="left"/>
              <w:rPr>
                <w:rFonts w:ascii="宋体" w:hAnsi="宋体" w:cs="Arial"/>
                <w:color w:val="000000"/>
                <w:kern w:val="0"/>
                <w:sz w:val="22"/>
                <w:szCs w:val="22"/>
              </w:rPr>
            </w:pPr>
          </w:p>
          <w:p>
            <w:pPr>
              <w:widowControl/>
              <w:ind w:firstLine="440" w:firstLineChars="200"/>
              <w:jc w:val="left"/>
              <w:rPr>
                <w:rFonts w:ascii="宋体" w:hAnsi="宋体" w:cs="Arial"/>
                <w:color w:val="000000"/>
                <w:kern w:val="0"/>
                <w:sz w:val="22"/>
                <w:szCs w:val="22"/>
              </w:rPr>
            </w:pPr>
          </w:p>
          <w:p>
            <w:pPr>
              <w:widowControl/>
              <w:ind w:firstLine="440" w:firstLineChars="200"/>
              <w:jc w:val="left"/>
              <w:rPr>
                <w:rFonts w:hint="eastAsia" w:ascii="宋体" w:hAnsi="宋体" w:cs="Arial"/>
                <w:color w:val="000000"/>
                <w:kern w:val="0"/>
                <w:sz w:val="22"/>
                <w:szCs w:val="22"/>
              </w:rPr>
            </w:pPr>
          </w:p>
          <w:p>
            <w:pPr>
              <w:widowControl/>
              <w:ind w:firstLine="440" w:firstLineChars="200"/>
              <w:jc w:val="left"/>
              <w:rPr>
                <w:rFonts w:hint="eastAsia" w:ascii="宋体" w:hAnsi="宋体" w:cs="Arial"/>
                <w:color w:val="000000"/>
                <w:kern w:val="0"/>
                <w:sz w:val="22"/>
                <w:szCs w:val="22"/>
              </w:rPr>
            </w:pPr>
          </w:p>
          <w:p>
            <w:pPr>
              <w:widowControl/>
              <w:ind w:firstLine="440" w:firstLineChars="200"/>
              <w:jc w:val="left"/>
              <w:rPr>
                <w:rFonts w:hint="eastAsia" w:ascii="宋体" w:hAnsi="宋体" w:cs="Arial"/>
                <w:color w:val="000000"/>
                <w:kern w:val="0"/>
                <w:sz w:val="22"/>
                <w:szCs w:val="22"/>
              </w:rPr>
            </w:pPr>
          </w:p>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一般公共预算财政拨款“三公”经费支出决算表</w:t>
            </w:r>
          </w:p>
        </w:tc>
      </w:tr>
      <w:tr>
        <w:tblPrEx>
          <w:tblCellMar>
            <w:top w:w="0" w:type="dxa"/>
            <w:left w:w="108" w:type="dxa"/>
            <w:bottom w:w="0" w:type="dxa"/>
            <w:right w:w="108" w:type="dxa"/>
          </w:tblCellMar>
        </w:tblPrEx>
        <w:trPr>
          <w:trHeight w:val="255" w:hRule="atLeast"/>
        </w:trPr>
        <w:tc>
          <w:tcPr>
            <w:tcW w:w="647" w:type="dxa"/>
            <w:gridSpan w:val="2"/>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2758" w:type="dxa"/>
            <w:gridSpan w:val="3"/>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646"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1698" w:type="dxa"/>
            <w:gridSpan w:val="2"/>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2921" w:type="dxa"/>
            <w:gridSpan w:val="4"/>
            <w:tcBorders>
              <w:top w:val="nil"/>
              <w:left w:val="nil"/>
              <w:bottom w:val="nil"/>
              <w:right w:val="nil"/>
            </w:tcBorders>
            <w:shd w:val="clear" w:color="auto" w:fill="auto"/>
            <w:noWrap/>
            <w:vAlign w:val="bottom"/>
          </w:tcPr>
          <w:p>
            <w:pPr>
              <w:widowControl/>
              <w:ind w:firstLine="400" w:firstLineChars="200"/>
              <w:jc w:val="right"/>
              <w:rPr>
                <w:rFonts w:ascii="宋体" w:hAnsi="宋体" w:cs="Arial"/>
                <w:color w:val="000000"/>
                <w:kern w:val="0"/>
                <w:sz w:val="20"/>
                <w:szCs w:val="20"/>
              </w:rPr>
            </w:pPr>
            <w:r>
              <w:rPr>
                <w:rFonts w:hint="eastAsia" w:ascii="宋体" w:hAnsi="宋体" w:cs="Arial"/>
                <w:color w:val="000000"/>
                <w:kern w:val="0"/>
                <w:sz w:val="20"/>
                <w:szCs w:val="20"/>
              </w:rPr>
              <w:t>财决公开10表</w:t>
            </w:r>
          </w:p>
        </w:tc>
      </w:tr>
      <w:tr>
        <w:tblPrEx>
          <w:tblCellMar>
            <w:top w:w="0" w:type="dxa"/>
            <w:left w:w="108" w:type="dxa"/>
            <w:bottom w:w="0" w:type="dxa"/>
            <w:right w:w="108" w:type="dxa"/>
          </w:tblCellMar>
        </w:tblPrEx>
        <w:trPr>
          <w:trHeight w:val="255" w:hRule="atLeast"/>
        </w:trPr>
        <w:tc>
          <w:tcPr>
            <w:tcW w:w="4051" w:type="dxa"/>
            <w:gridSpan w:val="6"/>
            <w:tcBorders>
              <w:top w:val="nil"/>
              <w:left w:val="nil"/>
              <w:bottom w:val="single" w:color="000000" w:sz="4" w:space="0"/>
              <w:right w:val="nil"/>
            </w:tcBorders>
            <w:shd w:val="clear" w:color="auto" w:fill="auto"/>
            <w:noWrap/>
            <w:vAlign w:val="bottom"/>
          </w:tcPr>
          <w:p>
            <w:pPr>
              <w:widowControl/>
              <w:ind w:firstLine="400" w:firstLineChars="200"/>
              <w:jc w:val="center"/>
              <w:rPr>
                <w:rFonts w:ascii="宋体" w:hAnsi="宋体" w:cs="Arial"/>
                <w:color w:val="000000"/>
                <w:kern w:val="0"/>
                <w:sz w:val="20"/>
                <w:szCs w:val="20"/>
              </w:rPr>
            </w:pPr>
            <w:r>
              <w:rPr>
                <w:rFonts w:hint="eastAsia" w:ascii="宋体" w:hAnsi="宋体" w:cs="Arial"/>
                <w:color w:val="000000"/>
                <w:kern w:val="0"/>
                <w:sz w:val="20"/>
                <w:szCs w:val="20"/>
              </w:rPr>
              <w:t>部门：四川省阿坝州汶川县纪委监察委（本级）</w:t>
            </w:r>
          </w:p>
        </w:tc>
        <w:tc>
          <w:tcPr>
            <w:tcW w:w="1698" w:type="dxa"/>
            <w:gridSpan w:val="2"/>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2921" w:type="dxa"/>
            <w:gridSpan w:val="4"/>
            <w:tcBorders>
              <w:top w:val="nil"/>
              <w:left w:val="nil"/>
              <w:bottom w:val="single" w:color="000000" w:sz="4" w:space="0"/>
              <w:right w:val="nil"/>
            </w:tcBorders>
            <w:shd w:val="clear" w:color="auto" w:fill="auto"/>
            <w:noWrap/>
            <w:vAlign w:val="bottom"/>
          </w:tcPr>
          <w:p>
            <w:pPr>
              <w:widowControl/>
              <w:ind w:firstLine="400" w:firstLineChars="200"/>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585" w:hRule="atLeast"/>
        </w:trPr>
        <w:tc>
          <w:tcPr>
            <w:tcW w:w="8670" w:type="dxa"/>
            <w:gridSpan w:val="1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一般公共预算财政拨款“三公”经费支出</w:t>
            </w:r>
          </w:p>
        </w:tc>
      </w:tr>
      <w:tr>
        <w:tblPrEx>
          <w:tblCellMar>
            <w:top w:w="0" w:type="dxa"/>
            <w:left w:w="108" w:type="dxa"/>
            <w:bottom w:w="0" w:type="dxa"/>
            <w:right w:w="108" w:type="dxa"/>
          </w:tblCellMar>
        </w:tblPrEx>
        <w:trPr>
          <w:trHeight w:val="507" w:hRule="atLeast"/>
        </w:trPr>
        <w:tc>
          <w:tcPr>
            <w:tcW w:w="647" w:type="dxa"/>
            <w:gridSpan w:val="2"/>
            <w:vMerge w:val="restart"/>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758" w:type="dxa"/>
            <w:gridSpan w:val="3"/>
            <w:vMerge w:val="restart"/>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因公出国（境）费用</w:t>
            </w:r>
          </w:p>
        </w:tc>
        <w:tc>
          <w:tcPr>
            <w:tcW w:w="4042" w:type="dxa"/>
            <w:gridSpan w:val="6"/>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223" w:type="dxa"/>
            <w:vMerge w:val="restart"/>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690" w:hRule="atLeast"/>
        </w:trPr>
        <w:tc>
          <w:tcPr>
            <w:tcW w:w="647" w:type="dxa"/>
            <w:gridSpan w:val="2"/>
            <w:vMerge w:val="continue"/>
            <w:tcBorders>
              <w:top w:val="nil"/>
              <w:left w:val="single" w:color="000000" w:sz="4" w:space="0"/>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2758" w:type="dxa"/>
            <w:gridSpan w:val="3"/>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646"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698" w:type="dxa"/>
            <w:gridSpan w:val="2"/>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698" w:type="dxa"/>
            <w:gridSpan w:val="3"/>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223" w:type="dxa"/>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477" w:hRule="atLeast"/>
        </w:trPr>
        <w:tc>
          <w:tcPr>
            <w:tcW w:w="647"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758"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64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98" w:type="dxa"/>
            <w:gridSpan w:val="2"/>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98" w:type="dxa"/>
            <w:gridSpan w:val="3"/>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36.85</w:t>
            </w:r>
          </w:p>
        </w:tc>
        <w:tc>
          <w:tcPr>
            <w:tcW w:w="1223"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1.28</w:t>
            </w:r>
          </w:p>
        </w:tc>
      </w:tr>
      <w:tr>
        <w:tblPrEx>
          <w:tblCellMar>
            <w:top w:w="0" w:type="dxa"/>
            <w:left w:w="108" w:type="dxa"/>
            <w:bottom w:w="0" w:type="dxa"/>
            <w:right w:w="108" w:type="dxa"/>
          </w:tblCellMar>
        </w:tblPrEx>
        <w:trPr>
          <w:trHeight w:val="975" w:hRule="atLeast"/>
        </w:trPr>
        <w:tc>
          <w:tcPr>
            <w:tcW w:w="8670" w:type="dxa"/>
            <w:gridSpan w:val="12"/>
            <w:tcBorders>
              <w:top w:val="nil"/>
              <w:left w:val="nil"/>
              <w:bottom w:val="nil"/>
              <w:right w:val="nil"/>
            </w:tcBorders>
            <w:shd w:val="clear" w:color="auto" w:fill="auto"/>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注：本表以“万元”为金额单位（保留两位小数），反映部门本年度一般公共预算财政拨款“三公”经费支出决算情况，决算数包括当年一般公共预算财政拨款和以前年度结转资金安排的实际支出。</w:t>
            </w:r>
          </w:p>
        </w:tc>
      </w:tr>
    </w:tbl>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tbl>
      <w:tblPr>
        <w:tblStyle w:val="12"/>
        <w:tblW w:w="8670" w:type="dxa"/>
        <w:tblInd w:w="93" w:type="dxa"/>
        <w:tblLayout w:type="autofit"/>
        <w:tblCellMar>
          <w:top w:w="0" w:type="dxa"/>
          <w:left w:w="108" w:type="dxa"/>
          <w:bottom w:w="0" w:type="dxa"/>
          <w:right w:w="108" w:type="dxa"/>
        </w:tblCellMar>
      </w:tblPr>
      <w:tblGrid>
        <w:gridCol w:w="795"/>
        <w:gridCol w:w="795"/>
        <w:gridCol w:w="795"/>
        <w:gridCol w:w="989"/>
        <w:gridCol w:w="989"/>
        <w:gridCol w:w="989"/>
        <w:gridCol w:w="989"/>
        <w:gridCol w:w="989"/>
        <w:gridCol w:w="989"/>
        <w:gridCol w:w="989"/>
      </w:tblGrid>
      <w:tr>
        <w:tblPrEx>
          <w:tblCellMar>
            <w:top w:w="0" w:type="dxa"/>
            <w:left w:w="108" w:type="dxa"/>
            <w:bottom w:w="0" w:type="dxa"/>
            <w:right w:w="108" w:type="dxa"/>
          </w:tblCellMar>
        </w:tblPrEx>
        <w:trPr>
          <w:trHeight w:val="405" w:hRule="atLeast"/>
        </w:trPr>
        <w:tc>
          <w:tcPr>
            <w:tcW w:w="8670" w:type="dxa"/>
            <w:gridSpan w:val="10"/>
            <w:tcBorders>
              <w:top w:val="nil"/>
              <w:left w:val="nil"/>
              <w:bottom w:val="nil"/>
              <w:right w:val="nil"/>
            </w:tcBorders>
            <w:shd w:val="clear" w:color="auto" w:fill="auto"/>
            <w:noWrap/>
            <w:vAlign w:val="bottom"/>
          </w:tcPr>
          <w:p>
            <w:pPr>
              <w:widowControl/>
              <w:ind w:firstLine="640" w:firstLineChars="200"/>
              <w:jc w:val="center"/>
              <w:rPr>
                <w:rFonts w:ascii="宋体" w:hAnsi="宋体" w:cs="Arial"/>
                <w:color w:val="000000"/>
                <w:kern w:val="0"/>
                <w:sz w:val="32"/>
                <w:szCs w:val="32"/>
              </w:rPr>
            </w:pPr>
            <w:r>
              <w:rPr>
                <w:rFonts w:hint="eastAsia" w:ascii="宋体" w:hAnsi="宋体" w:cs="Arial"/>
                <w:color w:val="000000"/>
                <w:kern w:val="0"/>
                <w:sz w:val="32"/>
                <w:szCs w:val="32"/>
              </w:rPr>
              <w:t>政府性基金预算财政拨款收入支出决算表</w:t>
            </w:r>
          </w:p>
        </w:tc>
      </w:tr>
      <w:tr>
        <w:tblPrEx>
          <w:tblCellMar>
            <w:top w:w="0" w:type="dxa"/>
            <w:left w:w="108" w:type="dxa"/>
            <w:bottom w:w="0" w:type="dxa"/>
            <w:right w:w="108" w:type="dxa"/>
          </w:tblCellMar>
        </w:tblPrEx>
        <w:trPr>
          <w:trHeight w:val="255" w:hRule="atLeast"/>
        </w:trPr>
        <w:tc>
          <w:tcPr>
            <w:tcW w:w="391"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391"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391"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1071"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1071"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1071"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1071"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1071"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2142" w:type="dxa"/>
            <w:gridSpan w:val="2"/>
            <w:tcBorders>
              <w:top w:val="nil"/>
              <w:left w:val="nil"/>
              <w:bottom w:val="nil"/>
              <w:right w:val="nil"/>
            </w:tcBorders>
            <w:shd w:val="clear" w:color="auto" w:fill="auto"/>
            <w:noWrap/>
            <w:vAlign w:val="bottom"/>
          </w:tcPr>
          <w:p>
            <w:pPr>
              <w:widowControl/>
              <w:ind w:firstLine="400" w:firstLineChars="200"/>
              <w:jc w:val="right"/>
              <w:rPr>
                <w:rFonts w:ascii="宋体" w:hAnsi="宋体" w:cs="Arial"/>
                <w:color w:val="000000"/>
                <w:kern w:val="0"/>
                <w:sz w:val="20"/>
                <w:szCs w:val="20"/>
              </w:rPr>
            </w:pPr>
            <w:r>
              <w:rPr>
                <w:rFonts w:hint="eastAsia" w:ascii="宋体" w:hAnsi="宋体" w:cs="Arial"/>
                <w:color w:val="000000"/>
                <w:kern w:val="0"/>
                <w:sz w:val="20"/>
                <w:szCs w:val="20"/>
              </w:rPr>
              <w:t>财决公开11表</w:t>
            </w:r>
          </w:p>
        </w:tc>
      </w:tr>
      <w:tr>
        <w:tblPrEx>
          <w:tblCellMar>
            <w:top w:w="0" w:type="dxa"/>
            <w:left w:w="108" w:type="dxa"/>
            <w:bottom w:w="0" w:type="dxa"/>
            <w:right w:w="108" w:type="dxa"/>
          </w:tblCellMar>
        </w:tblPrEx>
        <w:trPr>
          <w:trHeight w:val="255" w:hRule="atLeast"/>
        </w:trPr>
        <w:tc>
          <w:tcPr>
            <w:tcW w:w="5457" w:type="dxa"/>
            <w:gridSpan w:val="7"/>
            <w:tcBorders>
              <w:top w:val="nil"/>
              <w:left w:val="nil"/>
              <w:bottom w:val="single" w:color="000000" w:sz="4" w:space="0"/>
              <w:right w:val="nil"/>
            </w:tcBorders>
            <w:shd w:val="clear" w:color="auto" w:fill="auto"/>
            <w:noWrap/>
            <w:vAlign w:val="bottom"/>
          </w:tcPr>
          <w:p>
            <w:pPr>
              <w:widowControl/>
              <w:ind w:firstLine="400" w:firstLineChars="200"/>
              <w:jc w:val="left"/>
              <w:rPr>
                <w:rFonts w:ascii="宋体" w:hAnsi="宋体" w:cs="Arial"/>
                <w:color w:val="000000"/>
                <w:kern w:val="0"/>
                <w:sz w:val="20"/>
                <w:szCs w:val="20"/>
              </w:rPr>
            </w:pPr>
            <w:r>
              <w:rPr>
                <w:rFonts w:hint="eastAsia" w:ascii="宋体" w:hAnsi="宋体" w:cs="Arial"/>
                <w:color w:val="000000"/>
                <w:kern w:val="0"/>
                <w:sz w:val="20"/>
                <w:szCs w:val="20"/>
              </w:rPr>
              <w:t>部门：四川省阿坝州汶川县纪委监察委（本级）</w:t>
            </w:r>
          </w:p>
        </w:tc>
        <w:tc>
          <w:tcPr>
            <w:tcW w:w="1071"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2142" w:type="dxa"/>
            <w:gridSpan w:val="2"/>
            <w:tcBorders>
              <w:top w:val="nil"/>
              <w:left w:val="nil"/>
              <w:bottom w:val="single" w:color="000000" w:sz="4" w:space="0"/>
              <w:right w:val="nil"/>
            </w:tcBorders>
            <w:shd w:val="clear" w:color="auto" w:fill="auto"/>
            <w:noWrap/>
            <w:vAlign w:val="bottom"/>
          </w:tcPr>
          <w:p>
            <w:pPr>
              <w:widowControl/>
              <w:ind w:firstLine="400" w:firstLineChars="200"/>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1173"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科目编码</w:t>
            </w:r>
          </w:p>
        </w:tc>
        <w:tc>
          <w:tcPr>
            <w:tcW w:w="1071" w:type="dxa"/>
            <w:vMerge w:val="restart"/>
            <w:tcBorders>
              <w:top w:val="nil"/>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071" w:type="dxa"/>
            <w:vMerge w:val="restart"/>
            <w:tcBorders>
              <w:top w:val="nil"/>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071" w:type="dxa"/>
            <w:vMerge w:val="restart"/>
            <w:tcBorders>
              <w:top w:val="nil"/>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3213" w:type="dxa"/>
            <w:gridSpan w:val="3"/>
            <w:tcBorders>
              <w:top w:val="single" w:color="000000" w:sz="4" w:space="0"/>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1071" w:type="dxa"/>
            <w:vMerge w:val="restart"/>
            <w:tcBorders>
              <w:top w:val="nil"/>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12" w:hRule="atLeast"/>
        </w:trPr>
        <w:tc>
          <w:tcPr>
            <w:tcW w:w="1173"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1071" w:type="dxa"/>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1071" w:type="dxa"/>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1071" w:type="dxa"/>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1071" w:type="dxa"/>
            <w:vMerge w:val="restart"/>
            <w:tcBorders>
              <w:top w:val="nil"/>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071" w:type="dxa"/>
            <w:vMerge w:val="restart"/>
            <w:tcBorders>
              <w:top w:val="nil"/>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071" w:type="dxa"/>
            <w:vMerge w:val="restart"/>
            <w:tcBorders>
              <w:top w:val="nil"/>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071" w:type="dxa"/>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173"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1071" w:type="dxa"/>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1071" w:type="dxa"/>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1071" w:type="dxa"/>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1071" w:type="dxa"/>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1071" w:type="dxa"/>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1071" w:type="dxa"/>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1071" w:type="dxa"/>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391" w:type="dxa"/>
            <w:tcBorders>
              <w:top w:val="nil"/>
              <w:left w:val="single" w:color="000000" w:sz="4" w:space="0"/>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391" w:type="dxa"/>
            <w:tcBorders>
              <w:top w:val="nil"/>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391" w:type="dxa"/>
            <w:tcBorders>
              <w:top w:val="nil"/>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071" w:type="dxa"/>
            <w:tcBorders>
              <w:top w:val="nil"/>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2" w:firstLineChars="200"/>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2" w:firstLineChars="200"/>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2" w:firstLineChars="200"/>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2" w:firstLineChars="200"/>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2" w:firstLineChars="200"/>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2" w:firstLineChars="200"/>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r>
      <w:tr>
        <w:tblPrEx>
          <w:tblCellMar>
            <w:top w:w="0" w:type="dxa"/>
            <w:left w:w="108" w:type="dxa"/>
            <w:bottom w:w="0" w:type="dxa"/>
            <w:right w:w="108" w:type="dxa"/>
          </w:tblCellMar>
        </w:tblPrEx>
        <w:trPr>
          <w:trHeight w:val="308" w:hRule="atLeast"/>
        </w:trPr>
        <w:tc>
          <w:tcPr>
            <w:tcW w:w="11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1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1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1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1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1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8670" w:type="dxa"/>
            <w:gridSpan w:val="10"/>
            <w:tcBorders>
              <w:top w:val="nil"/>
              <w:left w:val="nil"/>
              <w:bottom w:val="nil"/>
              <w:right w:val="nil"/>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注：本表以“万元”为金额单位（保留两位小数），反映部门本年度政府性预算财政拨款收入支出及结余情况。</w:t>
            </w:r>
          </w:p>
        </w:tc>
      </w:tr>
      <w:tr>
        <w:tblPrEx>
          <w:tblCellMar>
            <w:top w:w="0" w:type="dxa"/>
            <w:left w:w="108" w:type="dxa"/>
            <w:bottom w:w="0" w:type="dxa"/>
            <w:right w:w="108" w:type="dxa"/>
          </w:tblCellMar>
        </w:tblPrEx>
        <w:trPr>
          <w:trHeight w:val="308" w:hRule="atLeast"/>
        </w:trPr>
        <w:tc>
          <w:tcPr>
            <w:tcW w:w="8670" w:type="dxa"/>
            <w:gridSpan w:val="10"/>
            <w:tcBorders>
              <w:top w:val="nil"/>
              <w:left w:val="nil"/>
              <w:bottom w:val="nil"/>
              <w:right w:val="nil"/>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说明：如部门没有政府性基金收入，也没有使用政府性基金安排的支出，应注明本表无数据。</w:t>
            </w:r>
          </w:p>
        </w:tc>
      </w:tr>
    </w:tbl>
    <w:p>
      <w:pPr>
        <w:ind w:firstLine="420" w:firstLineChars="200"/>
      </w:pPr>
    </w:p>
    <w:p>
      <w:pPr>
        <w:ind w:firstLine="420" w:firstLineChars="200"/>
      </w:pPr>
    </w:p>
    <w:p>
      <w:pPr>
        <w:ind w:firstLine="420" w:firstLineChars="200"/>
      </w:pPr>
    </w:p>
    <w:tbl>
      <w:tblPr>
        <w:tblStyle w:val="12"/>
        <w:tblW w:w="7921" w:type="dxa"/>
        <w:tblInd w:w="93" w:type="dxa"/>
        <w:tblLayout w:type="autofit"/>
        <w:tblCellMar>
          <w:top w:w="0" w:type="dxa"/>
          <w:left w:w="108" w:type="dxa"/>
          <w:bottom w:w="0" w:type="dxa"/>
          <w:right w:w="108" w:type="dxa"/>
        </w:tblCellMar>
      </w:tblPr>
      <w:tblGrid>
        <w:gridCol w:w="856"/>
        <w:gridCol w:w="2205"/>
        <w:gridCol w:w="856"/>
        <w:gridCol w:w="1722"/>
        <w:gridCol w:w="1722"/>
        <w:gridCol w:w="1240"/>
      </w:tblGrid>
      <w:tr>
        <w:tblPrEx>
          <w:tblCellMar>
            <w:top w:w="0" w:type="dxa"/>
            <w:left w:w="108" w:type="dxa"/>
            <w:bottom w:w="0" w:type="dxa"/>
            <w:right w:w="108" w:type="dxa"/>
          </w:tblCellMar>
        </w:tblPrEx>
        <w:trPr>
          <w:trHeight w:val="405" w:hRule="atLeast"/>
        </w:trPr>
        <w:tc>
          <w:tcPr>
            <w:tcW w:w="7921" w:type="dxa"/>
            <w:gridSpan w:val="6"/>
            <w:tcBorders>
              <w:top w:val="nil"/>
              <w:left w:val="nil"/>
              <w:bottom w:val="nil"/>
              <w:right w:val="nil"/>
            </w:tcBorders>
            <w:shd w:val="clear" w:color="auto" w:fill="auto"/>
            <w:noWrap/>
            <w:vAlign w:val="bottom"/>
          </w:tcPr>
          <w:p>
            <w:pPr>
              <w:widowControl/>
              <w:ind w:firstLine="640" w:firstLineChars="200"/>
              <w:jc w:val="center"/>
              <w:rPr>
                <w:rFonts w:ascii="宋体" w:hAnsi="宋体" w:cs="Arial"/>
                <w:color w:val="000000"/>
                <w:kern w:val="0"/>
                <w:sz w:val="32"/>
                <w:szCs w:val="32"/>
              </w:rPr>
            </w:pPr>
            <w:r>
              <w:rPr>
                <w:rFonts w:hint="eastAsia" w:ascii="宋体" w:hAnsi="宋体" w:cs="Arial"/>
                <w:color w:val="000000"/>
                <w:kern w:val="0"/>
                <w:sz w:val="32"/>
                <w:szCs w:val="32"/>
              </w:rPr>
              <w:t>政府性基金预算财政拨款“三公”经费支出决算表</w:t>
            </w:r>
          </w:p>
        </w:tc>
      </w:tr>
      <w:tr>
        <w:tblPrEx>
          <w:tblCellMar>
            <w:top w:w="0" w:type="dxa"/>
            <w:left w:w="108" w:type="dxa"/>
            <w:bottom w:w="0" w:type="dxa"/>
            <w:right w:w="108" w:type="dxa"/>
          </w:tblCellMar>
        </w:tblPrEx>
        <w:trPr>
          <w:trHeight w:val="255" w:hRule="atLeast"/>
        </w:trPr>
        <w:tc>
          <w:tcPr>
            <w:tcW w:w="516"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2205"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516"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1722"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2962" w:type="dxa"/>
            <w:gridSpan w:val="2"/>
            <w:tcBorders>
              <w:top w:val="nil"/>
              <w:left w:val="nil"/>
              <w:bottom w:val="nil"/>
              <w:right w:val="nil"/>
            </w:tcBorders>
            <w:shd w:val="clear" w:color="auto" w:fill="auto"/>
            <w:noWrap/>
            <w:vAlign w:val="bottom"/>
          </w:tcPr>
          <w:p>
            <w:pPr>
              <w:widowControl/>
              <w:ind w:firstLine="400" w:firstLineChars="200"/>
              <w:jc w:val="right"/>
              <w:rPr>
                <w:rFonts w:ascii="宋体" w:hAnsi="宋体" w:cs="Arial"/>
                <w:color w:val="000000"/>
                <w:kern w:val="0"/>
                <w:sz w:val="20"/>
                <w:szCs w:val="20"/>
              </w:rPr>
            </w:pPr>
            <w:r>
              <w:rPr>
                <w:rFonts w:hint="eastAsia" w:ascii="宋体" w:hAnsi="宋体" w:cs="Arial"/>
                <w:color w:val="000000"/>
                <w:kern w:val="0"/>
                <w:sz w:val="20"/>
                <w:szCs w:val="20"/>
              </w:rPr>
              <w:t>财决公开12表</w:t>
            </w:r>
          </w:p>
        </w:tc>
      </w:tr>
      <w:tr>
        <w:tblPrEx>
          <w:tblCellMar>
            <w:top w:w="0" w:type="dxa"/>
            <w:left w:w="108" w:type="dxa"/>
            <w:bottom w:w="0" w:type="dxa"/>
            <w:right w:w="108" w:type="dxa"/>
          </w:tblCellMar>
        </w:tblPrEx>
        <w:trPr>
          <w:trHeight w:val="255" w:hRule="atLeast"/>
        </w:trPr>
        <w:tc>
          <w:tcPr>
            <w:tcW w:w="4959" w:type="dxa"/>
            <w:gridSpan w:val="4"/>
            <w:tcBorders>
              <w:top w:val="nil"/>
              <w:left w:val="nil"/>
              <w:bottom w:val="single" w:color="000000" w:sz="4" w:space="0"/>
              <w:right w:val="nil"/>
            </w:tcBorders>
            <w:shd w:val="clear" w:color="auto" w:fill="auto"/>
            <w:noWrap/>
            <w:vAlign w:val="bottom"/>
          </w:tcPr>
          <w:p>
            <w:pPr>
              <w:widowControl/>
              <w:ind w:firstLine="400" w:firstLineChars="200"/>
              <w:jc w:val="left"/>
              <w:rPr>
                <w:rFonts w:ascii="宋体" w:hAnsi="宋体" w:cs="Arial"/>
                <w:color w:val="000000"/>
                <w:kern w:val="0"/>
                <w:sz w:val="20"/>
                <w:szCs w:val="20"/>
              </w:rPr>
            </w:pPr>
            <w:r>
              <w:rPr>
                <w:rFonts w:hint="eastAsia" w:ascii="宋体" w:hAnsi="宋体" w:cs="Arial"/>
                <w:color w:val="000000"/>
                <w:kern w:val="0"/>
                <w:sz w:val="20"/>
                <w:szCs w:val="20"/>
              </w:rPr>
              <w:t>部门：四川省阿坝州汶川县纪委监察委（本级）</w:t>
            </w:r>
          </w:p>
        </w:tc>
        <w:tc>
          <w:tcPr>
            <w:tcW w:w="2962" w:type="dxa"/>
            <w:gridSpan w:val="2"/>
            <w:tcBorders>
              <w:top w:val="nil"/>
              <w:left w:val="nil"/>
              <w:bottom w:val="single" w:color="000000" w:sz="4" w:space="0"/>
              <w:right w:val="nil"/>
            </w:tcBorders>
            <w:shd w:val="clear" w:color="auto" w:fill="auto"/>
            <w:noWrap/>
            <w:vAlign w:val="bottom"/>
          </w:tcPr>
          <w:p>
            <w:pPr>
              <w:widowControl/>
              <w:ind w:firstLine="400" w:firstLineChars="200"/>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492" w:hRule="atLeast"/>
        </w:trPr>
        <w:tc>
          <w:tcPr>
            <w:tcW w:w="7921" w:type="dxa"/>
            <w:gridSpan w:val="6"/>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政府性基金预算财政拨款“三公”经费支出</w:t>
            </w:r>
          </w:p>
        </w:tc>
      </w:tr>
      <w:tr>
        <w:tblPrEx>
          <w:tblCellMar>
            <w:top w:w="0" w:type="dxa"/>
            <w:left w:w="108" w:type="dxa"/>
            <w:bottom w:w="0" w:type="dxa"/>
            <w:right w:w="108" w:type="dxa"/>
          </w:tblCellMar>
        </w:tblPrEx>
        <w:trPr>
          <w:trHeight w:val="417" w:hRule="atLeast"/>
        </w:trPr>
        <w:tc>
          <w:tcPr>
            <w:tcW w:w="516" w:type="dxa"/>
            <w:vMerge w:val="restart"/>
            <w:tcBorders>
              <w:top w:val="nil"/>
              <w:left w:val="single" w:color="000000" w:sz="4" w:space="0"/>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205" w:type="dxa"/>
            <w:vMerge w:val="restart"/>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因公出国（境）费用</w:t>
            </w:r>
          </w:p>
        </w:tc>
        <w:tc>
          <w:tcPr>
            <w:tcW w:w="3960" w:type="dxa"/>
            <w:gridSpan w:val="3"/>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240" w:type="dxa"/>
            <w:vMerge w:val="restart"/>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522" w:hRule="atLeast"/>
        </w:trPr>
        <w:tc>
          <w:tcPr>
            <w:tcW w:w="516" w:type="dxa"/>
            <w:vMerge w:val="continue"/>
            <w:tcBorders>
              <w:top w:val="nil"/>
              <w:left w:val="single" w:color="000000" w:sz="4" w:space="0"/>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2205" w:type="dxa"/>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516"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722"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722" w:type="dxa"/>
            <w:tcBorders>
              <w:top w:val="nil"/>
              <w:left w:val="nil"/>
              <w:bottom w:val="single" w:color="000000" w:sz="4" w:space="0"/>
              <w:right w:val="single" w:color="000000" w:sz="4" w:space="0"/>
            </w:tcBorders>
            <w:shd w:val="clear" w:color="FFFFFF" w:fill="C0C0C0"/>
            <w:noWrap/>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240" w:type="dxa"/>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477" w:hRule="atLeast"/>
        </w:trPr>
        <w:tc>
          <w:tcPr>
            <w:tcW w:w="516" w:type="dxa"/>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05"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516"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22"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22"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870" w:hRule="atLeast"/>
        </w:trPr>
        <w:tc>
          <w:tcPr>
            <w:tcW w:w="7921" w:type="dxa"/>
            <w:gridSpan w:val="6"/>
            <w:tcBorders>
              <w:top w:val="nil"/>
              <w:left w:val="nil"/>
              <w:bottom w:val="nil"/>
              <w:right w:val="nil"/>
            </w:tcBorders>
            <w:shd w:val="clear" w:color="auto" w:fill="auto"/>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注：本表以“万元”为金额单位（保留两位小数），反映部门本年度政府性基金预算财政拨款“三公”经费支出决算情况，决算数包括当年政府性基金预算财政拨款和以前年度结转资金安排的实际支出。</w:t>
            </w:r>
          </w:p>
        </w:tc>
      </w:tr>
      <w:tr>
        <w:tblPrEx>
          <w:tblCellMar>
            <w:top w:w="0" w:type="dxa"/>
            <w:left w:w="108" w:type="dxa"/>
            <w:bottom w:w="0" w:type="dxa"/>
            <w:right w:w="108" w:type="dxa"/>
          </w:tblCellMar>
        </w:tblPrEx>
        <w:trPr>
          <w:trHeight w:val="630" w:hRule="atLeast"/>
        </w:trPr>
        <w:tc>
          <w:tcPr>
            <w:tcW w:w="7921" w:type="dxa"/>
            <w:gridSpan w:val="6"/>
            <w:tcBorders>
              <w:top w:val="nil"/>
              <w:left w:val="nil"/>
              <w:bottom w:val="nil"/>
              <w:right w:val="nil"/>
            </w:tcBorders>
            <w:shd w:val="clear" w:color="auto" w:fill="auto"/>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说明：如部门没有政府性基金收入，也没有使用政府性基金安排的支出，应注明本表无数据。</w:t>
            </w:r>
          </w:p>
        </w:tc>
      </w:tr>
    </w:tbl>
    <w:p>
      <w:pPr>
        <w:ind w:firstLine="420" w:firstLineChars="200"/>
      </w:pPr>
    </w:p>
    <w:p>
      <w:pPr>
        <w:ind w:firstLine="420" w:firstLineChars="200"/>
      </w:pPr>
    </w:p>
    <w:p>
      <w:pPr>
        <w:ind w:firstLine="420" w:firstLineChars="200"/>
      </w:pPr>
    </w:p>
    <w:p>
      <w:pPr>
        <w:ind w:firstLine="420" w:firstLineChars="200"/>
      </w:pPr>
    </w:p>
    <w:tbl>
      <w:tblPr>
        <w:tblStyle w:val="12"/>
        <w:tblW w:w="8660" w:type="dxa"/>
        <w:tblInd w:w="93" w:type="dxa"/>
        <w:tblLayout w:type="autofit"/>
        <w:tblCellMar>
          <w:top w:w="0" w:type="dxa"/>
          <w:left w:w="108" w:type="dxa"/>
          <w:bottom w:w="0" w:type="dxa"/>
          <w:right w:w="108" w:type="dxa"/>
        </w:tblCellMar>
      </w:tblPr>
      <w:tblGrid>
        <w:gridCol w:w="802"/>
        <w:gridCol w:w="803"/>
        <w:gridCol w:w="803"/>
        <w:gridCol w:w="1725"/>
        <w:gridCol w:w="1725"/>
        <w:gridCol w:w="1725"/>
        <w:gridCol w:w="1725"/>
      </w:tblGrid>
      <w:tr>
        <w:tblPrEx>
          <w:tblCellMar>
            <w:top w:w="0" w:type="dxa"/>
            <w:left w:w="108" w:type="dxa"/>
            <w:bottom w:w="0" w:type="dxa"/>
            <w:right w:w="108" w:type="dxa"/>
          </w:tblCellMar>
        </w:tblPrEx>
        <w:trPr>
          <w:trHeight w:val="405" w:hRule="atLeast"/>
        </w:trPr>
        <w:tc>
          <w:tcPr>
            <w:tcW w:w="8660" w:type="dxa"/>
            <w:gridSpan w:val="7"/>
            <w:tcBorders>
              <w:top w:val="nil"/>
              <w:left w:val="nil"/>
              <w:bottom w:val="nil"/>
              <w:right w:val="nil"/>
            </w:tcBorders>
            <w:shd w:val="clear" w:color="auto" w:fill="auto"/>
            <w:noWrap/>
            <w:vAlign w:val="bottom"/>
          </w:tcPr>
          <w:p>
            <w:pPr>
              <w:widowControl/>
              <w:ind w:firstLine="640" w:firstLineChars="200"/>
              <w:jc w:val="center"/>
              <w:rPr>
                <w:rFonts w:ascii="宋体" w:hAnsi="宋体" w:cs="Arial"/>
                <w:color w:val="000000"/>
                <w:kern w:val="0"/>
                <w:sz w:val="32"/>
                <w:szCs w:val="32"/>
              </w:rPr>
            </w:pPr>
          </w:p>
          <w:p>
            <w:pPr>
              <w:widowControl/>
              <w:ind w:firstLine="640" w:firstLineChars="200"/>
              <w:jc w:val="center"/>
              <w:rPr>
                <w:rFonts w:ascii="宋体" w:hAnsi="宋体" w:cs="Arial"/>
                <w:color w:val="000000"/>
                <w:kern w:val="0"/>
                <w:sz w:val="32"/>
                <w:szCs w:val="32"/>
              </w:rPr>
            </w:pPr>
          </w:p>
          <w:p>
            <w:pPr>
              <w:widowControl/>
              <w:ind w:firstLine="640" w:firstLineChars="200"/>
              <w:jc w:val="center"/>
              <w:rPr>
                <w:rFonts w:ascii="宋体" w:hAnsi="宋体" w:cs="Arial"/>
                <w:color w:val="000000"/>
                <w:kern w:val="0"/>
                <w:sz w:val="32"/>
                <w:szCs w:val="32"/>
              </w:rPr>
            </w:pPr>
            <w:r>
              <w:rPr>
                <w:rFonts w:hint="eastAsia" w:ascii="宋体" w:hAnsi="宋体" w:cs="Arial"/>
                <w:color w:val="000000"/>
                <w:kern w:val="0"/>
                <w:sz w:val="32"/>
                <w:szCs w:val="32"/>
              </w:rPr>
              <w:t>国有资本经营预算支出决算表</w:t>
            </w:r>
          </w:p>
        </w:tc>
      </w:tr>
      <w:tr>
        <w:tblPrEx>
          <w:tblCellMar>
            <w:top w:w="0" w:type="dxa"/>
            <w:left w:w="108" w:type="dxa"/>
            <w:bottom w:w="0" w:type="dxa"/>
            <w:right w:w="108" w:type="dxa"/>
          </w:tblCellMar>
        </w:tblPrEx>
        <w:trPr>
          <w:trHeight w:val="255" w:hRule="atLeast"/>
        </w:trPr>
        <w:tc>
          <w:tcPr>
            <w:tcW w:w="420"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400"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400"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1860"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1860"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1860"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1860" w:type="dxa"/>
            <w:tcBorders>
              <w:top w:val="nil"/>
              <w:left w:val="nil"/>
              <w:bottom w:val="nil"/>
              <w:right w:val="nil"/>
            </w:tcBorders>
            <w:shd w:val="clear" w:color="auto" w:fill="auto"/>
            <w:noWrap/>
            <w:vAlign w:val="bottom"/>
          </w:tcPr>
          <w:p>
            <w:pPr>
              <w:widowControl/>
              <w:ind w:firstLine="400" w:firstLineChars="200"/>
              <w:jc w:val="right"/>
              <w:rPr>
                <w:rFonts w:ascii="宋体" w:hAnsi="宋体" w:cs="Arial"/>
                <w:color w:val="000000"/>
                <w:kern w:val="0"/>
                <w:sz w:val="20"/>
                <w:szCs w:val="20"/>
              </w:rPr>
            </w:pPr>
            <w:r>
              <w:rPr>
                <w:rFonts w:hint="eastAsia" w:ascii="宋体" w:hAnsi="宋体" w:cs="Arial"/>
                <w:color w:val="000000"/>
                <w:kern w:val="0"/>
                <w:sz w:val="20"/>
                <w:szCs w:val="20"/>
              </w:rPr>
              <w:t>财决公开13表</w:t>
            </w:r>
          </w:p>
        </w:tc>
      </w:tr>
      <w:tr>
        <w:tblPrEx>
          <w:tblCellMar>
            <w:top w:w="0" w:type="dxa"/>
            <w:left w:w="108" w:type="dxa"/>
            <w:bottom w:w="0" w:type="dxa"/>
            <w:right w:w="108" w:type="dxa"/>
          </w:tblCellMar>
        </w:tblPrEx>
        <w:trPr>
          <w:trHeight w:val="255" w:hRule="atLeast"/>
        </w:trPr>
        <w:tc>
          <w:tcPr>
            <w:tcW w:w="4940" w:type="dxa"/>
            <w:gridSpan w:val="5"/>
            <w:tcBorders>
              <w:top w:val="nil"/>
              <w:left w:val="nil"/>
              <w:bottom w:val="single" w:color="000000" w:sz="4" w:space="0"/>
              <w:right w:val="nil"/>
            </w:tcBorders>
            <w:shd w:val="clear" w:color="auto" w:fill="auto"/>
            <w:noWrap/>
            <w:vAlign w:val="bottom"/>
          </w:tcPr>
          <w:p>
            <w:pPr>
              <w:widowControl/>
              <w:ind w:firstLine="400" w:firstLineChars="200"/>
              <w:jc w:val="left"/>
              <w:rPr>
                <w:rFonts w:ascii="宋体" w:hAnsi="宋体" w:cs="Arial"/>
                <w:color w:val="000000"/>
                <w:kern w:val="0"/>
                <w:sz w:val="20"/>
                <w:szCs w:val="20"/>
              </w:rPr>
            </w:pPr>
            <w:r>
              <w:rPr>
                <w:rFonts w:hint="eastAsia" w:ascii="宋体" w:hAnsi="宋体" w:cs="Arial"/>
                <w:color w:val="000000"/>
                <w:kern w:val="0"/>
                <w:sz w:val="20"/>
                <w:szCs w:val="20"/>
              </w:rPr>
              <w:t>部门：四川省阿坝州汶川县纪委监察委（本级）</w:t>
            </w:r>
          </w:p>
        </w:tc>
        <w:tc>
          <w:tcPr>
            <w:tcW w:w="1860" w:type="dxa"/>
            <w:tcBorders>
              <w:top w:val="nil"/>
              <w:left w:val="nil"/>
              <w:bottom w:val="nil"/>
              <w:right w:val="nil"/>
            </w:tcBorders>
            <w:shd w:val="clear" w:color="auto" w:fill="auto"/>
            <w:noWrap/>
            <w:vAlign w:val="bottom"/>
          </w:tcPr>
          <w:p>
            <w:pPr>
              <w:widowControl/>
              <w:ind w:firstLine="400" w:firstLineChars="200"/>
              <w:jc w:val="left"/>
              <w:rPr>
                <w:rFonts w:ascii="Arial" w:hAnsi="Arial" w:cs="Arial"/>
                <w:color w:val="000000"/>
                <w:kern w:val="0"/>
                <w:sz w:val="20"/>
                <w:szCs w:val="20"/>
              </w:rPr>
            </w:pPr>
          </w:p>
        </w:tc>
        <w:tc>
          <w:tcPr>
            <w:tcW w:w="1860" w:type="dxa"/>
            <w:tcBorders>
              <w:top w:val="nil"/>
              <w:left w:val="nil"/>
              <w:bottom w:val="nil"/>
              <w:right w:val="nil"/>
            </w:tcBorders>
            <w:shd w:val="clear" w:color="auto" w:fill="auto"/>
            <w:noWrap/>
            <w:vAlign w:val="bottom"/>
          </w:tcPr>
          <w:p>
            <w:pPr>
              <w:widowControl/>
              <w:ind w:firstLine="400" w:firstLineChars="200"/>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3080" w:type="dxa"/>
            <w:gridSpan w:val="4"/>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项    目</w:t>
            </w:r>
          </w:p>
        </w:tc>
        <w:tc>
          <w:tcPr>
            <w:tcW w:w="5580" w:type="dxa"/>
            <w:gridSpan w:val="3"/>
            <w:tcBorders>
              <w:top w:val="single" w:color="000000" w:sz="4" w:space="0"/>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国有资本经营预算支出</w:t>
            </w:r>
          </w:p>
        </w:tc>
      </w:tr>
      <w:tr>
        <w:tblPrEx>
          <w:tblCellMar>
            <w:top w:w="0" w:type="dxa"/>
            <w:left w:w="108" w:type="dxa"/>
            <w:bottom w:w="0" w:type="dxa"/>
            <w:right w:w="108" w:type="dxa"/>
          </w:tblCellMar>
        </w:tblPrEx>
        <w:trPr>
          <w:trHeight w:val="312" w:hRule="atLeast"/>
        </w:trPr>
        <w:tc>
          <w:tcPr>
            <w:tcW w:w="122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科目编码</w:t>
            </w:r>
          </w:p>
        </w:tc>
        <w:tc>
          <w:tcPr>
            <w:tcW w:w="1860" w:type="dxa"/>
            <w:vMerge w:val="restart"/>
            <w:tcBorders>
              <w:top w:val="nil"/>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860" w:type="dxa"/>
            <w:vMerge w:val="restart"/>
            <w:tcBorders>
              <w:top w:val="nil"/>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860" w:type="dxa"/>
            <w:vMerge w:val="restart"/>
            <w:tcBorders>
              <w:top w:val="nil"/>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860" w:type="dxa"/>
            <w:vMerge w:val="restart"/>
            <w:tcBorders>
              <w:top w:val="nil"/>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12" w:hRule="atLeast"/>
        </w:trPr>
        <w:tc>
          <w:tcPr>
            <w:tcW w:w="1220" w:type="dxa"/>
            <w:gridSpan w:val="3"/>
            <w:vMerge w:val="continue"/>
            <w:tcBorders>
              <w:top w:val="nil"/>
              <w:left w:val="single" w:color="000000" w:sz="4" w:space="0"/>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1860" w:type="dxa"/>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1860" w:type="dxa"/>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1860" w:type="dxa"/>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1860" w:type="dxa"/>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615" w:hRule="atLeast"/>
        </w:trPr>
        <w:tc>
          <w:tcPr>
            <w:tcW w:w="1220" w:type="dxa"/>
            <w:gridSpan w:val="3"/>
            <w:vMerge w:val="continue"/>
            <w:tcBorders>
              <w:top w:val="nil"/>
              <w:left w:val="single" w:color="000000" w:sz="4" w:space="0"/>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1860" w:type="dxa"/>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1860" w:type="dxa"/>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1860" w:type="dxa"/>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c>
          <w:tcPr>
            <w:tcW w:w="1860" w:type="dxa"/>
            <w:vMerge w:val="continue"/>
            <w:tcBorders>
              <w:top w:val="nil"/>
              <w:left w:val="nil"/>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20" w:type="dxa"/>
            <w:tcBorders>
              <w:top w:val="nil"/>
              <w:left w:val="single" w:color="000000" w:sz="4" w:space="0"/>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00" w:type="dxa"/>
            <w:tcBorders>
              <w:top w:val="nil"/>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00" w:type="dxa"/>
            <w:tcBorders>
              <w:top w:val="nil"/>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860" w:type="dxa"/>
            <w:tcBorders>
              <w:top w:val="nil"/>
              <w:left w:val="nil"/>
              <w:bottom w:val="single" w:color="000000" w:sz="4" w:space="0"/>
              <w:right w:val="single" w:color="000000" w:sz="4" w:space="0"/>
            </w:tcBorders>
            <w:shd w:val="clear" w:color="FFFFFF" w:fill="C0C0C0"/>
            <w:vAlign w:val="center"/>
          </w:tcPr>
          <w:p>
            <w:pPr>
              <w:widowControl/>
              <w:ind w:firstLine="440" w:firstLineChars="200"/>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860" w:type="dxa"/>
            <w:tcBorders>
              <w:top w:val="nil"/>
              <w:left w:val="nil"/>
              <w:bottom w:val="single" w:color="000000" w:sz="4" w:space="0"/>
              <w:right w:val="single" w:color="000000" w:sz="4" w:space="0"/>
            </w:tcBorders>
            <w:shd w:val="clear" w:color="auto" w:fill="auto"/>
            <w:noWrap/>
            <w:vAlign w:val="center"/>
          </w:tcPr>
          <w:p>
            <w:pPr>
              <w:widowControl/>
              <w:ind w:firstLine="442" w:firstLineChars="200"/>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1860" w:type="dxa"/>
            <w:tcBorders>
              <w:top w:val="nil"/>
              <w:left w:val="nil"/>
              <w:bottom w:val="single" w:color="000000" w:sz="4" w:space="0"/>
              <w:right w:val="single" w:color="000000" w:sz="4" w:space="0"/>
            </w:tcBorders>
            <w:shd w:val="clear" w:color="auto" w:fill="auto"/>
            <w:noWrap/>
            <w:vAlign w:val="center"/>
          </w:tcPr>
          <w:p>
            <w:pPr>
              <w:widowControl/>
              <w:ind w:firstLine="442" w:firstLineChars="200"/>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1860" w:type="dxa"/>
            <w:tcBorders>
              <w:top w:val="nil"/>
              <w:left w:val="nil"/>
              <w:bottom w:val="single" w:color="000000" w:sz="4" w:space="0"/>
              <w:right w:val="single" w:color="000000" w:sz="4" w:space="0"/>
            </w:tcBorders>
            <w:shd w:val="clear" w:color="auto" w:fill="auto"/>
            <w:noWrap/>
            <w:vAlign w:val="center"/>
          </w:tcPr>
          <w:p>
            <w:pPr>
              <w:widowControl/>
              <w:ind w:firstLine="442" w:firstLineChars="200"/>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r>
      <w:tr>
        <w:tblPrEx>
          <w:tblCellMar>
            <w:top w:w="0" w:type="dxa"/>
            <w:left w:w="108" w:type="dxa"/>
            <w:bottom w:w="0" w:type="dxa"/>
            <w:right w:w="108" w:type="dxa"/>
          </w:tblCellMar>
        </w:tblPrEx>
        <w:trPr>
          <w:trHeight w:val="308" w:hRule="atLeast"/>
        </w:trPr>
        <w:tc>
          <w:tcPr>
            <w:tcW w:w="12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6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6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6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6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2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6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6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6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6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2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6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6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6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6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2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6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6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6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6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2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6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6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6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6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2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6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6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6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60" w:type="dxa"/>
            <w:tcBorders>
              <w:top w:val="nil"/>
              <w:left w:val="nil"/>
              <w:bottom w:val="single" w:color="000000" w:sz="4" w:space="0"/>
              <w:right w:val="single" w:color="000000" w:sz="4" w:space="0"/>
            </w:tcBorders>
            <w:shd w:val="clear" w:color="auto" w:fill="auto"/>
            <w:noWrap/>
            <w:vAlign w:val="center"/>
          </w:tcPr>
          <w:p>
            <w:pPr>
              <w:widowControl/>
              <w:ind w:firstLine="440" w:firstLineChars="200"/>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750" w:hRule="atLeast"/>
        </w:trPr>
        <w:tc>
          <w:tcPr>
            <w:tcW w:w="8660" w:type="dxa"/>
            <w:gridSpan w:val="7"/>
            <w:tcBorders>
              <w:top w:val="nil"/>
              <w:left w:val="nil"/>
              <w:bottom w:val="nil"/>
              <w:right w:val="nil"/>
            </w:tcBorders>
            <w:shd w:val="clear" w:color="auto" w:fill="auto"/>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注：本表以“万元”为金额单位（保留两位小数），反映部门本年度国有资本经营预算财政拨款支出情况。</w:t>
            </w:r>
          </w:p>
        </w:tc>
      </w:tr>
      <w:tr>
        <w:tblPrEx>
          <w:tblCellMar>
            <w:top w:w="0" w:type="dxa"/>
            <w:left w:w="108" w:type="dxa"/>
            <w:bottom w:w="0" w:type="dxa"/>
            <w:right w:w="108" w:type="dxa"/>
          </w:tblCellMar>
        </w:tblPrEx>
        <w:trPr>
          <w:trHeight w:val="600" w:hRule="atLeast"/>
        </w:trPr>
        <w:tc>
          <w:tcPr>
            <w:tcW w:w="8660" w:type="dxa"/>
            <w:gridSpan w:val="7"/>
            <w:tcBorders>
              <w:top w:val="nil"/>
              <w:left w:val="nil"/>
              <w:bottom w:val="nil"/>
              <w:right w:val="nil"/>
            </w:tcBorders>
            <w:shd w:val="clear" w:color="auto" w:fill="auto"/>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说明：如部门没有国有资本经营预算收入，也没有使用国有资本经营预算安排的支出，应注明本表无数据。</w:t>
            </w:r>
          </w:p>
        </w:tc>
      </w:tr>
    </w:tbl>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sectPr>
      <w:headerReference r:id="rId3" w:type="default"/>
      <w:footerReference r:id="rId4" w:type="default"/>
      <w:pgSz w:w="11906" w:h="16838"/>
      <w:pgMar w:top="1247" w:right="1247" w:bottom="1134" w:left="1474"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37</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M1ZjgyYmRlNWI1ZTM4ZDNlMWUzODdkMDFlMjAzYTcifQ=="/>
  </w:docVars>
  <w:rsids>
    <w:rsidRoot w:val="00F1361C"/>
    <w:rsid w:val="000222C6"/>
    <w:rsid w:val="0002549F"/>
    <w:rsid w:val="0006487A"/>
    <w:rsid w:val="00065F8F"/>
    <w:rsid w:val="000768F2"/>
    <w:rsid w:val="0009184B"/>
    <w:rsid w:val="0009593C"/>
    <w:rsid w:val="00097392"/>
    <w:rsid w:val="000B047F"/>
    <w:rsid w:val="000B5923"/>
    <w:rsid w:val="000B5A48"/>
    <w:rsid w:val="000B6FF3"/>
    <w:rsid w:val="000C3467"/>
    <w:rsid w:val="000C3CA6"/>
    <w:rsid w:val="000D1267"/>
    <w:rsid w:val="000D1D50"/>
    <w:rsid w:val="000D5782"/>
    <w:rsid w:val="000E14B9"/>
    <w:rsid w:val="000E1C8B"/>
    <w:rsid w:val="000E6613"/>
    <w:rsid w:val="000E7119"/>
    <w:rsid w:val="000F5866"/>
    <w:rsid w:val="00102EB4"/>
    <w:rsid w:val="00114E9B"/>
    <w:rsid w:val="0012341D"/>
    <w:rsid w:val="0014729F"/>
    <w:rsid w:val="00157BAB"/>
    <w:rsid w:val="001654D1"/>
    <w:rsid w:val="001674A2"/>
    <w:rsid w:val="0018106D"/>
    <w:rsid w:val="00182ED0"/>
    <w:rsid w:val="001877A7"/>
    <w:rsid w:val="00191536"/>
    <w:rsid w:val="00196687"/>
    <w:rsid w:val="001B0649"/>
    <w:rsid w:val="001C0962"/>
    <w:rsid w:val="001D7531"/>
    <w:rsid w:val="001E737D"/>
    <w:rsid w:val="001F0592"/>
    <w:rsid w:val="001F7506"/>
    <w:rsid w:val="002006CD"/>
    <w:rsid w:val="00202B36"/>
    <w:rsid w:val="00204B7A"/>
    <w:rsid w:val="0021101A"/>
    <w:rsid w:val="00220536"/>
    <w:rsid w:val="00235629"/>
    <w:rsid w:val="00251E47"/>
    <w:rsid w:val="00260C38"/>
    <w:rsid w:val="002616C0"/>
    <w:rsid w:val="002662AA"/>
    <w:rsid w:val="00280496"/>
    <w:rsid w:val="00290E1E"/>
    <w:rsid w:val="00295495"/>
    <w:rsid w:val="002B2613"/>
    <w:rsid w:val="002E202F"/>
    <w:rsid w:val="002F1818"/>
    <w:rsid w:val="002F567B"/>
    <w:rsid w:val="003216A9"/>
    <w:rsid w:val="003326AA"/>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4E35"/>
    <w:rsid w:val="00437085"/>
    <w:rsid w:val="00443880"/>
    <w:rsid w:val="004463AC"/>
    <w:rsid w:val="004464F4"/>
    <w:rsid w:val="00471401"/>
    <w:rsid w:val="00473F31"/>
    <w:rsid w:val="004825EC"/>
    <w:rsid w:val="0048263A"/>
    <w:rsid w:val="00487E5D"/>
    <w:rsid w:val="004A711F"/>
    <w:rsid w:val="004B199D"/>
    <w:rsid w:val="004B4690"/>
    <w:rsid w:val="004D6685"/>
    <w:rsid w:val="004E0A2D"/>
    <w:rsid w:val="004E206B"/>
    <w:rsid w:val="004E6DF7"/>
    <w:rsid w:val="004F0FBD"/>
    <w:rsid w:val="004F5506"/>
    <w:rsid w:val="00505A47"/>
    <w:rsid w:val="00512FDA"/>
    <w:rsid w:val="00520DA0"/>
    <w:rsid w:val="005321BA"/>
    <w:rsid w:val="0053445F"/>
    <w:rsid w:val="005418AF"/>
    <w:rsid w:val="005444A4"/>
    <w:rsid w:val="005664BB"/>
    <w:rsid w:val="0057481D"/>
    <w:rsid w:val="0058486E"/>
    <w:rsid w:val="005A73C0"/>
    <w:rsid w:val="005D1C8B"/>
    <w:rsid w:val="005D5CED"/>
    <w:rsid w:val="005F1A4C"/>
    <w:rsid w:val="00605688"/>
    <w:rsid w:val="006070AF"/>
    <w:rsid w:val="00607E6C"/>
    <w:rsid w:val="006101B1"/>
    <w:rsid w:val="00614D6B"/>
    <w:rsid w:val="00614E44"/>
    <w:rsid w:val="00622830"/>
    <w:rsid w:val="006309DE"/>
    <w:rsid w:val="00630AEF"/>
    <w:rsid w:val="006325F8"/>
    <w:rsid w:val="00634A24"/>
    <w:rsid w:val="00634C9A"/>
    <w:rsid w:val="006440E4"/>
    <w:rsid w:val="00646D16"/>
    <w:rsid w:val="0066343B"/>
    <w:rsid w:val="00664777"/>
    <w:rsid w:val="00673560"/>
    <w:rsid w:val="006748A4"/>
    <w:rsid w:val="0067527C"/>
    <w:rsid w:val="00683E73"/>
    <w:rsid w:val="00692900"/>
    <w:rsid w:val="0069571F"/>
    <w:rsid w:val="006A3141"/>
    <w:rsid w:val="006A5E34"/>
    <w:rsid w:val="006B2422"/>
    <w:rsid w:val="006B2B9A"/>
    <w:rsid w:val="006C1937"/>
    <w:rsid w:val="006F020C"/>
    <w:rsid w:val="007127B7"/>
    <w:rsid w:val="00721035"/>
    <w:rsid w:val="0072129C"/>
    <w:rsid w:val="00724BF6"/>
    <w:rsid w:val="007416B6"/>
    <w:rsid w:val="00746F48"/>
    <w:rsid w:val="0075404D"/>
    <w:rsid w:val="0076182A"/>
    <w:rsid w:val="00767B7E"/>
    <w:rsid w:val="007770C3"/>
    <w:rsid w:val="00784D24"/>
    <w:rsid w:val="00785FBA"/>
    <w:rsid w:val="00786E4A"/>
    <w:rsid w:val="007875EB"/>
    <w:rsid w:val="0079426B"/>
    <w:rsid w:val="007A53A3"/>
    <w:rsid w:val="007A6D5D"/>
    <w:rsid w:val="007D312A"/>
    <w:rsid w:val="007D35C1"/>
    <w:rsid w:val="007D3F19"/>
    <w:rsid w:val="007D71B6"/>
    <w:rsid w:val="007E23B0"/>
    <w:rsid w:val="007F1991"/>
    <w:rsid w:val="007F2C2F"/>
    <w:rsid w:val="007F2F73"/>
    <w:rsid w:val="007F55FC"/>
    <w:rsid w:val="007F5665"/>
    <w:rsid w:val="00800112"/>
    <w:rsid w:val="008253BB"/>
    <w:rsid w:val="0083706E"/>
    <w:rsid w:val="0083714D"/>
    <w:rsid w:val="008423A5"/>
    <w:rsid w:val="00850625"/>
    <w:rsid w:val="00853718"/>
    <w:rsid w:val="00855221"/>
    <w:rsid w:val="00860645"/>
    <w:rsid w:val="00871F71"/>
    <w:rsid w:val="00884DB7"/>
    <w:rsid w:val="00885AF4"/>
    <w:rsid w:val="008939CD"/>
    <w:rsid w:val="008B09D0"/>
    <w:rsid w:val="008B768C"/>
    <w:rsid w:val="008C4DB1"/>
    <w:rsid w:val="008C4EAF"/>
    <w:rsid w:val="008C5176"/>
    <w:rsid w:val="008C7D8D"/>
    <w:rsid w:val="008C7FD0"/>
    <w:rsid w:val="008E1DE7"/>
    <w:rsid w:val="008E707C"/>
    <w:rsid w:val="008F68C0"/>
    <w:rsid w:val="00900B08"/>
    <w:rsid w:val="00902155"/>
    <w:rsid w:val="00902A75"/>
    <w:rsid w:val="00902FA3"/>
    <w:rsid w:val="00923564"/>
    <w:rsid w:val="0092392E"/>
    <w:rsid w:val="009315F9"/>
    <w:rsid w:val="009424C5"/>
    <w:rsid w:val="00946945"/>
    <w:rsid w:val="00951248"/>
    <w:rsid w:val="0095152F"/>
    <w:rsid w:val="00954C49"/>
    <w:rsid w:val="0097099F"/>
    <w:rsid w:val="00971997"/>
    <w:rsid w:val="00971FFC"/>
    <w:rsid w:val="009863F8"/>
    <w:rsid w:val="0098660A"/>
    <w:rsid w:val="009931C3"/>
    <w:rsid w:val="00994B2D"/>
    <w:rsid w:val="009A5EC5"/>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2C6F"/>
    <w:rsid w:val="00A67AB5"/>
    <w:rsid w:val="00A742C6"/>
    <w:rsid w:val="00A91760"/>
    <w:rsid w:val="00A922E4"/>
    <w:rsid w:val="00A938EB"/>
    <w:rsid w:val="00A93B00"/>
    <w:rsid w:val="00A93C21"/>
    <w:rsid w:val="00AC3C6A"/>
    <w:rsid w:val="00AD0ADE"/>
    <w:rsid w:val="00AD369F"/>
    <w:rsid w:val="00AD5620"/>
    <w:rsid w:val="00AD7C1B"/>
    <w:rsid w:val="00AE16BA"/>
    <w:rsid w:val="00AE1EBE"/>
    <w:rsid w:val="00B03C9D"/>
    <w:rsid w:val="00B060AE"/>
    <w:rsid w:val="00B10517"/>
    <w:rsid w:val="00B14E76"/>
    <w:rsid w:val="00B161B8"/>
    <w:rsid w:val="00B2048C"/>
    <w:rsid w:val="00B310B9"/>
    <w:rsid w:val="00B35F3F"/>
    <w:rsid w:val="00B36CBB"/>
    <w:rsid w:val="00B42292"/>
    <w:rsid w:val="00B425E0"/>
    <w:rsid w:val="00B440AA"/>
    <w:rsid w:val="00B44B70"/>
    <w:rsid w:val="00B5191C"/>
    <w:rsid w:val="00B53C56"/>
    <w:rsid w:val="00B66659"/>
    <w:rsid w:val="00B77EA6"/>
    <w:rsid w:val="00B81598"/>
    <w:rsid w:val="00B841F1"/>
    <w:rsid w:val="00B944D6"/>
    <w:rsid w:val="00BA3FB6"/>
    <w:rsid w:val="00BB4DF0"/>
    <w:rsid w:val="00BC289F"/>
    <w:rsid w:val="00BC5361"/>
    <w:rsid w:val="00BC5460"/>
    <w:rsid w:val="00BC6B50"/>
    <w:rsid w:val="00BD0E25"/>
    <w:rsid w:val="00BF5BD6"/>
    <w:rsid w:val="00C03E31"/>
    <w:rsid w:val="00C10C5B"/>
    <w:rsid w:val="00C17CAD"/>
    <w:rsid w:val="00C31693"/>
    <w:rsid w:val="00C33E72"/>
    <w:rsid w:val="00C354B2"/>
    <w:rsid w:val="00C35554"/>
    <w:rsid w:val="00C42709"/>
    <w:rsid w:val="00C533CC"/>
    <w:rsid w:val="00C5751C"/>
    <w:rsid w:val="00C61BFC"/>
    <w:rsid w:val="00C62B85"/>
    <w:rsid w:val="00C65438"/>
    <w:rsid w:val="00C90BDE"/>
    <w:rsid w:val="00C91CBB"/>
    <w:rsid w:val="00CC09B6"/>
    <w:rsid w:val="00CC2AB2"/>
    <w:rsid w:val="00CC666F"/>
    <w:rsid w:val="00CD0D1A"/>
    <w:rsid w:val="00CD1E3F"/>
    <w:rsid w:val="00CE16CC"/>
    <w:rsid w:val="00CE3438"/>
    <w:rsid w:val="00CE38D6"/>
    <w:rsid w:val="00CE44F6"/>
    <w:rsid w:val="00CE49DA"/>
    <w:rsid w:val="00CE7B61"/>
    <w:rsid w:val="00CF4E6D"/>
    <w:rsid w:val="00D00095"/>
    <w:rsid w:val="00D20620"/>
    <w:rsid w:val="00D26091"/>
    <w:rsid w:val="00D34E7C"/>
    <w:rsid w:val="00D35489"/>
    <w:rsid w:val="00D51276"/>
    <w:rsid w:val="00D57207"/>
    <w:rsid w:val="00D6541A"/>
    <w:rsid w:val="00D7035F"/>
    <w:rsid w:val="00D74ABC"/>
    <w:rsid w:val="00DA1E13"/>
    <w:rsid w:val="00DA3AA5"/>
    <w:rsid w:val="00DA65AC"/>
    <w:rsid w:val="00DB1913"/>
    <w:rsid w:val="00DC410D"/>
    <w:rsid w:val="00DC68CA"/>
    <w:rsid w:val="00DC7CBA"/>
    <w:rsid w:val="00DD73B7"/>
    <w:rsid w:val="00DF28BC"/>
    <w:rsid w:val="00DF34B9"/>
    <w:rsid w:val="00E01053"/>
    <w:rsid w:val="00E07ACF"/>
    <w:rsid w:val="00E10E18"/>
    <w:rsid w:val="00E304E6"/>
    <w:rsid w:val="00E331A1"/>
    <w:rsid w:val="00E33202"/>
    <w:rsid w:val="00E336A9"/>
    <w:rsid w:val="00E50624"/>
    <w:rsid w:val="00E568DF"/>
    <w:rsid w:val="00E64269"/>
    <w:rsid w:val="00E64D55"/>
    <w:rsid w:val="00E82267"/>
    <w:rsid w:val="00E91DBF"/>
    <w:rsid w:val="00EA010F"/>
    <w:rsid w:val="00EA3CF2"/>
    <w:rsid w:val="00EB59EB"/>
    <w:rsid w:val="00ED1B63"/>
    <w:rsid w:val="00ED3124"/>
    <w:rsid w:val="00ED3C1F"/>
    <w:rsid w:val="00ED4085"/>
    <w:rsid w:val="00ED420E"/>
    <w:rsid w:val="00EE118C"/>
    <w:rsid w:val="00EE2F57"/>
    <w:rsid w:val="00EE30D7"/>
    <w:rsid w:val="00EF4C34"/>
    <w:rsid w:val="00EF5789"/>
    <w:rsid w:val="00EF77C6"/>
    <w:rsid w:val="00F05438"/>
    <w:rsid w:val="00F1361C"/>
    <w:rsid w:val="00F160C7"/>
    <w:rsid w:val="00F36D8F"/>
    <w:rsid w:val="00F414DA"/>
    <w:rsid w:val="00F417B1"/>
    <w:rsid w:val="00F564FD"/>
    <w:rsid w:val="00F602DF"/>
    <w:rsid w:val="00F70670"/>
    <w:rsid w:val="00F81FD9"/>
    <w:rsid w:val="00F82570"/>
    <w:rsid w:val="00F841AA"/>
    <w:rsid w:val="00FA23E8"/>
    <w:rsid w:val="00FD100B"/>
    <w:rsid w:val="00FD3CC1"/>
    <w:rsid w:val="00FF1E02"/>
    <w:rsid w:val="00FF30B4"/>
    <w:rsid w:val="10C055FF"/>
    <w:rsid w:val="16BB723D"/>
    <w:rsid w:val="240371BF"/>
    <w:rsid w:val="29FD04D3"/>
    <w:rsid w:val="319F7F4E"/>
    <w:rsid w:val="6B7C577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22"/>
    <w:rPr>
      <w:b/>
    </w:rPr>
  </w:style>
  <w:style w:type="character" w:styleId="15">
    <w:name w:val="FollowedHyperlink"/>
    <w:basedOn w:val="13"/>
    <w:semiHidden/>
    <w:unhideWhenUsed/>
    <w:uiPriority w:val="99"/>
    <w:rPr>
      <w:color w:val="800080"/>
      <w:u w:val="single"/>
    </w:rPr>
  </w:style>
  <w:style w:type="character" w:styleId="16">
    <w:name w:val="Hyperlink"/>
    <w:basedOn w:val="13"/>
    <w:unhideWhenUsed/>
    <w:uiPriority w:val="99"/>
    <w:rPr>
      <w:color w:val="0000FF" w:themeColor="hyperlink"/>
      <w:u w:val="single"/>
    </w:rPr>
  </w:style>
  <w:style w:type="character" w:customStyle="1" w:styleId="17">
    <w:name w:val="Header Char"/>
    <w:basedOn w:val="13"/>
    <w:semiHidden/>
    <w:uiPriority w:val="99"/>
    <w:rPr>
      <w:rFonts w:ascii="Times New Roman" w:hAnsi="Times New Roman"/>
      <w:sz w:val="18"/>
      <w:szCs w:val="18"/>
    </w:rPr>
  </w:style>
  <w:style w:type="character" w:customStyle="1" w:styleId="18">
    <w:name w:val="页眉 Char"/>
    <w:link w:val="9"/>
    <w:semiHidden/>
    <w:locked/>
    <w:uiPriority w:val="99"/>
    <w:rPr>
      <w:sz w:val="18"/>
    </w:rPr>
  </w:style>
  <w:style w:type="character" w:customStyle="1" w:styleId="19">
    <w:name w:val="Footer Char"/>
    <w:basedOn w:val="13"/>
    <w:semiHidden/>
    <w:uiPriority w:val="99"/>
    <w:rPr>
      <w:rFonts w:ascii="Times New Roman" w:hAnsi="Times New Roman"/>
      <w:sz w:val="18"/>
      <w:szCs w:val="18"/>
    </w:rPr>
  </w:style>
  <w:style w:type="character" w:customStyle="1" w:styleId="20">
    <w:name w:val="页脚 Char"/>
    <w:link w:val="8"/>
    <w:locked/>
    <w:uiPriority w:val="99"/>
    <w:rPr>
      <w:sz w:val="18"/>
    </w:rPr>
  </w:style>
  <w:style w:type="character" w:customStyle="1" w:styleId="21">
    <w:name w:val="Body Text Char"/>
    <w:basedOn w:val="13"/>
    <w:semiHidden/>
    <w:uiPriority w:val="99"/>
    <w:rPr>
      <w:rFonts w:ascii="Times New Roman" w:hAnsi="Times New Roman"/>
      <w:szCs w:val="24"/>
    </w:rPr>
  </w:style>
  <w:style w:type="character" w:customStyle="1" w:styleId="22">
    <w:name w:val="正文文本 Char"/>
    <w:link w:val="5"/>
    <w:locked/>
    <w:uiPriority w:val="99"/>
    <w:rPr>
      <w:rFonts w:ascii="仿宋_GB2312" w:hAnsi="Times New Roman" w:eastAsia="仿宋_GB2312"/>
      <w:sz w:val="24"/>
    </w:rPr>
  </w:style>
  <w:style w:type="paragraph" w:customStyle="1" w:styleId="23">
    <w:name w:val="Defaul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3"/>
    <w:link w:val="2"/>
    <w:uiPriority w:val="9"/>
    <w:rPr>
      <w:rFonts w:ascii="Times New Roman" w:hAnsi="Times New Roman"/>
      <w:b/>
      <w:bCs/>
      <w:kern w:val="44"/>
      <w:sz w:val="44"/>
      <w:szCs w:val="44"/>
    </w:rPr>
  </w:style>
  <w:style w:type="character" w:customStyle="1" w:styleId="26">
    <w:name w:val="标题 2 Char"/>
    <w:basedOn w:val="13"/>
    <w:link w:val="3"/>
    <w:uiPriority w:val="9"/>
    <w:rPr>
      <w:rFonts w:asciiTheme="majorHAnsi" w:hAnsiTheme="majorHAnsi" w:eastAsiaTheme="majorEastAsia" w:cstheme="majorBidi"/>
      <w:b/>
      <w:bCs/>
      <w:kern w:val="2"/>
      <w:sz w:val="32"/>
      <w:szCs w:val="32"/>
    </w:rPr>
  </w:style>
  <w:style w:type="paragraph" w:customStyle="1" w:styleId="27">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3"/>
    <w:link w:val="7"/>
    <w:semiHidden/>
    <w:uiPriority w:val="99"/>
    <w:rPr>
      <w:rFonts w:ascii="Times New Roman" w:hAnsi="Times New Roman"/>
      <w:kern w:val="2"/>
      <w:sz w:val="18"/>
      <w:szCs w:val="18"/>
    </w:rPr>
  </w:style>
  <w:style w:type="character" w:customStyle="1" w:styleId="29">
    <w:name w:val="标题 3 Char"/>
    <w:basedOn w:val="13"/>
    <w:link w:val="4"/>
    <w:uiPriority w:val="9"/>
    <w:rPr>
      <w:rFonts w:ascii="Times New Roman" w:hAnsi="Times New Roman"/>
      <w:b/>
      <w:bCs/>
      <w:kern w:val="2"/>
      <w:sz w:val="32"/>
      <w:szCs w:val="32"/>
    </w:rPr>
  </w:style>
  <w:style w:type="paragraph" w:customStyle="1" w:styleId="30">
    <w:name w:val="xl65"/>
    <w:basedOn w:val="1"/>
    <w:uiPriority w:val="0"/>
    <w:pPr>
      <w:widowControl/>
      <w:pBdr>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31">
    <w:name w:val="xl66"/>
    <w:basedOn w:val="1"/>
    <w:uiPriority w:val="0"/>
    <w:pPr>
      <w:widowControl/>
      <w:pBdr>
        <w:bottom w:val="single" w:color="000000" w:sz="4" w:space="0"/>
        <w:right w:val="single" w:color="000000" w:sz="4" w:space="0"/>
      </w:pBdr>
      <w:spacing w:before="100" w:beforeAutospacing="1" w:after="100" w:afterAutospacing="1"/>
      <w:jc w:val="right"/>
      <w:textAlignment w:val="center"/>
    </w:pPr>
    <w:rPr>
      <w:rFonts w:ascii="宋体" w:hAnsi="宋体" w:cs="宋体"/>
      <w:kern w:val="0"/>
      <w:sz w:val="22"/>
      <w:szCs w:val="22"/>
    </w:rPr>
  </w:style>
  <w:style w:type="paragraph" w:customStyle="1" w:styleId="32">
    <w:name w:val="xl67"/>
    <w:basedOn w:val="1"/>
    <w:uiPriority w:val="0"/>
    <w:pPr>
      <w:widowControl/>
      <w:pBdr>
        <w:bottom w:val="single" w:color="000000" w:sz="4" w:space="0"/>
        <w:right w:val="single" w:color="000000" w:sz="4" w:space="0"/>
      </w:pBdr>
      <w:shd w:val="clear" w:color="FFFFFF" w:fill="C0C0C0"/>
      <w:spacing w:before="100" w:beforeAutospacing="1" w:after="100" w:afterAutospacing="1"/>
      <w:jc w:val="left"/>
      <w:textAlignment w:val="center"/>
    </w:pPr>
    <w:rPr>
      <w:rFonts w:ascii="宋体" w:hAnsi="宋体" w:cs="宋体"/>
      <w:kern w:val="0"/>
      <w:sz w:val="22"/>
      <w:szCs w:val="22"/>
    </w:rPr>
  </w:style>
  <w:style w:type="paragraph" w:customStyle="1" w:styleId="33">
    <w:name w:val="xl68"/>
    <w:basedOn w:val="1"/>
    <w:uiPriority w:val="0"/>
    <w:pPr>
      <w:widowControl/>
      <w:pBdr>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4"/>
    </w:rPr>
  </w:style>
  <w:style w:type="paragraph" w:customStyle="1" w:styleId="34">
    <w:name w:val="xl69"/>
    <w:basedOn w:val="1"/>
    <w:uiPriority w:val="0"/>
    <w:pPr>
      <w:widowControl/>
      <w:pBdr>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35">
    <w:name w:val="xl70"/>
    <w:basedOn w:val="1"/>
    <w:uiPriority w:val="0"/>
    <w:pPr>
      <w:widowControl/>
      <w:pBdr>
        <w:bottom w:val="single" w:color="000000" w:sz="4" w:space="0"/>
        <w:right w:val="single" w:color="000000" w:sz="4" w:space="0"/>
      </w:pBdr>
      <w:shd w:val="clear" w:color="FFFFFF" w:fill="C0C0C0"/>
      <w:spacing w:before="100" w:beforeAutospacing="1" w:after="100" w:afterAutospacing="1"/>
      <w:jc w:val="left"/>
      <w:textAlignment w:val="center"/>
    </w:pPr>
    <w:rPr>
      <w:rFonts w:ascii="宋体" w:hAnsi="宋体" w:cs="宋体"/>
      <w:b/>
      <w:bCs/>
      <w:kern w:val="0"/>
      <w:sz w:val="22"/>
      <w:szCs w:val="22"/>
    </w:rPr>
  </w:style>
  <w:style w:type="paragraph" w:customStyle="1" w:styleId="36">
    <w:name w:val="xl71"/>
    <w:basedOn w:val="1"/>
    <w:uiPriority w:val="0"/>
    <w:pPr>
      <w:widowControl/>
      <w:pBdr>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b/>
      <w:bCs/>
      <w:kern w:val="0"/>
      <w:sz w:val="24"/>
    </w:rPr>
  </w:style>
  <w:style w:type="paragraph" w:customStyle="1" w:styleId="37">
    <w:name w:val="xl72"/>
    <w:basedOn w:val="1"/>
    <w:uiPriority w:val="0"/>
    <w:pPr>
      <w:widowControl/>
      <w:pBdr>
        <w:bottom w:val="single" w:color="000000" w:sz="4" w:space="0"/>
        <w:right w:val="single" w:color="000000" w:sz="4" w:space="0"/>
      </w:pBdr>
      <w:spacing w:before="100" w:beforeAutospacing="1" w:after="100" w:afterAutospacing="1"/>
      <w:jc w:val="center"/>
      <w:textAlignment w:val="center"/>
    </w:pPr>
    <w:rPr>
      <w:rFonts w:ascii="宋体" w:hAnsi="宋体" w:cs="宋体"/>
      <w:kern w:val="0"/>
      <w:sz w:val="22"/>
      <w:szCs w:val="22"/>
    </w:rPr>
  </w:style>
  <w:style w:type="paragraph" w:customStyle="1" w:styleId="38">
    <w:name w:val="xl74"/>
    <w:basedOn w:val="1"/>
    <w:uiPriority w:val="0"/>
    <w:pPr>
      <w:widowControl/>
      <w:pBdr>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39">
    <w:name w:val="xl75"/>
    <w:basedOn w:val="1"/>
    <w:uiPriority w:val="0"/>
    <w:pPr>
      <w:widowControl/>
      <w:pBdr>
        <w:bottom w:val="single" w:color="000000" w:sz="4" w:space="0"/>
        <w:right w:val="single" w:color="000000" w:sz="4" w:space="0"/>
      </w:pBdr>
      <w:spacing w:before="100" w:beforeAutospacing="1" w:after="100" w:afterAutospacing="1"/>
      <w:jc w:val="right"/>
      <w:textAlignment w:val="center"/>
    </w:pPr>
    <w:rPr>
      <w:rFonts w:ascii="宋体" w:hAnsi="宋体" w:cs="宋体"/>
      <w:kern w:val="0"/>
      <w:sz w:val="22"/>
      <w:szCs w:val="22"/>
    </w:rPr>
  </w:style>
  <w:style w:type="paragraph" w:customStyle="1" w:styleId="40">
    <w:name w:val="xl76"/>
    <w:basedOn w:val="1"/>
    <w:uiPriority w:val="0"/>
    <w:pPr>
      <w:widowControl/>
      <w:pBdr>
        <w:top w:val="single" w:color="000000" w:sz="4" w:space="0"/>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41">
    <w:name w:val="xl77"/>
    <w:basedOn w:val="1"/>
    <w:uiPriority w:val="0"/>
    <w:pPr>
      <w:widowControl/>
      <w:spacing w:before="100" w:beforeAutospacing="1" w:after="100" w:afterAutospacing="1"/>
      <w:jc w:val="center"/>
    </w:pPr>
    <w:rPr>
      <w:rFonts w:ascii="宋体" w:hAnsi="宋体" w:cs="宋体"/>
      <w:kern w:val="0"/>
      <w:sz w:val="32"/>
      <w:szCs w:val="32"/>
    </w:rPr>
  </w:style>
  <w:style w:type="paragraph" w:customStyle="1" w:styleId="42">
    <w:name w:val="xl78"/>
    <w:basedOn w:val="1"/>
    <w:uiPriority w:val="0"/>
    <w:pPr>
      <w:widowControl/>
      <w:pBdr>
        <w:bottom w:val="single" w:color="000000" w:sz="4" w:space="0"/>
      </w:pBdr>
      <w:spacing w:before="100" w:beforeAutospacing="1" w:after="100" w:afterAutospacing="1"/>
      <w:jc w:val="left"/>
    </w:pPr>
    <w:rPr>
      <w:rFonts w:ascii="宋体" w:hAnsi="宋体" w:cs="宋体"/>
      <w:kern w:val="0"/>
      <w:sz w:val="24"/>
    </w:rPr>
  </w:style>
  <w:style w:type="paragraph" w:customStyle="1" w:styleId="43">
    <w:name w:val="xl79"/>
    <w:basedOn w:val="1"/>
    <w:uiPriority w:val="0"/>
    <w:pPr>
      <w:widowControl/>
      <w:spacing w:before="100" w:beforeAutospacing="1" w:after="100" w:afterAutospacing="1"/>
      <w:jc w:val="left"/>
      <w:textAlignment w:val="center"/>
    </w:pPr>
    <w:rPr>
      <w:rFonts w:ascii="宋体" w:hAnsi="宋体" w:cs="宋体"/>
      <w:kern w:val="0"/>
      <w:sz w:val="22"/>
      <w:szCs w:val="22"/>
    </w:rPr>
  </w:style>
  <w:style w:type="paragraph" w:customStyle="1" w:styleId="44">
    <w:name w:val="xl80"/>
    <w:basedOn w:val="1"/>
    <w:uiPriority w:val="0"/>
    <w:pPr>
      <w:widowControl/>
      <w:spacing w:before="100" w:beforeAutospacing="1" w:after="100" w:afterAutospacing="1"/>
      <w:jc w:val="left"/>
      <w:textAlignment w:val="center"/>
    </w:pPr>
    <w:rPr>
      <w:rFonts w:ascii="宋体" w:hAnsi="宋体" w:cs="宋体"/>
      <w:kern w:val="0"/>
      <w:sz w:val="24"/>
    </w:rPr>
  </w:style>
  <w:style w:type="paragraph" w:customStyle="1" w:styleId="45">
    <w:name w:val="xl81"/>
    <w:basedOn w:val="1"/>
    <w:uiPriority w:val="0"/>
    <w:pPr>
      <w:widowControl/>
      <w:pBdr>
        <w:bottom w:val="single" w:color="000000" w:sz="4" w:space="0"/>
      </w:pBdr>
      <w:spacing w:before="100" w:beforeAutospacing="1" w:after="100" w:afterAutospacing="1"/>
      <w:jc w:val="right"/>
    </w:pPr>
    <w:rPr>
      <w:rFonts w:ascii="宋体" w:hAnsi="宋体" w:cs="宋体"/>
      <w:kern w:val="0"/>
      <w:sz w:val="24"/>
    </w:rPr>
  </w:style>
  <w:style w:type="paragraph" w:customStyle="1" w:styleId="46">
    <w:name w:val="xl82"/>
    <w:basedOn w:val="1"/>
    <w:uiPriority w:val="0"/>
    <w:pPr>
      <w:widowControl/>
      <w:spacing w:before="100" w:beforeAutospacing="1" w:after="100" w:afterAutospacing="1"/>
      <w:jc w:val="right"/>
    </w:pPr>
    <w:rPr>
      <w:rFonts w:ascii="宋体" w:hAnsi="宋体" w:cs="宋体"/>
      <w:kern w:val="0"/>
      <w:sz w:val="24"/>
    </w:rPr>
  </w:style>
  <w:style w:type="paragraph" w:customStyle="1" w:styleId="47">
    <w:name w:val="xl83"/>
    <w:basedOn w:val="1"/>
    <w:uiPriority w:val="0"/>
    <w:pPr>
      <w:widowControl/>
      <w:pBdr>
        <w:top w:val="single" w:color="000000" w:sz="4" w:space="0"/>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48">
    <w:name w:val="xl84"/>
    <w:basedOn w:val="1"/>
    <w:uiPriority w:val="0"/>
    <w:pPr>
      <w:widowControl/>
      <w:pBdr>
        <w:top w:val="single" w:color="000000" w:sz="4" w:space="0"/>
        <w:left w:val="single" w:color="000000" w:sz="4" w:space="0"/>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49">
    <w:name w:val="xl85"/>
    <w:basedOn w:val="1"/>
    <w:uiPriority w:val="0"/>
    <w:pPr>
      <w:widowControl/>
      <w:pBdr>
        <w:top w:val="single" w:color="000000" w:sz="4" w:space="0"/>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4"/>
    </w:rPr>
  </w:style>
  <w:style w:type="paragraph" w:customStyle="1" w:styleId="50">
    <w:name w:val="xl86"/>
    <w:basedOn w:val="1"/>
    <w:uiPriority w:val="0"/>
    <w:pPr>
      <w:widowControl/>
      <w:pBdr>
        <w:left w:val="single" w:color="000000" w:sz="4" w:space="0"/>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51">
    <w:name w:val="xl87"/>
    <w:basedOn w:val="1"/>
    <w:uiPriority w:val="0"/>
    <w:pPr>
      <w:widowControl/>
      <w:pBdr>
        <w:left w:val="single" w:color="000000" w:sz="4" w:space="0"/>
        <w:bottom w:val="single" w:color="000000" w:sz="4" w:space="0"/>
        <w:right w:val="single" w:color="000000" w:sz="4" w:space="0"/>
      </w:pBdr>
      <w:shd w:val="clear" w:color="FFFFFF" w:fill="C0C0C0"/>
      <w:spacing w:before="100" w:beforeAutospacing="1" w:after="100" w:afterAutospacing="1"/>
      <w:jc w:val="left"/>
      <w:textAlignment w:val="center"/>
    </w:pPr>
    <w:rPr>
      <w:rFonts w:ascii="宋体" w:hAnsi="宋体" w:cs="宋体"/>
      <w:b/>
      <w:bCs/>
      <w:kern w:val="0"/>
      <w:sz w:val="22"/>
      <w:szCs w:val="22"/>
    </w:rPr>
  </w:style>
  <w:style w:type="paragraph" w:customStyle="1" w:styleId="52">
    <w:name w:val="xl88"/>
    <w:basedOn w:val="1"/>
    <w:uiPriority w:val="0"/>
    <w:pPr>
      <w:widowControl/>
      <w:pBdr>
        <w:left w:val="single" w:color="000000" w:sz="4" w:space="0"/>
        <w:bottom w:val="single" w:color="000000" w:sz="4" w:space="0"/>
        <w:right w:val="single" w:color="000000" w:sz="4" w:space="0"/>
      </w:pBdr>
      <w:shd w:val="clear" w:color="FFFFFF" w:fill="C0C0C0"/>
      <w:spacing w:before="100" w:beforeAutospacing="1" w:after="100" w:afterAutospacing="1"/>
      <w:jc w:val="left"/>
      <w:textAlignment w:val="center"/>
    </w:pPr>
    <w:rPr>
      <w:rFonts w:ascii="宋体" w:hAnsi="宋体" w:cs="宋体"/>
      <w:kern w:val="0"/>
      <w:sz w:val="22"/>
      <w:szCs w:val="22"/>
    </w:rPr>
  </w:style>
  <w:style w:type="paragraph" w:customStyle="1" w:styleId="53">
    <w:name w:val="xl89"/>
    <w:basedOn w:val="1"/>
    <w:uiPriority w:val="0"/>
    <w:pPr>
      <w:widowControl/>
      <w:pBdr>
        <w:top w:val="single" w:color="000000" w:sz="4" w:space="0"/>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54">
    <w:name w:val="xl90"/>
    <w:basedOn w:val="1"/>
    <w:uiPriority w:val="0"/>
    <w:pPr>
      <w:widowControl/>
      <w:pBdr>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55">
    <w:name w:val="xl91"/>
    <w:basedOn w:val="1"/>
    <w:uiPriority w:val="0"/>
    <w:pPr>
      <w:widowControl/>
      <w:pBdr>
        <w:bottom w:val="single" w:color="000000" w:sz="4" w:space="0"/>
        <w:right w:val="single" w:color="000000" w:sz="4" w:space="0"/>
      </w:pBdr>
      <w:spacing w:before="100" w:beforeAutospacing="1" w:after="100" w:afterAutospacing="1"/>
      <w:jc w:val="right"/>
      <w:textAlignment w:val="center"/>
    </w:pPr>
    <w:rPr>
      <w:rFonts w:ascii="宋体" w:hAnsi="宋体" w:cs="宋体"/>
      <w:kern w:val="0"/>
      <w:sz w:val="22"/>
      <w:szCs w:val="22"/>
    </w:rPr>
  </w:style>
  <w:style w:type="paragraph" w:customStyle="1" w:styleId="56">
    <w:name w:val="xl92"/>
    <w:basedOn w:val="1"/>
    <w:uiPriority w:val="0"/>
    <w:pPr>
      <w:widowControl/>
      <w:pBdr>
        <w:bottom w:val="single" w:color="000000" w:sz="4" w:space="0"/>
        <w:right w:val="single" w:color="000000" w:sz="4" w:space="0"/>
      </w:pBdr>
      <w:spacing w:before="100" w:beforeAutospacing="1" w:after="100" w:afterAutospacing="1"/>
      <w:jc w:val="center"/>
      <w:textAlignment w:val="center"/>
    </w:pPr>
    <w:rPr>
      <w:rFonts w:ascii="宋体" w:hAnsi="宋体" w:cs="宋体"/>
      <w:kern w:val="0"/>
      <w:sz w:val="22"/>
      <w:szCs w:val="22"/>
    </w:rPr>
  </w:style>
  <w:style w:type="paragraph" w:customStyle="1" w:styleId="57">
    <w:name w:val="xl93"/>
    <w:basedOn w:val="1"/>
    <w:uiPriority w:val="0"/>
    <w:pPr>
      <w:widowControl/>
      <w:spacing w:before="100" w:beforeAutospacing="1" w:after="100" w:afterAutospacing="1"/>
      <w:jc w:val="right"/>
      <w:textAlignment w:val="center"/>
    </w:pPr>
    <w:rPr>
      <w:rFonts w:ascii="宋体" w:hAnsi="宋体" w:cs="宋体"/>
      <w:kern w:val="0"/>
      <w:sz w:val="22"/>
      <w:szCs w:val="22"/>
    </w:rPr>
  </w:style>
  <w:style w:type="paragraph" w:customStyle="1" w:styleId="58">
    <w:name w:val="xl94"/>
    <w:basedOn w:val="1"/>
    <w:uiPriority w:val="0"/>
    <w:pPr>
      <w:widowControl/>
      <w:spacing w:before="100" w:beforeAutospacing="1" w:after="100" w:afterAutospacing="1"/>
      <w:jc w:val="right"/>
      <w:textAlignment w:val="center"/>
    </w:pPr>
    <w:rPr>
      <w:rFonts w:ascii="宋体" w:hAnsi="宋体" w:cs="宋体"/>
      <w:kern w:val="0"/>
      <w:sz w:val="22"/>
      <w:szCs w:val="2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6.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2018</c:v>
                </c:pt>
              </c:strCache>
            </c:strRef>
          </c:tx>
          <c:invertIfNegative val="0"/>
          <c:dLbls>
            <c:delete val="1"/>
          </c:dLbls>
          <c:cat>
            <c:strRef>
              <c:f>Sheet1!$A$2:$A$3</c:f>
              <c:strCache>
                <c:ptCount val="2"/>
                <c:pt idx="0">
                  <c:v>收入</c:v>
                </c:pt>
                <c:pt idx="1">
                  <c:v>支出</c:v>
                </c:pt>
              </c:strCache>
            </c:strRef>
          </c:cat>
          <c:val>
            <c:numRef>
              <c:f>Sheet1!$B$2:$B$3</c:f>
              <c:numCache>
                <c:formatCode>General</c:formatCode>
                <c:ptCount val="2"/>
                <c:pt idx="0">
                  <c:v>701.75</c:v>
                </c:pt>
                <c:pt idx="1">
                  <c:v>713.12</c:v>
                </c:pt>
              </c:numCache>
            </c:numRef>
          </c:val>
        </c:ser>
        <c:ser>
          <c:idx val="1"/>
          <c:order val="1"/>
          <c:tx>
            <c:strRef>
              <c:f>Sheet1!$C$1</c:f>
              <c:strCache>
                <c:ptCount val="1"/>
                <c:pt idx="0">
                  <c:v>2019</c:v>
                </c:pt>
              </c:strCache>
            </c:strRef>
          </c:tx>
          <c:invertIfNegative val="0"/>
          <c:dLbls>
            <c:delete val="1"/>
          </c:dLbls>
          <c:cat>
            <c:strRef>
              <c:f>Sheet1!$A$2:$A$3</c:f>
              <c:strCache>
                <c:ptCount val="2"/>
                <c:pt idx="0">
                  <c:v>收入</c:v>
                </c:pt>
                <c:pt idx="1">
                  <c:v>支出</c:v>
                </c:pt>
              </c:strCache>
            </c:strRef>
          </c:cat>
          <c:val>
            <c:numRef>
              <c:f>Sheet1!$C$2:$C$3</c:f>
              <c:numCache>
                <c:formatCode>General</c:formatCode>
                <c:ptCount val="2"/>
                <c:pt idx="0">
                  <c:v>971.31</c:v>
                </c:pt>
                <c:pt idx="1">
                  <c:v>1087.97</c:v>
                </c:pt>
              </c:numCache>
            </c:numRef>
          </c:val>
        </c:ser>
        <c:dLbls>
          <c:showLegendKey val="0"/>
          <c:showVal val="0"/>
          <c:showCatName val="0"/>
          <c:showSerName val="0"/>
          <c:showPercent val="0"/>
          <c:showBubbleSize val="0"/>
        </c:dLbls>
        <c:gapWidth val="150"/>
        <c:axId val="108182528"/>
        <c:axId val="108299392"/>
      </c:barChart>
      <c:catAx>
        <c:axId val="10818252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8299392"/>
        <c:crosses val="autoZero"/>
        <c:auto val="1"/>
        <c:lblAlgn val="ctr"/>
        <c:lblOffset val="100"/>
        <c:noMultiLvlLbl val="0"/>
      </c:catAx>
      <c:valAx>
        <c:axId val="10829939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818252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收入决算结构</a:t>
            </a:r>
            <a:endParaRPr lang="zh-CN" altLang="en-US"/>
          </a:p>
        </c:rich>
      </c:tx>
      <c:layout/>
      <c:overlay val="0"/>
    </c:title>
    <c:autoTitleDeleted val="0"/>
    <c:plotArea>
      <c:layout/>
      <c:pieChart>
        <c:varyColors val="1"/>
        <c:ser>
          <c:idx val="0"/>
          <c:order val="0"/>
          <c:tx>
            <c:strRef>
              <c:f>'Sheet1'!$B$1</c:f>
              <c:strCache>
                <c:ptCount val="1"/>
                <c:pt idx="0">
                  <c:v>收入决算结构图</c:v>
                </c:pt>
              </c:strCache>
            </c:strRef>
          </c:tx>
          <c:explosion val="0"/>
          <c:dPt>
            <c:idx val="0"/>
            <c:bubble3D val="0"/>
          </c:dPt>
          <c:dPt>
            <c:idx val="1"/>
            <c:bubble3D val="0"/>
          </c:dPt>
          <c:dPt>
            <c:idx val="2"/>
            <c:bubble3D val="0"/>
          </c:dPt>
          <c:dPt>
            <c:idx val="3"/>
            <c:bubble3D val="0"/>
          </c:dPt>
          <c:dPt>
            <c:idx val="4"/>
            <c:bubble3D val="0"/>
          </c:dPt>
          <c:dPt>
            <c:idx val="5"/>
            <c:bubble3D val="0"/>
          </c:dPt>
          <c:dPt>
            <c:idx val="6"/>
            <c:bubble3D val="0"/>
          </c:dPt>
          <c:dLbls>
            <c:delete val="1"/>
          </c:dLbls>
          <c:cat>
            <c:strRef>
              <c:f>'Sheet1'!$A$2:$A$8</c:f>
              <c:strCache>
                <c:ptCount val="7"/>
                <c:pt idx="0">
                  <c:v>一般公共预算财政拨款收入</c:v>
                </c:pt>
                <c:pt idx="1">
                  <c:v>政府性基金预算财政拨款收入</c:v>
                </c:pt>
                <c:pt idx="2">
                  <c:v>国有资本经营预算财政拨款收入</c:v>
                </c:pt>
                <c:pt idx="3">
                  <c:v>事业收入</c:v>
                </c:pt>
                <c:pt idx="4">
                  <c:v>经营收入</c:v>
                </c:pt>
                <c:pt idx="5">
                  <c:v>附属单位上缴收入</c:v>
                </c:pt>
                <c:pt idx="6">
                  <c:v>其他收入</c:v>
                </c:pt>
              </c:strCache>
            </c:strRef>
          </c:cat>
          <c:val>
            <c:numRef>
              <c:f>'Sheet1'!$B$2:$B$8</c:f>
              <c:numCache>
                <c:formatCode>General</c:formatCode>
                <c:ptCount val="7"/>
                <c:pt idx="0">
                  <c:v>701.75</c:v>
                </c:pt>
                <c:pt idx="1">
                  <c:v>0</c:v>
                </c:pt>
                <c:pt idx="2">
                  <c:v>0</c:v>
                </c:pt>
                <c:pt idx="3">
                  <c:v>0</c:v>
                </c:pt>
                <c:pt idx="4">
                  <c:v>0</c:v>
                </c:pt>
                <c:pt idx="5">
                  <c:v>0</c:v>
                </c:pt>
                <c:pt idx="6">
                  <c:v>0</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支出决算结构</c:v>
                </c:pt>
              </c:strCache>
            </c:strRef>
          </c:tx>
          <c:explosion val="0"/>
          <c:dPt>
            <c:idx val="0"/>
            <c:bubble3D val="0"/>
          </c:dPt>
          <c:dPt>
            <c:idx val="1"/>
            <c:bubble3D val="0"/>
          </c:dPt>
          <c:dPt>
            <c:idx val="2"/>
            <c:bubble3D val="0"/>
          </c:dPt>
          <c:dPt>
            <c:idx val="3"/>
            <c:bubble3D val="0"/>
          </c:dPt>
          <c:dPt>
            <c:idx val="4"/>
            <c:bubble3D val="0"/>
          </c:dPt>
          <c:dLbls>
            <c:delete val="1"/>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865.15</c:v>
                </c:pt>
                <c:pt idx="1">
                  <c:v>91.23</c:v>
                </c:pt>
                <c:pt idx="2">
                  <c:v>0</c:v>
                </c:pt>
                <c:pt idx="3">
                  <c:v>0</c:v>
                </c:pt>
                <c:pt idx="4">
                  <c:v>0</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2018年</c:v>
                </c:pt>
              </c:strCache>
            </c:strRef>
          </c:tx>
          <c:invertIfNegative val="0"/>
          <c:dLbls>
            <c:delete val="1"/>
          </c:dLbls>
          <c:cat>
            <c:strRef>
              <c:f>Sheet1!$A$2:$A$3</c:f>
              <c:strCache>
                <c:ptCount val="2"/>
                <c:pt idx="0">
                  <c:v>财政拨款收入</c:v>
                </c:pt>
                <c:pt idx="1">
                  <c:v>财政拨款支出</c:v>
                </c:pt>
              </c:strCache>
            </c:strRef>
          </c:cat>
          <c:val>
            <c:numRef>
              <c:f>Sheet1!$B$2:$B$3</c:f>
              <c:numCache>
                <c:formatCode>General</c:formatCode>
                <c:ptCount val="2"/>
                <c:pt idx="0">
                  <c:v>701.74</c:v>
                </c:pt>
                <c:pt idx="1">
                  <c:v>713.12</c:v>
                </c:pt>
              </c:numCache>
            </c:numRef>
          </c:val>
        </c:ser>
        <c:ser>
          <c:idx val="1"/>
          <c:order val="1"/>
          <c:tx>
            <c:strRef>
              <c:f>Sheet1!$C$1</c:f>
              <c:strCache>
                <c:ptCount val="1"/>
                <c:pt idx="0">
                  <c:v>2019年</c:v>
                </c:pt>
              </c:strCache>
            </c:strRef>
          </c:tx>
          <c:invertIfNegative val="0"/>
          <c:dLbls>
            <c:delete val="1"/>
          </c:dLbls>
          <c:cat>
            <c:strRef>
              <c:f>Sheet1!$A$2:$A$3</c:f>
              <c:strCache>
                <c:ptCount val="2"/>
                <c:pt idx="0">
                  <c:v>财政拨款收入</c:v>
                </c:pt>
                <c:pt idx="1">
                  <c:v>财政拨款支出</c:v>
                </c:pt>
              </c:strCache>
            </c:strRef>
          </c:cat>
          <c:val>
            <c:numRef>
              <c:f>Sheet1!$C$2:$C$3</c:f>
              <c:numCache>
                <c:formatCode>General</c:formatCode>
                <c:ptCount val="2"/>
                <c:pt idx="0">
                  <c:v>971.31</c:v>
                </c:pt>
                <c:pt idx="1">
                  <c:v>1087.97</c:v>
                </c:pt>
              </c:numCache>
            </c:numRef>
          </c:val>
        </c:ser>
        <c:dLbls>
          <c:showLegendKey val="0"/>
          <c:showVal val="0"/>
          <c:showCatName val="0"/>
          <c:showSerName val="0"/>
          <c:showPercent val="0"/>
          <c:showBubbleSize val="0"/>
        </c:dLbls>
        <c:gapWidth val="150"/>
        <c:axId val="149225856"/>
        <c:axId val="149227392"/>
      </c:barChart>
      <c:catAx>
        <c:axId val="14922585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9227392"/>
        <c:crosses val="autoZero"/>
        <c:auto val="1"/>
        <c:lblAlgn val="ctr"/>
        <c:lblOffset val="100"/>
        <c:noMultiLvlLbl val="0"/>
      </c:catAx>
      <c:valAx>
        <c:axId val="14922739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922585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一般公共预算财政拨款支出</c:v>
                </c:pt>
              </c:strCache>
            </c:strRef>
          </c:tx>
          <c:invertIfNegative val="0"/>
          <c:dLbls>
            <c:delete val="1"/>
          </c:dLbls>
          <c:cat>
            <c:strRef>
              <c:f>Sheet1!$A$2:$A$3</c:f>
              <c:strCache>
                <c:ptCount val="2"/>
                <c:pt idx="0">
                  <c:v>2018年</c:v>
                </c:pt>
                <c:pt idx="1">
                  <c:v>2019年</c:v>
                </c:pt>
              </c:strCache>
            </c:strRef>
          </c:cat>
          <c:val>
            <c:numRef>
              <c:f>Sheet1!$B$2:$B$3</c:f>
              <c:numCache>
                <c:formatCode>General</c:formatCode>
                <c:ptCount val="2"/>
                <c:pt idx="0">
                  <c:v>713.12</c:v>
                </c:pt>
                <c:pt idx="1">
                  <c:v>1087.97</c:v>
                </c:pt>
              </c:numCache>
            </c:numRef>
          </c:val>
        </c:ser>
        <c:dLbls>
          <c:showLegendKey val="0"/>
          <c:showVal val="0"/>
          <c:showCatName val="0"/>
          <c:showSerName val="0"/>
          <c:showPercent val="0"/>
          <c:showBubbleSize val="0"/>
        </c:dLbls>
        <c:gapWidth val="150"/>
        <c:axId val="149283968"/>
        <c:axId val="149285504"/>
      </c:barChart>
      <c:catAx>
        <c:axId val="14928396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9285504"/>
        <c:crosses val="autoZero"/>
        <c:auto val="1"/>
        <c:lblAlgn val="ctr"/>
        <c:lblOffset val="100"/>
        <c:noMultiLvlLbl val="0"/>
      </c:catAx>
      <c:valAx>
        <c:axId val="14928550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928396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销售额</c:v>
                </c:pt>
              </c:strCache>
            </c:strRef>
          </c:tx>
          <c:explosion val="0"/>
          <c:dPt>
            <c:idx val="0"/>
            <c:bubble3D val="0"/>
          </c:dPt>
          <c:dPt>
            <c:idx val="1"/>
            <c:bubble3D val="0"/>
          </c:dPt>
          <c:dPt>
            <c:idx val="2"/>
            <c:bubble3D val="0"/>
          </c:dPt>
          <c:dPt>
            <c:idx val="3"/>
            <c:bubble3D val="0"/>
          </c:dPt>
          <c:dPt>
            <c:idx val="4"/>
            <c:bubble3D val="0"/>
          </c:dPt>
          <c:dPt>
            <c:idx val="5"/>
            <c:bubble3D val="0"/>
          </c:dPt>
          <c:dPt>
            <c:idx val="6"/>
            <c:bubble3D val="0"/>
          </c:dPt>
          <c:dLbls>
            <c:delete val="1"/>
          </c:dLbls>
          <c:cat>
            <c:strRef>
              <c:f>Sheet1!$A$2:$A$8</c:f>
              <c:strCache>
                <c:ptCount val="7"/>
                <c:pt idx="0">
                  <c:v>一般公共服务（类）支出</c:v>
                </c:pt>
                <c:pt idx="1">
                  <c:v>教育（类）支出</c:v>
                </c:pt>
                <c:pt idx="2">
                  <c:v>科学技术（类）支出</c:v>
                </c:pt>
                <c:pt idx="3">
                  <c:v>社会保障和就业（类）支出</c:v>
                </c:pt>
                <c:pt idx="4">
                  <c:v>医疗卫生支出</c:v>
                </c:pt>
                <c:pt idx="5">
                  <c:v>住房保障支出</c:v>
                </c:pt>
                <c:pt idx="6">
                  <c:v>其他（类）支出</c:v>
                </c:pt>
              </c:strCache>
            </c:strRef>
          </c:cat>
          <c:val>
            <c:numRef>
              <c:f>Sheet1!$B$2:$B$8</c:f>
              <c:numCache>
                <c:formatCode>General</c:formatCode>
                <c:ptCount val="7"/>
                <c:pt idx="0">
                  <c:v>605.959999999999</c:v>
                </c:pt>
                <c:pt idx="1">
                  <c:v>0</c:v>
                </c:pt>
                <c:pt idx="2">
                  <c:v>0</c:v>
                </c:pt>
                <c:pt idx="3">
                  <c:v>47.52</c:v>
                </c:pt>
                <c:pt idx="4">
                  <c:v>19.03</c:v>
                </c:pt>
                <c:pt idx="5">
                  <c:v>35.61</c:v>
                </c:pt>
                <c:pt idx="6">
                  <c:v>5</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04D3C-C229-4560-9795-50214EBB9A2B}">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39</Pages>
  <Words>13625</Words>
  <Characters>17211</Characters>
  <Lines>82</Lines>
  <Paragraphs>46</Paragraphs>
  <TotalTime>1</TotalTime>
  <ScaleCrop>false</ScaleCrop>
  <LinksUpToDate>false</LinksUpToDate>
  <CharactersWithSpaces>18384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2020-10-15T04:58:00Z</dcterms:created>
  <dc:creator>张彬茜</dc:creator>
  <cp:lastModifiedBy>Administrator</cp:lastModifiedBy>
  <cp:lastPrinted>2019-09-20T08:05:00Z</cp:lastPrinted>
  <dcterms:modified xsi:type="dcterms:W3CDTF">2022-05-10T02:50:56Z</dcterms:modified>
  <dc:title>四川省***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3D6CBC75137E47C28BC5C9EB6BAE2F64</vt:lpwstr>
  </property>
</Properties>
</file>